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BEC968" w14:textId="77777777" w:rsidR="00C23C7D" w:rsidRPr="00C73DC3" w:rsidRDefault="00C23C7D" w:rsidP="00E67BCE">
      <w:pPr>
        <w:rPr>
          <w:rFonts w:ascii="Times New Roman" w:hAnsi="Times New Roman"/>
          <w:b/>
          <w:lang w:val="en-GB"/>
        </w:rPr>
      </w:pPr>
      <w:bookmarkStart w:id="0" w:name="_GoBack"/>
      <w:bookmarkEnd w:id="0"/>
      <w:r w:rsidRPr="00C73DC3">
        <w:rPr>
          <w:rFonts w:ascii="Times New Roman" w:hAnsi="Times New Roman"/>
          <w:b/>
          <w:lang w:val="en-GB"/>
        </w:rPr>
        <w:t>Title page:</w:t>
      </w:r>
    </w:p>
    <w:p w14:paraId="14417EE3" w14:textId="77777777" w:rsidR="00C23C7D" w:rsidRPr="00C73DC3" w:rsidRDefault="00C23C7D" w:rsidP="00E67BCE">
      <w:pPr>
        <w:rPr>
          <w:rFonts w:ascii="Times New Roman" w:hAnsi="Times New Roman"/>
          <w:b/>
          <w:sz w:val="28"/>
          <w:lang w:val="en-GB"/>
        </w:rPr>
      </w:pPr>
      <w:r w:rsidRPr="00C73DC3">
        <w:rPr>
          <w:rFonts w:ascii="Times New Roman" w:hAnsi="Times New Roman"/>
          <w:b/>
          <w:sz w:val="28"/>
          <w:lang w:val="en-GB"/>
        </w:rPr>
        <w:t>Trends in environmental performance reporting in the Finnish forest industry</w:t>
      </w:r>
    </w:p>
    <w:p w14:paraId="2FAD97B8" w14:textId="77777777" w:rsidR="00C23C7D" w:rsidRPr="00C73DC3" w:rsidRDefault="00C23C7D" w:rsidP="00E67BCE">
      <w:pPr>
        <w:rPr>
          <w:rFonts w:ascii="Times New Roman" w:hAnsi="Times New Roman"/>
          <w:sz w:val="24"/>
          <w:lang w:val="en-GB"/>
        </w:rPr>
      </w:pPr>
      <w:r w:rsidRPr="00C73DC3">
        <w:rPr>
          <w:rFonts w:ascii="Times New Roman" w:hAnsi="Times New Roman"/>
          <w:sz w:val="24"/>
          <w:lang w:val="en-GB"/>
        </w:rPr>
        <w:t xml:space="preserve">Marileena </w:t>
      </w:r>
      <w:r>
        <w:rPr>
          <w:rFonts w:ascii="Times New Roman" w:hAnsi="Times New Roman"/>
          <w:sz w:val="24"/>
          <w:lang w:val="en-GB"/>
        </w:rPr>
        <w:t>Mäkelä</w:t>
      </w:r>
      <w:r w:rsidRPr="00C73DC3">
        <w:rPr>
          <w:rFonts w:ascii="Times New Roman" w:hAnsi="Times New Roman"/>
          <w:sz w:val="24"/>
          <w:lang w:val="en-GB"/>
        </w:rPr>
        <w:br/>
        <w:t>University of Turku</w:t>
      </w:r>
      <w:r w:rsidRPr="00C73DC3">
        <w:rPr>
          <w:rFonts w:ascii="Times New Roman" w:hAnsi="Times New Roman"/>
          <w:sz w:val="24"/>
          <w:lang w:val="en-GB"/>
        </w:rPr>
        <w:br/>
        <w:t>Finland Futures Research Centre</w:t>
      </w:r>
      <w:r w:rsidRPr="00C73DC3">
        <w:rPr>
          <w:rFonts w:ascii="Times New Roman" w:hAnsi="Times New Roman"/>
          <w:sz w:val="24"/>
          <w:lang w:val="en-GB"/>
        </w:rPr>
        <w:br/>
      </w:r>
      <w:r w:rsidRPr="00AC6FDC">
        <w:rPr>
          <w:rFonts w:ascii="Times New Roman" w:hAnsi="Times New Roman"/>
          <w:sz w:val="24"/>
          <w:lang w:val="en-GB"/>
        </w:rPr>
        <w:t>Åkerlundinkatu 2</w:t>
      </w:r>
      <w:r>
        <w:rPr>
          <w:rFonts w:ascii="Times New Roman" w:hAnsi="Times New Roman"/>
          <w:sz w:val="24"/>
          <w:lang w:val="en-GB"/>
        </w:rPr>
        <w:t xml:space="preserve"> </w:t>
      </w:r>
      <w:r>
        <w:rPr>
          <w:rFonts w:ascii="Times New Roman" w:hAnsi="Times New Roman"/>
          <w:sz w:val="24"/>
          <w:lang w:val="en-GB"/>
        </w:rPr>
        <w:br/>
      </w:r>
      <w:r w:rsidRPr="00C73DC3">
        <w:rPr>
          <w:rFonts w:ascii="Times New Roman" w:hAnsi="Times New Roman"/>
          <w:sz w:val="24"/>
          <w:lang w:val="en-GB"/>
        </w:rPr>
        <w:t>33100 Tampere</w:t>
      </w:r>
      <w:r w:rsidRPr="00C73DC3">
        <w:rPr>
          <w:rFonts w:ascii="Times New Roman" w:hAnsi="Times New Roman"/>
          <w:sz w:val="24"/>
          <w:lang w:val="en-GB"/>
        </w:rPr>
        <w:br/>
        <w:t>Finland</w:t>
      </w:r>
    </w:p>
    <w:p w14:paraId="0977E355" w14:textId="640F4457" w:rsidR="00FB06C5" w:rsidRPr="00D61F3F" w:rsidRDefault="001C32DA" w:rsidP="00E67BCE">
      <w:pPr>
        <w:rPr>
          <w:rFonts w:ascii="Times New Roman" w:hAnsi="Times New Roman"/>
          <w:sz w:val="24"/>
          <w:lang w:val="en-GB"/>
        </w:rPr>
      </w:pPr>
      <w:hyperlink r:id="rId9" w:history="1">
        <w:r w:rsidR="00FB06C5" w:rsidRPr="00D61F3F">
          <w:rPr>
            <w:rStyle w:val="Hyperlinkki"/>
            <w:rFonts w:ascii="Times New Roman" w:hAnsi="Times New Roman"/>
            <w:sz w:val="24"/>
            <w:lang w:val="en-GB"/>
          </w:rPr>
          <w:t>marileena.t.makela@utu.fi</w:t>
        </w:r>
      </w:hyperlink>
    </w:p>
    <w:p w14:paraId="31A22BBC" w14:textId="5758E149" w:rsidR="00C23C7D" w:rsidRPr="00C73DC3" w:rsidRDefault="00C23C7D" w:rsidP="00E67BCE">
      <w:pPr>
        <w:rPr>
          <w:rFonts w:ascii="Times New Roman" w:hAnsi="Times New Roman"/>
          <w:sz w:val="24"/>
          <w:lang w:val="en-GB"/>
        </w:rPr>
      </w:pPr>
      <w:r w:rsidRPr="00C73DC3">
        <w:rPr>
          <w:rFonts w:ascii="Times New Roman" w:hAnsi="Times New Roman"/>
          <w:sz w:val="24"/>
          <w:lang w:val="en-GB"/>
        </w:rPr>
        <w:t>+358 50 5896521</w:t>
      </w:r>
    </w:p>
    <w:p w14:paraId="3574A67C" w14:textId="77777777" w:rsidR="00C23C7D" w:rsidRPr="00C73DC3" w:rsidRDefault="00C23C7D" w:rsidP="00E67BCE">
      <w:pPr>
        <w:rPr>
          <w:rFonts w:ascii="Times New Roman" w:hAnsi="Times New Roman"/>
          <w:b/>
          <w:sz w:val="28"/>
          <w:lang w:val="en-GB"/>
        </w:rPr>
      </w:pPr>
    </w:p>
    <w:p w14:paraId="5723BF0F" w14:textId="77777777" w:rsidR="00C23C7D" w:rsidRPr="00C73DC3" w:rsidRDefault="00C23C7D">
      <w:pPr>
        <w:rPr>
          <w:rFonts w:ascii="Times New Roman" w:hAnsi="Times New Roman"/>
          <w:b/>
          <w:sz w:val="28"/>
          <w:lang w:val="en-GB"/>
        </w:rPr>
      </w:pPr>
      <w:r w:rsidRPr="00C73DC3">
        <w:rPr>
          <w:rFonts w:ascii="Times New Roman" w:hAnsi="Times New Roman"/>
          <w:b/>
          <w:sz w:val="28"/>
          <w:lang w:val="en-GB"/>
        </w:rPr>
        <w:br w:type="page"/>
      </w:r>
    </w:p>
    <w:p w14:paraId="11657E64" w14:textId="4D355A31" w:rsidR="00C23C7D" w:rsidRPr="00C73DC3" w:rsidRDefault="00C23C7D" w:rsidP="00E67BCE">
      <w:pPr>
        <w:rPr>
          <w:rFonts w:ascii="Times New Roman" w:hAnsi="Times New Roman"/>
          <w:bCs/>
          <w:iCs/>
          <w:sz w:val="24"/>
          <w:lang w:val="en-GB"/>
        </w:rPr>
      </w:pPr>
      <w:r w:rsidRPr="00FA54A3">
        <w:rPr>
          <w:rFonts w:ascii="Times New Roman" w:hAnsi="Times New Roman"/>
          <w:bCs/>
          <w:iCs/>
          <w:sz w:val="24"/>
          <w:lang w:val="en-GB"/>
        </w:rPr>
        <w:t>Number of words: 10</w:t>
      </w:r>
      <w:r w:rsidR="007E12F2" w:rsidRPr="00FA54A3">
        <w:rPr>
          <w:rFonts w:ascii="Times New Roman" w:hAnsi="Times New Roman"/>
          <w:bCs/>
          <w:iCs/>
          <w:sz w:val="24"/>
          <w:lang w:val="en-GB"/>
        </w:rPr>
        <w:t>824</w:t>
      </w:r>
    </w:p>
    <w:p w14:paraId="7DAE70EE" w14:textId="77777777" w:rsidR="00C23C7D" w:rsidRPr="00C73DC3" w:rsidRDefault="00C23C7D" w:rsidP="009952A5">
      <w:pPr>
        <w:rPr>
          <w:rFonts w:ascii="Times New Roman" w:hAnsi="Times New Roman"/>
          <w:b/>
          <w:sz w:val="28"/>
          <w:lang w:val="en-GB"/>
        </w:rPr>
      </w:pPr>
      <w:r w:rsidRPr="00C73DC3">
        <w:rPr>
          <w:rFonts w:ascii="Times New Roman" w:hAnsi="Times New Roman"/>
          <w:b/>
          <w:sz w:val="28"/>
          <w:lang w:val="en-GB"/>
        </w:rPr>
        <w:t>Trends in environmental performance reporting in the Finnish forest industry</w:t>
      </w:r>
    </w:p>
    <w:p w14:paraId="282F59EA" w14:textId="77777777" w:rsidR="00C23C7D" w:rsidRDefault="00C23C7D" w:rsidP="00B52B88">
      <w:pPr>
        <w:pStyle w:val="bodyofthetext"/>
        <w:rPr>
          <w:b/>
        </w:rPr>
      </w:pPr>
      <w:r w:rsidRPr="00C73DC3">
        <w:rPr>
          <w:b/>
        </w:rPr>
        <w:t xml:space="preserve">Abstract: </w:t>
      </w:r>
    </w:p>
    <w:p w14:paraId="3B993ECC" w14:textId="77777777" w:rsidR="00C23C7D" w:rsidRPr="00852613" w:rsidRDefault="00C23C7D" w:rsidP="00B52B88">
      <w:pPr>
        <w:pStyle w:val="bodyofthetext"/>
      </w:pPr>
      <w:r w:rsidRPr="00852613">
        <w:t>Previous</w:t>
      </w:r>
      <w:r>
        <w:t xml:space="preserve"> content analyses of corporate reporting have typically focused </w:t>
      </w:r>
      <w:r w:rsidRPr="00057959">
        <w:t>on annual reports of one reporting year of board samples</w:t>
      </w:r>
      <w:r>
        <w:t>. This paper focuses on one industry (the forest industry</w:t>
      </w:r>
      <w:r w:rsidDel="00057959">
        <w:t>)</w:t>
      </w:r>
      <w:r>
        <w:t xml:space="preserve"> and on its environmental performance reporting over a 15-year period from 1998 to 2012. The aim of this research is to analyse the reporting trends. The research is a case study of three Finnish forest industry companies’ reporting. Seven major trends emerged from the content analysis. For example, the companies report on a massive number of indicators, focusing mainly on input and output indicators. Also, the number of reported environmental performance indicators is decreasing in each indicator group. In addition, the companies report on the environmental performance of their supply chain very little. This paper makes two contributions. First, the decrease</w:t>
      </w:r>
      <w:r w:rsidDel="00057959">
        <w:t xml:space="preserve"> in </w:t>
      </w:r>
      <w:r>
        <w:t>the number of environmental performance indicators is highlighted; the underlying reasons for the decrease should be researched further. Second, the paper pinpoints the difficulty of obtaining a balanced view of environmental performance by looking at the indicators alone, because these mainly focus on the inputs needed for production and on the unwanted outputs caused (e.g. emissions and waste). This is an aspect that the report preparers should devote more attention to in the future.</w:t>
      </w:r>
    </w:p>
    <w:p w14:paraId="010AFB52" w14:textId="77777777" w:rsidR="00C23C7D" w:rsidRPr="00C73DC3" w:rsidRDefault="00C23C7D" w:rsidP="00B52B88">
      <w:pPr>
        <w:jc w:val="both"/>
        <w:rPr>
          <w:rFonts w:ascii="Times New Roman" w:hAnsi="Times New Roman"/>
          <w:sz w:val="24"/>
          <w:lang w:val="en-GB"/>
        </w:rPr>
      </w:pPr>
      <w:r w:rsidRPr="00C73DC3">
        <w:rPr>
          <w:rFonts w:ascii="Times New Roman" w:hAnsi="Times New Roman"/>
          <w:b/>
          <w:sz w:val="24"/>
          <w:lang w:val="en-GB"/>
        </w:rPr>
        <w:t>Keywords:</w:t>
      </w:r>
      <w:r w:rsidRPr="00C73DC3">
        <w:rPr>
          <w:rFonts w:ascii="Times New Roman" w:hAnsi="Times New Roman"/>
          <w:sz w:val="24"/>
          <w:lang w:val="en-GB"/>
        </w:rPr>
        <w:t xml:space="preserve"> environmental performance indicator, forest industry, corporate environmental report, corporate environmental management, environmental impact, environmental aspect</w:t>
      </w:r>
    </w:p>
    <w:p w14:paraId="1D5818C9" w14:textId="77777777" w:rsidR="00C23C7D" w:rsidRPr="00C73DC3" w:rsidRDefault="00C23C7D" w:rsidP="00B52B88">
      <w:pPr>
        <w:rPr>
          <w:rFonts w:ascii="Times New Roman" w:hAnsi="Times New Roman"/>
          <w:sz w:val="24"/>
          <w:lang w:val="en-GB"/>
        </w:rPr>
      </w:pPr>
    </w:p>
    <w:p w14:paraId="57BBA000" w14:textId="77777777" w:rsidR="00C23C7D" w:rsidRPr="00C73DC3" w:rsidRDefault="00C23C7D" w:rsidP="00B52B88">
      <w:pPr>
        <w:rPr>
          <w:rFonts w:ascii="Times New Roman" w:hAnsi="Times New Roman"/>
          <w:b/>
          <w:sz w:val="24"/>
          <w:lang w:val="en-GB"/>
        </w:rPr>
      </w:pPr>
      <w:r w:rsidRPr="00C73DC3">
        <w:rPr>
          <w:rFonts w:ascii="Times New Roman" w:hAnsi="Times New Roman"/>
          <w:b/>
          <w:sz w:val="24"/>
          <w:lang w:val="en-GB"/>
        </w:rPr>
        <w:t xml:space="preserve">1 Introduction </w:t>
      </w:r>
    </w:p>
    <w:p w14:paraId="53F60231" w14:textId="77777777" w:rsidR="00C23C7D" w:rsidRDefault="00C23C7D" w:rsidP="00B52B88">
      <w:pPr>
        <w:pStyle w:val="bodyofthetext"/>
        <w:rPr>
          <w:b/>
        </w:rPr>
      </w:pPr>
      <w:r w:rsidRPr="00F628F4">
        <w:rPr>
          <w:b/>
        </w:rPr>
        <w:t>1.1 Positioning the research</w:t>
      </w:r>
      <w:r>
        <w:rPr>
          <w:b/>
        </w:rPr>
        <w:t xml:space="preserve"> </w:t>
      </w:r>
    </w:p>
    <w:p w14:paraId="1FBF0066" w14:textId="77777777" w:rsidR="00C23C7D" w:rsidRDefault="00C23C7D" w:rsidP="00F6012D">
      <w:pPr>
        <w:jc w:val="both"/>
        <w:rPr>
          <w:rFonts w:ascii="Times New Roman" w:hAnsi="Times New Roman"/>
          <w:sz w:val="24"/>
          <w:lang w:val="en-GB"/>
        </w:rPr>
      </w:pPr>
      <w:r w:rsidRPr="00C73DC3">
        <w:rPr>
          <w:rFonts w:ascii="Times New Roman" w:hAnsi="Times New Roman"/>
          <w:sz w:val="24"/>
          <w:lang w:val="en-GB"/>
        </w:rPr>
        <w:t xml:space="preserve">There is a vast amount of research that focuses on </w:t>
      </w:r>
      <w:r>
        <w:rPr>
          <w:rFonts w:ascii="Times New Roman" w:hAnsi="Times New Roman"/>
          <w:sz w:val="24"/>
          <w:lang w:val="en-GB"/>
        </w:rPr>
        <w:t>the sustainability reporting process, or on the sustainability reports themselves.</w:t>
      </w:r>
      <w:r w:rsidRPr="00C73DC3">
        <w:rPr>
          <w:rFonts w:ascii="Times New Roman" w:hAnsi="Times New Roman"/>
          <w:sz w:val="24"/>
          <w:lang w:val="en-GB"/>
        </w:rPr>
        <w:t xml:space="preserve"> In his extensive meta-analysis, Fifka </w:t>
      </w:r>
      <w:r w:rsidRPr="00C73DC3">
        <w:rPr>
          <w:rFonts w:ascii="Times New Roman" w:hAnsi="Times New Roman"/>
          <w:sz w:val="24"/>
          <w:lang w:val="en-GB"/>
        </w:rPr>
        <w:fldChar w:fldCharType="begin"/>
      </w:r>
      <w:r w:rsidRPr="00C73DC3">
        <w:rPr>
          <w:rFonts w:ascii="Times New Roman" w:hAnsi="Times New Roman"/>
          <w:sz w:val="24"/>
          <w:lang w:val="en-GB"/>
        </w:rPr>
        <w:instrText>ADDIN RW.CITE{{2791 Fifka,Matthias 2012 /a}}</w:instrText>
      </w:r>
      <w:r w:rsidRPr="00C73DC3">
        <w:rPr>
          <w:rFonts w:ascii="Times New Roman" w:hAnsi="Times New Roman"/>
          <w:sz w:val="24"/>
          <w:lang w:val="en-GB"/>
        </w:rPr>
        <w:fldChar w:fldCharType="separate"/>
      </w:r>
      <w:r w:rsidRPr="00C73DC3">
        <w:rPr>
          <w:rFonts w:ascii="Times New Roman" w:hAnsi="Times New Roman"/>
          <w:sz w:val="24"/>
          <w:lang w:val="en-GB"/>
        </w:rPr>
        <w:t>(2012)</w:t>
      </w:r>
      <w:r w:rsidRPr="00C73DC3">
        <w:rPr>
          <w:rFonts w:ascii="Times New Roman" w:hAnsi="Times New Roman"/>
          <w:sz w:val="24"/>
          <w:lang w:val="en-GB"/>
        </w:rPr>
        <w:fldChar w:fldCharType="end"/>
      </w:r>
      <w:r w:rsidRPr="00C73DC3">
        <w:rPr>
          <w:rFonts w:ascii="Times New Roman" w:hAnsi="Times New Roman"/>
          <w:sz w:val="24"/>
          <w:lang w:val="en-GB"/>
        </w:rPr>
        <w:t xml:space="preserve"> </w:t>
      </w:r>
      <w:r>
        <w:rPr>
          <w:rFonts w:ascii="Times New Roman" w:hAnsi="Times New Roman"/>
          <w:sz w:val="24"/>
          <w:lang w:val="en-GB"/>
        </w:rPr>
        <w:t xml:space="preserve">found </w:t>
      </w:r>
      <w:r w:rsidRPr="00C73DC3">
        <w:rPr>
          <w:rFonts w:ascii="Times New Roman" w:hAnsi="Times New Roman"/>
          <w:sz w:val="24"/>
          <w:lang w:val="en-GB"/>
        </w:rPr>
        <w:t xml:space="preserve">almost 200 studies covering this topic from over the past 40 years. </w:t>
      </w:r>
      <w:r>
        <w:rPr>
          <w:rFonts w:ascii="Times New Roman" w:hAnsi="Times New Roman"/>
          <w:sz w:val="24"/>
          <w:lang w:val="en-GB"/>
        </w:rPr>
        <w:t xml:space="preserve">His analysis revealed three typical aspects </w:t>
      </w:r>
      <w:r w:rsidDel="00057959">
        <w:rPr>
          <w:rFonts w:ascii="Times New Roman" w:hAnsi="Times New Roman"/>
          <w:sz w:val="24"/>
          <w:lang w:val="en-GB"/>
        </w:rPr>
        <w:t xml:space="preserve">in </w:t>
      </w:r>
      <w:r>
        <w:rPr>
          <w:rFonts w:ascii="Times New Roman" w:hAnsi="Times New Roman"/>
          <w:sz w:val="24"/>
          <w:lang w:val="en-GB"/>
        </w:rPr>
        <w:t>the previous research. First,</w:t>
      </w:r>
      <w:r w:rsidRPr="00C73DC3">
        <w:rPr>
          <w:rFonts w:ascii="Times New Roman" w:hAnsi="Times New Roman"/>
          <w:sz w:val="24"/>
          <w:lang w:val="en-GB"/>
        </w:rPr>
        <w:t xml:space="preserve"> the research has </w:t>
      </w:r>
      <w:r>
        <w:rPr>
          <w:rFonts w:ascii="Times New Roman" w:hAnsi="Times New Roman"/>
          <w:sz w:val="24"/>
          <w:lang w:val="en-GB"/>
        </w:rPr>
        <w:t xml:space="preserve">usually </w:t>
      </w:r>
      <w:r w:rsidRPr="00C73DC3">
        <w:rPr>
          <w:rFonts w:ascii="Times New Roman" w:hAnsi="Times New Roman"/>
          <w:sz w:val="24"/>
          <w:lang w:val="en-GB"/>
        </w:rPr>
        <w:t xml:space="preserve">been conducted with </w:t>
      </w:r>
      <w:r>
        <w:rPr>
          <w:rFonts w:ascii="Times New Roman" w:hAnsi="Times New Roman"/>
          <w:sz w:val="24"/>
          <w:lang w:val="en-GB"/>
        </w:rPr>
        <w:t xml:space="preserve">the </w:t>
      </w:r>
      <w:r w:rsidRPr="00C73DC3">
        <w:rPr>
          <w:rFonts w:ascii="Times New Roman" w:hAnsi="Times New Roman"/>
          <w:sz w:val="24"/>
          <w:lang w:val="en-GB"/>
        </w:rPr>
        <w:t xml:space="preserve">content analysis method. </w:t>
      </w:r>
      <w:r>
        <w:rPr>
          <w:rFonts w:ascii="Times New Roman" w:hAnsi="Times New Roman"/>
          <w:sz w:val="24"/>
          <w:lang w:val="en-GB"/>
        </w:rPr>
        <w:t xml:space="preserve">Second, </w:t>
      </w:r>
      <w:r w:rsidRPr="00C73DC3">
        <w:rPr>
          <w:rFonts w:ascii="Times New Roman" w:hAnsi="Times New Roman"/>
          <w:sz w:val="24"/>
          <w:lang w:val="en-GB"/>
        </w:rPr>
        <w:t>the research data includes annual reports, but, more recently</w:t>
      </w:r>
      <w:r>
        <w:rPr>
          <w:rFonts w:ascii="Times New Roman" w:hAnsi="Times New Roman"/>
          <w:sz w:val="24"/>
          <w:lang w:val="en-GB"/>
        </w:rPr>
        <w:t>,</w:t>
      </w:r>
      <w:r w:rsidRPr="00C73DC3">
        <w:rPr>
          <w:rFonts w:ascii="Times New Roman" w:hAnsi="Times New Roman"/>
          <w:sz w:val="24"/>
          <w:lang w:val="en-GB"/>
        </w:rPr>
        <w:t xml:space="preserve"> stand-alone sustainability </w:t>
      </w:r>
      <w:r>
        <w:rPr>
          <w:rFonts w:ascii="Times New Roman" w:hAnsi="Times New Roman"/>
          <w:sz w:val="24"/>
          <w:lang w:val="en-GB"/>
        </w:rPr>
        <w:t xml:space="preserve">reports </w:t>
      </w:r>
      <w:r w:rsidRPr="00C73DC3">
        <w:rPr>
          <w:rFonts w:ascii="Times New Roman" w:hAnsi="Times New Roman"/>
          <w:sz w:val="24"/>
          <w:lang w:val="en-GB"/>
        </w:rPr>
        <w:t xml:space="preserve">and websites have </w:t>
      </w:r>
      <w:r>
        <w:rPr>
          <w:rFonts w:ascii="Times New Roman" w:hAnsi="Times New Roman"/>
          <w:sz w:val="24"/>
          <w:lang w:val="en-GB"/>
        </w:rPr>
        <w:t xml:space="preserve">also </w:t>
      </w:r>
      <w:r w:rsidRPr="00C73DC3">
        <w:rPr>
          <w:rFonts w:ascii="Times New Roman" w:hAnsi="Times New Roman"/>
          <w:sz w:val="24"/>
          <w:lang w:val="en-GB"/>
        </w:rPr>
        <w:t xml:space="preserve">been studied. </w:t>
      </w:r>
      <w:r>
        <w:rPr>
          <w:rFonts w:ascii="Times New Roman" w:hAnsi="Times New Roman"/>
          <w:sz w:val="24"/>
          <w:lang w:val="en-GB"/>
        </w:rPr>
        <w:t xml:space="preserve">Third, </w:t>
      </w:r>
      <w:r w:rsidRPr="00C73DC3">
        <w:rPr>
          <w:rFonts w:ascii="Times New Roman" w:hAnsi="Times New Roman"/>
          <w:sz w:val="24"/>
          <w:lang w:val="en-GB"/>
        </w:rPr>
        <w:t xml:space="preserve">characteristic research samples have been </w:t>
      </w:r>
      <w:r w:rsidRPr="00057959">
        <w:rPr>
          <w:rFonts w:ascii="Times New Roman" w:hAnsi="Times New Roman"/>
          <w:sz w:val="24"/>
          <w:lang w:val="en-GB"/>
        </w:rPr>
        <w:t>board samples</w:t>
      </w:r>
      <w:r w:rsidRPr="00C73DC3">
        <w:rPr>
          <w:rFonts w:ascii="Times New Roman" w:hAnsi="Times New Roman"/>
          <w:sz w:val="24"/>
          <w:lang w:val="en-GB"/>
        </w:rPr>
        <w:t xml:space="preserve"> of the largest companies.</w:t>
      </w:r>
      <w:r>
        <w:rPr>
          <w:rFonts w:ascii="Times New Roman" w:hAnsi="Times New Roman"/>
          <w:sz w:val="24"/>
          <w:lang w:val="en-GB"/>
        </w:rPr>
        <w:t xml:space="preserve"> In addition to Fifka’s (2012) findings, the previous content analysis research has been dominated by analyses of one reporting year only. The last three aspects are briefly reviewed in the following section on the basis of the literature and in connection with current research. </w:t>
      </w:r>
    </w:p>
    <w:p w14:paraId="7D7F006C" w14:textId="40FE1566" w:rsidR="00C23C7D" w:rsidRDefault="00C23C7D" w:rsidP="00F6012D">
      <w:pPr>
        <w:jc w:val="both"/>
        <w:rPr>
          <w:rFonts w:ascii="Times New Roman" w:hAnsi="Times New Roman"/>
          <w:sz w:val="24"/>
          <w:lang w:val="en-GB"/>
        </w:rPr>
      </w:pPr>
      <w:r>
        <w:rPr>
          <w:rFonts w:ascii="Times New Roman" w:hAnsi="Times New Roman"/>
          <w:sz w:val="24"/>
          <w:lang w:val="en-GB"/>
        </w:rPr>
        <w:t xml:space="preserve">As Fifka (2012) points out, research has only recently focused on the analysis of sustainability reports. </w:t>
      </w:r>
      <w:r w:rsidDel="00057959">
        <w:rPr>
          <w:rFonts w:ascii="Times New Roman" w:hAnsi="Times New Roman"/>
          <w:sz w:val="24"/>
          <w:lang w:val="en-GB"/>
        </w:rPr>
        <w:t>T</w:t>
      </w:r>
      <w:r>
        <w:rPr>
          <w:rFonts w:ascii="Times New Roman" w:hAnsi="Times New Roman"/>
          <w:sz w:val="24"/>
          <w:lang w:val="en-GB"/>
        </w:rPr>
        <w:t xml:space="preserve">he present research follows </w:t>
      </w:r>
      <w:r w:rsidDel="00057959">
        <w:rPr>
          <w:rFonts w:ascii="Times New Roman" w:hAnsi="Times New Roman"/>
          <w:sz w:val="24"/>
          <w:lang w:val="en-GB"/>
        </w:rPr>
        <w:t>t</w:t>
      </w:r>
      <w:r>
        <w:rPr>
          <w:rFonts w:ascii="Times New Roman" w:hAnsi="Times New Roman"/>
          <w:sz w:val="24"/>
          <w:lang w:val="en-GB"/>
        </w:rPr>
        <w:t xml:space="preserve">his modern tradition, and the analysis is further narrowed to environmental indicator reporting for two main reasons. First, the indicators are an important part of </w:t>
      </w:r>
      <w:r>
        <w:rPr>
          <w:rFonts w:ascii="Times New Roman" w:hAnsi="Times New Roman"/>
          <w:sz w:val="24"/>
          <w:lang w:val="en-GB"/>
        </w:rPr>
        <w:lastRenderedPageBreak/>
        <w:t>both company management and reporting.</w:t>
      </w:r>
      <w:r>
        <w:rPr>
          <w:rStyle w:val="Alaviitteenviite"/>
          <w:rFonts w:ascii="Times New Roman" w:hAnsi="Times New Roman"/>
          <w:sz w:val="24"/>
          <w:lang w:val="en-GB"/>
        </w:rPr>
        <w:footnoteReference w:id="1"/>
      </w:r>
      <w:r>
        <w:rPr>
          <w:rFonts w:ascii="Times New Roman" w:hAnsi="Times New Roman"/>
          <w:sz w:val="24"/>
          <w:lang w:val="en-GB"/>
        </w:rPr>
        <w:t xml:space="preserve"> </w:t>
      </w:r>
      <w:r w:rsidRPr="002571E1">
        <w:rPr>
          <w:rFonts w:ascii="Times New Roman" w:hAnsi="Times New Roman"/>
          <w:sz w:val="24"/>
          <w:lang w:val="en-US"/>
        </w:rPr>
        <w:t xml:space="preserve">Managers need quantitative environmental information in order to make environmentally sound </w:t>
      </w:r>
      <w:r w:rsidRPr="00A17776">
        <w:rPr>
          <w:rFonts w:ascii="Times New Roman" w:hAnsi="Times New Roman"/>
          <w:sz w:val="24"/>
          <w:lang w:val="en-US"/>
        </w:rPr>
        <w:t>decisions (Eagan and Joeres</w:t>
      </w:r>
      <w:r w:rsidR="002077A7">
        <w:rPr>
          <w:rFonts w:ascii="Times New Roman" w:hAnsi="Times New Roman"/>
          <w:sz w:val="24"/>
          <w:lang w:val="en-US"/>
        </w:rPr>
        <w:t>, 2002;</w:t>
      </w:r>
      <w:r w:rsidRPr="00A17776">
        <w:rPr>
          <w:rFonts w:ascii="Times New Roman" w:hAnsi="Times New Roman"/>
          <w:sz w:val="24"/>
          <w:lang w:val="en-US"/>
        </w:rPr>
        <w:t xml:space="preserve"> Jasch </w:t>
      </w:r>
      <w:r w:rsidR="002077A7">
        <w:rPr>
          <w:rFonts w:ascii="Times New Roman" w:hAnsi="Times New Roman"/>
          <w:sz w:val="24"/>
          <w:lang w:val="en-US"/>
        </w:rPr>
        <w:t>,</w:t>
      </w:r>
      <w:r w:rsidRPr="00A17776">
        <w:rPr>
          <w:rFonts w:ascii="Times New Roman" w:hAnsi="Times New Roman"/>
          <w:sz w:val="24"/>
          <w:lang w:val="en-US"/>
        </w:rPr>
        <w:t>2000). Similarly</w:t>
      </w:r>
      <w:r>
        <w:rPr>
          <w:rFonts w:ascii="Times New Roman" w:hAnsi="Times New Roman"/>
          <w:sz w:val="24"/>
          <w:lang w:val="en-US"/>
        </w:rPr>
        <w:t xml:space="preserve">, the quantitative information in corporate reports provides the readers with information on how the companies are </w:t>
      </w:r>
      <w:r w:rsidRPr="00A17776">
        <w:rPr>
          <w:rFonts w:ascii="Times New Roman" w:hAnsi="Times New Roman"/>
          <w:sz w:val="24"/>
          <w:lang w:val="en-US"/>
        </w:rPr>
        <w:t>performing. However, Daub (2007) found that,</w:t>
      </w:r>
      <w:r w:rsidRPr="00057959">
        <w:rPr>
          <w:rFonts w:ascii="Times New Roman" w:hAnsi="Times New Roman"/>
          <w:sz w:val="24"/>
          <w:lang w:val="en-US"/>
        </w:rPr>
        <w:t xml:space="preserve"> </w:t>
      </w:r>
      <w:r w:rsidRPr="0061414D">
        <w:rPr>
          <w:rFonts w:ascii="Times New Roman" w:hAnsi="Times New Roman"/>
          <w:sz w:val="24"/>
          <w:lang w:val="en-US"/>
        </w:rPr>
        <w:t>in comparison to other report</w:t>
      </w:r>
      <w:r>
        <w:rPr>
          <w:rFonts w:ascii="Times New Roman" w:hAnsi="Times New Roman"/>
          <w:sz w:val="24"/>
          <w:lang w:val="en-US"/>
        </w:rPr>
        <w:t>ing,</w:t>
      </w:r>
      <w:r w:rsidRPr="0061414D">
        <w:rPr>
          <w:rFonts w:ascii="Times New Roman" w:hAnsi="Times New Roman"/>
          <w:sz w:val="24"/>
          <w:lang w:val="en-US"/>
        </w:rPr>
        <w:t xml:space="preserve"> the companies</w:t>
      </w:r>
      <w:r>
        <w:rPr>
          <w:rFonts w:ascii="Times New Roman" w:hAnsi="Times New Roman"/>
          <w:sz w:val="24"/>
          <w:lang w:val="en-US"/>
        </w:rPr>
        <w:t>’</w:t>
      </w:r>
      <w:r w:rsidRPr="0061414D">
        <w:rPr>
          <w:rFonts w:ascii="Times New Roman" w:hAnsi="Times New Roman"/>
          <w:sz w:val="24"/>
          <w:lang w:val="en-US"/>
        </w:rPr>
        <w:t xml:space="preserve"> report</w:t>
      </w:r>
      <w:r>
        <w:rPr>
          <w:rFonts w:ascii="Times New Roman" w:hAnsi="Times New Roman"/>
          <w:sz w:val="24"/>
          <w:lang w:val="en-US"/>
        </w:rPr>
        <w:t xml:space="preserve">ing on </w:t>
      </w:r>
      <w:r w:rsidRPr="0061414D">
        <w:rPr>
          <w:rFonts w:ascii="Times New Roman" w:hAnsi="Times New Roman"/>
          <w:sz w:val="24"/>
          <w:lang w:val="en-US"/>
        </w:rPr>
        <w:t xml:space="preserve">the performance indicators </w:t>
      </w:r>
      <w:r>
        <w:rPr>
          <w:rFonts w:ascii="Times New Roman" w:hAnsi="Times New Roman"/>
          <w:sz w:val="24"/>
          <w:lang w:val="en-US"/>
        </w:rPr>
        <w:t xml:space="preserve">was </w:t>
      </w:r>
      <w:r w:rsidRPr="0061414D">
        <w:rPr>
          <w:rFonts w:ascii="Times New Roman" w:hAnsi="Times New Roman"/>
          <w:sz w:val="24"/>
          <w:lang w:val="en-US"/>
        </w:rPr>
        <w:t xml:space="preserve">the worst, because </w:t>
      </w:r>
      <w:r>
        <w:rPr>
          <w:rFonts w:ascii="Times New Roman" w:hAnsi="Times New Roman"/>
          <w:sz w:val="24"/>
          <w:lang w:val="en-US"/>
        </w:rPr>
        <w:t>the companies</w:t>
      </w:r>
      <w:r w:rsidRPr="0061414D">
        <w:rPr>
          <w:rFonts w:ascii="Times New Roman" w:hAnsi="Times New Roman"/>
          <w:sz w:val="24"/>
          <w:lang w:val="en-US"/>
        </w:rPr>
        <w:t xml:space="preserve"> </w:t>
      </w:r>
      <w:r>
        <w:rPr>
          <w:rFonts w:ascii="Times New Roman" w:hAnsi="Times New Roman"/>
          <w:sz w:val="24"/>
          <w:lang w:val="en-US"/>
        </w:rPr>
        <w:t>were</w:t>
      </w:r>
      <w:r w:rsidRPr="0061414D">
        <w:rPr>
          <w:rFonts w:ascii="Times New Roman" w:hAnsi="Times New Roman"/>
          <w:sz w:val="24"/>
          <w:lang w:val="en-US"/>
        </w:rPr>
        <w:t xml:space="preserve"> afraid of giving </w:t>
      </w:r>
      <w:r>
        <w:rPr>
          <w:rFonts w:ascii="Times New Roman" w:hAnsi="Times New Roman"/>
          <w:sz w:val="24"/>
          <w:lang w:val="en-US"/>
        </w:rPr>
        <w:t xml:space="preserve">a </w:t>
      </w:r>
      <w:r w:rsidRPr="0061414D">
        <w:rPr>
          <w:rFonts w:ascii="Times New Roman" w:hAnsi="Times New Roman"/>
          <w:sz w:val="24"/>
          <w:lang w:val="en-US"/>
        </w:rPr>
        <w:t xml:space="preserve">bad impression of their performance. Second, there are only a </w:t>
      </w:r>
      <w:r>
        <w:rPr>
          <w:rFonts w:ascii="Times New Roman" w:hAnsi="Times New Roman"/>
          <w:sz w:val="24"/>
          <w:lang w:val="en-GB"/>
        </w:rPr>
        <w:t>few previous studies from the point of view of indicator reporting (Roca and Searcy</w:t>
      </w:r>
      <w:r w:rsidR="002077A7">
        <w:rPr>
          <w:rFonts w:ascii="Times New Roman" w:hAnsi="Times New Roman"/>
          <w:sz w:val="24"/>
          <w:lang w:val="en-GB"/>
        </w:rPr>
        <w:t>,</w:t>
      </w:r>
      <w:r>
        <w:rPr>
          <w:rFonts w:ascii="Times New Roman" w:hAnsi="Times New Roman"/>
          <w:sz w:val="24"/>
          <w:lang w:val="en-GB"/>
        </w:rPr>
        <w:t xml:space="preserve"> 2012, see also </w:t>
      </w:r>
      <w:r w:rsidRPr="00572657">
        <w:rPr>
          <w:rFonts w:ascii="Times New Roman" w:hAnsi="Times New Roman"/>
          <w:sz w:val="24"/>
          <w:lang w:val="en-GB"/>
        </w:rPr>
        <w:t>2.1 for further detail).</w:t>
      </w:r>
      <w:r>
        <w:rPr>
          <w:rFonts w:ascii="Times New Roman" w:hAnsi="Times New Roman"/>
          <w:sz w:val="24"/>
          <w:lang w:val="en-GB"/>
        </w:rPr>
        <w:t xml:space="preserve"> Roca and Searcy actually point out that previous research often simply focuses on whether the indicators were reported on or not.  </w:t>
      </w:r>
    </w:p>
    <w:p w14:paraId="0C40385B" w14:textId="4FD5C67A" w:rsidR="00C23C7D" w:rsidRDefault="00C23C7D" w:rsidP="00F6012D">
      <w:pPr>
        <w:jc w:val="both"/>
        <w:rPr>
          <w:rFonts w:ascii="Times New Roman" w:hAnsi="Times New Roman"/>
          <w:sz w:val="24"/>
          <w:lang w:val="en-GB"/>
        </w:rPr>
      </w:pPr>
      <w:r>
        <w:rPr>
          <w:rFonts w:ascii="Times New Roman" w:hAnsi="Times New Roman"/>
          <w:sz w:val="24"/>
          <w:lang w:val="en-GB"/>
        </w:rPr>
        <w:t xml:space="preserve">Fifka (2012) also argues that the previous research typically addresses board samples. Therefore, as Roca and Searcy (2012) point out, the previous research often provides only top-level analysis. For these reasons, the current research focuses on only three companies to provide more detailed analysis of their reporting. The three companies analysed in this research come from the forest industry, as the previous research has found heavy industry to be an active reporter </w:t>
      </w:r>
      <w:r w:rsidR="002077A7">
        <w:rPr>
          <w:rFonts w:ascii="Times New Roman" w:hAnsi="Times New Roman"/>
          <w:sz w:val="24"/>
          <w:lang w:val="en-GB"/>
        </w:rPr>
        <w:t>(Halme and Huse, 1997;</w:t>
      </w:r>
      <w:r w:rsidRPr="00EA3AA6">
        <w:rPr>
          <w:rFonts w:ascii="Times New Roman" w:hAnsi="Times New Roman"/>
          <w:sz w:val="24"/>
          <w:lang w:val="en-GB"/>
        </w:rPr>
        <w:t xml:space="preserve"> Zeng et al., 2010).</w:t>
      </w:r>
      <w:r>
        <w:rPr>
          <w:rFonts w:ascii="Times New Roman" w:hAnsi="Times New Roman"/>
          <w:sz w:val="24"/>
          <w:lang w:val="en-GB"/>
        </w:rPr>
        <w:t xml:space="preserve"> However, the forest industry is a less studied field of heavy industry (</w:t>
      </w:r>
      <w:r w:rsidRPr="00EA3AA6">
        <w:rPr>
          <w:rFonts w:ascii="Times New Roman" w:hAnsi="Times New Roman"/>
          <w:sz w:val="24"/>
          <w:lang w:val="en-GB"/>
        </w:rPr>
        <w:t xml:space="preserve">Sinclair </w:t>
      </w:r>
      <w:r w:rsidR="007E12F2">
        <w:rPr>
          <w:rFonts w:ascii="Times New Roman" w:hAnsi="Times New Roman"/>
          <w:sz w:val="24"/>
          <w:lang w:val="en-GB"/>
        </w:rPr>
        <w:t>and</w:t>
      </w:r>
      <w:r w:rsidRPr="00EA3AA6">
        <w:rPr>
          <w:rFonts w:ascii="Times New Roman" w:hAnsi="Times New Roman"/>
          <w:sz w:val="24"/>
          <w:lang w:val="en-GB"/>
        </w:rPr>
        <w:t xml:space="preserve"> Walton</w:t>
      </w:r>
      <w:r w:rsidR="002077A7">
        <w:rPr>
          <w:rFonts w:ascii="Times New Roman" w:hAnsi="Times New Roman"/>
          <w:sz w:val="24"/>
          <w:lang w:val="en-GB"/>
        </w:rPr>
        <w:t>, 2003;</w:t>
      </w:r>
      <w:r w:rsidRPr="00EA3AA6">
        <w:rPr>
          <w:rFonts w:ascii="Times New Roman" w:hAnsi="Times New Roman"/>
          <w:sz w:val="24"/>
          <w:lang w:val="en-GB"/>
        </w:rPr>
        <w:t xml:space="preserve"> Li et al.</w:t>
      </w:r>
      <w:r w:rsidR="002077A7">
        <w:rPr>
          <w:rFonts w:ascii="Times New Roman" w:hAnsi="Times New Roman"/>
          <w:sz w:val="24"/>
          <w:lang w:val="en-GB"/>
        </w:rPr>
        <w:t>,</w:t>
      </w:r>
      <w:r w:rsidRPr="00EA3AA6">
        <w:rPr>
          <w:rFonts w:ascii="Times New Roman" w:hAnsi="Times New Roman"/>
          <w:sz w:val="24"/>
          <w:lang w:val="en-GB"/>
        </w:rPr>
        <w:t xml:space="preserve"> 2011</w:t>
      </w:r>
      <w:r>
        <w:rPr>
          <w:rFonts w:ascii="Times New Roman" w:hAnsi="Times New Roman"/>
          <w:sz w:val="24"/>
          <w:lang w:val="en-GB"/>
        </w:rPr>
        <w:t xml:space="preserve">, </w:t>
      </w:r>
      <w:r w:rsidRPr="00B16E04">
        <w:rPr>
          <w:rFonts w:ascii="Times New Roman" w:hAnsi="Times New Roman"/>
          <w:sz w:val="24"/>
          <w:lang w:val="en-GB"/>
        </w:rPr>
        <w:t xml:space="preserve">see also Chapter 2.2 for </w:t>
      </w:r>
      <w:r>
        <w:rPr>
          <w:rFonts w:ascii="Times New Roman" w:hAnsi="Times New Roman"/>
          <w:sz w:val="24"/>
          <w:lang w:val="en-GB"/>
        </w:rPr>
        <w:t xml:space="preserve">a </w:t>
      </w:r>
      <w:r w:rsidRPr="00B16E04">
        <w:rPr>
          <w:rFonts w:ascii="Times New Roman" w:hAnsi="Times New Roman"/>
          <w:sz w:val="24"/>
          <w:lang w:val="en-GB"/>
        </w:rPr>
        <w:t>detailed review).</w:t>
      </w:r>
      <w:r>
        <w:rPr>
          <w:rFonts w:ascii="Times New Roman" w:hAnsi="Times New Roman"/>
          <w:sz w:val="24"/>
          <w:lang w:val="en-GB"/>
        </w:rPr>
        <w:t xml:space="preserve"> Nevertheless, the forest industry offers an interesting research context, as it is undergoing major structural changes.</w:t>
      </w:r>
    </w:p>
    <w:p w14:paraId="16BEBE1F" w14:textId="77777777" w:rsidR="00C23C7D" w:rsidRPr="00C73DC3" w:rsidRDefault="00C23C7D" w:rsidP="00F6012D">
      <w:pPr>
        <w:jc w:val="both"/>
        <w:rPr>
          <w:rFonts w:ascii="Times New Roman" w:hAnsi="Times New Roman"/>
          <w:sz w:val="24"/>
          <w:lang w:val="en-GB"/>
        </w:rPr>
      </w:pPr>
      <w:r>
        <w:rPr>
          <w:rFonts w:ascii="Times New Roman" w:hAnsi="Times New Roman"/>
          <w:sz w:val="24"/>
          <w:lang w:val="en-GB"/>
        </w:rPr>
        <w:t>In addition, the previous content analysis research focuses on analysing only one or a few years of reports</w:t>
      </w:r>
      <w:r w:rsidDel="00057959">
        <w:rPr>
          <w:rFonts w:ascii="Times New Roman" w:hAnsi="Times New Roman"/>
          <w:sz w:val="24"/>
          <w:lang w:val="en-GB"/>
        </w:rPr>
        <w:t>, with l</w:t>
      </w:r>
      <w:r>
        <w:rPr>
          <w:rFonts w:ascii="Times New Roman" w:hAnsi="Times New Roman"/>
          <w:sz w:val="24"/>
          <w:lang w:val="en-GB"/>
        </w:rPr>
        <w:t xml:space="preserve">ongitudinal analyses being in the minority. The majority of longitudinal analyses focus on the development of social reporting, </w:t>
      </w:r>
      <w:r w:rsidDel="00057959">
        <w:rPr>
          <w:rFonts w:ascii="Times New Roman" w:hAnsi="Times New Roman"/>
          <w:sz w:val="24"/>
          <w:lang w:val="en-GB"/>
        </w:rPr>
        <w:t>which</w:t>
      </w:r>
      <w:r>
        <w:rPr>
          <w:rFonts w:ascii="Times New Roman" w:hAnsi="Times New Roman"/>
          <w:sz w:val="24"/>
          <w:lang w:val="en-GB"/>
        </w:rPr>
        <w:t xml:space="preserve"> has a longer tradition than environmental reporting, although a couple of analyses fo</w:t>
      </w:r>
      <w:r w:rsidRPr="00B16E04">
        <w:rPr>
          <w:rFonts w:ascii="Times New Roman" w:hAnsi="Times New Roman"/>
          <w:sz w:val="24"/>
          <w:lang w:val="en-GB"/>
        </w:rPr>
        <w:t>cusing</w:t>
      </w:r>
      <w:r>
        <w:rPr>
          <w:rFonts w:ascii="Times New Roman" w:hAnsi="Times New Roman"/>
          <w:sz w:val="24"/>
          <w:lang w:val="en-GB"/>
        </w:rPr>
        <w:t xml:space="preserve"> on</w:t>
      </w:r>
      <w:r w:rsidRPr="00B16E04">
        <w:rPr>
          <w:rFonts w:ascii="Times New Roman" w:hAnsi="Times New Roman"/>
          <w:sz w:val="24"/>
          <w:lang w:val="en-GB"/>
        </w:rPr>
        <w:t xml:space="preserve"> environmental reporting were found (see Chapter 2.3 for </w:t>
      </w:r>
      <w:r>
        <w:rPr>
          <w:rFonts w:ascii="Times New Roman" w:hAnsi="Times New Roman"/>
          <w:sz w:val="24"/>
          <w:lang w:val="en-GB"/>
        </w:rPr>
        <w:t xml:space="preserve">a </w:t>
      </w:r>
      <w:r w:rsidRPr="00B16E04">
        <w:rPr>
          <w:rFonts w:ascii="Times New Roman" w:hAnsi="Times New Roman"/>
          <w:sz w:val="24"/>
          <w:lang w:val="en-GB"/>
        </w:rPr>
        <w:t xml:space="preserve">detailed review). The present </w:t>
      </w:r>
      <w:r>
        <w:rPr>
          <w:rFonts w:ascii="Times New Roman" w:hAnsi="Times New Roman"/>
          <w:sz w:val="24"/>
          <w:lang w:val="en-GB"/>
        </w:rPr>
        <w:t>research contributes to this narrow field by analysing 15 years of environmental information published by the forest industry.</w:t>
      </w:r>
    </w:p>
    <w:p w14:paraId="2E90748B" w14:textId="77777777" w:rsidR="00C23C7D" w:rsidRPr="00C73DC3" w:rsidRDefault="00C23C7D" w:rsidP="00B52B88">
      <w:pPr>
        <w:pStyle w:val="bodyofthetext"/>
        <w:rPr>
          <w:b/>
        </w:rPr>
      </w:pPr>
      <w:r w:rsidRPr="00C73DC3">
        <w:rPr>
          <w:b/>
        </w:rPr>
        <w:t>1.2 The aim and the structure of the paper</w:t>
      </w:r>
    </w:p>
    <w:p w14:paraId="76D3C4B2" w14:textId="744CBFAF" w:rsidR="00C23C7D" w:rsidRDefault="00C23C7D" w:rsidP="00DB01D1">
      <w:pPr>
        <w:jc w:val="both"/>
        <w:rPr>
          <w:rFonts w:ascii="Times New Roman" w:hAnsi="Times New Roman"/>
          <w:sz w:val="24"/>
          <w:lang w:val="en-GB"/>
        </w:rPr>
      </w:pPr>
      <w:r w:rsidRPr="00C73DC3">
        <w:rPr>
          <w:rFonts w:ascii="Times New Roman" w:hAnsi="Times New Roman"/>
          <w:sz w:val="24"/>
          <w:lang w:val="en-GB"/>
        </w:rPr>
        <w:t xml:space="preserve">The aim of this article is to identify and describe the trends in environmental performance reporting in the Finnish forest industry. The focus is on the analysis of the reported environmental performance </w:t>
      </w:r>
      <w:r>
        <w:rPr>
          <w:rFonts w:ascii="Times New Roman" w:hAnsi="Times New Roman"/>
          <w:sz w:val="24"/>
          <w:lang w:val="en-GB"/>
        </w:rPr>
        <w:t>indicators.</w:t>
      </w:r>
      <w:r w:rsidRPr="00C73DC3">
        <w:rPr>
          <w:rFonts w:ascii="Times New Roman" w:hAnsi="Times New Roman"/>
          <w:sz w:val="24"/>
          <w:lang w:val="en-GB"/>
        </w:rPr>
        <w:t xml:space="preserve"> </w:t>
      </w:r>
      <w:r w:rsidRPr="00DB01D1">
        <w:rPr>
          <w:rFonts w:ascii="Times New Roman" w:hAnsi="Times New Roman"/>
          <w:sz w:val="24"/>
          <w:lang w:val="en-GB"/>
        </w:rPr>
        <w:t>OECD (1993) defines indicator as ‘a parameter, or a value derived from parameters, which points to/provides information about/describes the state of a phenomenon/environment/area with a significance extending beyond</w:t>
      </w:r>
      <w:r>
        <w:rPr>
          <w:rFonts w:ascii="Times New Roman" w:hAnsi="Times New Roman"/>
          <w:sz w:val="24"/>
          <w:lang w:val="en-GB"/>
        </w:rPr>
        <w:t xml:space="preserve"> </w:t>
      </w:r>
      <w:r w:rsidRPr="00DB01D1">
        <w:rPr>
          <w:rFonts w:ascii="Times New Roman" w:hAnsi="Times New Roman"/>
          <w:sz w:val="24"/>
          <w:lang w:val="en-GB"/>
        </w:rPr>
        <w:t>that directly associated with a parameter value’.</w:t>
      </w:r>
      <w:r>
        <w:rPr>
          <w:rFonts w:ascii="Times New Roman" w:hAnsi="Times New Roman"/>
          <w:sz w:val="24"/>
          <w:lang w:val="en-GB"/>
        </w:rPr>
        <w:t xml:space="preserve"> Environmental </w:t>
      </w:r>
      <w:r w:rsidRPr="00A17776">
        <w:rPr>
          <w:rFonts w:ascii="Times New Roman" w:hAnsi="Times New Roman"/>
          <w:sz w:val="24"/>
          <w:lang w:val="en-GB"/>
        </w:rPr>
        <w:t xml:space="preserve">performance indicators are understood here as defined in </w:t>
      </w:r>
      <w:r>
        <w:rPr>
          <w:rFonts w:ascii="Times New Roman" w:hAnsi="Times New Roman"/>
          <w:sz w:val="24"/>
          <w:lang w:val="en-GB"/>
        </w:rPr>
        <w:t xml:space="preserve">the </w:t>
      </w:r>
      <w:r w:rsidRPr="00A17776">
        <w:rPr>
          <w:rFonts w:ascii="Times New Roman" w:hAnsi="Times New Roman"/>
          <w:sz w:val="24"/>
          <w:lang w:val="en-GB"/>
        </w:rPr>
        <w:t>environmental management system ISO14000 series and in</w:t>
      </w:r>
      <w:r>
        <w:rPr>
          <w:rFonts w:ascii="Times New Roman" w:hAnsi="Times New Roman"/>
          <w:sz w:val="24"/>
          <w:lang w:val="en-GB"/>
        </w:rPr>
        <w:t xml:space="preserve"> the sustainability reporting framework</w:t>
      </w:r>
      <w:r w:rsidRPr="00A17776">
        <w:rPr>
          <w:rFonts w:ascii="Times New Roman" w:hAnsi="Times New Roman"/>
          <w:sz w:val="24"/>
          <w:lang w:val="en-GB"/>
        </w:rPr>
        <w:t xml:space="preserve"> GRI: an indicator </w:t>
      </w:r>
      <w:r>
        <w:rPr>
          <w:rFonts w:ascii="Times New Roman" w:hAnsi="Times New Roman"/>
          <w:sz w:val="24"/>
          <w:lang w:val="en-GB"/>
        </w:rPr>
        <w:t>‘</w:t>
      </w:r>
      <w:r w:rsidRPr="00A17776">
        <w:rPr>
          <w:rFonts w:ascii="Times New Roman" w:hAnsi="Times New Roman"/>
          <w:sz w:val="24"/>
          <w:lang w:val="en-GB"/>
        </w:rPr>
        <w:t>provides information about an organisation</w:t>
      </w:r>
      <w:r>
        <w:rPr>
          <w:rFonts w:ascii="Times New Roman" w:hAnsi="Times New Roman"/>
          <w:sz w:val="24"/>
          <w:lang w:val="en-GB"/>
        </w:rPr>
        <w:t>’</w:t>
      </w:r>
      <w:r w:rsidRPr="00A17776">
        <w:rPr>
          <w:rFonts w:ascii="Times New Roman" w:hAnsi="Times New Roman"/>
          <w:sz w:val="24"/>
          <w:lang w:val="en-GB"/>
        </w:rPr>
        <w:t>s environmental performance</w:t>
      </w:r>
      <w:r>
        <w:rPr>
          <w:rFonts w:ascii="Times New Roman" w:hAnsi="Times New Roman"/>
          <w:sz w:val="24"/>
          <w:lang w:val="en-GB"/>
        </w:rPr>
        <w:t>’</w:t>
      </w:r>
      <w:r w:rsidRPr="00A17776">
        <w:rPr>
          <w:rFonts w:ascii="Times New Roman" w:hAnsi="Times New Roman"/>
          <w:sz w:val="24"/>
          <w:lang w:val="en-GB"/>
        </w:rPr>
        <w:t xml:space="preserve"> (ISO</w:t>
      </w:r>
      <w:r w:rsidR="00992770">
        <w:rPr>
          <w:rFonts w:ascii="Times New Roman" w:hAnsi="Times New Roman"/>
          <w:sz w:val="24"/>
          <w:lang w:val="en-GB"/>
        </w:rPr>
        <w:t>,</w:t>
      </w:r>
      <w:r w:rsidRPr="00A17776">
        <w:rPr>
          <w:rFonts w:ascii="Times New Roman" w:hAnsi="Times New Roman"/>
          <w:sz w:val="24"/>
          <w:lang w:val="en-GB"/>
        </w:rPr>
        <w:t xml:space="preserve"> </w:t>
      </w:r>
      <w:r>
        <w:rPr>
          <w:rFonts w:ascii="Times New Roman" w:hAnsi="Times New Roman"/>
          <w:sz w:val="24"/>
          <w:lang w:val="en-GB"/>
        </w:rPr>
        <w:t>2004b, 2013)</w:t>
      </w:r>
      <w:r w:rsidRPr="00A17776">
        <w:rPr>
          <w:rFonts w:ascii="Times New Roman" w:hAnsi="Times New Roman"/>
          <w:sz w:val="24"/>
          <w:lang w:val="en-GB"/>
        </w:rPr>
        <w:t xml:space="preserve"> or impact (GRI</w:t>
      </w:r>
      <w:r w:rsidR="00992770">
        <w:rPr>
          <w:rFonts w:ascii="Times New Roman" w:hAnsi="Times New Roman"/>
          <w:sz w:val="24"/>
          <w:lang w:val="en-GB"/>
        </w:rPr>
        <w:t>,</w:t>
      </w:r>
      <w:r w:rsidRPr="00A17776">
        <w:rPr>
          <w:rFonts w:ascii="Times New Roman" w:hAnsi="Times New Roman"/>
          <w:sz w:val="24"/>
          <w:lang w:val="en-GB"/>
        </w:rPr>
        <w:t xml:space="preserve"> </w:t>
      </w:r>
      <w:r>
        <w:rPr>
          <w:rFonts w:ascii="Times New Roman" w:hAnsi="Times New Roman"/>
          <w:sz w:val="24"/>
          <w:lang w:val="en-GB"/>
        </w:rPr>
        <w:t xml:space="preserve">2014). Environmental performance is, on the other hand, </w:t>
      </w:r>
      <w:r w:rsidRPr="00A17776">
        <w:rPr>
          <w:rFonts w:ascii="Times New Roman" w:hAnsi="Times New Roman"/>
          <w:sz w:val="24"/>
          <w:lang w:val="en-GB"/>
        </w:rPr>
        <w:t xml:space="preserve">defined in ISO 14001 as </w:t>
      </w:r>
      <w:r>
        <w:rPr>
          <w:rFonts w:ascii="Times New Roman" w:hAnsi="Times New Roman"/>
          <w:sz w:val="24"/>
          <w:lang w:val="en-GB"/>
        </w:rPr>
        <w:t xml:space="preserve">the </w:t>
      </w:r>
      <w:r w:rsidRPr="00A17776">
        <w:rPr>
          <w:rFonts w:ascii="Times New Roman" w:hAnsi="Times New Roman"/>
          <w:sz w:val="24"/>
          <w:lang w:val="en-GB"/>
        </w:rPr>
        <w:t>measurable results of environmental management in an organisation</w:t>
      </w:r>
      <w:r>
        <w:rPr>
          <w:rFonts w:ascii="Times New Roman" w:hAnsi="Times New Roman"/>
          <w:sz w:val="24"/>
          <w:lang w:val="en-GB"/>
        </w:rPr>
        <w:t xml:space="preserve"> (ISO</w:t>
      </w:r>
      <w:r w:rsidR="00992770">
        <w:rPr>
          <w:rFonts w:ascii="Times New Roman" w:hAnsi="Times New Roman"/>
          <w:sz w:val="24"/>
          <w:lang w:val="en-GB"/>
        </w:rPr>
        <w:t xml:space="preserve">, </w:t>
      </w:r>
      <w:r>
        <w:rPr>
          <w:rFonts w:ascii="Times New Roman" w:hAnsi="Times New Roman"/>
          <w:sz w:val="24"/>
          <w:lang w:val="en-GB"/>
        </w:rPr>
        <w:t>2004b)</w:t>
      </w:r>
      <w:r w:rsidRPr="00A17776">
        <w:rPr>
          <w:rFonts w:ascii="Times New Roman" w:hAnsi="Times New Roman"/>
          <w:sz w:val="24"/>
          <w:lang w:val="en-GB"/>
        </w:rPr>
        <w:t xml:space="preserve">. Furthermore, environmental performance indicators </w:t>
      </w:r>
      <w:r>
        <w:rPr>
          <w:rFonts w:ascii="Times New Roman" w:hAnsi="Times New Roman"/>
          <w:sz w:val="24"/>
          <w:lang w:val="en-GB"/>
        </w:rPr>
        <w:t>are</w:t>
      </w:r>
      <w:r w:rsidRPr="00A17776">
        <w:rPr>
          <w:rFonts w:ascii="Times New Roman" w:hAnsi="Times New Roman"/>
          <w:sz w:val="24"/>
          <w:lang w:val="en-GB"/>
        </w:rPr>
        <w:t xml:space="preserve"> regarded </w:t>
      </w:r>
      <w:r>
        <w:rPr>
          <w:rFonts w:ascii="Times New Roman" w:hAnsi="Times New Roman"/>
          <w:sz w:val="24"/>
          <w:lang w:val="en-GB"/>
        </w:rPr>
        <w:t>as</w:t>
      </w:r>
      <w:r w:rsidRPr="00A17776">
        <w:rPr>
          <w:rFonts w:ascii="Times New Roman" w:hAnsi="Times New Roman"/>
          <w:sz w:val="24"/>
          <w:lang w:val="en-GB"/>
        </w:rPr>
        <w:t xml:space="preserve"> only yielding quantitative results in this research.</w:t>
      </w:r>
      <w:r>
        <w:rPr>
          <w:rFonts w:ascii="Times New Roman" w:hAnsi="Times New Roman"/>
          <w:sz w:val="24"/>
          <w:lang w:val="en-GB"/>
        </w:rPr>
        <w:t xml:space="preserve"> </w:t>
      </w:r>
    </w:p>
    <w:p w14:paraId="352DD674" w14:textId="77777777" w:rsidR="00C23C7D" w:rsidRDefault="00C23C7D" w:rsidP="003C0F71">
      <w:pPr>
        <w:jc w:val="both"/>
        <w:rPr>
          <w:rFonts w:ascii="Times New Roman" w:hAnsi="Times New Roman"/>
          <w:sz w:val="24"/>
          <w:lang w:val="en-GB"/>
        </w:rPr>
      </w:pPr>
      <w:r>
        <w:rPr>
          <w:rFonts w:ascii="Times New Roman" w:hAnsi="Times New Roman"/>
          <w:sz w:val="24"/>
          <w:lang w:val="en-GB"/>
        </w:rPr>
        <w:lastRenderedPageBreak/>
        <w:t xml:space="preserve">The indicators were collected from the </w:t>
      </w:r>
      <w:r w:rsidRPr="00C73DC3">
        <w:rPr>
          <w:rFonts w:ascii="Times New Roman" w:hAnsi="Times New Roman"/>
          <w:sz w:val="24"/>
          <w:lang w:val="en-GB"/>
        </w:rPr>
        <w:t>three major Finnish forest industry companies – Stora Enso, UPM-Kymmene and Metsä Board –</w:t>
      </w:r>
      <w:r>
        <w:rPr>
          <w:rFonts w:ascii="Times New Roman" w:hAnsi="Times New Roman"/>
          <w:sz w:val="24"/>
          <w:lang w:val="en-GB"/>
        </w:rPr>
        <w:t xml:space="preserve"> </w:t>
      </w:r>
      <w:r w:rsidRPr="00C73DC3">
        <w:rPr>
          <w:rFonts w:ascii="Times New Roman" w:hAnsi="Times New Roman"/>
          <w:sz w:val="24"/>
          <w:lang w:val="en-GB"/>
        </w:rPr>
        <w:t xml:space="preserve">during </w:t>
      </w:r>
      <w:r>
        <w:rPr>
          <w:rFonts w:ascii="Times New Roman" w:hAnsi="Times New Roman"/>
          <w:sz w:val="24"/>
          <w:lang w:val="en-GB"/>
        </w:rPr>
        <w:t>a</w:t>
      </w:r>
      <w:r w:rsidRPr="00C73DC3">
        <w:rPr>
          <w:rFonts w:ascii="Times New Roman" w:hAnsi="Times New Roman"/>
          <w:sz w:val="24"/>
          <w:lang w:val="en-GB"/>
        </w:rPr>
        <w:t xml:space="preserve"> time period of 15 years</w:t>
      </w:r>
      <w:r>
        <w:rPr>
          <w:rFonts w:ascii="Times New Roman" w:hAnsi="Times New Roman"/>
          <w:sz w:val="24"/>
          <w:lang w:val="en-GB"/>
        </w:rPr>
        <w:t xml:space="preserve"> ranging from</w:t>
      </w:r>
      <w:r w:rsidRPr="00C73DC3">
        <w:rPr>
          <w:rFonts w:ascii="Times New Roman" w:hAnsi="Times New Roman"/>
          <w:sz w:val="24"/>
          <w:lang w:val="en-GB"/>
        </w:rPr>
        <w:t xml:space="preserve"> 1998</w:t>
      </w:r>
      <w:r>
        <w:rPr>
          <w:rFonts w:ascii="Times New Roman" w:hAnsi="Times New Roman"/>
          <w:sz w:val="24"/>
          <w:lang w:val="en-GB"/>
        </w:rPr>
        <w:t xml:space="preserve"> to </w:t>
      </w:r>
      <w:r w:rsidRPr="00C73DC3">
        <w:rPr>
          <w:rFonts w:ascii="Times New Roman" w:hAnsi="Times New Roman"/>
          <w:sz w:val="24"/>
          <w:lang w:val="en-GB"/>
        </w:rPr>
        <w:t>2012. This research seeks to find an answer to the following research question:</w:t>
      </w:r>
      <w:r>
        <w:rPr>
          <w:rFonts w:ascii="Times New Roman" w:hAnsi="Times New Roman"/>
          <w:sz w:val="24"/>
          <w:lang w:val="en-GB"/>
        </w:rPr>
        <w:t xml:space="preserve"> </w:t>
      </w:r>
      <w:r w:rsidRPr="00C73DC3">
        <w:rPr>
          <w:rFonts w:ascii="Times New Roman" w:hAnsi="Times New Roman"/>
          <w:sz w:val="24"/>
          <w:lang w:val="en-GB"/>
        </w:rPr>
        <w:t xml:space="preserve">What are the trends </w:t>
      </w:r>
      <w:r>
        <w:rPr>
          <w:rFonts w:ascii="Times New Roman" w:hAnsi="Times New Roman"/>
          <w:sz w:val="24"/>
          <w:lang w:val="en-GB"/>
        </w:rPr>
        <w:t>in</w:t>
      </w:r>
      <w:r w:rsidRPr="00C73DC3">
        <w:rPr>
          <w:rFonts w:ascii="Times New Roman" w:hAnsi="Times New Roman"/>
          <w:sz w:val="24"/>
          <w:lang w:val="en-GB"/>
        </w:rPr>
        <w:t xml:space="preserve"> environmental performance reporting of the case companies?</w:t>
      </w:r>
      <w:r>
        <w:rPr>
          <w:rFonts w:ascii="Times New Roman" w:hAnsi="Times New Roman"/>
          <w:sz w:val="24"/>
          <w:lang w:val="en-GB"/>
        </w:rPr>
        <w:t xml:space="preserve"> </w:t>
      </w:r>
    </w:p>
    <w:p w14:paraId="3A88E84C" w14:textId="77777777" w:rsidR="00C23C7D" w:rsidRPr="00C73DC3" w:rsidRDefault="00C23C7D" w:rsidP="003C0F71">
      <w:pPr>
        <w:jc w:val="both"/>
        <w:rPr>
          <w:rFonts w:ascii="Times New Roman" w:hAnsi="Times New Roman"/>
          <w:sz w:val="24"/>
          <w:lang w:val="en-GB"/>
        </w:rPr>
      </w:pPr>
      <w:r w:rsidRPr="00207C49">
        <w:rPr>
          <w:rFonts w:ascii="Times New Roman" w:hAnsi="Times New Roman"/>
          <w:sz w:val="24"/>
          <w:lang w:val="en-GB"/>
        </w:rPr>
        <w:t>This research article makes two contributions that are both academic and practical. First, the study highlights that there is a decreasing trend in the reported indicators. As the previous content analysis research typically focuses on one reporting year, this decrease has not been shown previously. Second, this study finds that the analysed companies’ reporting of environmental impacts seems inadequate. This is a surprising result, because the environmental impacts caused by the companies have hardly diminished. Academically, these two contributions should be researched further. Practically, the report preparers would need to make sure that a reader also receives a balanced view of the company’s performance by simply looking at the reported indicators.</w:t>
      </w:r>
      <w:r>
        <w:rPr>
          <w:rFonts w:ascii="Times New Roman" w:hAnsi="Times New Roman"/>
          <w:sz w:val="24"/>
          <w:lang w:val="en-GB"/>
        </w:rPr>
        <w:t xml:space="preserve">  </w:t>
      </w:r>
    </w:p>
    <w:p w14:paraId="31448261" w14:textId="77777777" w:rsidR="00C23C7D" w:rsidRPr="00C73DC3" w:rsidRDefault="00C23C7D" w:rsidP="00B52B88">
      <w:pPr>
        <w:jc w:val="both"/>
        <w:rPr>
          <w:rFonts w:ascii="Times New Roman" w:hAnsi="Times New Roman"/>
          <w:sz w:val="24"/>
          <w:lang w:val="en-GB"/>
        </w:rPr>
      </w:pPr>
      <w:r w:rsidRPr="00A42C50">
        <w:rPr>
          <w:rFonts w:ascii="Times New Roman" w:hAnsi="Times New Roman"/>
          <w:sz w:val="24"/>
          <w:lang w:val="en-GB"/>
        </w:rPr>
        <w:t>The structure of the a</w:t>
      </w:r>
      <w:r w:rsidRPr="00246628">
        <w:rPr>
          <w:rFonts w:ascii="Times New Roman" w:hAnsi="Times New Roman"/>
          <w:sz w:val="24"/>
          <w:lang w:val="en-GB"/>
        </w:rPr>
        <w:t>rticle is as follows. Chapter 2 reviews the previous research on content analysis from three perspectives, namely, indicator reporting, forest industry reporting</w:t>
      </w:r>
      <w:r>
        <w:rPr>
          <w:rFonts w:ascii="Times New Roman" w:hAnsi="Times New Roman"/>
          <w:sz w:val="24"/>
          <w:lang w:val="en-GB"/>
        </w:rPr>
        <w:t>,</w:t>
      </w:r>
      <w:r w:rsidRPr="00246628">
        <w:rPr>
          <w:rFonts w:ascii="Times New Roman" w:hAnsi="Times New Roman"/>
          <w:sz w:val="24"/>
          <w:lang w:val="en-GB"/>
        </w:rPr>
        <w:t xml:space="preserve"> and longitudinal </w:t>
      </w:r>
      <w:r w:rsidRPr="00427EDC">
        <w:rPr>
          <w:rFonts w:ascii="Times New Roman" w:hAnsi="Times New Roman"/>
          <w:sz w:val="24"/>
          <w:lang w:val="en-GB"/>
        </w:rPr>
        <w:t xml:space="preserve">analysis. Chapter 3 introduces the case study approach, the analysed environmental reports and the method used, which was content analysis. </w:t>
      </w:r>
      <w:r>
        <w:rPr>
          <w:rFonts w:ascii="Times New Roman" w:hAnsi="Times New Roman"/>
          <w:sz w:val="24"/>
          <w:lang w:val="en-GB"/>
        </w:rPr>
        <w:t>C</w:t>
      </w:r>
      <w:r w:rsidRPr="00C73DC3">
        <w:rPr>
          <w:rFonts w:ascii="Times New Roman" w:hAnsi="Times New Roman"/>
          <w:sz w:val="24"/>
          <w:lang w:val="en-GB"/>
        </w:rPr>
        <w:t xml:space="preserve">hapter 4 gives an overview of environmental performance reporting and </w:t>
      </w:r>
      <w:r>
        <w:rPr>
          <w:rFonts w:ascii="Times New Roman" w:hAnsi="Times New Roman"/>
          <w:sz w:val="24"/>
          <w:lang w:val="en-GB"/>
        </w:rPr>
        <w:t>explicates</w:t>
      </w:r>
      <w:r w:rsidRPr="00C73DC3">
        <w:rPr>
          <w:rFonts w:ascii="Times New Roman" w:hAnsi="Times New Roman"/>
          <w:sz w:val="24"/>
          <w:lang w:val="en-GB"/>
        </w:rPr>
        <w:t xml:space="preserve"> the trends of performance reporting. The paper ends with </w:t>
      </w:r>
      <w:r>
        <w:rPr>
          <w:rFonts w:ascii="Times New Roman" w:hAnsi="Times New Roman"/>
          <w:sz w:val="24"/>
          <w:lang w:val="en-GB"/>
        </w:rPr>
        <w:t xml:space="preserve">a </w:t>
      </w:r>
      <w:r w:rsidRPr="00C73DC3">
        <w:rPr>
          <w:rFonts w:ascii="Times New Roman" w:hAnsi="Times New Roman"/>
          <w:sz w:val="24"/>
          <w:lang w:val="en-GB"/>
        </w:rPr>
        <w:t xml:space="preserve">discussion and conclusions in </w:t>
      </w:r>
      <w:r>
        <w:rPr>
          <w:rFonts w:ascii="Times New Roman" w:hAnsi="Times New Roman"/>
          <w:sz w:val="24"/>
          <w:lang w:val="en-GB"/>
        </w:rPr>
        <w:t>C</w:t>
      </w:r>
      <w:r w:rsidRPr="00C73DC3">
        <w:rPr>
          <w:rFonts w:ascii="Times New Roman" w:hAnsi="Times New Roman"/>
          <w:sz w:val="24"/>
          <w:lang w:val="en-GB"/>
        </w:rPr>
        <w:t>hapters 5</w:t>
      </w:r>
      <w:r>
        <w:rPr>
          <w:rFonts w:ascii="Times New Roman" w:hAnsi="Times New Roman"/>
          <w:sz w:val="24"/>
          <w:lang w:val="en-GB"/>
        </w:rPr>
        <w:t xml:space="preserve"> and 6</w:t>
      </w:r>
      <w:r w:rsidRPr="00C73DC3">
        <w:rPr>
          <w:rFonts w:ascii="Times New Roman" w:hAnsi="Times New Roman"/>
          <w:sz w:val="24"/>
          <w:lang w:val="en-GB"/>
        </w:rPr>
        <w:t xml:space="preserve">. </w:t>
      </w:r>
    </w:p>
    <w:p w14:paraId="2C4A83C1" w14:textId="77777777" w:rsidR="00C23C7D" w:rsidRDefault="00C23C7D" w:rsidP="00B52B88">
      <w:pPr>
        <w:jc w:val="both"/>
        <w:rPr>
          <w:rFonts w:ascii="Times New Roman" w:hAnsi="Times New Roman"/>
          <w:b/>
          <w:sz w:val="24"/>
          <w:lang w:val="en-GB"/>
        </w:rPr>
      </w:pPr>
      <w:r>
        <w:rPr>
          <w:rFonts w:ascii="Times New Roman" w:hAnsi="Times New Roman"/>
          <w:b/>
          <w:sz w:val="24"/>
          <w:lang w:val="en-GB"/>
        </w:rPr>
        <w:t>2</w:t>
      </w:r>
      <w:r w:rsidRPr="00C73DC3">
        <w:rPr>
          <w:rFonts w:ascii="Times New Roman" w:hAnsi="Times New Roman"/>
          <w:b/>
          <w:sz w:val="24"/>
          <w:lang w:val="en-GB"/>
        </w:rPr>
        <w:t xml:space="preserve"> Previous research on sustainability reporting</w:t>
      </w:r>
    </w:p>
    <w:p w14:paraId="41AD45A6" w14:textId="77777777" w:rsidR="00C23C7D" w:rsidRDefault="00C23C7D" w:rsidP="00B52B88">
      <w:pPr>
        <w:jc w:val="both"/>
        <w:rPr>
          <w:rFonts w:ascii="Times New Roman" w:hAnsi="Times New Roman"/>
          <w:sz w:val="24"/>
          <w:lang w:val="en-GB"/>
        </w:rPr>
      </w:pPr>
      <w:r>
        <w:rPr>
          <w:rFonts w:ascii="Times New Roman" w:hAnsi="Times New Roman"/>
          <w:sz w:val="24"/>
          <w:lang w:val="en-GB"/>
        </w:rPr>
        <w:t xml:space="preserve">There is a vast body of literature on sustainability reporting. A review of the previous literature is provided here by focusing on the topics of this research, namely, indicator reporting, forest industry, and longitudinal analysis (for a summary of the previous literature, see Table 1). These three areas will be reviewed in the following chapters. </w:t>
      </w:r>
    </w:p>
    <w:p w14:paraId="2F55D689" w14:textId="77777777" w:rsidR="00C23C7D" w:rsidRPr="00C73DC3" w:rsidRDefault="00C23C7D" w:rsidP="00B52B88">
      <w:pPr>
        <w:pStyle w:val="Kuvanotsikko"/>
        <w:keepNext/>
        <w:spacing w:line="276" w:lineRule="auto"/>
        <w:rPr>
          <w:lang w:val="en-GB"/>
        </w:rPr>
      </w:pPr>
      <w:bookmarkStart w:id="1" w:name="_Ref408840999"/>
      <w:r w:rsidRPr="00C73DC3">
        <w:rPr>
          <w:lang w:val="en-GB"/>
        </w:rPr>
        <w:t xml:space="preserve">Table </w:t>
      </w:r>
      <w:r w:rsidRPr="00C73DC3">
        <w:rPr>
          <w:lang w:val="en-GB"/>
        </w:rPr>
        <w:fldChar w:fldCharType="begin"/>
      </w:r>
      <w:r w:rsidRPr="00C73DC3">
        <w:rPr>
          <w:lang w:val="en-GB"/>
        </w:rPr>
        <w:instrText xml:space="preserve"> SEQ Table \* ARABIC </w:instrText>
      </w:r>
      <w:r w:rsidRPr="00C73DC3">
        <w:rPr>
          <w:lang w:val="en-GB"/>
        </w:rPr>
        <w:fldChar w:fldCharType="separate"/>
      </w:r>
      <w:r w:rsidRPr="00C73DC3">
        <w:rPr>
          <w:noProof/>
          <w:lang w:val="en-GB"/>
        </w:rPr>
        <w:t>1</w:t>
      </w:r>
      <w:r w:rsidRPr="00C73DC3">
        <w:rPr>
          <w:lang w:val="en-GB"/>
        </w:rPr>
        <w:fldChar w:fldCharType="end"/>
      </w:r>
      <w:bookmarkEnd w:id="1"/>
      <w:r w:rsidRPr="00C73DC3">
        <w:rPr>
          <w:lang w:val="en-GB"/>
        </w:rPr>
        <w:t xml:space="preserve"> Previous sustainability report analysis research on the use of indicators and the forest industry</w:t>
      </w:r>
    </w:p>
    <w:p w14:paraId="0B140876" w14:textId="77777777" w:rsidR="00C23C7D" w:rsidRDefault="00C23C7D" w:rsidP="00850EB9">
      <w:pPr>
        <w:jc w:val="both"/>
        <w:rPr>
          <w:rFonts w:ascii="Times New Roman" w:hAnsi="Times New Roman"/>
          <w:b/>
          <w:sz w:val="24"/>
          <w:lang w:val="en-US"/>
        </w:rPr>
      </w:pPr>
      <w:r w:rsidRPr="007E4B72">
        <w:rPr>
          <w:rFonts w:ascii="Times New Roman" w:hAnsi="Times New Roman"/>
          <w:b/>
          <w:sz w:val="24"/>
          <w:lang w:val="en-US"/>
        </w:rPr>
        <w:t>2.</w:t>
      </w:r>
      <w:r>
        <w:rPr>
          <w:rFonts w:ascii="Times New Roman" w:hAnsi="Times New Roman"/>
          <w:b/>
          <w:sz w:val="24"/>
          <w:lang w:val="en-US"/>
        </w:rPr>
        <w:t>1</w:t>
      </w:r>
      <w:r w:rsidRPr="007E4B72">
        <w:rPr>
          <w:rFonts w:ascii="Times New Roman" w:hAnsi="Times New Roman"/>
          <w:b/>
          <w:sz w:val="24"/>
          <w:lang w:val="en-US"/>
        </w:rPr>
        <w:t xml:space="preserve"> Previous research on indicator reporting</w:t>
      </w:r>
      <w:r>
        <w:rPr>
          <w:rFonts w:ascii="Times New Roman" w:hAnsi="Times New Roman"/>
          <w:b/>
          <w:sz w:val="24"/>
          <w:lang w:val="en-US"/>
        </w:rPr>
        <w:t xml:space="preserve"> </w:t>
      </w:r>
    </w:p>
    <w:p w14:paraId="1A953D4F" w14:textId="04C66C89" w:rsidR="00C23C7D" w:rsidRDefault="00C23C7D" w:rsidP="00A41E0A">
      <w:pPr>
        <w:jc w:val="both"/>
        <w:rPr>
          <w:rFonts w:ascii="Times New Roman" w:hAnsi="Times New Roman"/>
          <w:sz w:val="24"/>
          <w:lang w:val="en-GB"/>
        </w:rPr>
      </w:pPr>
      <w:r>
        <w:rPr>
          <w:rFonts w:ascii="Times New Roman" w:hAnsi="Times New Roman"/>
          <w:sz w:val="24"/>
          <w:lang w:val="en-GB"/>
        </w:rPr>
        <w:t>There is nothing new in the analysis of indicator reporting in the sustainability reporting research. As shown in Table 1, there are multiple studies addressing the topic. In the following, the previous studies will be categorised to typical groups based on the themes of the present research. First of all, the analysis level of indicator reporting has been approached differently. Second, indicator reporting has not typically</w:t>
      </w:r>
      <w:r w:rsidRPr="00057959">
        <w:rPr>
          <w:rFonts w:ascii="Times New Roman" w:hAnsi="Times New Roman"/>
          <w:sz w:val="24"/>
          <w:lang w:val="en-GB"/>
        </w:rPr>
        <w:t xml:space="preserve"> </w:t>
      </w:r>
      <w:r w:rsidDel="00057959">
        <w:rPr>
          <w:rFonts w:ascii="Times New Roman" w:hAnsi="Times New Roman"/>
          <w:sz w:val="24"/>
          <w:lang w:val="en-GB"/>
        </w:rPr>
        <w:t>addressed</w:t>
      </w:r>
      <w:r>
        <w:rPr>
          <w:rFonts w:ascii="Times New Roman" w:hAnsi="Times New Roman"/>
          <w:sz w:val="24"/>
          <w:lang w:val="en-GB"/>
        </w:rPr>
        <w:t xml:space="preserve"> the forest industry. Third, e</w:t>
      </w:r>
      <w:r w:rsidRPr="00C73DC3">
        <w:rPr>
          <w:rFonts w:ascii="Times New Roman" w:hAnsi="Times New Roman"/>
          <w:sz w:val="24"/>
          <w:lang w:val="en-GB"/>
        </w:rPr>
        <w:t>missions, effluents and waste are</w:t>
      </w:r>
      <w:r>
        <w:rPr>
          <w:rFonts w:ascii="Times New Roman" w:hAnsi="Times New Roman"/>
          <w:sz w:val="24"/>
          <w:lang w:val="en-GB"/>
        </w:rPr>
        <w:t xml:space="preserve"> by far the most often reported indicators in the previous research.</w:t>
      </w:r>
    </w:p>
    <w:p w14:paraId="6A5DBA24" w14:textId="77777777" w:rsidR="00C23C7D" w:rsidRDefault="00C23C7D" w:rsidP="00A41E0A">
      <w:pPr>
        <w:jc w:val="both"/>
        <w:rPr>
          <w:rFonts w:ascii="Times New Roman" w:hAnsi="Times New Roman"/>
          <w:sz w:val="24"/>
          <w:lang w:val="en-GB"/>
        </w:rPr>
      </w:pPr>
      <w:r>
        <w:rPr>
          <w:rFonts w:ascii="Times New Roman" w:hAnsi="Times New Roman"/>
          <w:sz w:val="24"/>
          <w:lang w:val="en-GB"/>
        </w:rPr>
        <w:t xml:space="preserve">First, the level of detail in the analyses has varied. In Table 1, the previous studies have been categorised into three different groups. Group 1 consists of studies that have solely analysed indicator reporting. Group 2 lists </w:t>
      </w:r>
      <w:r w:rsidRPr="00C73DC3">
        <w:rPr>
          <w:rFonts w:ascii="Times New Roman" w:hAnsi="Times New Roman"/>
          <w:sz w:val="24"/>
          <w:lang w:val="en-GB"/>
        </w:rPr>
        <w:t>a vast amount of research</w:t>
      </w:r>
      <w:r>
        <w:rPr>
          <w:rFonts w:ascii="Times New Roman" w:hAnsi="Times New Roman"/>
          <w:sz w:val="24"/>
          <w:lang w:val="en-GB"/>
        </w:rPr>
        <w:t xml:space="preserve"> that</w:t>
      </w:r>
      <w:r w:rsidRPr="00C73DC3">
        <w:rPr>
          <w:rFonts w:ascii="Times New Roman" w:hAnsi="Times New Roman"/>
          <w:sz w:val="24"/>
          <w:lang w:val="en-GB"/>
        </w:rPr>
        <w:t xml:space="preserve"> has analysed the use of indicators as part of the content analysis of sustainability</w:t>
      </w:r>
      <w:r>
        <w:rPr>
          <w:rFonts w:ascii="Times New Roman" w:hAnsi="Times New Roman"/>
          <w:sz w:val="24"/>
          <w:lang w:val="en-GB"/>
        </w:rPr>
        <w:t xml:space="preserve"> reporting</w:t>
      </w:r>
      <w:r w:rsidRPr="00C73DC3">
        <w:rPr>
          <w:rFonts w:ascii="Times New Roman" w:hAnsi="Times New Roman"/>
          <w:sz w:val="24"/>
          <w:lang w:val="en-GB"/>
        </w:rPr>
        <w:t xml:space="preserve">. For example, in Asif et al.’s </w:t>
      </w:r>
      <w:r w:rsidRPr="00C73DC3">
        <w:rPr>
          <w:rFonts w:ascii="Times New Roman" w:hAnsi="Times New Roman"/>
          <w:sz w:val="24"/>
          <w:lang w:val="en-GB"/>
        </w:rPr>
        <w:fldChar w:fldCharType="begin"/>
      </w:r>
      <w:r w:rsidRPr="00C73DC3">
        <w:rPr>
          <w:rFonts w:ascii="Times New Roman" w:hAnsi="Times New Roman"/>
          <w:sz w:val="24"/>
          <w:lang w:val="en-GB"/>
        </w:rPr>
        <w:instrText>ADDIN RW.CITE{{2930 Asif,Muhammad 2013 /a}}</w:instrText>
      </w:r>
      <w:r w:rsidRPr="00C73DC3">
        <w:rPr>
          <w:rFonts w:ascii="Times New Roman" w:hAnsi="Times New Roman"/>
          <w:sz w:val="24"/>
          <w:lang w:val="en-GB"/>
        </w:rPr>
        <w:fldChar w:fldCharType="separate"/>
      </w:r>
      <w:r w:rsidRPr="00C73DC3">
        <w:rPr>
          <w:rFonts w:ascii="Times New Roman" w:hAnsi="Times New Roman"/>
          <w:sz w:val="24"/>
          <w:lang w:val="en-GB"/>
        </w:rPr>
        <w:t>(2013)</w:t>
      </w:r>
      <w:r w:rsidRPr="00C73DC3">
        <w:rPr>
          <w:rFonts w:ascii="Times New Roman" w:hAnsi="Times New Roman"/>
          <w:sz w:val="24"/>
          <w:lang w:val="en-GB"/>
        </w:rPr>
        <w:fldChar w:fldCharType="end"/>
      </w:r>
      <w:r w:rsidRPr="00C73DC3">
        <w:rPr>
          <w:rFonts w:ascii="Times New Roman" w:hAnsi="Times New Roman"/>
          <w:sz w:val="24"/>
          <w:lang w:val="en-GB"/>
        </w:rPr>
        <w:t xml:space="preserve"> analysis of Dutch companies’ sustainability reports, one of the</w:t>
      </w:r>
      <w:r>
        <w:rPr>
          <w:rFonts w:ascii="Times New Roman" w:hAnsi="Times New Roman"/>
          <w:sz w:val="24"/>
          <w:lang w:val="en-GB"/>
        </w:rPr>
        <w:t>ir</w:t>
      </w:r>
      <w:r w:rsidRPr="00C73DC3">
        <w:rPr>
          <w:rFonts w:ascii="Times New Roman" w:hAnsi="Times New Roman"/>
          <w:sz w:val="24"/>
          <w:lang w:val="en-GB"/>
        </w:rPr>
        <w:t xml:space="preserve"> 17 </w:t>
      </w:r>
      <w:r w:rsidRPr="00D010E3">
        <w:rPr>
          <w:rFonts w:ascii="Times New Roman" w:hAnsi="Times New Roman"/>
          <w:sz w:val="24"/>
          <w:lang w:val="en-GB"/>
        </w:rPr>
        <w:t>criteria</w:t>
      </w:r>
      <w:r w:rsidRPr="00C73DC3">
        <w:rPr>
          <w:rFonts w:ascii="Times New Roman" w:hAnsi="Times New Roman"/>
          <w:sz w:val="24"/>
          <w:lang w:val="en-GB"/>
        </w:rPr>
        <w:t xml:space="preserve"> for </w:t>
      </w:r>
      <w:r>
        <w:rPr>
          <w:rFonts w:ascii="Times New Roman" w:hAnsi="Times New Roman"/>
          <w:sz w:val="24"/>
          <w:lang w:val="en-GB"/>
        </w:rPr>
        <w:t xml:space="preserve">analysis </w:t>
      </w:r>
      <w:r w:rsidRPr="00C73DC3">
        <w:rPr>
          <w:rFonts w:ascii="Times New Roman" w:hAnsi="Times New Roman"/>
          <w:sz w:val="24"/>
          <w:lang w:val="en-GB"/>
        </w:rPr>
        <w:t xml:space="preserve">related to indicator reporting. Chan and Mak </w:t>
      </w:r>
      <w:r w:rsidRPr="00C73DC3">
        <w:rPr>
          <w:rFonts w:ascii="Times New Roman" w:hAnsi="Times New Roman"/>
          <w:sz w:val="24"/>
          <w:lang w:val="en-GB"/>
        </w:rPr>
        <w:fldChar w:fldCharType="begin"/>
      </w:r>
      <w:r w:rsidRPr="00C73DC3">
        <w:rPr>
          <w:rFonts w:ascii="Times New Roman" w:hAnsi="Times New Roman"/>
          <w:sz w:val="24"/>
          <w:lang w:val="en-GB"/>
        </w:rPr>
        <w:instrText>ADDIN RW.CITE{{2843 Chan,WilcoW. 2005 /a}}</w:instrText>
      </w:r>
      <w:r w:rsidRPr="00C73DC3">
        <w:rPr>
          <w:rFonts w:ascii="Times New Roman" w:hAnsi="Times New Roman"/>
          <w:sz w:val="24"/>
          <w:lang w:val="en-GB"/>
        </w:rPr>
        <w:fldChar w:fldCharType="separate"/>
      </w:r>
      <w:r w:rsidRPr="00C73DC3">
        <w:rPr>
          <w:rFonts w:ascii="Times New Roman" w:hAnsi="Times New Roman"/>
          <w:sz w:val="24"/>
          <w:lang w:val="en-GB"/>
        </w:rPr>
        <w:t>(2005)</w:t>
      </w:r>
      <w:r w:rsidRPr="00C73DC3">
        <w:rPr>
          <w:rFonts w:ascii="Times New Roman" w:hAnsi="Times New Roman"/>
          <w:sz w:val="24"/>
          <w:lang w:val="en-GB"/>
        </w:rPr>
        <w:fldChar w:fldCharType="end"/>
      </w:r>
      <w:r w:rsidRPr="00C73DC3">
        <w:rPr>
          <w:rFonts w:ascii="Times New Roman" w:hAnsi="Times New Roman"/>
          <w:sz w:val="24"/>
          <w:lang w:val="en-GB"/>
        </w:rPr>
        <w:t xml:space="preserve"> examine the environmental reporting of European airlines, and one of their eight areas of analysis focuses on indicators. Prado-Lorenzo et al.’s </w:t>
      </w:r>
      <w:r w:rsidRPr="00C73DC3">
        <w:rPr>
          <w:rFonts w:ascii="Times New Roman" w:hAnsi="Times New Roman"/>
          <w:sz w:val="24"/>
          <w:lang w:val="en-GB"/>
        </w:rPr>
        <w:fldChar w:fldCharType="begin"/>
      </w:r>
      <w:r w:rsidRPr="00C73DC3">
        <w:rPr>
          <w:rFonts w:ascii="Times New Roman" w:hAnsi="Times New Roman"/>
          <w:sz w:val="24"/>
          <w:lang w:val="en-GB"/>
        </w:rPr>
        <w:instrText>ADDIN RW.CITE{{2864 Prado-Lorenzo,José-Manuel 2009 /a}}</w:instrText>
      </w:r>
      <w:r w:rsidRPr="00C73DC3">
        <w:rPr>
          <w:rFonts w:ascii="Times New Roman" w:hAnsi="Times New Roman"/>
          <w:sz w:val="24"/>
          <w:lang w:val="en-GB"/>
        </w:rPr>
        <w:fldChar w:fldCharType="separate"/>
      </w:r>
      <w:r w:rsidRPr="00C73DC3">
        <w:rPr>
          <w:rFonts w:ascii="Times New Roman" w:hAnsi="Times New Roman"/>
          <w:sz w:val="24"/>
          <w:lang w:val="en-GB"/>
        </w:rPr>
        <w:t>(2009)</w:t>
      </w:r>
      <w:r w:rsidRPr="00C73DC3">
        <w:rPr>
          <w:rFonts w:ascii="Times New Roman" w:hAnsi="Times New Roman"/>
          <w:sz w:val="24"/>
          <w:lang w:val="en-GB"/>
        </w:rPr>
        <w:fldChar w:fldCharType="end"/>
      </w:r>
      <w:r w:rsidRPr="00C73DC3">
        <w:rPr>
          <w:rFonts w:ascii="Times New Roman" w:hAnsi="Times New Roman"/>
          <w:sz w:val="24"/>
          <w:lang w:val="en-GB"/>
        </w:rPr>
        <w:t xml:space="preserve"> analysis focuses on the factors affecting climate change reporting, and they also review the reporting of GRI air emissions indicators.</w:t>
      </w:r>
      <w:r>
        <w:rPr>
          <w:rFonts w:ascii="Times New Roman" w:hAnsi="Times New Roman"/>
          <w:sz w:val="24"/>
          <w:lang w:val="en-GB"/>
        </w:rPr>
        <w:t xml:space="preserve"> In group 3, there are a</w:t>
      </w:r>
      <w:r w:rsidRPr="00C73DC3">
        <w:rPr>
          <w:rFonts w:ascii="Times New Roman" w:hAnsi="Times New Roman"/>
          <w:sz w:val="24"/>
          <w:lang w:val="en-GB"/>
        </w:rPr>
        <w:t xml:space="preserve"> few studies </w:t>
      </w:r>
      <w:r>
        <w:rPr>
          <w:rFonts w:ascii="Times New Roman" w:hAnsi="Times New Roman"/>
          <w:sz w:val="24"/>
          <w:lang w:val="en-GB"/>
        </w:rPr>
        <w:t>that</w:t>
      </w:r>
      <w:r w:rsidRPr="00C73DC3">
        <w:rPr>
          <w:rFonts w:ascii="Times New Roman" w:hAnsi="Times New Roman"/>
          <w:sz w:val="24"/>
          <w:lang w:val="en-GB"/>
        </w:rPr>
        <w:t xml:space="preserve"> have included sustainability indicators in the analysis framework</w:t>
      </w:r>
      <w:r>
        <w:rPr>
          <w:rFonts w:ascii="Times New Roman" w:hAnsi="Times New Roman"/>
          <w:sz w:val="24"/>
          <w:lang w:val="en-GB"/>
        </w:rPr>
        <w:t>,</w:t>
      </w:r>
      <w:r w:rsidRPr="00C73DC3">
        <w:rPr>
          <w:rFonts w:ascii="Times New Roman" w:hAnsi="Times New Roman"/>
          <w:sz w:val="24"/>
          <w:lang w:val="en-GB"/>
        </w:rPr>
        <w:t xml:space="preserve"> but they do not provide detailed analys</w:t>
      </w:r>
      <w:r>
        <w:rPr>
          <w:rFonts w:ascii="Times New Roman" w:hAnsi="Times New Roman"/>
          <w:sz w:val="24"/>
          <w:lang w:val="en-GB"/>
        </w:rPr>
        <w:t>e</w:t>
      </w:r>
      <w:r w:rsidRPr="00C73DC3">
        <w:rPr>
          <w:rFonts w:ascii="Times New Roman" w:hAnsi="Times New Roman"/>
          <w:sz w:val="24"/>
          <w:lang w:val="en-GB"/>
        </w:rPr>
        <w:t>s of the use of indicators.</w:t>
      </w:r>
      <w:r>
        <w:rPr>
          <w:rFonts w:ascii="Times New Roman" w:hAnsi="Times New Roman"/>
          <w:sz w:val="24"/>
          <w:lang w:val="en-GB"/>
        </w:rPr>
        <w:t xml:space="preserve"> </w:t>
      </w:r>
    </w:p>
    <w:p w14:paraId="28BAEAFE" w14:textId="77777777" w:rsidR="00C23C7D" w:rsidRDefault="00C23C7D" w:rsidP="00A41E0A">
      <w:pPr>
        <w:jc w:val="both"/>
        <w:rPr>
          <w:rFonts w:ascii="Times New Roman" w:hAnsi="Times New Roman"/>
          <w:sz w:val="24"/>
          <w:lang w:val="en-GB"/>
        </w:rPr>
      </w:pPr>
      <w:r>
        <w:rPr>
          <w:rFonts w:ascii="Times New Roman" w:hAnsi="Times New Roman"/>
          <w:sz w:val="24"/>
          <w:lang w:val="en-GB"/>
        </w:rPr>
        <w:t xml:space="preserve">Second, Table 2 lists the studies that give a detailed account of the indicator reporting. It becomes clear here that the forest industry has not been a typical topic in the studies. </w:t>
      </w:r>
      <w:r w:rsidRPr="00CE2831">
        <w:rPr>
          <w:rFonts w:ascii="Times New Roman" w:hAnsi="Times New Roman"/>
          <w:sz w:val="24"/>
          <w:lang w:val="en-GB"/>
        </w:rPr>
        <w:t>Only one of these studies focuses on the forest industry, namely, the research of Mikkilä and Toppinen (2008). In addition, Roca and Searcy (2012) analyse the forest industry among other industries</w:t>
      </w:r>
      <w:r>
        <w:rPr>
          <w:rFonts w:ascii="Times New Roman" w:hAnsi="Times New Roman"/>
          <w:sz w:val="24"/>
          <w:lang w:val="en-GB"/>
        </w:rPr>
        <w:t xml:space="preserve"> and present industry specific results. Lober et al. (1997) have forest industry as one of the analysed sectors but, then, they do not provide industry-specific results. In most of the cases, multiple different industry sectors have been studied. On the other hand, </w:t>
      </w:r>
      <w:r w:rsidDel="00057959">
        <w:rPr>
          <w:rFonts w:ascii="Times New Roman" w:hAnsi="Times New Roman"/>
          <w:sz w:val="24"/>
          <w:lang w:val="en-GB"/>
        </w:rPr>
        <w:t xml:space="preserve">a single </w:t>
      </w:r>
      <w:r>
        <w:rPr>
          <w:rFonts w:ascii="Times New Roman" w:hAnsi="Times New Roman"/>
          <w:sz w:val="24"/>
          <w:lang w:val="en-GB"/>
        </w:rPr>
        <w:t>sector has been studied quite often. Different researchers have categorised the analysed industries in different ways</w:t>
      </w:r>
      <w:r w:rsidDel="00057959">
        <w:rPr>
          <w:rFonts w:ascii="Times New Roman" w:hAnsi="Times New Roman"/>
          <w:sz w:val="24"/>
          <w:lang w:val="en-GB"/>
        </w:rPr>
        <w:t>. H</w:t>
      </w:r>
      <w:r>
        <w:rPr>
          <w:rFonts w:ascii="Times New Roman" w:hAnsi="Times New Roman"/>
          <w:sz w:val="24"/>
          <w:lang w:val="en-GB"/>
        </w:rPr>
        <w:t xml:space="preserve">owever, sectors that have been studied more often include automotive, construction, energy, financial, and pharmaceutical sectors.  </w:t>
      </w:r>
    </w:p>
    <w:p w14:paraId="25D5EC0A" w14:textId="7D3B9C25" w:rsidR="00C23C7D" w:rsidRPr="00C73DC3" w:rsidRDefault="00C23C7D" w:rsidP="00073AFB">
      <w:pPr>
        <w:jc w:val="both"/>
        <w:rPr>
          <w:rFonts w:ascii="Times New Roman" w:hAnsi="Times New Roman"/>
          <w:sz w:val="24"/>
          <w:lang w:val="en-GB"/>
        </w:rPr>
      </w:pPr>
      <w:r>
        <w:rPr>
          <w:rFonts w:ascii="Times New Roman" w:hAnsi="Times New Roman"/>
          <w:sz w:val="24"/>
          <w:lang w:val="en-GB"/>
        </w:rPr>
        <w:t xml:space="preserve">Third, in the previous indicator research, the analyses typically focused on a single reporting year. As a result, trend analyses were not conducted. However, in the following, previous research is reviewed from the point of view of the </w:t>
      </w:r>
      <w:r w:rsidRPr="00C73DC3">
        <w:rPr>
          <w:rFonts w:ascii="Times New Roman" w:hAnsi="Times New Roman"/>
          <w:sz w:val="24"/>
          <w:lang w:val="en-GB"/>
        </w:rPr>
        <w:t xml:space="preserve">frequency of indicator use in the reports. </w:t>
      </w:r>
      <w:r>
        <w:rPr>
          <w:rFonts w:ascii="Times New Roman" w:hAnsi="Times New Roman"/>
          <w:sz w:val="24"/>
          <w:lang w:val="en-GB"/>
        </w:rPr>
        <w:t>T</w:t>
      </w:r>
      <w:r w:rsidRPr="00C73DC3">
        <w:rPr>
          <w:rFonts w:ascii="Times New Roman" w:hAnsi="Times New Roman"/>
          <w:sz w:val="24"/>
          <w:lang w:val="en-GB"/>
        </w:rPr>
        <w:t>he</w:t>
      </w:r>
      <w:r>
        <w:rPr>
          <w:rFonts w:ascii="Times New Roman" w:hAnsi="Times New Roman"/>
          <w:sz w:val="24"/>
          <w:lang w:val="en-GB"/>
        </w:rPr>
        <w:t xml:space="preserve"> frequency of indicator reporting has been addressed in three ways in </w:t>
      </w:r>
      <w:r w:rsidRPr="00C73DC3">
        <w:rPr>
          <w:rFonts w:ascii="Times New Roman" w:hAnsi="Times New Roman"/>
          <w:sz w:val="24"/>
          <w:lang w:val="en-GB"/>
        </w:rPr>
        <w:t xml:space="preserve">previous research: either the frequency of single indicators is presented </w:t>
      </w:r>
      <w:r w:rsidRPr="00C73DC3">
        <w:rPr>
          <w:rFonts w:ascii="Times New Roman" w:hAnsi="Times New Roman"/>
          <w:sz w:val="24"/>
          <w:lang w:val="en-GB"/>
        </w:rPr>
        <w:fldChar w:fldCharType="begin"/>
      </w:r>
      <w:r w:rsidRPr="00C73DC3">
        <w:rPr>
          <w:rFonts w:ascii="Times New Roman" w:hAnsi="Times New Roman"/>
          <w:sz w:val="24"/>
          <w:lang w:val="en-GB"/>
        </w:rPr>
        <w:instrText>ADDIN RW.CITE{{2842 Hooper,PaulD. 2005 /pe.g. ; 2886 Jones,MichaelJohn 2011; 1065 Kaenzig,Josef 2011}}</w:instrText>
      </w:r>
      <w:r w:rsidRPr="00C73DC3">
        <w:rPr>
          <w:rFonts w:ascii="Times New Roman" w:hAnsi="Times New Roman"/>
          <w:sz w:val="24"/>
          <w:lang w:val="en-GB"/>
        </w:rPr>
        <w:fldChar w:fldCharType="separate"/>
      </w:r>
      <w:r w:rsidR="00E6583A">
        <w:rPr>
          <w:rFonts w:ascii="Times New Roman" w:hAnsi="Times New Roman"/>
          <w:sz w:val="24"/>
          <w:lang w:val="en-GB"/>
        </w:rPr>
        <w:t xml:space="preserve">(e.g. Hooper and Greenall, 2005; Jones, 2011; </w:t>
      </w:r>
      <w:r w:rsidRPr="00C73DC3">
        <w:rPr>
          <w:rFonts w:ascii="Times New Roman" w:hAnsi="Times New Roman"/>
          <w:sz w:val="24"/>
          <w:lang w:val="en-GB"/>
        </w:rPr>
        <w:t>Kaenzig et al., 2011)</w:t>
      </w:r>
      <w:r w:rsidRPr="00C73DC3">
        <w:rPr>
          <w:rFonts w:ascii="Times New Roman" w:hAnsi="Times New Roman"/>
          <w:sz w:val="24"/>
          <w:lang w:val="en-GB"/>
        </w:rPr>
        <w:fldChar w:fldCharType="end"/>
      </w:r>
      <w:r w:rsidRPr="00C73DC3" w:rsidDel="00057959">
        <w:rPr>
          <w:rFonts w:ascii="Times New Roman" w:hAnsi="Times New Roman"/>
          <w:sz w:val="24"/>
          <w:lang w:val="en-GB"/>
        </w:rPr>
        <w:t>;</w:t>
      </w:r>
      <w:r w:rsidRPr="00C73DC3">
        <w:rPr>
          <w:rFonts w:ascii="Times New Roman" w:hAnsi="Times New Roman"/>
          <w:sz w:val="24"/>
          <w:lang w:val="en-GB"/>
        </w:rPr>
        <w:t xml:space="preserve"> the frequency of the indicator group</w:t>
      </w:r>
      <w:r w:rsidRPr="00C73DC3" w:rsidDel="00057959">
        <w:rPr>
          <w:rFonts w:ascii="Times New Roman" w:hAnsi="Times New Roman"/>
          <w:sz w:val="24"/>
          <w:lang w:val="en-GB"/>
        </w:rPr>
        <w:t xml:space="preserve"> </w:t>
      </w:r>
      <w:r w:rsidRPr="00C73DC3">
        <w:rPr>
          <w:rFonts w:ascii="Times New Roman" w:hAnsi="Times New Roman"/>
          <w:sz w:val="24"/>
          <w:lang w:val="en-GB"/>
        </w:rPr>
        <w:t xml:space="preserve">– most often based on GRI categorisation – </w:t>
      </w:r>
      <w:r>
        <w:rPr>
          <w:rFonts w:ascii="Times New Roman" w:hAnsi="Times New Roman"/>
          <w:sz w:val="24"/>
          <w:lang w:val="en-GB"/>
        </w:rPr>
        <w:t xml:space="preserve">is presented </w:t>
      </w:r>
      <w:r w:rsidRPr="00C73DC3">
        <w:rPr>
          <w:rFonts w:ascii="Times New Roman" w:hAnsi="Times New Roman"/>
          <w:sz w:val="24"/>
          <w:lang w:val="en-GB"/>
        </w:rPr>
        <w:fldChar w:fldCharType="begin"/>
      </w:r>
      <w:r w:rsidRPr="00C73DC3">
        <w:rPr>
          <w:rFonts w:ascii="Times New Roman" w:hAnsi="Times New Roman"/>
          <w:sz w:val="24"/>
          <w:lang w:val="en-GB"/>
        </w:rPr>
        <w:instrText>ADDIN RW.CITE{{2957 Lozano,Rodrigo 2011 /pe.g.; 2959 Romolini,Alberto 2014; 2900 Sawani,Yussri 2010}}</w:instrText>
      </w:r>
      <w:r w:rsidRPr="00C73DC3">
        <w:rPr>
          <w:rFonts w:ascii="Times New Roman" w:hAnsi="Times New Roman"/>
          <w:sz w:val="24"/>
          <w:lang w:val="en-GB"/>
        </w:rPr>
        <w:fldChar w:fldCharType="separate"/>
      </w:r>
      <w:r w:rsidR="00E6583A">
        <w:rPr>
          <w:rFonts w:ascii="Times New Roman" w:hAnsi="Times New Roman"/>
          <w:sz w:val="24"/>
          <w:lang w:val="en-GB"/>
        </w:rPr>
        <w:t>(e.g. Lozano, 2011; Romolini et al., 2014;</w:t>
      </w:r>
      <w:r w:rsidRPr="00C73DC3">
        <w:rPr>
          <w:rFonts w:ascii="Times New Roman" w:hAnsi="Times New Roman"/>
          <w:sz w:val="24"/>
          <w:lang w:val="en-GB"/>
        </w:rPr>
        <w:t xml:space="preserve"> Sawani et al., 2010)</w:t>
      </w:r>
      <w:r w:rsidRPr="00C73DC3">
        <w:rPr>
          <w:rFonts w:ascii="Times New Roman" w:hAnsi="Times New Roman"/>
          <w:sz w:val="24"/>
          <w:lang w:val="en-GB"/>
        </w:rPr>
        <w:fldChar w:fldCharType="end"/>
      </w:r>
      <w:r w:rsidDel="00057959">
        <w:rPr>
          <w:rFonts w:ascii="Times New Roman" w:hAnsi="Times New Roman"/>
          <w:sz w:val="24"/>
          <w:lang w:val="en-GB"/>
        </w:rPr>
        <w:t>;</w:t>
      </w:r>
      <w:r>
        <w:rPr>
          <w:rFonts w:ascii="Times New Roman" w:hAnsi="Times New Roman"/>
          <w:sz w:val="24"/>
          <w:lang w:val="en-GB"/>
        </w:rPr>
        <w:t xml:space="preserve"> </w:t>
      </w:r>
      <w:r w:rsidRPr="00C73DC3">
        <w:rPr>
          <w:rFonts w:ascii="Times New Roman" w:hAnsi="Times New Roman"/>
          <w:sz w:val="24"/>
          <w:lang w:val="en-GB"/>
        </w:rPr>
        <w:t xml:space="preserve">or both </w:t>
      </w:r>
      <w:r>
        <w:rPr>
          <w:rFonts w:ascii="Times New Roman" w:hAnsi="Times New Roman"/>
          <w:sz w:val="24"/>
          <w:lang w:val="en-GB"/>
        </w:rPr>
        <w:t xml:space="preserve">are presented </w:t>
      </w:r>
      <w:r w:rsidRPr="00C73DC3">
        <w:rPr>
          <w:rFonts w:ascii="Times New Roman" w:hAnsi="Times New Roman"/>
          <w:sz w:val="24"/>
          <w:lang w:val="en-GB"/>
        </w:rPr>
        <w:fldChar w:fldCharType="begin"/>
      </w:r>
      <w:r w:rsidRPr="00C73DC3">
        <w:rPr>
          <w:rFonts w:ascii="Times New Roman" w:hAnsi="Times New Roman"/>
          <w:sz w:val="24"/>
          <w:lang w:val="en-GB"/>
        </w:rPr>
        <w:instrText>ADDIN RW.CITE{{252 Azzone,Giovanni 1996; 461 Gallego,Isabel 2006}}</w:instrText>
      </w:r>
      <w:r w:rsidRPr="00C73DC3">
        <w:rPr>
          <w:rFonts w:ascii="Times New Roman" w:hAnsi="Times New Roman"/>
          <w:sz w:val="24"/>
          <w:lang w:val="en-GB"/>
        </w:rPr>
        <w:fldChar w:fldCharType="separate"/>
      </w:r>
      <w:r w:rsidR="00E6583A">
        <w:rPr>
          <w:rFonts w:ascii="Times New Roman" w:hAnsi="Times New Roman"/>
          <w:sz w:val="24"/>
          <w:lang w:val="en-GB"/>
        </w:rPr>
        <w:t>(Azzone et al., 1996;</w:t>
      </w:r>
      <w:r w:rsidRPr="00C73DC3">
        <w:rPr>
          <w:rFonts w:ascii="Times New Roman" w:hAnsi="Times New Roman"/>
          <w:sz w:val="24"/>
          <w:lang w:val="en-GB"/>
        </w:rPr>
        <w:t xml:space="preserve"> Gallego, 2006)</w:t>
      </w:r>
      <w:r w:rsidRPr="00C73DC3">
        <w:rPr>
          <w:rFonts w:ascii="Times New Roman" w:hAnsi="Times New Roman"/>
          <w:sz w:val="24"/>
          <w:lang w:val="en-GB"/>
        </w:rPr>
        <w:fldChar w:fldCharType="end"/>
      </w:r>
      <w:r w:rsidRPr="00C73DC3">
        <w:rPr>
          <w:rFonts w:ascii="Times New Roman" w:hAnsi="Times New Roman"/>
          <w:sz w:val="24"/>
          <w:lang w:val="en-GB"/>
        </w:rPr>
        <w:t xml:space="preserve">. As many of the previous studies have applied the GRI framework </w:t>
      </w:r>
      <w:r>
        <w:rPr>
          <w:rFonts w:ascii="Times New Roman" w:hAnsi="Times New Roman"/>
          <w:sz w:val="24"/>
          <w:lang w:val="en-GB"/>
        </w:rPr>
        <w:t>to</w:t>
      </w:r>
      <w:r w:rsidRPr="00C73DC3">
        <w:rPr>
          <w:rFonts w:ascii="Times New Roman" w:hAnsi="Times New Roman"/>
          <w:sz w:val="24"/>
          <w:lang w:val="en-GB"/>
        </w:rPr>
        <w:t xml:space="preserve"> the analysis, the GRI environmental indicator groups</w:t>
      </w:r>
      <w:r w:rsidRPr="00C73DC3">
        <w:rPr>
          <w:rStyle w:val="Alaviitteenviite"/>
          <w:rFonts w:ascii="Times New Roman" w:hAnsi="Times New Roman"/>
          <w:sz w:val="24"/>
          <w:lang w:val="en-GB"/>
        </w:rPr>
        <w:footnoteReference w:id="2"/>
      </w:r>
      <w:r w:rsidRPr="00C73DC3">
        <w:rPr>
          <w:rFonts w:ascii="Times New Roman" w:hAnsi="Times New Roman"/>
          <w:sz w:val="24"/>
          <w:lang w:val="en-GB"/>
        </w:rPr>
        <w:t xml:space="preserve"> are among the most typically reported in the previous literature. Emissions, effluents and waste are by far the most often reported. Energy indicators are also typical, but the other groups (materials, transport, water, overall, biodiversity, compliance, and products and services) are also mentioned. Outside the GRI framework, the suppliers were also mentioned in the previous studies. In </w:t>
      </w:r>
      <w:r w:rsidR="00BB7FF4">
        <w:fldChar w:fldCharType="begin"/>
      </w:r>
      <w:r w:rsidR="00BB7FF4" w:rsidRPr="007C3FD5">
        <w:rPr>
          <w:lang w:val="en-GB"/>
        </w:rPr>
        <w:instrText xml:space="preserve"> REF _Ref408842843 \h  \* MERGEFORMAT </w:instrText>
      </w:r>
      <w:r w:rsidR="00BB7FF4">
        <w:fldChar w:fldCharType="separate"/>
      </w:r>
      <w:r w:rsidR="00E6583A" w:rsidRPr="00E6583A">
        <w:rPr>
          <w:rFonts w:ascii="Times New Roman" w:hAnsi="Times New Roman"/>
          <w:sz w:val="24"/>
          <w:lang w:val="en-GB"/>
        </w:rPr>
        <w:t>Table 2</w:t>
      </w:r>
      <w:r w:rsidR="00BB7FF4">
        <w:fldChar w:fldCharType="end"/>
      </w:r>
      <w:r w:rsidRPr="00C73DC3">
        <w:rPr>
          <w:rFonts w:ascii="Times New Roman" w:hAnsi="Times New Roman"/>
          <w:sz w:val="24"/>
          <w:lang w:val="en-GB"/>
        </w:rPr>
        <w:t>, the results of the indicator reporting of the previous studies are categorised into the most often, in-between, and least often reported.</w:t>
      </w:r>
      <w:r>
        <w:rPr>
          <w:rFonts w:ascii="Times New Roman" w:hAnsi="Times New Roman"/>
          <w:sz w:val="24"/>
          <w:lang w:val="en-GB"/>
        </w:rPr>
        <w:t xml:space="preserve"> </w:t>
      </w:r>
      <w:r w:rsidRPr="00C73DC3">
        <w:rPr>
          <w:rFonts w:ascii="Times New Roman" w:hAnsi="Times New Roman"/>
          <w:sz w:val="24"/>
          <w:lang w:val="en-GB"/>
        </w:rPr>
        <w:t>In the previous literature, the most often reported GRI group</w:t>
      </w:r>
      <w:r w:rsidR="00E6583A">
        <w:rPr>
          <w:rFonts w:ascii="Times New Roman" w:hAnsi="Times New Roman"/>
          <w:sz w:val="24"/>
          <w:lang w:val="en-GB"/>
        </w:rPr>
        <w:t>s of indicators were compliance; emissions, effluent and waste;</w:t>
      </w:r>
      <w:r w:rsidRPr="00C73DC3">
        <w:rPr>
          <w:rFonts w:ascii="Times New Roman" w:hAnsi="Times New Roman"/>
          <w:sz w:val="24"/>
          <w:lang w:val="en-GB"/>
        </w:rPr>
        <w:t xml:space="preserve"> energy and water. The in-between group consisted o</w:t>
      </w:r>
      <w:r w:rsidR="00E6583A">
        <w:rPr>
          <w:rFonts w:ascii="Times New Roman" w:hAnsi="Times New Roman"/>
          <w:sz w:val="24"/>
          <w:lang w:val="en-GB"/>
        </w:rPr>
        <w:t>f emissions, effluent and waste; energy; materials;</w:t>
      </w:r>
      <w:r w:rsidRPr="00C73DC3">
        <w:rPr>
          <w:rFonts w:ascii="Times New Roman" w:hAnsi="Times New Roman"/>
          <w:sz w:val="24"/>
          <w:lang w:val="en-GB"/>
        </w:rPr>
        <w:t xml:space="preserve"> products and services, and transport. The least often reported indicators were biodiversity, overall, suppliers and transport. </w:t>
      </w:r>
    </w:p>
    <w:p w14:paraId="1ACD0657" w14:textId="77777777" w:rsidR="00C23C7D" w:rsidRPr="00C73DC3" w:rsidRDefault="00C23C7D" w:rsidP="00850EB9">
      <w:pPr>
        <w:pStyle w:val="Kuvanotsikko"/>
        <w:keepNext/>
        <w:spacing w:line="276" w:lineRule="auto"/>
        <w:rPr>
          <w:lang w:val="en-GB"/>
        </w:rPr>
      </w:pPr>
      <w:bookmarkStart w:id="2" w:name="_Ref408842843"/>
      <w:r w:rsidRPr="00C73DC3">
        <w:rPr>
          <w:lang w:val="en-GB"/>
        </w:rPr>
        <w:t xml:space="preserve">Table </w:t>
      </w:r>
      <w:r w:rsidRPr="00C73DC3">
        <w:rPr>
          <w:lang w:val="en-GB"/>
        </w:rPr>
        <w:fldChar w:fldCharType="begin"/>
      </w:r>
      <w:r w:rsidRPr="00C73DC3">
        <w:rPr>
          <w:lang w:val="en-GB"/>
        </w:rPr>
        <w:instrText xml:space="preserve"> SEQ Table \* ARABIC </w:instrText>
      </w:r>
      <w:r w:rsidRPr="00C73DC3">
        <w:rPr>
          <w:lang w:val="en-GB"/>
        </w:rPr>
        <w:fldChar w:fldCharType="separate"/>
      </w:r>
      <w:r w:rsidRPr="00C73DC3">
        <w:rPr>
          <w:noProof/>
          <w:lang w:val="en-GB"/>
        </w:rPr>
        <w:t>2</w:t>
      </w:r>
      <w:r w:rsidRPr="00C73DC3">
        <w:rPr>
          <w:lang w:val="en-GB"/>
        </w:rPr>
        <w:fldChar w:fldCharType="end"/>
      </w:r>
      <w:bookmarkEnd w:id="2"/>
      <w:r w:rsidRPr="00C73DC3">
        <w:rPr>
          <w:lang w:val="en-GB"/>
        </w:rPr>
        <w:t xml:space="preserve"> The frequency of indicator use according to the previous literature</w:t>
      </w:r>
    </w:p>
    <w:p w14:paraId="4678EEC1" w14:textId="77777777" w:rsidR="00C23C7D" w:rsidRPr="00C73DC3" w:rsidRDefault="00C23C7D" w:rsidP="00B52B88">
      <w:pPr>
        <w:jc w:val="both"/>
        <w:rPr>
          <w:rFonts w:ascii="Times New Roman" w:hAnsi="Times New Roman"/>
          <w:b/>
          <w:sz w:val="24"/>
          <w:lang w:val="en-GB"/>
        </w:rPr>
      </w:pPr>
      <w:r w:rsidRPr="00C73DC3">
        <w:rPr>
          <w:rFonts w:ascii="Times New Roman" w:hAnsi="Times New Roman"/>
          <w:b/>
          <w:sz w:val="24"/>
          <w:lang w:val="en-GB"/>
        </w:rPr>
        <w:t>2.</w:t>
      </w:r>
      <w:r>
        <w:rPr>
          <w:rFonts w:ascii="Times New Roman" w:hAnsi="Times New Roman"/>
          <w:b/>
          <w:sz w:val="24"/>
          <w:lang w:val="en-GB"/>
        </w:rPr>
        <w:t>2</w:t>
      </w:r>
      <w:r w:rsidRPr="00C73DC3">
        <w:rPr>
          <w:rFonts w:ascii="Times New Roman" w:hAnsi="Times New Roman"/>
          <w:b/>
          <w:sz w:val="24"/>
          <w:lang w:val="en-GB"/>
        </w:rPr>
        <w:t xml:space="preserve"> Previous content analysis research on the forest industry reports</w:t>
      </w:r>
    </w:p>
    <w:p w14:paraId="286C2FF7" w14:textId="77777777" w:rsidR="00C23C7D" w:rsidRDefault="00C23C7D" w:rsidP="00B52B88">
      <w:pPr>
        <w:jc w:val="both"/>
        <w:rPr>
          <w:rFonts w:ascii="Times New Roman" w:hAnsi="Times New Roman"/>
          <w:sz w:val="24"/>
          <w:lang w:val="en-GB"/>
        </w:rPr>
      </w:pPr>
      <w:r w:rsidRPr="00C73DC3">
        <w:rPr>
          <w:rFonts w:ascii="Times New Roman" w:hAnsi="Times New Roman"/>
          <w:sz w:val="24"/>
          <w:lang w:val="en-GB"/>
        </w:rPr>
        <w:t>There is only a limited amount of content analysis research that has focused on the forest industry reports (</w:t>
      </w:r>
      <w:r>
        <w:rPr>
          <w:rFonts w:ascii="Times New Roman" w:hAnsi="Times New Roman"/>
          <w:sz w:val="24"/>
          <w:lang w:val="en-GB"/>
        </w:rPr>
        <w:t>Table 3</w:t>
      </w:r>
      <w:r w:rsidRPr="00C73DC3">
        <w:rPr>
          <w:rFonts w:ascii="Times New Roman" w:hAnsi="Times New Roman"/>
          <w:sz w:val="24"/>
          <w:lang w:val="en-GB"/>
        </w:rPr>
        <w:t>). Eight such studies were found in the literature review. The content of the previous research of forest industry reports will be analysed in the following from the point of view of indicator reporting.</w:t>
      </w:r>
    </w:p>
    <w:p w14:paraId="5978E601" w14:textId="77777777" w:rsidR="00C23C7D" w:rsidRDefault="00C23C7D" w:rsidP="00B52B88">
      <w:pPr>
        <w:jc w:val="both"/>
        <w:rPr>
          <w:rFonts w:ascii="Times New Roman" w:hAnsi="Times New Roman"/>
          <w:b/>
          <w:sz w:val="24"/>
          <w:lang w:val="en-GB"/>
        </w:rPr>
      </w:pPr>
      <w:r w:rsidRPr="00D010E3">
        <w:rPr>
          <w:rFonts w:ascii="Times New Roman" w:hAnsi="Times New Roman"/>
          <w:b/>
          <w:sz w:val="24"/>
          <w:lang w:val="en-GB"/>
        </w:rPr>
        <w:t>Table 3 Summary of the previous sustainability report analysis of the forest industry</w:t>
      </w:r>
    </w:p>
    <w:p w14:paraId="0E1C94F3" w14:textId="77777777" w:rsidR="00C23C7D" w:rsidRPr="00C73DC3" w:rsidRDefault="00C23C7D" w:rsidP="00B52B88">
      <w:pPr>
        <w:autoSpaceDE w:val="0"/>
        <w:autoSpaceDN w:val="0"/>
        <w:adjustRightInd w:val="0"/>
        <w:jc w:val="both"/>
        <w:rPr>
          <w:rFonts w:ascii="Times New Roman" w:hAnsi="Times New Roman"/>
          <w:sz w:val="24"/>
          <w:lang w:val="en-GB"/>
        </w:rPr>
      </w:pPr>
      <w:r w:rsidRPr="00C73DC3">
        <w:rPr>
          <w:rFonts w:ascii="Times New Roman" w:hAnsi="Times New Roman"/>
          <w:sz w:val="24"/>
          <w:lang w:val="en-GB"/>
        </w:rPr>
        <w:t xml:space="preserve">One previous study focuses on indicator reporting. Mikkilä and Toppinen </w:t>
      </w:r>
      <w:r w:rsidRPr="00C73DC3">
        <w:rPr>
          <w:rFonts w:ascii="Times New Roman" w:hAnsi="Times New Roman"/>
          <w:sz w:val="24"/>
          <w:lang w:val="en-GB"/>
        </w:rPr>
        <w:fldChar w:fldCharType="begin"/>
      </w:r>
      <w:r w:rsidRPr="00C73DC3">
        <w:rPr>
          <w:rFonts w:ascii="Times New Roman" w:hAnsi="Times New Roman"/>
          <w:sz w:val="24"/>
          <w:lang w:val="en-GB"/>
        </w:rPr>
        <w:instrText>ADDIN RW.CITE{{308 Mikkilä,Mirja 2008 /a}}</w:instrText>
      </w:r>
      <w:r w:rsidRPr="00C73DC3">
        <w:rPr>
          <w:rFonts w:ascii="Times New Roman" w:hAnsi="Times New Roman"/>
          <w:sz w:val="24"/>
          <w:lang w:val="en-GB"/>
        </w:rPr>
        <w:fldChar w:fldCharType="separate"/>
      </w:r>
      <w:r w:rsidRPr="00C73DC3">
        <w:rPr>
          <w:rFonts w:ascii="Times New Roman" w:hAnsi="Times New Roman"/>
          <w:sz w:val="24"/>
          <w:lang w:val="en-GB"/>
        </w:rPr>
        <w:t>(2008)</w:t>
      </w:r>
      <w:r w:rsidRPr="00C73DC3">
        <w:rPr>
          <w:rFonts w:ascii="Times New Roman" w:hAnsi="Times New Roman"/>
          <w:sz w:val="24"/>
          <w:lang w:val="en-GB"/>
        </w:rPr>
        <w:fldChar w:fldCharType="end"/>
      </w:r>
      <w:r w:rsidRPr="00C73DC3">
        <w:rPr>
          <w:rFonts w:ascii="Times New Roman" w:hAnsi="Times New Roman"/>
          <w:sz w:val="24"/>
          <w:lang w:val="en-GB"/>
        </w:rPr>
        <w:t xml:space="preserve"> studied the sustainability indicators of the top ten global forest industry companies. They analysed both the qualitative and quantitative indicators used</w:t>
      </w:r>
      <w:r w:rsidRPr="00C73DC3" w:rsidDel="00057959">
        <w:rPr>
          <w:rFonts w:ascii="Times New Roman" w:hAnsi="Times New Roman"/>
          <w:sz w:val="24"/>
          <w:lang w:val="en-GB"/>
        </w:rPr>
        <w:t xml:space="preserve"> by </w:t>
      </w:r>
      <w:r w:rsidRPr="00C73DC3">
        <w:rPr>
          <w:rFonts w:ascii="Times New Roman" w:hAnsi="Times New Roman"/>
          <w:sz w:val="24"/>
          <w:lang w:val="en-GB"/>
        </w:rPr>
        <w:t xml:space="preserve">the companies. They classified the indicators as institutionalised (i.e. widely used) or diversified (i.e. not often used). Mikkilä and Toppinen </w:t>
      </w:r>
      <w:r w:rsidRPr="00C73DC3">
        <w:rPr>
          <w:rFonts w:ascii="Times New Roman" w:hAnsi="Times New Roman"/>
          <w:sz w:val="24"/>
          <w:lang w:val="en-GB"/>
        </w:rPr>
        <w:fldChar w:fldCharType="begin"/>
      </w:r>
      <w:r w:rsidRPr="00C73DC3">
        <w:rPr>
          <w:rFonts w:ascii="Times New Roman" w:hAnsi="Times New Roman"/>
          <w:sz w:val="24"/>
          <w:lang w:val="en-GB"/>
        </w:rPr>
        <w:instrText>ADDIN RW.CITE{{308 Mikkilä,Mirja 2008 /a}}</w:instrText>
      </w:r>
      <w:r w:rsidRPr="00C73DC3">
        <w:rPr>
          <w:rFonts w:ascii="Times New Roman" w:hAnsi="Times New Roman"/>
          <w:sz w:val="24"/>
          <w:lang w:val="en-GB"/>
        </w:rPr>
        <w:fldChar w:fldCharType="separate"/>
      </w:r>
      <w:r w:rsidRPr="00C73DC3">
        <w:rPr>
          <w:rFonts w:ascii="Times New Roman" w:hAnsi="Times New Roman"/>
          <w:sz w:val="24"/>
          <w:lang w:val="en-GB"/>
        </w:rPr>
        <w:t>(2008)</w:t>
      </w:r>
      <w:r w:rsidRPr="00C73DC3">
        <w:rPr>
          <w:rFonts w:ascii="Times New Roman" w:hAnsi="Times New Roman"/>
          <w:sz w:val="24"/>
          <w:lang w:val="en-GB"/>
        </w:rPr>
        <w:fldChar w:fldCharType="end"/>
      </w:r>
      <w:r w:rsidRPr="00C73DC3">
        <w:rPr>
          <w:rFonts w:ascii="Times New Roman" w:hAnsi="Times New Roman"/>
          <w:sz w:val="24"/>
          <w:lang w:val="en-GB"/>
        </w:rPr>
        <w:t xml:space="preserve"> named the following quantitative indicators as institutionalised: </w:t>
      </w:r>
    </w:p>
    <w:p w14:paraId="798AE6EC" w14:textId="77777777" w:rsidR="00C23C7D" w:rsidRPr="00C73DC3" w:rsidRDefault="00C23C7D" w:rsidP="00B52B88">
      <w:pPr>
        <w:pStyle w:val="Luettelokappale"/>
        <w:numPr>
          <w:ilvl w:val="0"/>
          <w:numId w:val="30"/>
        </w:numPr>
        <w:autoSpaceDE w:val="0"/>
        <w:autoSpaceDN w:val="0"/>
        <w:adjustRightInd w:val="0"/>
        <w:jc w:val="both"/>
        <w:rPr>
          <w:rFonts w:ascii="Times New Roman" w:hAnsi="Times New Roman"/>
          <w:sz w:val="24"/>
          <w:lang w:val="en-GB"/>
        </w:rPr>
      </w:pPr>
      <w:r w:rsidRPr="00C73DC3">
        <w:rPr>
          <w:rFonts w:ascii="Times New Roman" w:hAnsi="Times New Roman"/>
          <w:sz w:val="24"/>
          <w:lang w:val="en-GB"/>
        </w:rPr>
        <w:t xml:space="preserve">economic indicators: net sales, operating profit, net income and earnings per share, taxes </w:t>
      </w:r>
      <w:r>
        <w:rPr>
          <w:rFonts w:ascii="Times New Roman" w:hAnsi="Times New Roman"/>
          <w:sz w:val="24"/>
          <w:lang w:val="en-GB"/>
        </w:rPr>
        <w:t xml:space="preserve">and </w:t>
      </w:r>
      <w:r w:rsidRPr="00C73DC3">
        <w:rPr>
          <w:rFonts w:ascii="Times New Roman" w:hAnsi="Times New Roman"/>
          <w:sz w:val="24"/>
          <w:lang w:val="en-GB"/>
        </w:rPr>
        <w:t>R&amp;D expenditure;</w:t>
      </w:r>
    </w:p>
    <w:p w14:paraId="60C9D1DC" w14:textId="77777777" w:rsidR="00C23C7D" w:rsidRPr="00C73DC3" w:rsidRDefault="00C23C7D" w:rsidP="00B52B88">
      <w:pPr>
        <w:pStyle w:val="Luettelokappale"/>
        <w:numPr>
          <w:ilvl w:val="0"/>
          <w:numId w:val="30"/>
        </w:numPr>
        <w:autoSpaceDE w:val="0"/>
        <w:autoSpaceDN w:val="0"/>
        <w:adjustRightInd w:val="0"/>
        <w:jc w:val="both"/>
        <w:rPr>
          <w:rFonts w:ascii="Times New Roman" w:hAnsi="Times New Roman"/>
          <w:sz w:val="24"/>
          <w:lang w:val="en-GB"/>
        </w:rPr>
      </w:pPr>
      <w:r w:rsidRPr="00C73DC3">
        <w:rPr>
          <w:rFonts w:ascii="Times New Roman" w:hAnsi="Times New Roman"/>
          <w:sz w:val="24"/>
          <w:lang w:val="en-GB"/>
        </w:rPr>
        <w:t>environmental indicators</w:t>
      </w:r>
      <w:r w:rsidRPr="00C73DC3" w:rsidDel="00057959">
        <w:rPr>
          <w:rFonts w:ascii="Times New Roman" w:hAnsi="Times New Roman"/>
          <w:sz w:val="24"/>
          <w:lang w:val="en-GB"/>
        </w:rPr>
        <w:t>:</w:t>
      </w:r>
      <w:r w:rsidRPr="00C73DC3">
        <w:rPr>
          <w:rFonts w:ascii="Times New Roman" w:hAnsi="Times New Roman"/>
          <w:sz w:val="24"/>
          <w:lang w:val="en-GB"/>
        </w:rPr>
        <w:t xml:space="preserve"> origin of wood, forest certification, use of recovered fibre, air emissions, climate change, water emissions, solid waste, hazardous waste, energy consumption</w:t>
      </w:r>
      <w:r>
        <w:rPr>
          <w:rFonts w:ascii="Times New Roman" w:hAnsi="Times New Roman"/>
          <w:sz w:val="24"/>
          <w:lang w:val="en-GB"/>
        </w:rPr>
        <w:t xml:space="preserve"> and</w:t>
      </w:r>
      <w:r w:rsidRPr="00C73DC3">
        <w:rPr>
          <w:rFonts w:ascii="Times New Roman" w:hAnsi="Times New Roman"/>
          <w:sz w:val="24"/>
          <w:lang w:val="en-GB"/>
        </w:rPr>
        <w:t xml:space="preserve"> energy efficiency;</w:t>
      </w:r>
    </w:p>
    <w:p w14:paraId="3984D4F1" w14:textId="77777777" w:rsidR="00C23C7D" w:rsidRPr="00C73DC3" w:rsidRDefault="00C23C7D" w:rsidP="00B52B88">
      <w:pPr>
        <w:pStyle w:val="Luettelokappale"/>
        <w:numPr>
          <w:ilvl w:val="0"/>
          <w:numId w:val="30"/>
        </w:numPr>
        <w:autoSpaceDE w:val="0"/>
        <w:autoSpaceDN w:val="0"/>
        <w:adjustRightInd w:val="0"/>
        <w:jc w:val="both"/>
        <w:rPr>
          <w:rFonts w:ascii="Times New Roman" w:hAnsi="Times New Roman"/>
          <w:sz w:val="24"/>
          <w:lang w:val="en-GB"/>
        </w:rPr>
      </w:pPr>
      <w:r w:rsidRPr="00C73DC3">
        <w:rPr>
          <w:rFonts w:ascii="Times New Roman" w:hAnsi="Times New Roman"/>
          <w:sz w:val="24"/>
          <w:lang w:val="en-GB"/>
        </w:rPr>
        <w:t>social indicators</w:t>
      </w:r>
      <w:r w:rsidRPr="00C73DC3" w:rsidDel="00057959">
        <w:rPr>
          <w:rFonts w:ascii="Times New Roman" w:hAnsi="Times New Roman"/>
          <w:sz w:val="24"/>
          <w:lang w:val="en-GB"/>
        </w:rPr>
        <w:t>:</w:t>
      </w:r>
      <w:r w:rsidRPr="00C73DC3">
        <w:rPr>
          <w:rFonts w:ascii="Times New Roman" w:hAnsi="Times New Roman"/>
          <w:sz w:val="24"/>
          <w:lang w:val="en-GB"/>
        </w:rPr>
        <w:t xml:space="preserve"> total number of workforce, salaries, nationality, age, gender, minorities,</w:t>
      </w:r>
      <w:r>
        <w:rPr>
          <w:rFonts w:ascii="Times New Roman" w:hAnsi="Times New Roman"/>
          <w:sz w:val="24"/>
          <w:lang w:val="en-GB"/>
        </w:rPr>
        <w:t xml:space="preserve"> and</w:t>
      </w:r>
      <w:r w:rsidRPr="00C73DC3">
        <w:rPr>
          <w:rFonts w:ascii="Times New Roman" w:hAnsi="Times New Roman"/>
          <w:sz w:val="24"/>
          <w:lang w:val="en-GB"/>
        </w:rPr>
        <w:t xml:space="preserve"> occupational accidents.</w:t>
      </w:r>
    </w:p>
    <w:p w14:paraId="37E9EA3B" w14:textId="77777777" w:rsidR="00C23C7D" w:rsidRPr="00C73DC3" w:rsidRDefault="00C23C7D" w:rsidP="00B52B88">
      <w:pPr>
        <w:autoSpaceDE w:val="0"/>
        <w:autoSpaceDN w:val="0"/>
        <w:adjustRightInd w:val="0"/>
        <w:jc w:val="both"/>
        <w:rPr>
          <w:rFonts w:ascii="Times New Roman" w:hAnsi="Times New Roman"/>
          <w:sz w:val="24"/>
          <w:lang w:val="en-GB"/>
        </w:rPr>
      </w:pPr>
      <w:r w:rsidRPr="00C73DC3">
        <w:rPr>
          <w:rFonts w:ascii="Times New Roman" w:hAnsi="Times New Roman"/>
          <w:sz w:val="24"/>
          <w:lang w:val="en-GB"/>
        </w:rPr>
        <w:t xml:space="preserve">In addition, Mikkilä and Toppinen </w:t>
      </w:r>
      <w:r w:rsidRPr="00C73DC3">
        <w:rPr>
          <w:rFonts w:ascii="Times New Roman" w:hAnsi="Times New Roman"/>
          <w:sz w:val="24"/>
          <w:lang w:val="en-GB"/>
        </w:rPr>
        <w:fldChar w:fldCharType="begin"/>
      </w:r>
      <w:r w:rsidRPr="00C73DC3">
        <w:rPr>
          <w:rFonts w:ascii="Times New Roman" w:hAnsi="Times New Roman"/>
          <w:sz w:val="24"/>
          <w:lang w:val="en-GB"/>
        </w:rPr>
        <w:instrText>ADDIN RW.CITE{{308 Mikkilä,Mirja 2008 /a}}</w:instrText>
      </w:r>
      <w:r w:rsidRPr="00C73DC3">
        <w:rPr>
          <w:rFonts w:ascii="Times New Roman" w:hAnsi="Times New Roman"/>
          <w:sz w:val="24"/>
          <w:lang w:val="en-GB"/>
        </w:rPr>
        <w:fldChar w:fldCharType="separate"/>
      </w:r>
      <w:r w:rsidRPr="00C73DC3">
        <w:rPr>
          <w:rFonts w:ascii="Times New Roman" w:hAnsi="Times New Roman"/>
          <w:sz w:val="24"/>
          <w:lang w:val="en-GB"/>
        </w:rPr>
        <w:t>(2008)</w:t>
      </w:r>
      <w:r w:rsidRPr="00C73DC3">
        <w:rPr>
          <w:rFonts w:ascii="Times New Roman" w:hAnsi="Times New Roman"/>
          <w:sz w:val="24"/>
          <w:lang w:val="en-GB"/>
        </w:rPr>
        <w:fldChar w:fldCharType="end"/>
      </w:r>
      <w:r w:rsidRPr="00C73DC3">
        <w:rPr>
          <w:rFonts w:ascii="Times New Roman" w:hAnsi="Times New Roman"/>
          <w:sz w:val="24"/>
          <w:lang w:val="en-GB"/>
        </w:rPr>
        <w:t xml:space="preserve"> listed the less commonly used indicators, which they labelled as diversified indicators. Of these, the most frequently used indicators related to environmental costs (</w:t>
      </w:r>
      <w:r w:rsidRPr="00C73DC3" w:rsidDel="00057959">
        <w:rPr>
          <w:rFonts w:ascii="Times New Roman" w:hAnsi="Times New Roman"/>
          <w:sz w:val="24"/>
          <w:lang w:val="en-GB"/>
        </w:rPr>
        <w:t>e.g.</w:t>
      </w:r>
      <w:r w:rsidRPr="00C73DC3">
        <w:rPr>
          <w:rFonts w:ascii="Times New Roman" w:hAnsi="Times New Roman"/>
          <w:sz w:val="24"/>
          <w:lang w:val="en-GB"/>
        </w:rPr>
        <w:t xml:space="preserve"> environmental expenditures and investments) and sustainable forest management (e.g. principles of sustainable forest management). </w:t>
      </w:r>
    </w:p>
    <w:p w14:paraId="23CBBA9E" w14:textId="77777777" w:rsidR="00C23C7D" w:rsidRPr="00C73DC3" w:rsidRDefault="00C23C7D" w:rsidP="00B52B88">
      <w:pPr>
        <w:jc w:val="both"/>
        <w:rPr>
          <w:rFonts w:ascii="Times New Roman" w:hAnsi="Times New Roman"/>
          <w:sz w:val="24"/>
          <w:lang w:val="en-GB"/>
        </w:rPr>
      </w:pPr>
      <w:r w:rsidRPr="00C73DC3">
        <w:rPr>
          <w:rFonts w:ascii="Times New Roman" w:hAnsi="Times New Roman"/>
          <w:sz w:val="24"/>
          <w:lang w:val="en-GB"/>
        </w:rPr>
        <w:t>Then</w:t>
      </w:r>
      <w:r>
        <w:rPr>
          <w:rFonts w:ascii="Times New Roman" w:hAnsi="Times New Roman"/>
          <w:sz w:val="24"/>
          <w:lang w:val="en-GB"/>
        </w:rPr>
        <w:t>,</w:t>
      </w:r>
      <w:r w:rsidRPr="00C73DC3">
        <w:rPr>
          <w:rFonts w:ascii="Times New Roman" w:hAnsi="Times New Roman"/>
          <w:sz w:val="24"/>
          <w:lang w:val="en-GB"/>
        </w:rPr>
        <w:t xml:space="preserve"> in the researches of Koskela and Vehmas </w:t>
      </w:r>
      <w:r w:rsidRPr="00C73DC3">
        <w:rPr>
          <w:rFonts w:ascii="Times New Roman" w:hAnsi="Times New Roman"/>
          <w:sz w:val="24"/>
          <w:lang w:val="en-GB"/>
        </w:rPr>
        <w:fldChar w:fldCharType="begin"/>
      </w:r>
      <w:r w:rsidRPr="00C73DC3">
        <w:rPr>
          <w:rFonts w:ascii="Times New Roman" w:hAnsi="Times New Roman"/>
          <w:sz w:val="24"/>
          <w:lang w:val="en-GB"/>
        </w:rPr>
        <w:instrText>ADDIN RW.CITE{{401 Koskela,Marileena 2012 /a}}</w:instrText>
      </w:r>
      <w:r w:rsidRPr="00C73DC3">
        <w:rPr>
          <w:rFonts w:ascii="Times New Roman" w:hAnsi="Times New Roman"/>
          <w:sz w:val="24"/>
          <w:lang w:val="en-GB"/>
        </w:rPr>
        <w:fldChar w:fldCharType="separate"/>
      </w:r>
      <w:r w:rsidRPr="00C73DC3">
        <w:rPr>
          <w:rFonts w:ascii="Times New Roman" w:hAnsi="Times New Roman"/>
          <w:sz w:val="24"/>
          <w:lang w:val="en-GB"/>
        </w:rPr>
        <w:t>(2012)</w:t>
      </w:r>
      <w:r w:rsidRPr="00C73DC3">
        <w:rPr>
          <w:rFonts w:ascii="Times New Roman" w:hAnsi="Times New Roman"/>
          <w:sz w:val="24"/>
          <w:lang w:val="en-GB"/>
        </w:rPr>
        <w:fldChar w:fldCharType="end"/>
      </w:r>
      <w:r w:rsidRPr="00C73DC3">
        <w:rPr>
          <w:rFonts w:ascii="Times New Roman" w:hAnsi="Times New Roman"/>
          <w:sz w:val="24"/>
          <w:lang w:val="en-GB"/>
        </w:rPr>
        <w:t xml:space="preserve">, Sinclair and Walton </w:t>
      </w:r>
      <w:r w:rsidRPr="00C73DC3">
        <w:rPr>
          <w:rFonts w:ascii="Times New Roman" w:hAnsi="Times New Roman"/>
          <w:sz w:val="24"/>
          <w:lang w:val="en-GB"/>
        </w:rPr>
        <w:fldChar w:fldCharType="begin"/>
      </w:r>
      <w:r w:rsidRPr="00C73DC3">
        <w:rPr>
          <w:rFonts w:ascii="Times New Roman" w:hAnsi="Times New Roman"/>
          <w:sz w:val="24"/>
          <w:lang w:val="en-GB"/>
        </w:rPr>
        <w:instrText>ADDIN RW.CITE{{288 Sinclair,Penny 2003 /a}}</w:instrText>
      </w:r>
      <w:r w:rsidRPr="00C73DC3">
        <w:rPr>
          <w:rFonts w:ascii="Times New Roman" w:hAnsi="Times New Roman"/>
          <w:sz w:val="24"/>
          <w:lang w:val="en-GB"/>
        </w:rPr>
        <w:fldChar w:fldCharType="separate"/>
      </w:r>
      <w:r w:rsidRPr="00C73DC3">
        <w:rPr>
          <w:rFonts w:ascii="Times New Roman" w:hAnsi="Times New Roman"/>
          <w:sz w:val="24"/>
          <w:lang w:val="en-GB"/>
        </w:rPr>
        <w:t>(2003)</w:t>
      </w:r>
      <w:r w:rsidRPr="00C73DC3">
        <w:rPr>
          <w:rFonts w:ascii="Times New Roman" w:hAnsi="Times New Roman"/>
          <w:sz w:val="24"/>
          <w:lang w:val="en-GB"/>
        </w:rPr>
        <w:fldChar w:fldCharType="end"/>
      </w:r>
      <w:r>
        <w:rPr>
          <w:rFonts w:ascii="Times New Roman" w:hAnsi="Times New Roman"/>
          <w:sz w:val="24"/>
          <w:lang w:val="en-GB"/>
        </w:rPr>
        <w:t>,</w:t>
      </w:r>
      <w:r w:rsidRPr="00C73DC3">
        <w:rPr>
          <w:rFonts w:ascii="Times New Roman" w:hAnsi="Times New Roman"/>
          <w:sz w:val="24"/>
          <w:lang w:val="en-GB"/>
        </w:rPr>
        <w:t xml:space="preserve"> and Toppinen and Korhonen-Kurki </w:t>
      </w:r>
      <w:r w:rsidRPr="00C73DC3">
        <w:rPr>
          <w:rFonts w:ascii="Times New Roman" w:hAnsi="Times New Roman"/>
          <w:sz w:val="24"/>
          <w:lang w:val="en-GB"/>
        </w:rPr>
        <w:fldChar w:fldCharType="begin"/>
      </w:r>
      <w:r w:rsidRPr="00C73DC3">
        <w:rPr>
          <w:rFonts w:ascii="Times New Roman" w:hAnsi="Times New Roman"/>
          <w:sz w:val="24"/>
          <w:lang w:val="en-GB"/>
        </w:rPr>
        <w:instrText>ADDIN RW.CITE{{2961 Toppinen,Anne 2013 /a}}</w:instrText>
      </w:r>
      <w:r w:rsidRPr="00C73DC3">
        <w:rPr>
          <w:rFonts w:ascii="Times New Roman" w:hAnsi="Times New Roman"/>
          <w:sz w:val="24"/>
          <w:lang w:val="en-GB"/>
        </w:rPr>
        <w:fldChar w:fldCharType="separate"/>
      </w:r>
      <w:r w:rsidRPr="00C73DC3">
        <w:rPr>
          <w:rFonts w:ascii="Times New Roman" w:hAnsi="Times New Roman"/>
          <w:sz w:val="24"/>
          <w:lang w:val="en-GB"/>
        </w:rPr>
        <w:t>(2013)</w:t>
      </w:r>
      <w:r w:rsidRPr="00C73DC3">
        <w:rPr>
          <w:rFonts w:ascii="Times New Roman" w:hAnsi="Times New Roman"/>
          <w:sz w:val="24"/>
          <w:lang w:val="en-GB"/>
        </w:rPr>
        <w:fldChar w:fldCharType="end"/>
      </w:r>
      <w:r w:rsidRPr="00C73DC3">
        <w:rPr>
          <w:rFonts w:ascii="Times New Roman" w:hAnsi="Times New Roman"/>
          <w:sz w:val="24"/>
          <w:lang w:val="en-GB"/>
        </w:rPr>
        <w:t xml:space="preserve">, the reporting of indicators </w:t>
      </w:r>
      <w:r>
        <w:rPr>
          <w:rFonts w:ascii="Times New Roman" w:hAnsi="Times New Roman"/>
          <w:sz w:val="24"/>
          <w:lang w:val="en-GB"/>
        </w:rPr>
        <w:t>is</w:t>
      </w:r>
      <w:r w:rsidRPr="00C73DC3">
        <w:rPr>
          <w:rFonts w:ascii="Times New Roman" w:hAnsi="Times New Roman"/>
          <w:sz w:val="24"/>
          <w:lang w:val="en-GB"/>
        </w:rPr>
        <w:t xml:space="preserve"> touched upon. Koskela and Vehmas </w:t>
      </w:r>
      <w:r w:rsidRPr="00C73DC3">
        <w:rPr>
          <w:rFonts w:ascii="Times New Roman" w:hAnsi="Times New Roman"/>
          <w:sz w:val="24"/>
          <w:lang w:val="en-GB"/>
        </w:rPr>
        <w:fldChar w:fldCharType="begin"/>
      </w:r>
      <w:r w:rsidRPr="00C73DC3">
        <w:rPr>
          <w:rFonts w:ascii="Times New Roman" w:hAnsi="Times New Roman"/>
          <w:sz w:val="24"/>
          <w:lang w:val="en-GB"/>
        </w:rPr>
        <w:instrText>ADDIN RW.CITE{{401 Koskela,Marileena 2012 /a}}</w:instrText>
      </w:r>
      <w:r w:rsidRPr="00C73DC3">
        <w:rPr>
          <w:rFonts w:ascii="Times New Roman" w:hAnsi="Times New Roman"/>
          <w:sz w:val="24"/>
          <w:lang w:val="en-GB"/>
        </w:rPr>
        <w:fldChar w:fldCharType="separate"/>
      </w:r>
      <w:r w:rsidRPr="00C73DC3">
        <w:rPr>
          <w:rFonts w:ascii="Times New Roman" w:hAnsi="Times New Roman"/>
          <w:sz w:val="24"/>
          <w:lang w:val="en-GB"/>
        </w:rPr>
        <w:t>(2012)</w:t>
      </w:r>
      <w:r w:rsidRPr="00C73DC3">
        <w:rPr>
          <w:rFonts w:ascii="Times New Roman" w:hAnsi="Times New Roman"/>
          <w:sz w:val="24"/>
          <w:lang w:val="en-GB"/>
        </w:rPr>
        <w:fldChar w:fldCharType="end"/>
      </w:r>
      <w:r w:rsidRPr="00C73DC3">
        <w:rPr>
          <w:rFonts w:ascii="Times New Roman" w:hAnsi="Times New Roman"/>
          <w:sz w:val="24"/>
          <w:lang w:val="en-GB"/>
        </w:rPr>
        <w:t xml:space="preserve"> analyse the eco-efficiency reporting of three Finnish forest industry companies. These companies reported many eco-efficiency indicators, which can be divided into two broad groups: energy and environmental efficiencies. Energy efficiency was calculated as electricity, heat or energy consumption per amount of production. Environmental efficiency was presented as </w:t>
      </w:r>
      <w:r>
        <w:rPr>
          <w:rFonts w:ascii="Times New Roman" w:hAnsi="Times New Roman"/>
          <w:sz w:val="24"/>
          <w:lang w:val="en-GB"/>
        </w:rPr>
        <w:t xml:space="preserve">a </w:t>
      </w:r>
      <w:r w:rsidRPr="00C73DC3">
        <w:rPr>
          <w:rFonts w:ascii="Times New Roman" w:hAnsi="Times New Roman"/>
          <w:sz w:val="24"/>
          <w:lang w:val="en-GB"/>
        </w:rPr>
        <w:t xml:space="preserve">variety of emissions and/or waste per amount of production or value added. Sinclair and Walton’s </w:t>
      </w:r>
      <w:r w:rsidRPr="00C73DC3">
        <w:rPr>
          <w:rFonts w:ascii="Times New Roman" w:hAnsi="Times New Roman"/>
          <w:sz w:val="24"/>
          <w:lang w:val="en-GB"/>
        </w:rPr>
        <w:fldChar w:fldCharType="begin"/>
      </w:r>
      <w:r w:rsidRPr="00C73DC3">
        <w:rPr>
          <w:rFonts w:ascii="Times New Roman" w:hAnsi="Times New Roman"/>
          <w:sz w:val="24"/>
          <w:lang w:val="en-GB"/>
        </w:rPr>
        <w:instrText>ADDIN RW.CITE{{288 Sinclair,Penny 2003 /a}}</w:instrText>
      </w:r>
      <w:r w:rsidRPr="00C73DC3">
        <w:rPr>
          <w:rFonts w:ascii="Times New Roman" w:hAnsi="Times New Roman"/>
          <w:sz w:val="24"/>
          <w:lang w:val="en-GB"/>
        </w:rPr>
        <w:fldChar w:fldCharType="separate"/>
      </w:r>
      <w:r w:rsidRPr="00C73DC3">
        <w:rPr>
          <w:rFonts w:ascii="Times New Roman" w:hAnsi="Times New Roman"/>
          <w:sz w:val="24"/>
          <w:lang w:val="en-GB"/>
        </w:rPr>
        <w:t>(2003)</w:t>
      </w:r>
      <w:r w:rsidRPr="00C73DC3">
        <w:rPr>
          <w:rFonts w:ascii="Times New Roman" w:hAnsi="Times New Roman"/>
          <w:sz w:val="24"/>
          <w:lang w:val="en-GB"/>
        </w:rPr>
        <w:fldChar w:fldCharType="end"/>
      </w:r>
      <w:r w:rsidRPr="00C73DC3">
        <w:rPr>
          <w:rFonts w:ascii="Times New Roman" w:hAnsi="Times New Roman"/>
          <w:sz w:val="24"/>
          <w:lang w:val="en-GB"/>
        </w:rPr>
        <w:t xml:space="preserve"> analysis focuses on the forest management and fibre procurement of top 94 global forest industry companies. They report very limited information about the indicators. They mention that in forest management, the companies report </w:t>
      </w:r>
      <w:r>
        <w:rPr>
          <w:rFonts w:ascii="Times New Roman" w:hAnsi="Times New Roman"/>
          <w:sz w:val="24"/>
          <w:lang w:val="en-GB"/>
        </w:rPr>
        <w:t xml:space="preserve">on </w:t>
      </w:r>
      <w:r w:rsidRPr="00C73DC3">
        <w:rPr>
          <w:rFonts w:ascii="Times New Roman" w:hAnsi="Times New Roman"/>
          <w:sz w:val="24"/>
          <w:lang w:val="en-GB"/>
        </w:rPr>
        <w:t xml:space="preserve">the area of certified forest. In fibre procurement, the analysed forest industry companies used the following indicators: amount of certified wood delivered, total amount of wood supplied, total amount of wood consumption and the use of recycled fibre. Toppinen and Korhonen-Kurki </w:t>
      </w:r>
      <w:r w:rsidRPr="00C73DC3">
        <w:rPr>
          <w:rFonts w:ascii="Times New Roman" w:hAnsi="Times New Roman"/>
          <w:sz w:val="24"/>
          <w:lang w:val="en-GB"/>
        </w:rPr>
        <w:fldChar w:fldCharType="begin"/>
      </w:r>
      <w:r w:rsidRPr="00C73DC3">
        <w:rPr>
          <w:rFonts w:ascii="Times New Roman" w:hAnsi="Times New Roman"/>
          <w:sz w:val="24"/>
          <w:lang w:val="en-GB"/>
        </w:rPr>
        <w:instrText>ADDIN RW.CITE{{2961 Toppinen,Anne 2013 /a}}</w:instrText>
      </w:r>
      <w:r w:rsidRPr="00C73DC3">
        <w:rPr>
          <w:rFonts w:ascii="Times New Roman" w:hAnsi="Times New Roman"/>
          <w:sz w:val="24"/>
          <w:lang w:val="en-GB"/>
        </w:rPr>
        <w:fldChar w:fldCharType="separate"/>
      </w:r>
      <w:r w:rsidRPr="00C73DC3">
        <w:rPr>
          <w:rFonts w:ascii="Times New Roman" w:hAnsi="Times New Roman"/>
          <w:sz w:val="24"/>
          <w:lang w:val="en-GB"/>
        </w:rPr>
        <w:t>(2013)</w:t>
      </w:r>
      <w:r w:rsidRPr="00C73DC3">
        <w:rPr>
          <w:rFonts w:ascii="Times New Roman" w:hAnsi="Times New Roman"/>
          <w:sz w:val="24"/>
          <w:lang w:val="en-GB"/>
        </w:rPr>
        <w:fldChar w:fldCharType="end"/>
      </w:r>
      <w:r w:rsidRPr="00C73DC3">
        <w:rPr>
          <w:rFonts w:ascii="Times New Roman" w:hAnsi="Times New Roman"/>
          <w:sz w:val="24"/>
          <w:lang w:val="en-GB"/>
        </w:rPr>
        <w:t xml:space="preserve"> studied three global forest industry companies. Their main aim was to study the community impact of the companies. They list</w:t>
      </w:r>
      <w:r>
        <w:rPr>
          <w:rFonts w:ascii="Times New Roman" w:hAnsi="Times New Roman"/>
          <w:sz w:val="24"/>
          <w:lang w:val="en-GB"/>
        </w:rPr>
        <w:t>ed</w:t>
      </w:r>
      <w:r w:rsidRPr="00C73DC3">
        <w:rPr>
          <w:rFonts w:ascii="Times New Roman" w:hAnsi="Times New Roman"/>
          <w:sz w:val="24"/>
          <w:lang w:val="en-GB"/>
        </w:rPr>
        <w:t xml:space="preserve"> the number of GRI indicators these companies report, and conclude</w:t>
      </w:r>
      <w:r>
        <w:rPr>
          <w:rFonts w:ascii="Times New Roman" w:hAnsi="Times New Roman"/>
          <w:sz w:val="24"/>
          <w:lang w:val="en-GB"/>
        </w:rPr>
        <w:t>d</w:t>
      </w:r>
      <w:r w:rsidRPr="00C73DC3">
        <w:rPr>
          <w:rFonts w:ascii="Times New Roman" w:hAnsi="Times New Roman"/>
          <w:sz w:val="24"/>
          <w:lang w:val="en-GB"/>
        </w:rPr>
        <w:t xml:space="preserve"> that environmental indicators are the most commonly reported indicators. From the community impact perspective, they analysed the GRI reporting of indicator SO1. They found that the reporting of SO1 is narrative and not quantitative in the case companies. </w:t>
      </w:r>
    </w:p>
    <w:p w14:paraId="59C3096D" w14:textId="77777777" w:rsidR="00C23C7D" w:rsidRPr="00C73DC3" w:rsidRDefault="00C23C7D" w:rsidP="00B52B88">
      <w:pPr>
        <w:jc w:val="both"/>
        <w:rPr>
          <w:rFonts w:ascii="Times New Roman" w:hAnsi="Times New Roman"/>
          <w:sz w:val="24"/>
          <w:lang w:val="en-GB"/>
        </w:rPr>
      </w:pPr>
      <w:r w:rsidRPr="00C73DC3">
        <w:rPr>
          <w:rFonts w:ascii="Times New Roman" w:hAnsi="Times New Roman"/>
          <w:sz w:val="24"/>
          <w:lang w:val="en-GB"/>
        </w:rPr>
        <w:t xml:space="preserve">Last, the researches of Li et al. </w:t>
      </w:r>
      <w:r w:rsidRPr="00C73DC3">
        <w:rPr>
          <w:rFonts w:ascii="Times New Roman" w:hAnsi="Times New Roman"/>
          <w:sz w:val="24"/>
          <w:lang w:val="en-GB"/>
        </w:rPr>
        <w:fldChar w:fldCharType="begin"/>
      </w:r>
      <w:r w:rsidRPr="00C73DC3">
        <w:rPr>
          <w:rFonts w:ascii="Times New Roman" w:hAnsi="Times New Roman"/>
          <w:sz w:val="24"/>
          <w:lang w:val="en-GB"/>
        </w:rPr>
        <w:instrText>ADDIN RW.CITE{{2749 Li,Ning 2011 /a}}</w:instrText>
      </w:r>
      <w:r w:rsidRPr="00C73DC3">
        <w:rPr>
          <w:rFonts w:ascii="Times New Roman" w:hAnsi="Times New Roman"/>
          <w:sz w:val="24"/>
          <w:lang w:val="en-GB"/>
        </w:rPr>
        <w:fldChar w:fldCharType="separate"/>
      </w:r>
      <w:r w:rsidRPr="00C73DC3">
        <w:rPr>
          <w:rFonts w:ascii="Times New Roman" w:hAnsi="Times New Roman"/>
          <w:sz w:val="24"/>
          <w:lang w:val="en-GB"/>
        </w:rPr>
        <w:t>(2011)</w:t>
      </w:r>
      <w:r w:rsidRPr="00C73DC3">
        <w:rPr>
          <w:rFonts w:ascii="Times New Roman" w:hAnsi="Times New Roman"/>
          <w:sz w:val="24"/>
          <w:lang w:val="en-GB"/>
        </w:rPr>
        <w:fldChar w:fldCharType="end"/>
      </w:r>
      <w:r w:rsidRPr="00C73DC3">
        <w:rPr>
          <w:rFonts w:ascii="Times New Roman" w:hAnsi="Times New Roman"/>
          <w:sz w:val="24"/>
          <w:lang w:val="en-GB"/>
        </w:rPr>
        <w:t xml:space="preserve">, Toppinen et al. </w:t>
      </w:r>
      <w:r w:rsidRPr="00C73DC3">
        <w:rPr>
          <w:rFonts w:ascii="Times New Roman" w:hAnsi="Times New Roman"/>
          <w:sz w:val="24"/>
          <w:lang w:val="en-GB"/>
        </w:rPr>
        <w:fldChar w:fldCharType="begin"/>
      </w:r>
      <w:r w:rsidRPr="00C73DC3">
        <w:rPr>
          <w:rFonts w:ascii="Times New Roman" w:hAnsi="Times New Roman"/>
          <w:sz w:val="24"/>
          <w:lang w:val="en-GB"/>
        </w:rPr>
        <w:instrText>ADDIN RW.CITE{{2748 Toppinen,Anne 2011 /a}}</w:instrText>
      </w:r>
      <w:r w:rsidRPr="00C73DC3">
        <w:rPr>
          <w:rFonts w:ascii="Times New Roman" w:hAnsi="Times New Roman"/>
          <w:sz w:val="24"/>
          <w:lang w:val="en-GB"/>
        </w:rPr>
        <w:fldChar w:fldCharType="separate"/>
      </w:r>
      <w:r w:rsidRPr="00C73DC3">
        <w:rPr>
          <w:rFonts w:ascii="Times New Roman" w:hAnsi="Times New Roman"/>
          <w:sz w:val="24"/>
          <w:lang w:val="en-GB"/>
        </w:rPr>
        <w:t>(2011)</w:t>
      </w:r>
      <w:r w:rsidRPr="00C73DC3">
        <w:rPr>
          <w:rFonts w:ascii="Times New Roman" w:hAnsi="Times New Roman"/>
          <w:sz w:val="24"/>
          <w:lang w:val="en-GB"/>
        </w:rPr>
        <w:fldChar w:fldCharType="end"/>
      </w:r>
      <w:r>
        <w:rPr>
          <w:rFonts w:ascii="Times New Roman" w:hAnsi="Times New Roman"/>
          <w:sz w:val="24"/>
          <w:lang w:val="en-GB"/>
        </w:rPr>
        <w:t>,</w:t>
      </w:r>
      <w:r w:rsidRPr="00C73DC3">
        <w:rPr>
          <w:rFonts w:ascii="Times New Roman" w:hAnsi="Times New Roman"/>
          <w:sz w:val="24"/>
          <w:lang w:val="en-GB"/>
        </w:rPr>
        <w:t xml:space="preserve"> and Vidal and Kozak </w:t>
      </w:r>
      <w:r w:rsidRPr="00C73DC3">
        <w:rPr>
          <w:rFonts w:ascii="Times New Roman" w:hAnsi="Times New Roman"/>
          <w:sz w:val="24"/>
          <w:lang w:val="en-GB"/>
        </w:rPr>
        <w:fldChar w:fldCharType="begin"/>
      </w:r>
      <w:r w:rsidRPr="00C73DC3">
        <w:rPr>
          <w:rFonts w:ascii="Times New Roman" w:hAnsi="Times New Roman"/>
          <w:sz w:val="24"/>
          <w:lang w:val="en-GB"/>
        </w:rPr>
        <w:instrText>ADDIN RW.CITE{{2747 Vidal,N.G. 2008 /a; 2792 Vidal,NataliaG. 2008 /a}}</w:instrText>
      </w:r>
      <w:r w:rsidRPr="00C73DC3">
        <w:rPr>
          <w:rFonts w:ascii="Times New Roman" w:hAnsi="Times New Roman"/>
          <w:sz w:val="24"/>
          <w:lang w:val="en-GB"/>
        </w:rPr>
        <w:fldChar w:fldCharType="separate"/>
      </w:r>
      <w:r w:rsidRPr="00C73DC3">
        <w:rPr>
          <w:rFonts w:ascii="Times New Roman" w:hAnsi="Times New Roman"/>
          <w:sz w:val="24"/>
          <w:lang w:val="en-GB"/>
        </w:rPr>
        <w:t>(2008a, 2008b)</w:t>
      </w:r>
      <w:r w:rsidRPr="00C73DC3">
        <w:rPr>
          <w:rFonts w:ascii="Times New Roman" w:hAnsi="Times New Roman"/>
          <w:sz w:val="24"/>
          <w:lang w:val="en-GB"/>
        </w:rPr>
        <w:fldChar w:fldCharType="end"/>
      </w:r>
      <w:r w:rsidRPr="00C73DC3">
        <w:rPr>
          <w:rFonts w:ascii="Times New Roman" w:hAnsi="Times New Roman"/>
          <w:sz w:val="24"/>
          <w:lang w:val="en-GB"/>
        </w:rPr>
        <w:t xml:space="preserve"> do not reflect indicator reporting at all. Li et al. </w:t>
      </w:r>
      <w:r w:rsidRPr="00C73DC3">
        <w:rPr>
          <w:rFonts w:ascii="Times New Roman" w:hAnsi="Times New Roman"/>
          <w:sz w:val="24"/>
          <w:lang w:val="en-GB"/>
        </w:rPr>
        <w:fldChar w:fldCharType="begin"/>
      </w:r>
      <w:r w:rsidRPr="00C73DC3">
        <w:rPr>
          <w:rFonts w:ascii="Times New Roman" w:hAnsi="Times New Roman"/>
          <w:sz w:val="24"/>
          <w:lang w:val="en-GB"/>
        </w:rPr>
        <w:instrText>ADDIN RW.CITE{{2749 Li,Ning 2011 /a}}</w:instrText>
      </w:r>
      <w:r w:rsidRPr="00C73DC3">
        <w:rPr>
          <w:rFonts w:ascii="Times New Roman" w:hAnsi="Times New Roman"/>
          <w:sz w:val="24"/>
          <w:lang w:val="en-GB"/>
        </w:rPr>
        <w:fldChar w:fldCharType="separate"/>
      </w:r>
      <w:r w:rsidRPr="00C73DC3">
        <w:rPr>
          <w:rFonts w:ascii="Times New Roman" w:hAnsi="Times New Roman"/>
          <w:sz w:val="24"/>
          <w:lang w:val="en-GB"/>
        </w:rPr>
        <w:t>(2011)</w:t>
      </w:r>
      <w:r w:rsidRPr="00C73DC3">
        <w:rPr>
          <w:rFonts w:ascii="Times New Roman" w:hAnsi="Times New Roman"/>
          <w:sz w:val="24"/>
          <w:lang w:val="en-GB"/>
        </w:rPr>
        <w:fldChar w:fldCharType="end"/>
      </w:r>
      <w:r w:rsidRPr="00C73DC3">
        <w:rPr>
          <w:rFonts w:ascii="Times New Roman" w:hAnsi="Times New Roman"/>
          <w:sz w:val="24"/>
          <w:lang w:val="en-GB"/>
        </w:rPr>
        <w:t xml:space="preserve"> and Toppinen et al. </w:t>
      </w:r>
      <w:r w:rsidRPr="00C73DC3">
        <w:rPr>
          <w:rFonts w:ascii="Times New Roman" w:hAnsi="Times New Roman"/>
          <w:sz w:val="24"/>
          <w:lang w:val="en-GB"/>
        </w:rPr>
        <w:fldChar w:fldCharType="begin"/>
      </w:r>
      <w:r w:rsidRPr="00C73DC3">
        <w:rPr>
          <w:rFonts w:ascii="Times New Roman" w:hAnsi="Times New Roman"/>
          <w:sz w:val="24"/>
          <w:lang w:val="en-GB"/>
        </w:rPr>
        <w:instrText>ADDIN RW.CITE{{2748 Toppinen,Anne 2011 /a}}</w:instrText>
      </w:r>
      <w:r w:rsidRPr="00C73DC3">
        <w:rPr>
          <w:rFonts w:ascii="Times New Roman" w:hAnsi="Times New Roman"/>
          <w:sz w:val="24"/>
          <w:lang w:val="en-GB"/>
        </w:rPr>
        <w:fldChar w:fldCharType="separate"/>
      </w:r>
      <w:r w:rsidRPr="00C73DC3">
        <w:rPr>
          <w:rFonts w:ascii="Times New Roman" w:hAnsi="Times New Roman"/>
          <w:sz w:val="24"/>
          <w:lang w:val="en-GB"/>
        </w:rPr>
        <w:t>(2011)</w:t>
      </w:r>
      <w:r w:rsidRPr="00C73DC3">
        <w:rPr>
          <w:rFonts w:ascii="Times New Roman" w:hAnsi="Times New Roman"/>
          <w:sz w:val="24"/>
          <w:lang w:val="en-GB"/>
        </w:rPr>
        <w:fldChar w:fldCharType="end"/>
      </w:r>
      <w:r w:rsidRPr="00C73DC3">
        <w:rPr>
          <w:rFonts w:ascii="Times New Roman" w:hAnsi="Times New Roman"/>
          <w:sz w:val="24"/>
          <w:lang w:val="en-GB"/>
        </w:rPr>
        <w:t xml:space="preserve"> studied the sustainability reporting of top 66 global forest industry companies. They used the GRI framework in their analysis. Li et al.’s </w:t>
      </w:r>
      <w:r w:rsidRPr="00C73DC3">
        <w:rPr>
          <w:rFonts w:ascii="Times New Roman" w:hAnsi="Times New Roman"/>
          <w:sz w:val="24"/>
          <w:lang w:val="en-GB"/>
        </w:rPr>
        <w:fldChar w:fldCharType="begin"/>
      </w:r>
      <w:r w:rsidRPr="00C73DC3">
        <w:rPr>
          <w:rFonts w:ascii="Times New Roman" w:hAnsi="Times New Roman"/>
          <w:sz w:val="24"/>
          <w:lang w:val="en-GB"/>
        </w:rPr>
        <w:instrText>ADDIN RW.CITE{{2749 Li,Ning 2011 /a}}</w:instrText>
      </w:r>
      <w:r w:rsidRPr="00C73DC3">
        <w:rPr>
          <w:rFonts w:ascii="Times New Roman" w:hAnsi="Times New Roman"/>
          <w:sz w:val="24"/>
          <w:lang w:val="en-GB"/>
        </w:rPr>
        <w:fldChar w:fldCharType="separate"/>
      </w:r>
      <w:r w:rsidRPr="00C73DC3">
        <w:rPr>
          <w:rFonts w:ascii="Times New Roman" w:hAnsi="Times New Roman"/>
          <w:sz w:val="24"/>
          <w:lang w:val="en-GB"/>
        </w:rPr>
        <w:t>(2011)</w:t>
      </w:r>
      <w:r w:rsidRPr="00C73DC3">
        <w:rPr>
          <w:rFonts w:ascii="Times New Roman" w:hAnsi="Times New Roman"/>
          <w:sz w:val="24"/>
          <w:lang w:val="en-GB"/>
        </w:rPr>
        <w:fldChar w:fldCharType="end"/>
      </w:r>
      <w:r w:rsidRPr="00C73DC3">
        <w:rPr>
          <w:rFonts w:ascii="Times New Roman" w:hAnsi="Times New Roman"/>
          <w:sz w:val="24"/>
          <w:lang w:val="en-GB"/>
        </w:rPr>
        <w:t xml:space="preserve"> aim was to identify factors affecting the reporting, so they did not provide results on indicator reporting. Toppinen et al. </w:t>
      </w:r>
      <w:r w:rsidRPr="00C73DC3">
        <w:rPr>
          <w:rFonts w:ascii="Times New Roman" w:hAnsi="Times New Roman"/>
          <w:sz w:val="24"/>
          <w:lang w:val="en-GB"/>
        </w:rPr>
        <w:fldChar w:fldCharType="begin"/>
      </w:r>
      <w:r w:rsidRPr="00C73DC3">
        <w:rPr>
          <w:rFonts w:ascii="Times New Roman" w:hAnsi="Times New Roman"/>
          <w:sz w:val="24"/>
          <w:lang w:val="en-GB"/>
        </w:rPr>
        <w:instrText>ADDIN RW.CITE{{2748 Toppinen,Anne 2011 /a}}</w:instrText>
      </w:r>
      <w:r w:rsidRPr="00C73DC3">
        <w:rPr>
          <w:rFonts w:ascii="Times New Roman" w:hAnsi="Times New Roman"/>
          <w:sz w:val="24"/>
          <w:lang w:val="en-GB"/>
        </w:rPr>
        <w:fldChar w:fldCharType="separate"/>
      </w:r>
      <w:r w:rsidRPr="00C73DC3">
        <w:rPr>
          <w:rFonts w:ascii="Times New Roman" w:hAnsi="Times New Roman"/>
          <w:sz w:val="24"/>
          <w:lang w:val="en-GB"/>
        </w:rPr>
        <w:t>(2011)</w:t>
      </w:r>
      <w:r w:rsidRPr="00C73DC3">
        <w:rPr>
          <w:rFonts w:ascii="Times New Roman" w:hAnsi="Times New Roman"/>
          <w:sz w:val="24"/>
          <w:lang w:val="en-GB"/>
        </w:rPr>
        <w:fldChar w:fldCharType="end"/>
      </w:r>
      <w:r w:rsidRPr="00C73DC3">
        <w:rPr>
          <w:rFonts w:ascii="Times New Roman" w:hAnsi="Times New Roman"/>
          <w:sz w:val="24"/>
          <w:lang w:val="en-GB"/>
        </w:rPr>
        <w:t xml:space="preserve"> investigated the case companies’ reporting styles (defensive, proactive or stuck-in-the-middle). In their first article, Vidal and Kozak </w:t>
      </w:r>
      <w:r w:rsidRPr="00C73DC3">
        <w:rPr>
          <w:rFonts w:ascii="Times New Roman" w:hAnsi="Times New Roman"/>
          <w:sz w:val="24"/>
          <w:lang w:val="en-GB"/>
        </w:rPr>
        <w:fldChar w:fldCharType="begin"/>
      </w:r>
      <w:r w:rsidRPr="00C73DC3">
        <w:rPr>
          <w:rFonts w:ascii="Times New Roman" w:hAnsi="Times New Roman"/>
          <w:sz w:val="24"/>
          <w:lang w:val="en-GB"/>
        </w:rPr>
        <w:instrText>ADDIN RW.CITE{{2747 Vidal,N.G. 2008 /a}}</w:instrText>
      </w:r>
      <w:r w:rsidRPr="00C73DC3">
        <w:rPr>
          <w:rFonts w:ascii="Times New Roman" w:hAnsi="Times New Roman"/>
          <w:sz w:val="24"/>
          <w:lang w:val="en-GB"/>
        </w:rPr>
        <w:fldChar w:fldCharType="separate"/>
      </w:r>
      <w:r w:rsidRPr="00C73DC3">
        <w:rPr>
          <w:rFonts w:ascii="Times New Roman" w:hAnsi="Times New Roman"/>
          <w:sz w:val="24"/>
          <w:lang w:val="en-GB"/>
        </w:rPr>
        <w:t>(2008a)</w:t>
      </w:r>
      <w:r w:rsidRPr="00C73DC3">
        <w:rPr>
          <w:rFonts w:ascii="Times New Roman" w:hAnsi="Times New Roman"/>
          <w:sz w:val="24"/>
          <w:lang w:val="en-GB"/>
        </w:rPr>
        <w:fldChar w:fldCharType="end"/>
      </w:r>
      <w:r w:rsidRPr="00C73DC3">
        <w:rPr>
          <w:rFonts w:ascii="Times New Roman" w:hAnsi="Times New Roman"/>
          <w:sz w:val="24"/>
          <w:lang w:val="en-GB"/>
        </w:rPr>
        <w:t xml:space="preserve"> analysed the common aspects of the sustainability reporting of top 51 global forest industry companies and, in the second </w:t>
      </w:r>
      <w:r w:rsidRPr="00C73DC3">
        <w:rPr>
          <w:rFonts w:ascii="Times New Roman" w:hAnsi="Times New Roman"/>
          <w:sz w:val="24"/>
          <w:lang w:val="en-GB"/>
        </w:rPr>
        <w:fldChar w:fldCharType="begin"/>
      </w:r>
      <w:r w:rsidRPr="00C73DC3">
        <w:rPr>
          <w:rFonts w:ascii="Times New Roman" w:hAnsi="Times New Roman"/>
          <w:sz w:val="24"/>
          <w:lang w:val="en-GB"/>
        </w:rPr>
        <w:instrText>ADDIN RW.CITE{{2792 Vidal,NataliaG. 2008 /a}}</w:instrText>
      </w:r>
      <w:r w:rsidRPr="00C73DC3">
        <w:rPr>
          <w:rFonts w:ascii="Times New Roman" w:hAnsi="Times New Roman"/>
          <w:sz w:val="24"/>
          <w:lang w:val="en-GB"/>
        </w:rPr>
        <w:fldChar w:fldCharType="separate"/>
      </w:r>
      <w:r w:rsidRPr="00C73DC3">
        <w:rPr>
          <w:rFonts w:ascii="Times New Roman" w:hAnsi="Times New Roman"/>
          <w:sz w:val="24"/>
          <w:lang w:val="en-GB"/>
        </w:rPr>
        <w:t>(2008b)</w:t>
      </w:r>
      <w:r w:rsidRPr="00C73DC3">
        <w:rPr>
          <w:rFonts w:ascii="Times New Roman" w:hAnsi="Times New Roman"/>
          <w:sz w:val="24"/>
          <w:lang w:val="en-GB"/>
        </w:rPr>
        <w:fldChar w:fldCharType="end"/>
      </w:r>
      <w:r w:rsidRPr="00C73DC3">
        <w:rPr>
          <w:rFonts w:ascii="Times New Roman" w:hAnsi="Times New Roman"/>
          <w:sz w:val="24"/>
          <w:lang w:val="en-GB"/>
        </w:rPr>
        <w:t>, the common aspects of top 20 companies.</w:t>
      </w:r>
    </w:p>
    <w:p w14:paraId="2A4D861F" w14:textId="77777777" w:rsidR="00C23C7D" w:rsidRPr="00361830" w:rsidRDefault="00C23C7D" w:rsidP="007F358D">
      <w:pPr>
        <w:rPr>
          <w:rFonts w:ascii="Times New Roman" w:hAnsi="Times New Roman"/>
          <w:b/>
          <w:sz w:val="24"/>
          <w:lang w:val="en-GB"/>
        </w:rPr>
      </w:pPr>
      <w:r w:rsidRPr="008B2188">
        <w:rPr>
          <w:rFonts w:ascii="Times New Roman" w:hAnsi="Times New Roman"/>
          <w:b/>
          <w:sz w:val="24"/>
          <w:lang w:val="en-GB"/>
        </w:rPr>
        <w:t>2.3 Previous longitudinal analysis of corporate reporting</w:t>
      </w:r>
    </w:p>
    <w:p w14:paraId="7B1F1FD6" w14:textId="77777777" w:rsidR="00C23C7D" w:rsidRDefault="00C23C7D" w:rsidP="00076327">
      <w:pPr>
        <w:jc w:val="both"/>
        <w:rPr>
          <w:rFonts w:ascii="Times New Roman" w:hAnsi="Times New Roman"/>
          <w:sz w:val="24"/>
          <w:lang w:val="en-GB"/>
        </w:rPr>
      </w:pPr>
      <w:r>
        <w:rPr>
          <w:rFonts w:ascii="Times New Roman" w:hAnsi="Times New Roman"/>
          <w:sz w:val="24"/>
          <w:lang w:val="en-GB"/>
        </w:rPr>
        <w:t xml:space="preserve">A content analysis of corporate research typically analyses one or a few years’ reports. However, some studies have analysed longer reporting periods (see Table 4). Many of those have focused on analysing social reporting as it has a longer tradition than environmental or sustainability reporting. Here, the previous longitudinal environmental reporting analyses are reviewed in order to see what kinds of trends have previously been identified. </w:t>
      </w:r>
    </w:p>
    <w:p w14:paraId="74154701" w14:textId="77777777" w:rsidR="00C23C7D" w:rsidRDefault="00C23C7D" w:rsidP="00076327">
      <w:pPr>
        <w:jc w:val="both"/>
        <w:rPr>
          <w:rFonts w:ascii="Times New Roman" w:hAnsi="Times New Roman"/>
          <w:b/>
          <w:sz w:val="24"/>
          <w:lang w:val="en-GB"/>
        </w:rPr>
      </w:pPr>
      <w:r w:rsidRPr="00D010E3">
        <w:rPr>
          <w:rFonts w:ascii="Times New Roman" w:hAnsi="Times New Roman"/>
          <w:b/>
          <w:sz w:val="24"/>
          <w:lang w:val="en-GB"/>
        </w:rPr>
        <w:t>Table 4 Summary of the previous longitudinal content analysis research</w:t>
      </w:r>
    </w:p>
    <w:p w14:paraId="6F51F1B6" w14:textId="77777777" w:rsidR="00C23C7D" w:rsidRDefault="00C23C7D" w:rsidP="00572657">
      <w:pPr>
        <w:jc w:val="both"/>
        <w:rPr>
          <w:rFonts w:ascii="Times New Roman" w:hAnsi="Times New Roman"/>
          <w:sz w:val="24"/>
          <w:lang w:val="en-GB"/>
        </w:rPr>
      </w:pPr>
      <w:r>
        <w:rPr>
          <w:rFonts w:ascii="Times New Roman" w:hAnsi="Times New Roman"/>
          <w:sz w:val="24"/>
          <w:lang w:val="en-GB"/>
        </w:rPr>
        <w:t>Five longitudinal analyses of environmental reporting were found. In Dragomir’s (2012) and Koskela and Vehmas’s (2012) research, the aim was not to identify trends. Dragomir (2012) researched greenhouse gas (GHS) emission reporting from over 10 to 14 years (the analysing period varied between companies), and Koskela and Vehmas (2012) analysed the eco-efficiency reporting over a ten</w:t>
      </w:r>
      <w:r w:rsidDel="00057959">
        <w:rPr>
          <w:rFonts w:ascii="Times New Roman" w:hAnsi="Times New Roman"/>
          <w:sz w:val="24"/>
          <w:lang w:val="en-GB"/>
        </w:rPr>
        <w:t>-</w:t>
      </w:r>
      <w:r>
        <w:rPr>
          <w:rFonts w:ascii="Times New Roman" w:hAnsi="Times New Roman"/>
          <w:sz w:val="24"/>
          <w:lang w:val="en-GB"/>
        </w:rPr>
        <w:t>year period. The conclusion of these two studies is that both GHG emission and eco-efficiency reporting have varied over the years. Then, Buhr (1998), Laine (2009) and Joensuu et al. (2015) identified trends in their analysis.</w:t>
      </w:r>
    </w:p>
    <w:p w14:paraId="35B2D92A" w14:textId="77777777" w:rsidR="00C23C7D" w:rsidRDefault="00C23C7D" w:rsidP="00572657">
      <w:pPr>
        <w:jc w:val="both"/>
        <w:rPr>
          <w:rFonts w:ascii="Times New Roman" w:hAnsi="Times New Roman"/>
          <w:sz w:val="24"/>
          <w:lang w:val="en-GB"/>
        </w:rPr>
      </w:pPr>
      <w:r>
        <w:rPr>
          <w:rFonts w:ascii="Times New Roman" w:hAnsi="Times New Roman"/>
          <w:sz w:val="24"/>
          <w:lang w:val="en-GB"/>
        </w:rPr>
        <w:t>Buhr (1998) studied the changes in environmental performance reporting (i.e. SO</w:t>
      </w:r>
      <w:r w:rsidRPr="00C73B8C">
        <w:rPr>
          <w:rFonts w:ascii="Times New Roman" w:hAnsi="Times New Roman"/>
          <w:sz w:val="24"/>
          <w:vertAlign w:val="subscript"/>
          <w:lang w:val="en-GB"/>
        </w:rPr>
        <w:t>2</w:t>
      </w:r>
      <w:r>
        <w:rPr>
          <w:rFonts w:ascii="Times New Roman" w:hAnsi="Times New Roman"/>
          <w:sz w:val="24"/>
          <w:lang w:val="en-GB"/>
        </w:rPr>
        <w:t xml:space="preserve"> emission reporting) from over 28 years. She categorised the reporting to several classes, the dominant classes being political, technological and economic. Technological discussion dominated in the beginning (1964–68), in the middle (1980–84), and in the end (1989</w:t>
      </w:r>
      <w:r w:rsidDel="00057959">
        <w:rPr>
          <w:rFonts w:ascii="Times New Roman" w:hAnsi="Times New Roman"/>
          <w:sz w:val="24"/>
          <w:lang w:val="en-GB"/>
        </w:rPr>
        <w:t>–</w:t>
      </w:r>
      <w:r>
        <w:rPr>
          <w:rFonts w:ascii="Times New Roman" w:hAnsi="Times New Roman"/>
          <w:sz w:val="24"/>
          <w:lang w:val="en-GB"/>
        </w:rPr>
        <w:t xml:space="preserve">91) of the analysing period. Political discussion began in 1976 and it dominated the discussion toward the end (1985–88). Economic discussion was dominant in the early parts of the analysing period (1969–79). </w:t>
      </w:r>
    </w:p>
    <w:p w14:paraId="2941F873" w14:textId="74125E84" w:rsidR="00C23C7D" w:rsidRDefault="00C23C7D" w:rsidP="00572657">
      <w:pPr>
        <w:jc w:val="both"/>
        <w:rPr>
          <w:rFonts w:ascii="Times New Roman" w:hAnsi="Times New Roman"/>
          <w:sz w:val="24"/>
          <w:lang w:val="en-GB"/>
        </w:rPr>
      </w:pPr>
      <w:r>
        <w:rPr>
          <w:rFonts w:ascii="Times New Roman" w:hAnsi="Times New Roman"/>
          <w:sz w:val="24"/>
          <w:lang w:val="en-GB"/>
        </w:rPr>
        <w:t xml:space="preserve">Laine (2009) analysed 34 years of environmental reporting. He found five changing trends </w:t>
      </w:r>
      <w:r w:rsidDel="00057959">
        <w:rPr>
          <w:rFonts w:ascii="Times New Roman" w:hAnsi="Times New Roman"/>
          <w:sz w:val="24"/>
          <w:lang w:val="en-GB"/>
        </w:rPr>
        <w:t xml:space="preserve">in this </w:t>
      </w:r>
      <w:r>
        <w:rPr>
          <w:rFonts w:ascii="Times New Roman" w:hAnsi="Times New Roman"/>
          <w:sz w:val="24"/>
          <w:lang w:val="en-GB"/>
        </w:rPr>
        <w:t>time period. First (1972</w:t>
      </w:r>
      <w:r w:rsidDel="00057959">
        <w:rPr>
          <w:rFonts w:ascii="Times New Roman" w:hAnsi="Times New Roman"/>
          <w:sz w:val="24"/>
          <w:lang w:val="en-GB"/>
        </w:rPr>
        <w:t>–</w:t>
      </w:r>
      <w:r>
        <w:rPr>
          <w:rFonts w:ascii="Times New Roman" w:hAnsi="Times New Roman"/>
          <w:sz w:val="24"/>
          <w:lang w:val="en-GB"/>
        </w:rPr>
        <w:t xml:space="preserve">78), the company was open about its environmental impacts by calling them ‘problems’. Then (1979–85), the reporting style changed and the ‘problems’ disappeared: </w:t>
      </w:r>
      <w:r w:rsidDel="00057959">
        <w:rPr>
          <w:rFonts w:ascii="Times New Roman" w:hAnsi="Times New Roman"/>
          <w:sz w:val="24"/>
          <w:lang w:val="en-GB"/>
        </w:rPr>
        <w:t>t</w:t>
      </w:r>
      <w:r>
        <w:rPr>
          <w:rFonts w:ascii="Times New Roman" w:hAnsi="Times New Roman"/>
          <w:sz w:val="24"/>
          <w:lang w:val="en-GB"/>
        </w:rPr>
        <w:t>he company emphasised its actions in protecting the environment, e.g. the amount of environmental investments. Later (1986</w:t>
      </w:r>
      <w:r w:rsidDel="00057959">
        <w:rPr>
          <w:rFonts w:ascii="Times New Roman" w:hAnsi="Times New Roman"/>
          <w:sz w:val="24"/>
          <w:lang w:val="en-GB"/>
        </w:rPr>
        <w:t>–</w:t>
      </w:r>
      <w:r>
        <w:rPr>
          <w:rFonts w:ascii="Times New Roman" w:hAnsi="Times New Roman"/>
          <w:sz w:val="24"/>
          <w:lang w:val="en-GB"/>
        </w:rPr>
        <w:t>93), the reporting style was more defensive, focusing on the fact that their industry – the chemical industry – was a vital part of the economy. Then again (1993–99), the company highlighted positive aspects in environmental management, i.e. their excellence and their activities, focusing on compliance. Finally (2000–05), it linked the environmental issues with the social issues in the company’s image building, focusing less on detail</w:t>
      </w:r>
      <w:r w:rsidDel="00057959">
        <w:rPr>
          <w:rFonts w:ascii="Times New Roman" w:hAnsi="Times New Roman"/>
          <w:sz w:val="24"/>
          <w:lang w:val="en-GB"/>
        </w:rPr>
        <w:t xml:space="preserve"> and</w:t>
      </w:r>
      <w:r>
        <w:rPr>
          <w:rFonts w:ascii="Times New Roman" w:hAnsi="Times New Roman"/>
          <w:sz w:val="24"/>
          <w:lang w:val="en-GB"/>
        </w:rPr>
        <w:t xml:space="preserve"> laying more emphasis on values and benevolence. </w:t>
      </w:r>
    </w:p>
    <w:p w14:paraId="62E52599" w14:textId="106F6400" w:rsidR="00C23C7D" w:rsidRDefault="00C23C7D" w:rsidP="00572657">
      <w:pPr>
        <w:jc w:val="both"/>
        <w:rPr>
          <w:rFonts w:ascii="Times New Roman" w:hAnsi="Times New Roman"/>
          <w:sz w:val="24"/>
          <w:lang w:val="en-GB"/>
        </w:rPr>
      </w:pPr>
      <w:r>
        <w:rPr>
          <w:rFonts w:ascii="Times New Roman" w:hAnsi="Times New Roman"/>
          <w:sz w:val="24"/>
          <w:lang w:val="en-GB"/>
        </w:rPr>
        <w:t xml:space="preserve">Recently, Joensuu et al. (2015) studied the social proximity and environmental NGO (ENGO) relationships over ten years in sustainability reports. They found three trends: </w:t>
      </w:r>
      <w:r w:rsidDel="00057959">
        <w:rPr>
          <w:rFonts w:ascii="Times New Roman" w:hAnsi="Times New Roman"/>
          <w:sz w:val="24"/>
          <w:lang w:val="en-GB"/>
        </w:rPr>
        <w:t>i</w:t>
      </w:r>
      <w:r>
        <w:rPr>
          <w:rFonts w:ascii="Times New Roman" w:hAnsi="Times New Roman"/>
          <w:sz w:val="24"/>
          <w:lang w:val="en-GB"/>
        </w:rPr>
        <w:t xml:space="preserve">n the beginning (2003–06), the ENGOs were not seen as stakeholders and their social proximity was distant. Then in the middle (2007–09), the ENGOs’ role was defined in relation to sponsorship. Finally (2010–12), the stakeholders were seen as partners in cooperation. </w:t>
      </w:r>
    </w:p>
    <w:p w14:paraId="0BE045E9" w14:textId="77777777" w:rsidR="00C23C7D" w:rsidRDefault="00C23C7D" w:rsidP="00572657">
      <w:pPr>
        <w:jc w:val="both"/>
        <w:rPr>
          <w:rFonts w:ascii="Times New Roman" w:hAnsi="Times New Roman"/>
          <w:sz w:val="24"/>
          <w:lang w:val="en-GB"/>
        </w:rPr>
      </w:pPr>
    </w:p>
    <w:p w14:paraId="35E6C1A1" w14:textId="77777777" w:rsidR="00C23C7D" w:rsidRPr="00C73DC3" w:rsidRDefault="00C23C7D" w:rsidP="00D80386">
      <w:pPr>
        <w:jc w:val="both"/>
        <w:rPr>
          <w:rFonts w:ascii="Times New Roman" w:hAnsi="Times New Roman"/>
          <w:b/>
          <w:sz w:val="24"/>
          <w:lang w:val="en-GB"/>
        </w:rPr>
      </w:pPr>
      <w:r w:rsidRPr="00853B93">
        <w:rPr>
          <w:rFonts w:ascii="Times New Roman" w:hAnsi="Times New Roman"/>
          <w:b/>
          <w:sz w:val="24"/>
          <w:lang w:val="en-GB"/>
        </w:rPr>
        <w:t>3 Material and methods</w:t>
      </w:r>
      <w:r w:rsidRPr="00C73DC3">
        <w:rPr>
          <w:rFonts w:ascii="Times New Roman" w:hAnsi="Times New Roman"/>
          <w:b/>
          <w:sz w:val="24"/>
          <w:lang w:val="en-GB"/>
        </w:rPr>
        <w:t xml:space="preserve"> </w:t>
      </w:r>
    </w:p>
    <w:p w14:paraId="709F09FD" w14:textId="77777777" w:rsidR="00C23C7D" w:rsidRDefault="00C23C7D" w:rsidP="00D80386">
      <w:pPr>
        <w:jc w:val="both"/>
        <w:rPr>
          <w:rFonts w:ascii="Times New Roman" w:hAnsi="Times New Roman"/>
          <w:b/>
          <w:sz w:val="24"/>
          <w:lang w:val="en-GB"/>
        </w:rPr>
      </w:pPr>
      <w:r w:rsidRPr="000A7CC9">
        <w:rPr>
          <w:rFonts w:ascii="Times New Roman" w:hAnsi="Times New Roman"/>
          <w:b/>
          <w:sz w:val="24"/>
          <w:lang w:val="en-GB"/>
        </w:rPr>
        <w:t>3.1 Case study approach</w:t>
      </w:r>
      <w:r>
        <w:rPr>
          <w:rFonts w:ascii="Times New Roman" w:hAnsi="Times New Roman"/>
          <w:b/>
          <w:sz w:val="24"/>
          <w:lang w:val="en-GB"/>
        </w:rPr>
        <w:t xml:space="preserve"> </w:t>
      </w:r>
    </w:p>
    <w:p w14:paraId="204F1A36" w14:textId="200D6299" w:rsidR="00C23C7D" w:rsidRDefault="00C23C7D" w:rsidP="00D80386">
      <w:pPr>
        <w:jc w:val="both"/>
        <w:rPr>
          <w:rFonts w:ascii="Times New Roman" w:hAnsi="Times New Roman"/>
          <w:sz w:val="24"/>
          <w:lang w:val="en-GB"/>
        </w:rPr>
      </w:pPr>
      <w:r w:rsidRPr="00961AA7">
        <w:rPr>
          <w:rFonts w:ascii="Times New Roman" w:hAnsi="Times New Roman"/>
          <w:sz w:val="24"/>
          <w:lang w:val="en-GB"/>
        </w:rPr>
        <w:t xml:space="preserve">This research applies </w:t>
      </w:r>
      <w:r>
        <w:rPr>
          <w:rFonts w:ascii="Times New Roman" w:hAnsi="Times New Roman"/>
          <w:sz w:val="24"/>
          <w:lang w:val="en-GB"/>
        </w:rPr>
        <w:t xml:space="preserve">the </w:t>
      </w:r>
      <w:r w:rsidRPr="00961AA7">
        <w:rPr>
          <w:rFonts w:ascii="Times New Roman" w:hAnsi="Times New Roman"/>
          <w:sz w:val="24"/>
          <w:lang w:val="en-GB"/>
        </w:rPr>
        <w:t xml:space="preserve">case study approach to studying trends in indicator reporting. </w:t>
      </w:r>
      <w:r>
        <w:rPr>
          <w:rFonts w:ascii="Times New Roman" w:hAnsi="Times New Roman"/>
          <w:sz w:val="24"/>
          <w:lang w:val="en-GB"/>
        </w:rPr>
        <w:t>The c</w:t>
      </w:r>
      <w:r w:rsidRPr="00961AA7">
        <w:rPr>
          <w:rFonts w:ascii="Times New Roman" w:hAnsi="Times New Roman"/>
          <w:sz w:val="24"/>
          <w:lang w:val="en-GB"/>
        </w:rPr>
        <w:t>ase study approach is typically used when a researcher is interested in gaining a deep understanding of a phenomenon (Marby</w:t>
      </w:r>
      <w:r w:rsidR="00F358DB">
        <w:rPr>
          <w:rFonts w:ascii="Times New Roman" w:hAnsi="Times New Roman"/>
          <w:sz w:val="24"/>
          <w:lang w:val="en-GB"/>
        </w:rPr>
        <w:t>,</w:t>
      </w:r>
      <w:r w:rsidRPr="00961AA7">
        <w:rPr>
          <w:rFonts w:ascii="Times New Roman" w:hAnsi="Times New Roman"/>
          <w:sz w:val="24"/>
          <w:lang w:val="en-GB"/>
        </w:rPr>
        <w:t xml:space="preserve"> 2008). Often</w:t>
      </w:r>
      <w:r>
        <w:rPr>
          <w:rFonts w:ascii="Times New Roman" w:hAnsi="Times New Roman"/>
          <w:sz w:val="24"/>
          <w:lang w:val="en-GB"/>
        </w:rPr>
        <w:t>,</w:t>
      </w:r>
      <w:r w:rsidRPr="00961AA7">
        <w:rPr>
          <w:rFonts w:ascii="Times New Roman" w:hAnsi="Times New Roman"/>
          <w:sz w:val="24"/>
          <w:lang w:val="en-GB"/>
        </w:rPr>
        <w:t xml:space="preserve"> the aim in</w:t>
      </w:r>
      <w:r>
        <w:rPr>
          <w:rFonts w:ascii="Times New Roman" w:hAnsi="Times New Roman"/>
          <w:sz w:val="24"/>
          <w:lang w:val="en-GB"/>
        </w:rPr>
        <w:t xml:space="preserve"> a</w:t>
      </w:r>
      <w:r w:rsidRPr="00961AA7">
        <w:rPr>
          <w:rFonts w:ascii="Times New Roman" w:hAnsi="Times New Roman"/>
          <w:sz w:val="24"/>
          <w:lang w:val="en-GB"/>
        </w:rPr>
        <w:t xml:space="preserve"> case study is to generalise the results to a population (Eisenhardt</w:t>
      </w:r>
      <w:r w:rsidR="00F358DB">
        <w:rPr>
          <w:rFonts w:ascii="Times New Roman" w:hAnsi="Times New Roman"/>
          <w:sz w:val="24"/>
          <w:lang w:val="en-GB"/>
        </w:rPr>
        <w:t>,</w:t>
      </w:r>
      <w:r w:rsidRPr="00961AA7">
        <w:rPr>
          <w:rFonts w:ascii="Times New Roman" w:hAnsi="Times New Roman"/>
          <w:sz w:val="24"/>
          <w:lang w:val="en-GB"/>
        </w:rPr>
        <w:t xml:space="preserve"> 1989) or as a theory (Yin</w:t>
      </w:r>
      <w:r w:rsidR="00F358DB">
        <w:rPr>
          <w:rFonts w:ascii="Times New Roman" w:hAnsi="Times New Roman"/>
          <w:sz w:val="24"/>
          <w:lang w:val="en-GB"/>
        </w:rPr>
        <w:t>,</w:t>
      </w:r>
      <w:r w:rsidRPr="00961AA7">
        <w:rPr>
          <w:rFonts w:ascii="Times New Roman" w:hAnsi="Times New Roman"/>
          <w:sz w:val="24"/>
          <w:lang w:val="en-GB"/>
        </w:rPr>
        <w:t xml:space="preserve"> 2009). However, in this research</w:t>
      </w:r>
      <w:r>
        <w:rPr>
          <w:rFonts w:ascii="Times New Roman" w:hAnsi="Times New Roman"/>
          <w:sz w:val="24"/>
          <w:lang w:val="en-GB"/>
        </w:rPr>
        <w:t>,</w:t>
      </w:r>
      <w:r w:rsidRPr="00961AA7">
        <w:rPr>
          <w:rFonts w:ascii="Times New Roman" w:hAnsi="Times New Roman"/>
          <w:sz w:val="24"/>
          <w:lang w:val="en-GB"/>
        </w:rPr>
        <w:t xml:space="preserve"> the aim is not to generalise the results</w:t>
      </w:r>
      <w:r>
        <w:rPr>
          <w:rFonts w:ascii="Times New Roman" w:hAnsi="Times New Roman"/>
          <w:sz w:val="24"/>
          <w:lang w:val="en-GB"/>
        </w:rPr>
        <w:t>,</w:t>
      </w:r>
      <w:r w:rsidRPr="00961AA7">
        <w:rPr>
          <w:rFonts w:ascii="Times New Roman" w:hAnsi="Times New Roman"/>
          <w:sz w:val="24"/>
          <w:lang w:val="en-GB"/>
        </w:rPr>
        <w:t xml:space="preserve"> but to describe and understand the phenomena of trends of indicator reporting</w:t>
      </w:r>
      <w:r>
        <w:rPr>
          <w:rFonts w:ascii="Times New Roman" w:hAnsi="Times New Roman"/>
          <w:sz w:val="24"/>
          <w:lang w:val="en-GB"/>
        </w:rPr>
        <w:t xml:space="preserve"> in the context of the three case companies</w:t>
      </w:r>
      <w:r w:rsidRPr="00961AA7">
        <w:rPr>
          <w:rFonts w:ascii="Times New Roman" w:hAnsi="Times New Roman"/>
          <w:sz w:val="24"/>
          <w:lang w:val="en-GB"/>
        </w:rPr>
        <w:t>. In other words, this research applies</w:t>
      </w:r>
      <w:r>
        <w:rPr>
          <w:rFonts w:ascii="Times New Roman" w:hAnsi="Times New Roman"/>
          <w:sz w:val="24"/>
          <w:lang w:val="en-GB"/>
        </w:rPr>
        <w:t xml:space="preserve"> </w:t>
      </w:r>
      <w:r w:rsidRPr="00961AA7">
        <w:rPr>
          <w:rFonts w:ascii="Times New Roman" w:hAnsi="Times New Roman"/>
          <w:sz w:val="24"/>
          <w:lang w:val="en-GB"/>
        </w:rPr>
        <w:t xml:space="preserve">Stake’s (1995) view on conducting case study research. </w:t>
      </w:r>
      <w:r w:rsidRPr="00853B93">
        <w:rPr>
          <w:rFonts w:ascii="Times New Roman" w:hAnsi="Times New Roman"/>
          <w:sz w:val="24"/>
          <w:lang w:val="en-GB"/>
        </w:rPr>
        <w:t>Welch et al. (2011)</w:t>
      </w:r>
      <w:r>
        <w:rPr>
          <w:rFonts w:ascii="Times New Roman" w:hAnsi="Times New Roman"/>
          <w:sz w:val="24"/>
          <w:lang w:val="en-GB"/>
        </w:rPr>
        <w:t xml:space="preserve"> describe Stake’s approach as interpretive sensemaking where the idea is to describe the case thoroughly in order to understand it (also Stake</w:t>
      </w:r>
      <w:r w:rsidR="00F358DB">
        <w:rPr>
          <w:rFonts w:ascii="Times New Roman" w:hAnsi="Times New Roman"/>
          <w:sz w:val="24"/>
          <w:lang w:val="en-GB"/>
        </w:rPr>
        <w:t>,</w:t>
      </w:r>
      <w:r>
        <w:rPr>
          <w:rFonts w:ascii="Times New Roman" w:hAnsi="Times New Roman"/>
          <w:sz w:val="24"/>
          <w:lang w:val="en-GB"/>
        </w:rPr>
        <w:t xml:space="preserve"> 1995). </w:t>
      </w:r>
    </w:p>
    <w:p w14:paraId="15AD414B" w14:textId="3C8C5189" w:rsidR="00C23C7D" w:rsidRDefault="00C23C7D" w:rsidP="00D80386">
      <w:pPr>
        <w:jc w:val="both"/>
        <w:rPr>
          <w:rFonts w:ascii="Times New Roman" w:hAnsi="Times New Roman"/>
          <w:sz w:val="24"/>
          <w:lang w:val="en-GB"/>
        </w:rPr>
      </w:pPr>
      <w:r w:rsidRPr="00961AA7">
        <w:rPr>
          <w:rFonts w:ascii="Times New Roman" w:hAnsi="Times New Roman"/>
          <w:sz w:val="24"/>
          <w:lang w:val="en-GB"/>
        </w:rPr>
        <w:t xml:space="preserve">Although it has been common to study environmental or sustainability reporting of board samples </w:t>
      </w:r>
      <w:r>
        <w:rPr>
          <w:rFonts w:ascii="Times New Roman" w:hAnsi="Times New Roman"/>
          <w:sz w:val="24"/>
          <w:lang w:val="en-GB"/>
        </w:rPr>
        <w:t>of companies</w:t>
      </w:r>
      <w:r w:rsidRPr="00961AA7">
        <w:rPr>
          <w:rFonts w:ascii="Times New Roman" w:hAnsi="Times New Roman"/>
          <w:sz w:val="24"/>
          <w:lang w:val="en-GB"/>
        </w:rPr>
        <w:t xml:space="preserve"> (Fifka</w:t>
      </w:r>
      <w:r w:rsidR="00F358DB">
        <w:rPr>
          <w:rFonts w:ascii="Times New Roman" w:hAnsi="Times New Roman"/>
          <w:sz w:val="24"/>
          <w:lang w:val="en-GB"/>
        </w:rPr>
        <w:t>,</w:t>
      </w:r>
      <w:r w:rsidRPr="00961AA7">
        <w:rPr>
          <w:rFonts w:ascii="Times New Roman" w:hAnsi="Times New Roman"/>
          <w:sz w:val="24"/>
          <w:lang w:val="en-GB"/>
        </w:rPr>
        <w:t xml:space="preserve"> 2012), </w:t>
      </w:r>
      <w:r>
        <w:rPr>
          <w:rFonts w:ascii="Times New Roman" w:hAnsi="Times New Roman"/>
          <w:sz w:val="24"/>
          <w:lang w:val="en-GB"/>
        </w:rPr>
        <w:t>the</w:t>
      </w:r>
      <w:r w:rsidRPr="00961AA7">
        <w:rPr>
          <w:rFonts w:ascii="Times New Roman" w:hAnsi="Times New Roman"/>
          <w:sz w:val="24"/>
          <w:lang w:val="en-GB"/>
        </w:rPr>
        <w:t xml:space="preserve"> case study approach has </w:t>
      </w:r>
      <w:r>
        <w:rPr>
          <w:rFonts w:ascii="Times New Roman" w:hAnsi="Times New Roman"/>
          <w:sz w:val="24"/>
          <w:lang w:val="en-GB"/>
        </w:rPr>
        <w:t xml:space="preserve">also </w:t>
      </w:r>
      <w:r w:rsidRPr="00961AA7">
        <w:rPr>
          <w:rFonts w:ascii="Times New Roman" w:hAnsi="Times New Roman"/>
          <w:sz w:val="24"/>
          <w:lang w:val="en-GB"/>
        </w:rPr>
        <w:t xml:space="preserve">been applied to content analysis studies: for example, Lozano and Huising (2011) studied the sustainability reporting of three companies, Onkila et al. (2014) studied </w:t>
      </w:r>
      <w:r>
        <w:rPr>
          <w:rFonts w:ascii="Times New Roman" w:hAnsi="Times New Roman"/>
          <w:sz w:val="24"/>
          <w:lang w:val="en-GB"/>
        </w:rPr>
        <w:t xml:space="preserve">the </w:t>
      </w:r>
      <w:r w:rsidRPr="00961AA7">
        <w:rPr>
          <w:rFonts w:ascii="Times New Roman" w:hAnsi="Times New Roman"/>
          <w:sz w:val="24"/>
          <w:lang w:val="en-GB"/>
        </w:rPr>
        <w:t>environmental reporting of three companies, Coupland (2006) studied five banking companies’ sustainability reporting, and Toppinen and Kurki-Korhonen (2013) studied the sustainability reporting of three forest industry companies. The three largest Finnish forest industry companies were selected for this study: Stora Enso, UPM-Kymmene and Metsä Board. The forest industry in general and these companies in particular offer an interesting research topic for two main reasons.</w:t>
      </w:r>
    </w:p>
    <w:p w14:paraId="32AE8C26" w14:textId="6DD0AB87" w:rsidR="00C23C7D" w:rsidRPr="00C73DC3" w:rsidRDefault="00C23C7D" w:rsidP="00D80386">
      <w:pPr>
        <w:jc w:val="both"/>
        <w:rPr>
          <w:rFonts w:ascii="Times New Roman" w:hAnsi="Times New Roman"/>
          <w:sz w:val="24"/>
          <w:lang w:val="en-GB"/>
        </w:rPr>
      </w:pPr>
      <w:r w:rsidRPr="00C73DC3">
        <w:rPr>
          <w:rFonts w:ascii="Times New Roman" w:hAnsi="Times New Roman"/>
          <w:sz w:val="24"/>
          <w:lang w:val="en-GB"/>
        </w:rPr>
        <w:t xml:space="preserve">First, </w:t>
      </w:r>
      <w:r>
        <w:rPr>
          <w:rFonts w:ascii="Times New Roman" w:hAnsi="Times New Roman"/>
          <w:sz w:val="24"/>
          <w:lang w:val="en-GB"/>
        </w:rPr>
        <w:t>as</w:t>
      </w:r>
      <w:r w:rsidRPr="00C73DC3">
        <w:rPr>
          <w:rFonts w:ascii="Times New Roman" w:hAnsi="Times New Roman"/>
          <w:sz w:val="24"/>
          <w:lang w:val="en-GB"/>
        </w:rPr>
        <w:t xml:space="preserve"> a branch of heavy industry, the forest industry </w:t>
      </w:r>
      <w:r w:rsidDel="00057959">
        <w:rPr>
          <w:rFonts w:ascii="Times New Roman" w:hAnsi="Times New Roman"/>
          <w:sz w:val="24"/>
          <w:lang w:val="en-GB"/>
        </w:rPr>
        <w:t xml:space="preserve">has </w:t>
      </w:r>
      <w:r w:rsidRPr="00C73DC3">
        <w:rPr>
          <w:rFonts w:ascii="Times New Roman" w:hAnsi="Times New Roman"/>
          <w:sz w:val="24"/>
          <w:lang w:val="en-GB"/>
        </w:rPr>
        <w:t xml:space="preserve">many different environmental impacts. The previous literature on environmental reporting has found heavy industry to be an active reporter </w:t>
      </w:r>
      <w:r w:rsidRPr="00C73DC3">
        <w:rPr>
          <w:rFonts w:ascii="Times New Roman" w:hAnsi="Times New Roman"/>
          <w:sz w:val="24"/>
          <w:lang w:val="en-GB"/>
        </w:rPr>
        <w:fldChar w:fldCharType="begin"/>
      </w:r>
      <w:r w:rsidRPr="00C73DC3">
        <w:rPr>
          <w:rFonts w:ascii="Times New Roman" w:hAnsi="Times New Roman"/>
          <w:sz w:val="24"/>
          <w:lang w:val="en-GB"/>
        </w:rPr>
        <w:instrText>ADDIN RW.CITE{{2962 Halme,Minna 1997; 2963 Zeng,S.X. 2010}}</w:instrText>
      </w:r>
      <w:r w:rsidRPr="00C73DC3">
        <w:rPr>
          <w:rFonts w:ascii="Times New Roman" w:hAnsi="Times New Roman"/>
          <w:sz w:val="24"/>
          <w:lang w:val="en-GB"/>
        </w:rPr>
        <w:fldChar w:fldCharType="separate"/>
      </w:r>
      <w:r w:rsidR="001170AF">
        <w:rPr>
          <w:rFonts w:ascii="Times New Roman" w:hAnsi="Times New Roman"/>
          <w:sz w:val="24"/>
          <w:lang w:val="en-GB"/>
        </w:rPr>
        <w:t>(Halme and Huse, 1997;</w:t>
      </w:r>
      <w:r w:rsidRPr="00C73DC3">
        <w:rPr>
          <w:rFonts w:ascii="Times New Roman" w:hAnsi="Times New Roman"/>
          <w:sz w:val="24"/>
          <w:lang w:val="en-GB"/>
        </w:rPr>
        <w:t xml:space="preserve"> Zeng et al., 2010)</w:t>
      </w:r>
      <w:r w:rsidRPr="00C73DC3">
        <w:rPr>
          <w:rFonts w:ascii="Times New Roman" w:hAnsi="Times New Roman"/>
          <w:sz w:val="24"/>
          <w:lang w:val="en-GB"/>
        </w:rPr>
        <w:fldChar w:fldCharType="end"/>
      </w:r>
      <w:r w:rsidRPr="00C73DC3">
        <w:rPr>
          <w:rFonts w:ascii="Times New Roman" w:hAnsi="Times New Roman"/>
          <w:sz w:val="24"/>
          <w:lang w:val="en-GB"/>
        </w:rPr>
        <w:t xml:space="preserve">. This is also true of the Finnish forest industry, as </w:t>
      </w:r>
      <w:r>
        <w:rPr>
          <w:rFonts w:ascii="Times New Roman" w:hAnsi="Times New Roman"/>
          <w:sz w:val="24"/>
          <w:lang w:val="en-GB"/>
        </w:rPr>
        <w:t>it</w:t>
      </w:r>
      <w:r w:rsidRPr="00C73DC3">
        <w:rPr>
          <w:rFonts w:ascii="Times New Roman" w:hAnsi="Times New Roman"/>
          <w:sz w:val="24"/>
          <w:lang w:val="en-GB"/>
        </w:rPr>
        <w:t xml:space="preserve"> </w:t>
      </w:r>
      <w:r>
        <w:rPr>
          <w:rFonts w:ascii="Times New Roman" w:hAnsi="Times New Roman"/>
          <w:sz w:val="24"/>
          <w:lang w:val="en-GB"/>
        </w:rPr>
        <w:t>was</w:t>
      </w:r>
      <w:r w:rsidRPr="00C73DC3">
        <w:rPr>
          <w:rFonts w:ascii="Times New Roman" w:hAnsi="Times New Roman"/>
          <w:sz w:val="24"/>
          <w:lang w:val="en-GB"/>
        </w:rPr>
        <w:t xml:space="preserve"> among the early environmental reporters, especially Metsä Board’s predecessor, which started environmental reporting in the early 1990s </w:t>
      </w:r>
      <w:r w:rsidRPr="00C73DC3">
        <w:rPr>
          <w:rFonts w:ascii="Times New Roman" w:hAnsi="Times New Roman"/>
          <w:sz w:val="24"/>
          <w:lang w:val="en-GB"/>
        </w:rPr>
        <w:fldChar w:fldCharType="begin"/>
      </w:r>
      <w:r w:rsidRPr="00C73DC3">
        <w:rPr>
          <w:rFonts w:ascii="Times New Roman" w:hAnsi="Times New Roman"/>
          <w:sz w:val="24"/>
          <w:lang w:val="en-GB"/>
        </w:rPr>
        <w:instrText>ADDIN RW.CITE{{603 Lovio,Raimo 2004}}</w:instrText>
      </w:r>
      <w:r w:rsidRPr="00C73DC3">
        <w:rPr>
          <w:rFonts w:ascii="Times New Roman" w:hAnsi="Times New Roman"/>
          <w:sz w:val="24"/>
          <w:lang w:val="en-GB"/>
        </w:rPr>
        <w:fldChar w:fldCharType="separate"/>
      </w:r>
      <w:r w:rsidRPr="00C73DC3">
        <w:rPr>
          <w:rFonts w:ascii="Times New Roman" w:hAnsi="Times New Roman"/>
          <w:sz w:val="24"/>
          <w:lang w:val="en-GB"/>
        </w:rPr>
        <w:t>(Lovio and Kuisma, 2004)</w:t>
      </w:r>
      <w:r w:rsidRPr="00C73DC3">
        <w:rPr>
          <w:rFonts w:ascii="Times New Roman" w:hAnsi="Times New Roman"/>
          <w:sz w:val="24"/>
          <w:lang w:val="en-GB"/>
        </w:rPr>
        <w:fldChar w:fldCharType="end"/>
      </w:r>
      <w:r w:rsidRPr="00C73DC3">
        <w:rPr>
          <w:rFonts w:ascii="Times New Roman" w:hAnsi="Times New Roman"/>
          <w:sz w:val="24"/>
          <w:lang w:val="en-GB"/>
        </w:rPr>
        <w:t xml:space="preserve">. All of these companies have a long tradition of environmental reporting. Stora Enso has been publishing environmental reports since 1998, but its predecessor companies published environmental reports even before the fusion. In the case of UPM-Kymmene, the 1998 environmental report was the fourth environmental report published by the company. The Metsä Group published its first corporation-wide sustainability report in 2006, but the corporation’s companies have published separate environmental or sustainability reports for much longer. For instance, Metsä Board’s 1998 report was its seventh environmental report. </w:t>
      </w:r>
    </w:p>
    <w:p w14:paraId="6D436698" w14:textId="5C837C45" w:rsidR="00C23C7D" w:rsidRPr="00C73DC3" w:rsidRDefault="00C23C7D" w:rsidP="00D80386">
      <w:pPr>
        <w:jc w:val="both"/>
        <w:rPr>
          <w:lang w:val="en-GB"/>
        </w:rPr>
      </w:pPr>
      <w:r w:rsidRPr="00C73DC3">
        <w:rPr>
          <w:rFonts w:ascii="Times New Roman" w:hAnsi="Times New Roman"/>
          <w:sz w:val="24"/>
          <w:lang w:val="en-GB"/>
        </w:rPr>
        <w:t>Second, the three selected companies are significant players in the forest industry</w:t>
      </w:r>
      <w:r>
        <w:rPr>
          <w:rFonts w:ascii="Times New Roman" w:hAnsi="Times New Roman"/>
          <w:sz w:val="24"/>
          <w:lang w:val="en-GB"/>
        </w:rPr>
        <w:t>,</w:t>
      </w:r>
      <w:r w:rsidRPr="00C73DC3">
        <w:rPr>
          <w:rFonts w:ascii="Times New Roman" w:hAnsi="Times New Roman"/>
          <w:sz w:val="24"/>
          <w:lang w:val="en-GB"/>
        </w:rPr>
        <w:t xml:space="preserve"> both inside and outside Finland. They also constitute the majority of forest industry sites and production in Finland, covering over 90% of pulp production and over 80% of paper and board production in Finland </w:t>
      </w:r>
      <w:r w:rsidRPr="00C73DC3">
        <w:rPr>
          <w:rFonts w:ascii="Times New Roman" w:hAnsi="Times New Roman"/>
          <w:sz w:val="24"/>
          <w:lang w:val="en-GB"/>
        </w:rPr>
        <w:fldChar w:fldCharType="begin"/>
      </w:r>
      <w:r w:rsidRPr="00C73DC3">
        <w:rPr>
          <w:rFonts w:ascii="Times New Roman" w:hAnsi="Times New Roman"/>
          <w:sz w:val="24"/>
          <w:lang w:val="en-GB"/>
        </w:rPr>
        <w:instrText>ADDIN RW.CITE{{2964 FinnishForestIndustriesFederation 2013}}</w:instrText>
      </w:r>
      <w:r w:rsidRPr="00C73DC3">
        <w:rPr>
          <w:rFonts w:ascii="Times New Roman" w:hAnsi="Times New Roman"/>
          <w:sz w:val="24"/>
          <w:lang w:val="en-GB"/>
        </w:rPr>
        <w:fldChar w:fldCharType="separate"/>
      </w:r>
      <w:r w:rsidRPr="00C73DC3">
        <w:rPr>
          <w:rFonts w:ascii="Times New Roman" w:hAnsi="Times New Roman"/>
          <w:sz w:val="24"/>
          <w:lang w:val="en-GB"/>
        </w:rPr>
        <w:t>(Finnish Forest Industries Federation, 2013b)</w:t>
      </w:r>
      <w:r w:rsidRPr="00C73DC3">
        <w:rPr>
          <w:rFonts w:ascii="Times New Roman" w:hAnsi="Times New Roman"/>
          <w:sz w:val="24"/>
          <w:lang w:val="en-GB"/>
        </w:rPr>
        <w:fldChar w:fldCharType="end"/>
      </w:r>
      <w:r w:rsidRPr="00C73DC3">
        <w:rPr>
          <w:rFonts w:ascii="Times New Roman" w:hAnsi="Times New Roman"/>
          <w:sz w:val="24"/>
          <w:lang w:val="en-GB"/>
        </w:rPr>
        <w:t>.</w:t>
      </w:r>
      <w:r w:rsidRPr="00C73DC3">
        <w:rPr>
          <w:lang w:val="en-GB"/>
        </w:rPr>
        <w:t xml:space="preserve"> </w:t>
      </w:r>
      <w:r w:rsidRPr="00C73DC3">
        <w:rPr>
          <w:rFonts w:ascii="Times New Roman" w:hAnsi="Times New Roman"/>
          <w:sz w:val="24"/>
          <w:lang w:val="en-GB"/>
        </w:rPr>
        <w:t xml:space="preserve">Other companies operating in Finland are typically small and operate only one or a few mills. Due </w:t>
      </w:r>
      <w:r>
        <w:rPr>
          <w:rFonts w:ascii="Times New Roman" w:hAnsi="Times New Roman"/>
          <w:sz w:val="24"/>
          <w:lang w:val="en-GB"/>
        </w:rPr>
        <w:t>to</w:t>
      </w:r>
      <w:r w:rsidRPr="00C73DC3">
        <w:rPr>
          <w:rFonts w:ascii="Times New Roman" w:hAnsi="Times New Roman"/>
          <w:sz w:val="24"/>
          <w:lang w:val="en-GB"/>
        </w:rPr>
        <w:t xml:space="preserve"> their size, they do not publish environmental reports</w:t>
      </w:r>
      <w:r>
        <w:rPr>
          <w:rFonts w:ascii="Times New Roman" w:hAnsi="Times New Roman"/>
          <w:sz w:val="24"/>
          <w:lang w:val="en-GB"/>
        </w:rPr>
        <w:t xml:space="preserve"> or have not published environmental reports for enough years to enable a longitudinal analysis</w:t>
      </w:r>
      <w:r w:rsidRPr="00C73DC3">
        <w:rPr>
          <w:rFonts w:ascii="Times New Roman" w:hAnsi="Times New Roman"/>
          <w:sz w:val="24"/>
          <w:lang w:val="en-GB"/>
        </w:rPr>
        <w:t xml:space="preserve">. For that reason, they are excluded from this analysis. In Europe, Stora Enso was the largest forest industry company by sales in 2012, UPM-Kymmene was the second </w:t>
      </w:r>
      <w:r>
        <w:rPr>
          <w:rFonts w:ascii="Times New Roman" w:hAnsi="Times New Roman"/>
          <w:sz w:val="24"/>
          <w:lang w:val="en-GB"/>
        </w:rPr>
        <w:t xml:space="preserve">largest </w:t>
      </w:r>
      <w:r w:rsidRPr="00C73DC3">
        <w:rPr>
          <w:rFonts w:ascii="Times New Roman" w:hAnsi="Times New Roman"/>
          <w:sz w:val="24"/>
          <w:lang w:val="en-GB"/>
        </w:rPr>
        <w:t xml:space="preserve">and Metsä Group the sixth </w:t>
      </w:r>
      <w:r w:rsidRPr="00C73DC3">
        <w:rPr>
          <w:rFonts w:ascii="Times New Roman" w:hAnsi="Times New Roman"/>
          <w:sz w:val="24"/>
          <w:lang w:val="en-GB"/>
        </w:rPr>
        <w:fldChar w:fldCharType="begin"/>
      </w:r>
      <w:r w:rsidRPr="00C73DC3">
        <w:rPr>
          <w:rFonts w:ascii="Times New Roman" w:hAnsi="Times New Roman"/>
          <w:sz w:val="24"/>
          <w:lang w:val="en-GB"/>
        </w:rPr>
        <w:instrText>ADDIN RW.CITE{{2927 FinnishForestIndustriesFederation 2013}}</w:instrText>
      </w:r>
      <w:r w:rsidRPr="00C73DC3">
        <w:rPr>
          <w:rFonts w:ascii="Times New Roman" w:hAnsi="Times New Roman"/>
          <w:sz w:val="24"/>
          <w:lang w:val="en-GB"/>
        </w:rPr>
        <w:fldChar w:fldCharType="separate"/>
      </w:r>
      <w:r w:rsidRPr="00C73DC3">
        <w:rPr>
          <w:rFonts w:ascii="Times New Roman" w:hAnsi="Times New Roman"/>
          <w:sz w:val="24"/>
          <w:lang w:val="en-GB"/>
        </w:rPr>
        <w:t>(Finnish Forest Industries Federation, 2013a)</w:t>
      </w:r>
      <w:r w:rsidRPr="00C73DC3">
        <w:rPr>
          <w:rFonts w:ascii="Times New Roman" w:hAnsi="Times New Roman"/>
          <w:sz w:val="24"/>
          <w:lang w:val="en-GB"/>
        </w:rPr>
        <w:fldChar w:fldCharType="end"/>
      </w:r>
      <w:r w:rsidRPr="00C73DC3">
        <w:rPr>
          <w:rFonts w:ascii="Times New Roman" w:hAnsi="Times New Roman"/>
          <w:sz w:val="24"/>
          <w:lang w:val="en-GB"/>
        </w:rPr>
        <w:t>. On a global scale, Stora Enso and UPM-Kymmene were the fifth</w:t>
      </w:r>
      <w:r>
        <w:rPr>
          <w:rFonts w:ascii="Times New Roman" w:hAnsi="Times New Roman"/>
          <w:sz w:val="24"/>
          <w:lang w:val="en-GB"/>
        </w:rPr>
        <w:t>-</w:t>
      </w:r>
      <w:r w:rsidRPr="00C73DC3">
        <w:rPr>
          <w:rFonts w:ascii="Times New Roman" w:hAnsi="Times New Roman"/>
          <w:sz w:val="24"/>
          <w:lang w:val="en-GB"/>
        </w:rPr>
        <w:t xml:space="preserve"> and the sixth</w:t>
      </w:r>
      <w:r>
        <w:rPr>
          <w:rFonts w:ascii="Times New Roman" w:hAnsi="Times New Roman"/>
          <w:sz w:val="24"/>
          <w:lang w:val="en-GB"/>
        </w:rPr>
        <w:t>-</w:t>
      </w:r>
      <w:r w:rsidRPr="00C73DC3">
        <w:rPr>
          <w:rFonts w:ascii="Times New Roman" w:hAnsi="Times New Roman"/>
          <w:sz w:val="24"/>
          <w:lang w:val="en-GB"/>
        </w:rPr>
        <w:t xml:space="preserve">largest companies, respectively. Metsä Group is not among the ten largest companies </w:t>
      </w:r>
      <w:r w:rsidRPr="00C73DC3">
        <w:rPr>
          <w:rFonts w:ascii="Times New Roman" w:hAnsi="Times New Roman"/>
          <w:sz w:val="24"/>
          <w:lang w:val="en-GB"/>
        </w:rPr>
        <w:fldChar w:fldCharType="begin"/>
      </w:r>
      <w:r w:rsidRPr="00C73DC3">
        <w:rPr>
          <w:rFonts w:ascii="Times New Roman" w:hAnsi="Times New Roman"/>
          <w:sz w:val="24"/>
          <w:lang w:val="en-GB"/>
        </w:rPr>
        <w:instrText>ADDIN RW.CITE{{2927 FinnishForestIndustriesFederation 2013}}</w:instrText>
      </w:r>
      <w:r w:rsidRPr="00C73DC3">
        <w:rPr>
          <w:rFonts w:ascii="Times New Roman" w:hAnsi="Times New Roman"/>
          <w:sz w:val="24"/>
          <w:lang w:val="en-GB"/>
        </w:rPr>
        <w:fldChar w:fldCharType="separate"/>
      </w:r>
      <w:r w:rsidRPr="00C73DC3">
        <w:rPr>
          <w:rFonts w:ascii="Times New Roman" w:hAnsi="Times New Roman"/>
          <w:sz w:val="24"/>
          <w:lang w:val="en-GB"/>
        </w:rPr>
        <w:t>(Finnish Forest Industries Federation, 2013a)</w:t>
      </w:r>
      <w:r w:rsidRPr="00C73DC3">
        <w:rPr>
          <w:rFonts w:ascii="Times New Roman" w:hAnsi="Times New Roman"/>
          <w:sz w:val="24"/>
          <w:lang w:val="en-GB"/>
        </w:rPr>
        <w:fldChar w:fldCharType="end"/>
      </w:r>
      <w:r w:rsidRPr="00C73DC3">
        <w:rPr>
          <w:rFonts w:ascii="Times New Roman" w:hAnsi="Times New Roman"/>
          <w:sz w:val="24"/>
          <w:lang w:val="en-GB"/>
        </w:rPr>
        <w:t>.</w:t>
      </w:r>
    </w:p>
    <w:p w14:paraId="4DC3B86C" w14:textId="77777777" w:rsidR="00C23C7D" w:rsidRPr="00C73DC3" w:rsidRDefault="00C23C7D" w:rsidP="00D80386">
      <w:pPr>
        <w:pStyle w:val="bodyofthetext"/>
      </w:pPr>
      <w:r w:rsidRPr="00C73DC3">
        <w:t xml:space="preserve">All of the case companies are </w:t>
      </w:r>
      <w:r>
        <w:t xml:space="preserve">the </w:t>
      </w:r>
      <w:r w:rsidRPr="00C73DC3">
        <w:t>result of mergers and are now multinational companies with their headquarters in Finland. Stora Enso was established in 1998 after the merger of Enso Oyj, a Finnish company, and Stora Kopparbergs Bergslags AB, a Swedish company. Today</w:t>
      </w:r>
      <w:r>
        <w:t>,</w:t>
      </w:r>
      <w:r w:rsidRPr="00C73DC3">
        <w:t xml:space="preserve"> Stora Enso operates in more than 35 countries. UPM-Kymmene was formed in 1995 from two Finnish corporations: Kymmene Corporation and Repola Ltd</w:t>
      </w:r>
      <w:r>
        <w:t>.</w:t>
      </w:r>
      <w:r w:rsidRPr="00C73DC3">
        <w:t xml:space="preserve"> and its subsidiary</w:t>
      </w:r>
      <w:r>
        <w:t>,</w:t>
      </w:r>
      <w:r w:rsidRPr="00C73DC3">
        <w:t xml:space="preserve"> United Paper Mills Ltd. Today, UPM-Kymmene operates in 45 countries. Metsä Board was established in 2012 when the Finnish company called M-real (previously Metsä-Serla) changed its name to Metsä Board. Metsä Board is part of a larger corporation called the Metsä Group. Metsä Board operates in three European countries and Metsä Group in about 30 countries. </w:t>
      </w:r>
    </w:p>
    <w:p w14:paraId="6886F3F4" w14:textId="0EBFCC47" w:rsidR="00C23C7D" w:rsidRPr="00C73DC3" w:rsidRDefault="00C23C7D" w:rsidP="00D80386">
      <w:pPr>
        <w:pStyle w:val="bodyofthetext"/>
      </w:pPr>
      <w:r w:rsidRPr="00C73DC3">
        <w:t xml:space="preserve">From the point of view of environmental management, there are only minor differences between these companies. Metsä Board has an ISO 14001 certification </w:t>
      </w:r>
      <w:r>
        <w:t>for</w:t>
      </w:r>
      <w:r w:rsidRPr="00C73DC3">
        <w:t xml:space="preserve"> all sites, whereas the ISO 14001 certification percentage in Stora Enso and UPM-Kymmene is about the same, around 90%. Stora Enso and Metsä Board do not </w:t>
      </w:r>
      <w:r>
        <w:t xml:space="preserve">disclose </w:t>
      </w:r>
      <w:r w:rsidRPr="00C73DC3">
        <w:t xml:space="preserve">figures </w:t>
      </w:r>
      <w:r>
        <w:t>related to</w:t>
      </w:r>
      <w:r w:rsidRPr="00C73DC3">
        <w:t xml:space="preserve"> EMAS certifications. UPM-Kymmene, however, is actively promoting EMAS registration and is also currently registering the sites outside Europe accordingly. Regarding the </w:t>
      </w:r>
      <w:r w:rsidRPr="00C73DC3" w:rsidDel="00057959">
        <w:t>C</w:t>
      </w:r>
      <w:r w:rsidRPr="00C73DC3">
        <w:t>hain of</w:t>
      </w:r>
      <w:r w:rsidRPr="00C73DC3" w:rsidDel="00057959">
        <w:t xml:space="preserve"> C</w:t>
      </w:r>
      <w:r w:rsidRPr="00C73DC3">
        <w:t xml:space="preserve">ustody </w:t>
      </w:r>
      <w:r w:rsidRPr="00C73DC3" w:rsidDel="00057959">
        <w:t>C</w:t>
      </w:r>
      <w:r w:rsidRPr="00C73DC3">
        <w:t xml:space="preserve">ertification (both FSC and PECF), Metsä Board has registered all </w:t>
      </w:r>
      <w:r>
        <w:t xml:space="preserve">of </w:t>
      </w:r>
      <w:r w:rsidRPr="00C73DC3">
        <w:t>its sites, UPM-Kymmene about 90% and Stora Enso about 60% of the sites.</w:t>
      </w:r>
    </w:p>
    <w:p w14:paraId="1C49C6FD" w14:textId="77777777" w:rsidR="00C23C7D" w:rsidRDefault="00C23C7D" w:rsidP="00B52B88">
      <w:pPr>
        <w:jc w:val="both"/>
        <w:rPr>
          <w:rFonts w:ascii="Times New Roman" w:hAnsi="Times New Roman"/>
          <w:b/>
          <w:sz w:val="24"/>
          <w:lang w:val="en-GB"/>
        </w:rPr>
      </w:pPr>
      <w:r w:rsidRPr="00C73DC3">
        <w:rPr>
          <w:rFonts w:ascii="Times New Roman" w:hAnsi="Times New Roman"/>
          <w:b/>
          <w:sz w:val="24"/>
          <w:lang w:val="en-GB"/>
        </w:rPr>
        <w:t>3</w:t>
      </w:r>
      <w:r>
        <w:rPr>
          <w:rFonts w:ascii="Times New Roman" w:hAnsi="Times New Roman"/>
          <w:b/>
          <w:sz w:val="24"/>
          <w:lang w:val="en-GB"/>
        </w:rPr>
        <w:t>.2</w:t>
      </w:r>
      <w:r w:rsidRPr="00C73DC3">
        <w:rPr>
          <w:rFonts w:ascii="Times New Roman" w:hAnsi="Times New Roman"/>
          <w:b/>
          <w:sz w:val="24"/>
          <w:lang w:val="en-GB"/>
        </w:rPr>
        <w:t xml:space="preserve"> The analysed reports</w:t>
      </w:r>
    </w:p>
    <w:p w14:paraId="5563883D" w14:textId="62AE93B8" w:rsidR="00C23C7D" w:rsidRPr="00C73DC3" w:rsidRDefault="00C23C7D" w:rsidP="00B52B88">
      <w:pPr>
        <w:pStyle w:val="bodyofthetext"/>
      </w:pPr>
      <w:r w:rsidRPr="00C73DC3">
        <w:t>The analysis presented in this article was based on 15 years of environmental reporting of the case companies. The 15-year period from 1998</w:t>
      </w:r>
      <w:r>
        <w:t xml:space="preserve"> to </w:t>
      </w:r>
      <w:r w:rsidRPr="00C73DC3">
        <w:t xml:space="preserve">2012 was selected in order to gain a better view of possible changes in reporting practices. There were two main reasons for beginning the analysis </w:t>
      </w:r>
      <w:r>
        <w:t>in</w:t>
      </w:r>
      <w:r w:rsidRPr="00C73DC3">
        <w:t xml:space="preserve"> the year 1998. First, this allowed reports labelled as ‘environmental reports’ to be included in the sample from each company, as an analysis of 10 years would have covered only CSR and annual reports from Stora Enso and UPM-Kymmene. Second, in 1998</w:t>
      </w:r>
      <w:r>
        <w:t>,</w:t>
      </w:r>
      <w:r w:rsidRPr="00C73DC3">
        <w:t xml:space="preserve"> Stora Enso began to publish environmental reports (the predecessor companies of Stora Enso published individual reports in 1997). For each year, the main environmental report was selected for analysis. This means that not every report published by the case companies during the time</w:t>
      </w:r>
      <w:r>
        <w:t xml:space="preserve"> </w:t>
      </w:r>
      <w:r w:rsidRPr="00C73DC3">
        <w:t>frame was selected for analysis</w:t>
      </w:r>
      <w:r>
        <w:t>; for example,</w:t>
      </w:r>
      <w:r w:rsidRPr="00C73DC3">
        <w:t xml:space="preserve"> annual reports were mostly excluded, even if they contained some environmental information. Also, websites about sustainability were excluded from the analysis because the material they offer is not </w:t>
      </w:r>
      <w:r>
        <w:t xml:space="preserve">suitable </w:t>
      </w:r>
      <w:r w:rsidRPr="00C73DC3">
        <w:t>for historical analysis due to constant updates. Altogether, 45 reports were used for the analysis. A short description of the reports is provided below.</w:t>
      </w:r>
    </w:p>
    <w:p w14:paraId="666E6C11" w14:textId="5E7CCC49" w:rsidR="00C23C7D" w:rsidRPr="00C73DC3" w:rsidRDefault="00C23C7D" w:rsidP="00B52B88">
      <w:pPr>
        <w:pStyle w:val="bodyofthetext"/>
      </w:pPr>
      <w:r w:rsidRPr="00C73DC3">
        <w:t>Stora Enso’s environmental reports from 1998</w:t>
      </w:r>
      <w:r>
        <w:t xml:space="preserve"> to </w:t>
      </w:r>
      <w:r w:rsidRPr="00C73DC3">
        <w:t>2012 are publicly available on the company’s English web</w:t>
      </w:r>
      <w:r w:rsidRPr="00C73DC3" w:rsidDel="00057959">
        <w:t>site</w:t>
      </w:r>
      <w:r w:rsidRPr="00C73DC3">
        <w:t xml:space="preserve"> </w:t>
      </w:r>
      <w:r w:rsidR="00BB7FF4">
        <w:fldChar w:fldCharType="begin"/>
      </w:r>
      <w:r w:rsidR="00BB7FF4">
        <w:instrText>ADDIN RW.CITE{{514 Stora Enso 2009}}</w:instrText>
      </w:r>
      <w:r w:rsidR="00BB7FF4">
        <w:fldChar w:fldCharType="separate"/>
      </w:r>
      <w:r w:rsidRPr="00C73DC3">
        <w:t>(Stora Enso, 2013)</w:t>
      </w:r>
      <w:r w:rsidR="00BB7FF4">
        <w:fldChar w:fldCharType="end"/>
      </w:r>
      <w:r w:rsidRPr="00C73DC3">
        <w:t>. From 1998</w:t>
      </w:r>
      <w:r>
        <w:t xml:space="preserve"> to </w:t>
      </w:r>
      <w:r w:rsidRPr="00C73DC3">
        <w:t>2002, they were presented as CERs, from 2003</w:t>
      </w:r>
      <w:r>
        <w:t xml:space="preserve"> to </w:t>
      </w:r>
      <w:r w:rsidRPr="00C73DC3">
        <w:t xml:space="preserve">2006 as sustainability reports, and in 2007 as an annual report. </w:t>
      </w:r>
      <w:r w:rsidRPr="00C73DC3" w:rsidDel="00057959">
        <w:t>F</w:t>
      </w:r>
      <w:r w:rsidRPr="00C73DC3">
        <w:t xml:space="preserve">rom 2008 onward, Stora Enso published sustainability reports again. </w:t>
      </w:r>
    </w:p>
    <w:p w14:paraId="3534B533" w14:textId="11706497" w:rsidR="00C23C7D" w:rsidRPr="00C73DC3" w:rsidRDefault="00C23C7D" w:rsidP="00B52B88">
      <w:pPr>
        <w:pStyle w:val="bodyofthetext"/>
      </w:pPr>
      <w:r w:rsidRPr="00C73DC3">
        <w:t>Since 1999, UPM-Kymmene’s reports have been available in English</w:t>
      </w:r>
      <w:r w:rsidRPr="00C73DC3" w:rsidDel="00C0373F">
        <w:t xml:space="preserve"> </w:t>
      </w:r>
      <w:r w:rsidRPr="00C73DC3">
        <w:t xml:space="preserve">on </w:t>
      </w:r>
      <w:r>
        <w:t xml:space="preserve">the company’s </w:t>
      </w:r>
      <w:r w:rsidRPr="00C73DC3">
        <w:t xml:space="preserve">website </w:t>
      </w:r>
      <w:r w:rsidR="00BB7FF4">
        <w:fldChar w:fldCharType="begin"/>
      </w:r>
      <w:r w:rsidR="00BB7FF4">
        <w:instrText>ADDIN RW.CITE{{515 UPM-Kymmene 2009}}</w:instrText>
      </w:r>
      <w:r w:rsidR="00BB7FF4">
        <w:fldChar w:fldCharType="separate"/>
      </w:r>
      <w:r w:rsidRPr="00C73DC3">
        <w:t>(UPM-Kymmene, 2013)</w:t>
      </w:r>
      <w:r w:rsidR="00BB7FF4">
        <w:fldChar w:fldCharType="end"/>
      </w:r>
      <w:r w:rsidRPr="00C73DC3">
        <w:t xml:space="preserve">. The 1998 report was ordered from the company and is </w:t>
      </w:r>
      <w:r>
        <w:t xml:space="preserve">published </w:t>
      </w:r>
      <w:r w:rsidRPr="00C73DC3">
        <w:t>in Finnish. From 1998</w:t>
      </w:r>
      <w:r>
        <w:t xml:space="preserve"> to </w:t>
      </w:r>
      <w:r w:rsidRPr="00C73DC3">
        <w:t>2001, the main environmental report for UPM-Kymmene was published as a CER. From 2002</w:t>
      </w:r>
      <w:r>
        <w:t xml:space="preserve"> to </w:t>
      </w:r>
      <w:r w:rsidRPr="00C73DC3">
        <w:t xml:space="preserve">2006, they published a sustainability report. From 2007 onward, they included environmental issues in their annual report. </w:t>
      </w:r>
    </w:p>
    <w:p w14:paraId="42182405" w14:textId="7C057711" w:rsidR="00C23C7D" w:rsidRPr="00C73DC3" w:rsidRDefault="00C23C7D" w:rsidP="00B52B88">
      <w:pPr>
        <w:pStyle w:val="bodyofthetext"/>
      </w:pPr>
      <w:r w:rsidRPr="00C73DC3">
        <w:t xml:space="preserve">Metsä Board’s (formerly </w:t>
      </w:r>
      <w:r>
        <w:t>‘</w:t>
      </w:r>
      <w:r w:rsidRPr="00C73DC3">
        <w:t>Metsä-Serla</w:t>
      </w:r>
      <w:r>
        <w:t>’</w:t>
      </w:r>
      <w:r w:rsidRPr="00C73DC3">
        <w:t xml:space="preserve"> until April 2001 and </w:t>
      </w:r>
      <w:r>
        <w:t>‘</w:t>
      </w:r>
      <w:r w:rsidRPr="00C73DC3">
        <w:t>M-real</w:t>
      </w:r>
      <w:r>
        <w:t>’</w:t>
      </w:r>
      <w:r w:rsidRPr="00C73DC3">
        <w:t xml:space="preserve"> until March 2012) environmental reports have been available in English on </w:t>
      </w:r>
      <w:r>
        <w:t>its</w:t>
      </w:r>
      <w:r w:rsidRPr="00C73DC3">
        <w:t xml:space="preserve"> corporate website </w:t>
      </w:r>
      <w:r w:rsidR="00BB7FF4">
        <w:fldChar w:fldCharType="begin"/>
      </w:r>
      <w:r w:rsidR="00BB7FF4">
        <w:instrText>ADDIN RW.CITE{{516 M-real 2009}}</w:instrText>
      </w:r>
      <w:r w:rsidR="00BB7FF4">
        <w:fldChar w:fldCharType="separate"/>
      </w:r>
      <w:r w:rsidRPr="00C73DC3">
        <w:t>(Metsä Board, 2013)</w:t>
      </w:r>
      <w:r w:rsidR="00BB7FF4">
        <w:fldChar w:fldCharType="end"/>
      </w:r>
      <w:r w:rsidRPr="00C73DC3">
        <w:t xml:space="preserve"> from 2001 onward. The earlier reports (1998</w:t>
      </w:r>
      <w:r w:rsidDel="00057959">
        <w:t>–</w:t>
      </w:r>
      <w:r w:rsidRPr="00C73DC3">
        <w:t xml:space="preserve">2000) were ordered from the company and </w:t>
      </w:r>
      <w:r>
        <w:t>published</w:t>
      </w:r>
      <w:r w:rsidRPr="00C73DC3">
        <w:t xml:space="preserve"> in Finnish. From 1998</w:t>
      </w:r>
      <w:r>
        <w:t xml:space="preserve"> to </w:t>
      </w:r>
      <w:r w:rsidRPr="00C73DC3">
        <w:t>2003, Metsä Board published a CER. In 2004 and 2005, the</w:t>
      </w:r>
      <w:r>
        <w:t xml:space="preserve"> company</w:t>
      </w:r>
      <w:r w:rsidRPr="00C73DC3">
        <w:t xml:space="preserve"> published a sustainability report. From 2006 onward, Metsä Board published annual reports that also included environmental issues. </w:t>
      </w:r>
    </w:p>
    <w:p w14:paraId="332A9A06" w14:textId="77777777" w:rsidR="00C23C7D" w:rsidRPr="00C73DC3" w:rsidRDefault="00C23C7D" w:rsidP="00B52B88">
      <w:pPr>
        <w:jc w:val="both"/>
        <w:rPr>
          <w:rFonts w:ascii="Times New Roman" w:hAnsi="Times New Roman"/>
          <w:b/>
          <w:sz w:val="24"/>
          <w:lang w:val="en-GB"/>
        </w:rPr>
      </w:pPr>
      <w:r w:rsidRPr="00C73DC3">
        <w:rPr>
          <w:rFonts w:ascii="Times New Roman" w:hAnsi="Times New Roman"/>
          <w:b/>
          <w:sz w:val="24"/>
          <w:lang w:val="en-GB"/>
        </w:rPr>
        <w:t>3.</w:t>
      </w:r>
      <w:r>
        <w:rPr>
          <w:rFonts w:ascii="Times New Roman" w:hAnsi="Times New Roman"/>
          <w:b/>
          <w:sz w:val="24"/>
          <w:lang w:val="en-GB"/>
        </w:rPr>
        <w:t>3</w:t>
      </w:r>
      <w:r w:rsidRPr="00C73DC3">
        <w:rPr>
          <w:rFonts w:ascii="Times New Roman" w:hAnsi="Times New Roman"/>
          <w:b/>
          <w:sz w:val="24"/>
          <w:lang w:val="en-GB"/>
        </w:rPr>
        <w:t xml:space="preserve"> Content analysis</w:t>
      </w:r>
    </w:p>
    <w:p w14:paraId="0463B997" w14:textId="192653FA" w:rsidR="00C23C7D" w:rsidRDefault="00C23C7D" w:rsidP="00B52B88">
      <w:pPr>
        <w:pStyle w:val="bodyofthetext"/>
      </w:pPr>
      <w:r w:rsidRPr="00C73DC3">
        <w:t xml:space="preserve">Content analysis method was applied in this research. According to Krippendorff </w:t>
      </w:r>
      <w:r w:rsidR="00BB7FF4">
        <w:fldChar w:fldCharType="begin"/>
      </w:r>
      <w:r w:rsidR="00BB7FF4">
        <w:instrText>ADDIN RW.CITE{{2829 Krippendorff,Klaus 2004 /a}}</w:instrText>
      </w:r>
      <w:r w:rsidR="00BB7FF4">
        <w:fldChar w:fldCharType="separate"/>
      </w:r>
      <w:r w:rsidRPr="00C73DC3">
        <w:t>(2004)</w:t>
      </w:r>
      <w:r w:rsidR="00BB7FF4">
        <w:fldChar w:fldCharType="end"/>
      </w:r>
      <w:r w:rsidRPr="00C73DC3">
        <w:t>, content analysis is a process of making replicable and valid conclusions from the analysis of a given text</w:t>
      </w:r>
      <w:r>
        <w:t xml:space="preserve">, </w:t>
      </w:r>
      <w:r w:rsidRPr="00C73DC3">
        <w:t xml:space="preserve">while the SAGE Encyclopedia </w:t>
      </w:r>
      <w:r w:rsidR="00BB7FF4">
        <w:fldChar w:fldCharType="begin"/>
      </w:r>
      <w:r w:rsidR="00BB7FF4">
        <w:instrText>ADDIN RW.CITE{{2871 Julien,Heidi 2008}}</w:instrText>
      </w:r>
      <w:r w:rsidR="00BB7FF4">
        <w:fldChar w:fldCharType="separate"/>
      </w:r>
      <w:r w:rsidRPr="00C73DC3">
        <w:t>(Julien, 2008)</w:t>
      </w:r>
      <w:r w:rsidR="00BB7FF4">
        <w:fldChar w:fldCharType="end"/>
      </w:r>
      <w:r w:rsidRPr="00C73DC3">
        <w:t xml:space="preserve"> describes it as a </w:t>
      </w:r>
      <w:r>
        <w:t>‘</w:t>
      </w:r>
      <w:r w:rsidRPr="00C73DC3">
        <w:t xml:space="preserve">process of categorising qualitative textual data into clusters of similar entities, or conceptual categories, to identify consistent </w:t>
      </w:r>
      <w:r w:rsidRPr="001E72DF">
        <w:t>patterns and relationships between variables or themes.</w:t>
      </w:r>
      <w:r>
        <w:t>’</w:t>
      </w:r>
      <w:r w:rsidRPr="001E72DF">
        <w:t xml:space="preserve"> Content analysis can be applied in either </w:t>
      </w:r>
      <w:r>
        <w:t xml:space="preserve">a </w:t>
      </w:r>
      <w:r w:rsidRPr="001E72DF">
        <w:t>quantitative or qualitative fashion (</w:t>
      </w:r>
      <w:r>
        <w:t>Stacks,</w:t>
      </w:r>
      <w:r w:rsidRPr="001E72DF">
        <w:t xml:space="preserve"> 2005). The current application of content analysis is qualitative. Qualitative approach was selected because the aim of this research was to understand and describe the phenomenon (trends of environmental indicator reporting) richly (Sandelowski</w:t>
      </w:r>
      <w:r w:rsidR="005E7DB9">
        <w:t>,</w:t>
      </w:r>
      <w:r w:rsidRPr="001E72DF">
        <w:t xml:space="preserve"> 2004) instead of making statistical generalisations </w:t>
      </w:r>
      <w:r>
        <w:t>regarding</w:t>
      </w:r>
      <w:r w:rsidRPr="001E72DF">
        <w:t xml:space="preserve"> the phenomenon. In addition, as </w:t>
      </w:r>
      <w:r>
        <w:t xml:space="preserve">is </w:t>
      </w:r>
      <w:r w:rsidRPr="001E72DF">
        <w:t xml:space="preserve">typical of qualitative research, purposeful sampling (Sandelowski 2004) was </w:t>
      </w:r>
      <w:r>
        <w:t xml:space="preserve">also </w:t>
      </w:r>
      <w:r w:rsidRPr="001E72DF">
        <w:t>used</w:t>
      </w:r>
      <w:r>
        <w:t xml:space="preserve"> here</w:t>
      </w:r>
      <w:r w:rsidRPr="001E72DF">
        <w:t xml:space="preserve"> (as was explained in </w:t>
      </w:r>
      <w:r>
        <w:t xml:space="preserve">the </w:t>
      </w:r>
      <w:r w:rsidRPr="001E72DF">
        <w:t>above 3.1 Case study approach).</w:t>
      </w:r>
      <w:r>
        <w:t xml:space="preserve"> </w:t>
      </w:r>
    </w:p>
    <w:p w14:paraId="00D38E6E" w14:textId="7CBDF26D" w:rsidR="00C23C7D" w:rsidRPr="00C73DC3" w:rsidRDefault="00C23C7D" w:rsidP="00B52B88">
      <w:pPr>
        <w:pStyle w:val="bodyofthetext"/>
      </w:pPr>
      <w:r w:rsidRPr="00C73DC3">
        <w:t xml:space="preserve">In this research, the content analysis method was applied in the following manner. The focus of the analysis was on the environmental performance indicators used by the case companies in their reports. Environmental performance indicators are here understood </w:t>
      </w:r>
      <w:r w:rsidRPr="00C73DC3" w:rsidDel="00057959">
        <w:t xml:space="preserve">as </w:t>
      </w:r>
      <w:r w:rsidRPr="00C73DC3">
        <w:t xml:space="preserve">those environmental issues the companies give numeric or graphical information about in the reports. These indicators were sought from the tables and </w:t>
      </w:r>
      <w:r w:rsidRPr="001E72DF">
        <w:t xml:space="preserve">graphs. The body text was not analysed. The analysis was limited to tables and graphs mainly for the reason that they were considered </w:t>
      </w:r>
      <w:r w:rsidDel="00057959">
        <w:t xml:space="preserve">an </w:t>
      </w:r>
      <w:r w:rsidRPr="001E72DF">
        <w:t>easy and fast source of information for the reader. As Beattie and Jones (2008) point out</w:t>
      </w:r>
      <w:r>
        <w:t>,</w:t>
      </w:r>
      <w:r w:rsidRPr="001E72DF">
        <w:t xml:space="preserve"> they are eye-catching oases of colour and interest among text. They continue that graphs easily summarise information and are also easy to remember.</w:t>
      </w:r>
      <w:r>
        <w:t xml:space="preserve"> </w:t>
      </w:r>
      <w:r w:rsidRPr="00C73DC3">
        <w:t xml:space="preserve">The analysis covered the whole reports, not just those chapters that had the word </w:t>
      </w:r>
      <w:r>
        <w:t>‘</w:t>
      </w:r>
      <w:r w:rsidRPr="00C73DC3">
        <w:t>environment</w:t>
      </w:r>
      <w:r>
        <w:t>’</w:t>
      </w:r>
      <w:r w:rsidRPr="00C73DC3">
        <w:t xml:space="preserve"> or </w:t>
      </w:r>
      <w:r>
        <w:t>‘</w:t>
      </w:r>
      <w:r w:rsidRPr="00C73DC3">
        <w:t>environmental</w:t>
      </w:r>
      <w:r>
        <w:t>’</w:t>
      </w:r>
      <w:r w:rsidRPr="00C73DC3">
        <w:t xml:space="preserve"> in the title. The whole reports were analysed because the author noticed that environmental performance indicators were reported throughout the report</w:t>
      </w:r>
      <w:r>
        <w:t>s</w:t>
      </w:r>
      <w:r w:rsidRPr="00C73DC3">
        <w:t>.</w:t>
      </w:r>
      <w:r>
        <w:t xml:space="preserve"> </w:t>
      </w:r>
    </w:p>
    <w:p w14:paraId="4F0BCAC2" w14:textId="373AA118" w:rsidR="00C23C7D" w:rsidRPr="00C73DC3" w:rsidRDefault="00C23C7D" w:rsidP="00B52B88">
      <w:pPr>
        <w:pStyle w:val="bodyofthetext"/>
      </w:pPr>
      <w:r w:rsidRPr="00C73DC3">
        <w:t xml:space="preserve">The actual coding of the tables or graphs was performed in the following manner. The basic rule was that each line or bar in a graph and row in a table is a separate indicator. </w:t>
      </w:r>
      <w:r w:rsidRPr="00C73DC3" w:rsidDel="00057959">
        <w:t>I</w:t>
      </w:r>
      <w:r w:rsidRPr="00C73DC3">
        <w:t xml:space="preserve">n addition, if two or more units of measurement were used in one row, each of them was coded as a separate indicator. </w:t>
      </w:r>
      <w:r w:rsidRPr="00C73DC3" w:rsidDel="00057959">
        <w:t>The</w:t>
      </w:r>
      <w:r w:rsidRPr="00C73DC3">
        <w:t xml:space="preserve"> results were typically presented in the same row, first with a physical unit of measurement (e.g. Watthours) and then in percentages. The exception was that a table or a graph could be treated as a single indicator if it represented a whole. For example, a 100% stacked bar that lists the different fuels that have been used is coded as a single indicator. The same indicator was coded only once per report. A few reports had a summary in the beginning of the report, which included the same graphs and/or tables as the report. In other words, these summaries were not coded. </w:t>
      </w:r>
    </w:p>
    <w:p w14:paraId="126E422E" w14:textId="658A56F7" w:rsidR="00C23C7D" w:rsidRPr="00C73DC3" w:rsidRDefault="00C23C7D" w:rsidP="00B52B88">
      <w:pPr>
        <w:pStyle w:val="bodyofthetext"/>
      </w:pPr>
      <w:r w:rsidRPr="00C73DC3">
        <w:t>The coding included several steps. First, each indicator was given a name that described the content of the indicator (e.g. forest ownership, wood procurement, quality assessment). Second, these indicators were grouped into themes (e.g. forest</w:t>
      </w:r>
      <w:r>
        <w:t xml:space="preserve"> and</w:t>
      </w:r>
      <w:r w:rsidRPr="00C73DC3">
        <w:t xml:space="preserve"> land issues). Third, these themes were gathered as groups (e.g. background</w:t>
      </w:r>
      <w:r>
        <w:t xml:space="preserve"> and</w:t>
      </w:r>
      <w:r w:rsidRPr="00C73DC3">
        <w:t xml:space="preserve"> inputs). In practice, the coding consisted of multiple rounds of reading the reports and coding the indicators. Every time the coding of a theme in a company was finished, the coding of that theme in the other two companies was checked in order to make sure that the coding between the companies was similar. </w:t>
      </w:r>
    </w:p>
    <w:p w14:paraId="2AEDAB84" w14:textId="77777777" w:rsidR="00C23C7D" w:rsidRPr="00C73DC3" w:rsidRDefault="00C23C7D" w:rsidP="00B52B88">
      <w:pPr>
        <w:rPr>
          <w:rFonts w:ascii="Times New Roman" w:hAnsi="Times New Roman"/>
          <w:b/>
          <w:sz w:val="24"/>
          <w:lang w:val="en-GB"/>
        </w:rPr>
      </w:pPr>
      <w:r w:rsidRPr="00C73DC3">
        <w:rPr>
          <w:rFonts w:ascii="Times New Roman" w:hAnsi="Times New Roman"/>
          <w:b/>
          <w:sz w:val="24"/>
          <w:lang w:val="en-GB"/>
        </w:rPr>
        <w:t>4 Results</w:t>
      </w:r>
    </w:p>
    <w:p w14:paraId="7AD9A165" w14:textId="77777777" w:rsidR="00C23C7D" w:rsidRPr="00C73DC3" w:rsidRDefault="00C23C7D" w:rsidP="00B52B88">
      <w:pPr>
        <w:rPr>
          <w:rFonts w:ascii="Times New Roman" w:hAnsi="Times New Roman"/>
          <w:b/>
          <w:sz w:val="24"/>
          <w:lang w:val="en-GB"/>
        </w:rPr>
      </w:pPr>
      <w:r w:rsidRPr="00C73DC3">
        <w:rPr>
          <w:rFonts w:ascii="Times New Roman" w:hAnsi="Times New Roman"/>
          <w:b/>
          <w:sz w:val="24"/>
          <w:lang w:val="en-GB"/>
        </w:rPr>
        <w:t>4.1 Overview of environmental performance reporting between 1998 and 2012</w:t>
      </w:r>
    </w:p>
    <w:p w14:paraId="0A11939C" w14:textId="54ADCFD8" w:rsidR="00C23C7D" w:rsidRPr="00C73DC3" w:rsidRDefault="00C23C7D" w:rsidP="00D75E9D">
      <w:pPr>
        <w:jc w:val="both"/>
        <w:rPr>
          <w:rFonts w:ascii="Times New Roman" w:hAnsi="Times New Roman"/>
          <w:sz w:val="24"/>
          <w:lang w:val="en-GB"/>
        </w:rPr>
      </w:pPr>
      <w:r w:rsidRPr="00C73DC3">
        <w:rPr>
          <w:rFonts w:ascii="Times New Roman" w:hAnsi="Times New Roman"/>
          <w:sz w:val="24"/>
          <w:lang w:val="en-GB"/>
        </w:rPr>
        <w:t xml:space="preserve">A short overview of the environmental performance reporting is provided in this chapter. In total, the </w:t>
      </w:r>
      <w:r>
        <w:rPr>
          <w:rFonts w:ascii="Times New Roman" w:hAnsi="Times New Roman"/>
          <w:sz w:val="24"/>
          <w:lang w:val="en-GB"/>
        </w:rPr>
        <w:t xml:space="preserve">indicators were mentioned </w:t>
      </w:r>
      <w:r w:rsidRPr="00C73DC3">
        <w:rPr>
          <w:rFonts w:ascii="Times New Roman" w:hAnsi="Times New Roman"/>
          <w:sz w:val="24"/>
          <w:lang w:val="en-GB"/>
        </w:rPr>
        <w:t xml:space="preserve">2,686 </w:t>
      </w:r>
      <w:r>
        <w:rPr>
          <w:rFonts w:ascii="Times New Roman" w:hAnsi="Times New Roman"/>
          <w:sz w:val="24"/>
          <w:lang w:val="en-GB"/>
        </w:rPr>
        <w:t xml:space="preserve">times </w:t>
      </w:r>
      <w:r w:rsidRPr="00C73DC3">
        <w:rPr>
          <w:rFonts w:ascii="Times New Roman" w:hAnsi="Times New Roman"/>
          <w:sz w:val="24"/>
          <w:lang w:val="en-GB"/>
        </w:rPr>
        <w:t>in the 15 years of environmental reports by the case companies. These over 2,</w:t>
      </w:r>
      <w:r>
        <w:rPr>
          <w:rFonts w:ascii="Times New Roman" w:hAnsi="Times New Roman"/>
          <w:sz w:val="24"/>
          <w:lang w:val="en-GB"/>
        </w:rPr>
        <w:t>000 indicator mentions</w:t>
      </w:r>
      <w:r w:rsidRPr="00C73DC3">
        <w:rPr>
          <w:rFonts w:ascii="Times New Roman" w:hAnsi="Times New Roman"/>
          <w:sz w:val="24"/>
          <w:lang w:val="en-GB"/>
        </w:rPr>
        <w:t xml:space="preserve"> were divided into 20 different themes which were placed into five groups according to the phases of forest industry production. The five groups were background indicators (including themes such as forest</w:t>
      </w:r>
      <w:r>
        <w:rPr>
          <w:rFonts w:ascii="Times New Roman" w:hAnsi="Times New Roman"/>
          <w:sz w:val="24"/>
          <w:lang w:val="en-GB"/>
        </w:rPr>
        <w:t xml:space="preserve"> and</w:t>
      </w:r>
      <w:r w:rsidRPr="00C73DC3">
        <w:rPr>
          <w:rFonts w:ascii="Times New Roman" w:hAnsi="Times New Roman"/>
          <w:sz w:val="24"/>
          <w:lang w:val="en-GB"/>
        </w:rPr>
        <w:t xml:space="preserve"> suppliers), inputs (</w:t>
      </w:r>
      <w:r>
        <w:rPr>
          <w:rFonts w:ascii="Times New Roman" w:hAnsi="Times New Roman"/>
          <w:sz w:val="24"/>
          <w:lang w:val="en-GB"/>
        </w:rPr>
        <w:t xml:space="preserve">e.g. </w:t>
      </w:r>
      <w:r w:rsidRPr="00C73DC3">
        <w:rPr>
          <w:rFonts w:ascii="Times New Roman" w:hAnsi="Times New Roman"/>
          <w:sz w:val="24"/>
          <w:lang w:val="en-GB"/>
        </w:rPr>
        <w:t>energy</w:t>
      </w:r>
      <w:r>
        <w:rPr>
          <w:rFonts w:ascii="Times New Roman" w:hAnsi="Times New Roman"/>
          <w:sz w:val="24"/>
          <w:lang w:val="en-GB"/>
        </w:rPr>
        <w:t xml:space="preserve"> and</w:t>
      </w:r>
      <w:r w:rsidRPr="00C73DC3">
        <w:rPr>
          <w:rFonts w:ascii="Times New Roman" w:hAnsi="Times New Roman"/>
          <w:sz w:val="24"/>
          <w:lang w:val="en-GB"/>
        </w:rPr>
        <w:t xml:space="preserve"> wood), corporate environmental management (costs</w:t>
      </w:r>
      <w:r>
        <w:rPr>
          <w:rFonts w:ascii="Times New Roman" w:hAnsi="Times New Roman"/>
          <w:sz w:val="24"/>
          <w:lang w:val="en-GB"/>
        </w:rPr>
        <w:t xml:space="preserve"> and</w:t>
      </w:r>
      <w:r w:rsidRPr="00C73DC3">
        <w:rPr>
          <w:rFonts w:ascii="Times New Roman" w:hAnsi="Times New Roman"/>
          <w:sz w:val="24"/>
          <w:lang w:val="en-GB"/>
        </w:rPr>
        <w:t xml:space="preserve"> management), outputs (</w:t>
      </w:r>
      <w:r>
        <w:rPr>
          <w:rFonts w:ascii="Times New Roman" w:hAnsi="Times New Roman"/>
          <w:sz w:val="24"/>
          <w:lang w:val="en-GB"/>
        </w:rPr>
        <w:t>e.g. air emissions and</w:t>
      </w:r>
      <w:r w:rsidRPr="00C73DC3">
        <w:rPr>
          <w:rFonts w:ascii="Times New Roman" w:hAnsi="Times New Roman"/>
          <w:sz w:val="24"/>
          <w:lang w:val="en-GB"/>
        </w:rPr>
        <w:t xml:space="preserve"> waste) and environmental impacts (</w:t>
      </w:r>
      <w:r>
        <w:rPr>
          <w:rFonts w:ascii="Times New Roman" w:hAnsi="Times New Roman"/>
          <w:sz w:val="24"/>
          <w:lang w:val="en-GB"/>
        </w:rPr>
        <w:t>e.g. acidification and</w:t>
      </w:r>
      <w:r w:rsidRPr="00C73DC3">
        <w:rPr>
          <w:rFonts w:ascii="Times New Roman" w:hAnsi="Times New Roman"/>
          <w:sz w:val="24"/>
          <w:lang w:val="en-GB"/>
        </w:rPr>
        <w:t xml:space="preserve"> climate change). The groups</w:t>
      </w:r>
      <w:r>
        <w:rPr>
          <w:rFonts w:ascii="Times New Roman" w:hAnsi="Times New Roman"/>
          <w:sz w:val="24"/>
          <w:lang w:val="en-GB"/>
        </w:rPr>
        <w:t xml:space="preserve">, </w:t>
      </w:r>
      <w:r w:rsidRPr="00C73DC3">
        <w:rPr>
          <w:rFonts w:ascii="Times New Roman" w:hAnsi="Times New Roman"/>
          <w:sz w:val="24"/>
          <w:lang w:val="en-GB"/>
        </w:rPr>
        <w:t>themes</w:t>
      </w:r>
      <w:r>
        <w:rPr>
          <w:rFonts w:ascii="Times New Roman" w:hAnsi="Times New Roman"/>
          <w:sz w:val="24"/>
          <w:lang w:val="en-GB"/>
        </w:rPr>
        <w:t xml:space="preserve"> and examples of the indicators</w:t>
      </w:r>
      <w:r w:rsidRPr="00C73DC3">
        <w:rPr>
          <w:rFonts w:ascii="Times New Roman" w:hAnsi="Times New Roman"/>
          <w:sz w:val="24"/>
          <w:lang w:val="en-GB"/>
        </w:rPr>
        <w:t xml:space="preserve"> are presented in the Appendix</w:t>
      </w:r>
      <w:r>
        <w:rPr>
          <w:rFonts w:ascii="Times New Roman" w:hAnsi="Times New Roman"/>
          <w:sz w:val="24"/>
          <w:lang w:val="en-GB"/>
        </w:rPr>
        <w:t xml:space="preserve"> (Table A.1)</w:t>
      </w:r>
      <w:r w:rsidRPr="00C73DC3">
        <w:rPr>
          <w:rFonts w:ascii="Times New Roman" w:hAnsi="Times New Roman"/>
          <w:sz w:val="24"/>
          <w:lang w:val="en-GB"/>
        </w:rPr>
        <w:t>. All of the companies reported all of the groups</w:t>
      </w:r>
      <w:r>
        <w:rPr>
          <w:rFonts w:ascii="Times New Roman" w:hAnsi="Times New Roman"/>
          <w:sz w:val="24"/>
          <w:lang w:val="en-GB"/>
        </w:rPr>
        <w:t>,</w:t>
      </w:r>
      <w:r w:rsidRPr="00C73DC3">
        <w:rPr>
          <w:rFonts w:ascii="Times New Roman" w:hAnsi="Times New Roman"/>
          <w:sz w:val="24"/>
          <w:lang w:val="en-GB"/>
        </w:rPr>
        <w:t xml:space="preserve"> but the reported themes varied.</w:t>
      </w:r>
      <w:r>
        <w:rPr>
          <w:rFonts w:ascii="Times New Roman" w:hAnsi="Times New Roman"/>
          <w:sz w:val="24"/>
          <w:lang w:val="en-GB"/>
        </w:rPr>
        <w:t xml:space="preserve"> The variation between companies is discussed next. </w:t>
      </w:r>
      <w:r w:rsidRPr="00C73DC3">
        <w:rPr>
          <w:rFonts w:ascii="Times New Roman" w:hAnsi="Times New Roman"/>
          <w:sz w:val="24"/>
          <w:lang w:val="en-GB"/>
        </w:rPr>
        <w:t xml:space="preserve"> </w:t>
      </w:r>
    </w:p>
    <w:p w14:paraId="5F587B25" w14:textId="3959A1DD" w:rsidR="00C23C7D" w:rsidRPr="00C73DC3" w:rsidRDefault="00C23C7D" w:rsidP="00D75E9D">
      <w:pPr>
        <w:jc w:val="both"/>
        <w:rPr>
          <w:rFonts w:ascii="Times New Roman" w:hAnsi="Times New Roman"/>
          <w:sz w:val="24"/>
          <w:lang w:val="en-GB"/>
        </w:rPr>
      </w:pPr>
      <w:r w:rsidRPr="00C73DC3">
        <w:rPr>
          <w:rFonts w:ascii="Times New Roman" w:hAnsi="Times New Roman"/>
          <w:sz w:val="24"/>
          <w:lang w:val="en-GB"/>
        </w:rPr>
        <w:t xml:space="preserve">The environmental performance reporting differed somewhat between the companies. In total, Stora Enso reported 757 indicators in its 15 years of environmental reports. The number of indicators </w:t>
      </w:r>
      <w:r>
        <w:rPr>
          <w:rFonts w:ascii="Times New Roman" w:hAnsi="Times New Roman"/>
          <w:sz w:val="24"/>
          <w:lang w:val="en-GB"/>
        </w:rPr>
        <w:t xml:space="preserve">in the </w:t>
      </w:r>
      <w:r w:rsidRPr="00C73DC3">
        <w:rPr>
          <w:rFonts w:ascii="Times New Roman" w:hAnsi="Times New Roman"/>
          <w:sz w:val="24"/>
          <w:lang w:val="en-GB"/>
        </w:rPr>
        <w:t>reports varied from 41 to 65 indicators. Stora Enso reported altogether 16 different themes with variations of 8 to 12 themes per report. In the case of UPM-Kymmene, the total number of reported indicators was 949. The number per report varied from 24 to 112. UPM-Kymmene reported 17 different themes, with a variation of 9 to 14 themes per report. Metsä Board reported 980 indicators in total. Their reporting varied from 20 to 100 indicators per report. Metsä Board reported 17 different themes, with a variation of 9 to 15 themes per report.</w:t>
      </w:r>
    </w:p>
    <w:p w14:paraId="6079327A" w14:textId="77777777" w:rsidR="00C23C7D" w:rsidRPr="00C73DC3" w:rsidRDefault="00C23C7D" w:rsidP="00B52B88">
      <w:pPr>
        <w:rPr>
          <w:rFonts w:ascii="Times New Roman" w:hAnsi="Times New Roman"/>
          <w:b/>
          <w:sz w:val="24"/>
          <w:lang w:val="en-GB"/>
        </w:rPr>
      </w:pPr>
      <w:r w:rsidRPr="00C73DC3">
        <w:rPr>
          <w:rFonts w:ascii="Times New Roman" w:hAnsi="Times New Roman"/>
          <w:b/>
          <w:sz w:val="24"/>
          <w:lang w:val="en-GB"/>
        </w:rPr>
        <w:t>4.2 Trends in the reporting</w:t>
      </w:r>
    </w:p>
    <w:p w14:paraId="24924BB6" w14:textId="6C96F9EC" w:rsidR="00C23C7D" w:rsidRPr="00C73DC3" w:rsidRDefault="00C23C7D" w:rsidP="00D75E9D">
      <w:pPr>
        <w:jc w:val="both"/>
        <w:rPr>
          <w:rFonts w:ascii="Times New Roman" w:hAnsi="Times New Roman"/>
          <w:sz w:val="24"/>
          <w:lang w:val="en-GB"/>
        </w:rPr>
      </w:pPr>
      <w:r>
        <w:rPr>
          <w:rFonts w:ascii="Times New Roman" w:hAnsi="Times New Roman"/>
          <w:sz w:val="24"/>
          <w:lang w:val="en-GB"/>
        </w:rPr>
        <w:t>Seven</w:t>
      </w:r>
      <w:r w:rsidRPr="00C73DC3">
        <w:rPr>
          <w:rFonts w:ascii="Times New Roman" w:hAnsi="Times New Roman"/>
          <w:sz w:val="24"/>
          <w:lang w:val="en-GB"/>
        </w:rPr>
        <w:t xml:space="preserve"> trends in the environmental performance reporting can be identified in these companies. The first trend is that the forest industry companies report many indicators (</w:t>
      </w:r>
      <w:r w:rsidR="00BB7FF4">
        <w:fldChar w:fldCharType="begin"/>
      </w:r>
      <w:r w:rsidR="00BB7FF4" w:rsidRPr="006F54FD">
        <w:rPr>
          <w:lang w:val="en-GB"/>
        </w:rPr>
        <w:instrText xml:space="preserve"> REF _Ref410036614 \h  \* MERGEFORMAT </w:instrText>
      </w:r>
      <w:r w:rsidR="00BB7FF4">
        <w:fldChar w:fldCharType="separate"/>
      </w:r>
      <w:r w:rsidR="00A054FC" w:rsidRPr="00A054FC">
        <w:rPr>
          <w:rFonts w:ascii="Times New Roman" w:hAnsi="Times New Roman"/>
          <w:sz w:val="24"/>
          <w:lang w:val="en-GB"/>
        </w:rPr>
        <w:t>Figure 1</w:t>
      </w:r>
      <w:r w:rsidR="00BB7FF4">
        <w:fldChar w:fldCharType="end"/>
      </w:r>
      <w:r w:rsidRPr="00C73DC3">
        <w:rPr>
          <w:rFonts w:ascii="Times New Roman" w:hAnsi="Times New Roman"/>
          <w:sz w:val="24"/>
          <w:lang w:val="en-GB"/>
        </w:rPr>
        <w:t xml:space="preserve">). Typically, the companies report between 50 and 100 indicators per report. However, there have been variations and different trends in the companies. On the whole, the </w:t>
      </w:r>
      <w:r>
        <w:rPr>
          <w:rFonts w:ascii="Times New Roman" w:hAnsi="Times New Roman"/>
          <w:sz w:val="24"/>
          <w:lang w:val="en-GB"/>
        </w:rPr>
        <w:t>case companies</w:t>
      </w:r>
      <w:r w:rsidRPr="00C73DC3">
        <w:rPr>
          <w:rFonts w:ascii="Times New Roman" w:hAnsi="Times New Roman"/>
          <w:sz w:val="24"/>
          <w:lang w:val="en-GB"/>
        </w:rPr>
        <w:t xml:space="preserve"> had a peak of around 250 indicators between 2003 and 2005. This peak was followed by a drastic crash to about half the volume of indicators. Currently, there seems to be a new rise in the number of indicators reported in the industry. Stora Enso’s reporting is best described as </w:t>
      </w:r>
      <w:r>
        <w:rPr>
          <w:rFonts w:ascii="Times New Roman" w:hAnsi="Times New Roman"/>
          <w:sz w:val="24"/>
          <w:lang w:val="en-GB"/>
        </w:rPr>
        <w:t>‘</w:t>
      </w:r>
      <w:r w:rsidRPr="00C73DC3">
        <w:rPr>
          <w:rFonts w:ascii="Times New Roman" w:hAnsi="Times New Roman"/>
          <w:sz w:val="24"/>
          <w:lang w:val="en-GB"/>
        </w:rPr>
        <w:t>steady</w:t>
      </w:r>
      <w:r>
        <w:rPr>
          <w:rFonts w:ascii="Times New Roman" w:hAnsi="Times New Roman"/>
          <w:sz w:val="24"/>
          <w:lang w:val="en-GB"/>
        </w:rPr>
        <w:t>’</w:t>
      </w:r>
      <w:r w:rsidRPr="00C73DC3">
        <w:rPr>
          <w:rFonts w:ascii="Times New Roman" w:hAnsi="Times New Roman"/>
          <w:sz w:val="24"/>
          <w:lang w:val="en-GB"/>
        </w:rPr>
        <w:t xml:space="preserve">, as they quite steadily reported about 50 indicators during the 15 years. The indicator reporting of UMP-Kymmene is best described as </w:t>
      </w:r>
      <w:r>
        <w:rPr>
          <w:rFonts w:ascii="Times New Roman" w:hAnsi="Times New Roman"/>
          <w:sz w:val="24"/>
          <w:lang w:val="en-GB"/>
        </w:rPr>
        <w:t>‘</w:t>
      </w:r>
      <w:r w:rsidRPr="00C73DC3">
        <w:rPr>
          <w:rFonts w:ascii="Times New Roman" w:hAnsi="Times New Roman"/>
          <w:sz w:val="24"/>
          <w:lang w:val="en-GB"/>
        </w:rPr>
        <w:t>fluctuating</w:t>
      </w:r>
      <w:r>
        <w:rPr>
          <w:rFonts w:ascii="Times New Roman" w:hAnsi="Times New Roman"/>
          <w:sz w:val="24"/>
          <w:lang w:val="en-GB"/>
        </w:rPr>
        <w:t>’</w:t>
      </w:r>
      <w:r w:rsidRPr="00C73DC3">
        <w:rPr>
          <w:rFonts w:ascii="Times New Roman" w:hAnsi="Times New Roman"/>
          <w:sz w:val="24"/>
          <w:lang w:val="en-GB"/>
        </w:rPr>
        <w:t>, as the amount of indicators both increased and decreased several times during the time</w:t>
      </w:r>
      <w:r>
        <w:rPr>
          <w:rFonts w:ascii="Times New Roman" w:hAnsi="Times New Roman"/>
          <w:sz w:val="24"/>
          <w:lang w:val="en-GB"/>
        </w:rPr>
        <w:t xml:space="preserve"> </w:t>
      </w:r>
      <w:r w:rsidRPr="00C73DC3">
        <w:rPr>
          <w:rFonts w:ascii="Times New Roman" w:hAnsi="Times New Roman"/>
          <w:sz w:val="24"/>
          <w:lang w:val="en-GB"/>
        </w:rPr>
        <w:t xml:space="preserve">frame. Metsä Board’s indicator reporting seems to consist of three periods: </w:t>
      </w:r>
      <w:r>
        <w:rPr>
          <w:rFonts w:ascii="Times New Roman" w:hAnsi="Times New Roman"/>
          <w:sz w:val="24"/>
          <w:lang w:val="en-GB"/>
        </w:rPr>
        <w:t>F</w:t>
      </w:r>
      <w:r w:rsidRPr="00C73DC3">
        <w:rPr>
          <w:rFonts w:ascii="Times New Roman" w:hAnsi="Times New Roman"/>
          <w:sz w:val="24"/>
          <w:lang w:val="en-GB"/>
        </w:rPr>
        <w:t>irst (1999</w:t>
      </w:r>
      <w:r>
        <w:rPr>
          <w:rFonts w:ascii="Times New Roman" w:hAnsi="Times New Roman"/>
          <w:sz w:val="24"/>
          <w:lang w:val="en-GB"/>
        </w:rPr>
        <w:t>–</w:t>
      </w:r>
      <w:r w:rsidRPr="00C73DC3">
        <w:rPr>
          <w:rFonts w:ascii="Times New Roman" w:hAnsi="Times New Roman"/>
          <w:sz w:val="24"/>
          <w:lang w:val="en-GB"/>
        </w:rPr>
        <w:t xml:space="preserve">2005), the reporting is of a high level, </w:t>
      </w:r>
      <w:r>
        <w:rPr>
          <w:rFonts w:ascii="Times New Roman" w:hAnsi="Times New Roman"/>
          <w:sz w:val="24"/>
          <w:lang w:val="en-GB"/>
        </w:rPr>
        <w:t xml:space="preserve">with </w:t>
      </w:r>
      <w:r w:rsidRPr="00C73DC3">
        <w:rPr>
          <w:rFonts w:ascii="Times New Roman" w:hAnsi="Times New Roman"/>
          <w:sz w:val="24"/>
          <w:lang w:val="en-GB"/>
        </w:rPr>
        <w:t>almost 100 indicators per report. Second (2006</w:t>
      </w:r>
      <w:r>
        <w:rPr>
          <w:rFonts w:ascii="Times New Roman" w:hAnsi="Times New Roman"/>
          <w:sz w:val="24"/>
          <w:lang w:val="en-GB"/>
        </w:rPr>
        <w:t>–</w:t>
      </w:r>
      <w:r w:rsidRPr="00C73DC3">
        <w:rPr>
          <w:rFonts w:ascii="Times New Roman" w:hAnsi="Times New Roman"/>
          <w:sz w:val="24"/>
          <w:lang w:val="en-GB"/>
        </w:rPr>
        <w:t>08), the reporting decreased to about 20 indicators per report. Third (2009</w:t>
      </w:r>
      <w:r>
        <w:rPr>
          <w:rFonts w:ascii="Times New Roman" w:hAnsi="Times New Roman"/>
          <w:sz w:val="24"/>
          <w:lang w:val="en-GB"/>
        </w:rPr>
        <w:t>–</w:t>
      </w:r>
      <w:r w:rsidRPr="00C73DC3">
        <w:rPr>
          <w:rFonts w:ascii="Times New Roman" w:hAnsi="Times New Roman"/>
          <w:sz w:val="24"/>
          <w:lang w:val="en-GB"/>
        </w:rPr>
        <w:t xml:space="preserve">12), the reporting rose again to approximately 50 indicators per report. </w:t>
      </w:r>
    </w:p>
    <w:p w14:paraId="1B6F5358" w14:textId="77777777" w:rsidR="00C23C7D" w:rsidRPr="00C73DC3" w:rsidRDefault="00C23C7D" w:rsidP="00C77070">
      <w:pPr>
        <w:pStyle w:val="Kuvanotsikko"/>
        <w:rPr>
          <w:lang w:val="en-GB"/>
        </w:rPr>
      </w:pPr>
      <w:bookmarkStart w:id="3" w:name="_Ref410036614"/>
      <w:r w:rsidRPr="00C73DC3">
        <w:rPr>
          <w:lang w:val="en-GB"/>
        </w:rPr>
        <w:t xml:space="preserve">Figure </w:t>
      </w:r>
      <w:r w:rsidRPr="00C73DC3">
        <w:rPr>
          <w:lang w:val="en-GB"/>
        </w:rPr>
        <w:fldChar w:fldCharType="begin"/>
      </w:r>
      <w:r w:rsidRPr="00C73DC3">
        <w:rPr>
          <w:lang w:val="en-GB"/>
        </w:rPr>
        <w:instrText xml:space="preserve"> SEQ Figure \* ARABIC </w:instrText>
      </w:r>
      <w:r w:rsidRPr="00C73DC3">
        <w:rPr>
          <w:lang w:val="en-GB"/>
        </w:rPr>
        <w:fldChar w:fldCharType="separate"/>
      </w:r>
      <w:r w:rsidRPr="00C73DC3">
        <w:rPr>
          <w:noProof/>
          <w:lang w:val="en-GB"/>
        </w:rPr>
        <w:t>1</w:t>
      </w:r>
      <w:r w:rsidRPr="00C73DC3">
        <w:rPr>
          <w:lang w:val="en-GB"/>
        </w:rPr>
        <w:fldChar w:fldCharType="end"/>
      </w:r>
      <w:bookmarkEnd w:id="3"/>
      <w:r w:rsidRPr="00C73DC3">
        <w:rPr>
          <w:lang w:val="en-GB"/>
        </w:rPr>
        <w:t xml:space="preserve"> The total number of indicators reported by the case companies and in total between 1998 and 2012</w:t>
      </w:r>
    </w:p>
    <w:p w14:paraId="18DD22B9" w14:textId="77777777" w:rsidR="00C23C7D" w:rsidRPr="00C73DC3" w:rsidRDefault="00C23C7D" w:rsidP="00D75E9D">
      <w:pPr>
        <w:jc w:val="both"/>
        <w:rPr>
          <w:rFonts w:ascii="Times New Roman" w:hAnsi="Times New Roman"/>
          <w:sz w:val="24"/>
          <w:lang w:val="en-GB"/>
        </w:rPr>
      </w:pPr>
      <w:r w:rsidRPr="00C73DC3">
        <w:rPr>
          <w:rFonts w:ascii="Times New Roman" w:hAnsi="Times New Roman"/>
          <w:sz w:val="24"/>
          <w:lang w:val="en-GB"/>
        </w:rPr>
        <w:t>The second trend reveals that the mass of indicator reporting consists of the reporting of input (38% of all indicators) and output (47%) indicators. Within these groups, the majority of reporting comes from energy (22% of all indicators), air emissions (16%)</w:t>
      </w:r>
      <w:r>
        <w:rPr>
          <w:rFonts w:ascii="Times New Roman" w:hAnsi="Times New Roman"/>
          <w:sz w:val="24"/>
          <w:lang w:val="en-GB"/>
        </w:rPr>
        <w:t>,</w:t>
      </w:r>
      <w:r w:rsidRPr="00C73DC3">
        <w:rPr>
          <w:rFonts w:ascii="Times New Roman" w:hAnsi="Times New Roman"/>
          <w:sz w:val="24"/>
          <w:lang w:val="en-GB"/>
        </w:rPr>
        <w:t xml:space="preserve"> and water emissions (17%). The reporting of these themes can certainly be called </w:t>
      </w:r>
      <w:r>
        <w:rPr>
          <w:rFonts w:ascii="Times New Roman" w:hAnsi="Times New Roman"/>
          <w:sz w:val="24"/>
          <w:lang w:val="en-GB"/>
        </w:rPr>
        <w:t>‘</w:t>
      </w:r>
      <w:r w:rsidRPr="00C73DC3">
        <w:rPr>
          <w:rFonts w:ascii="Times New Roman" w:hAnsi="Times New Roman"/>
          <w:sz w:val="24"/>
          <w:lang w:val="en-GB"/>
        </w:rPr>
        <w:t>established</w:t>
      </w:r>
      <w:r>
        <w:rPr>
          <w:rFonts w:ascii="Times New Roman" w:hAnsi="Times New Roman"/>
          <w:sz w:val="24"/>
          <w:lang w:val="en-GB"/>
        </w:rPr>
        <w:t>’</w:t>
      </w:r>
      <w:r w:rsidRPr="00C73DC3">
        <w:rPr>
          <w:rFonts w:ascii="Times New Roman" w:hAnsi="Times New Roman"/>
          <w:sz w:val="24"/>
          <w:lang w:val="en-GB"/>
        </w:rPr>
        <w:t xml:space="preserve"> in these companies. </w:t>
      </w:r>
    </w:p>
    <w:p w14:paraId="7689DF2E" w14:textId="77777777" w:rsidR="00C23C7D" w:rsidRPr="00C73DC3" w:rsidRDefault="00C23C7D" w:rsidP="00D75E9D">
      <w:pPr>
        <w:jc w:val="both"/>
        <w:rPr>
          <w:rFonts w:ascii="Times New Roman" w:hAnsi="Times New Roman"/>
          <w:sz w:val="24"/>
          <w:lang w:val="en-GB"/>
        </w:rPr>
      </w:pPr>
      <w:r w:rsidRPr="00C73DC3">
        <w:rPr>
          <w:rFonts w:ascii="Times New Roman" w:hAnsi="Times New Roman"/>
          <w:sz w:val="24"/>
          <w:lang w:val="en-GB"/>
        </w:rPr>
        <w:t>The third trend highlights that there are multiple themes that are often reported (</w:t>
      </w:r>
      <w:r w:rsidR="00BB7FF4">
        <w:fldChar w:fldCharType="begin"/>
      </w:r>
      <w:r w:rsidR="00BB7FF4" w:rsidRPr="004460C8">
        <w:rPr>
          <w:lang w:val="en-GB"/>
        </w:rPr>
        <w:instrText xml:space="preserve"> REF _Ref410036844 \h  \* MERGEFORMAT </w:instrText>
      </w:r>
      <w:r w:rsidR="00BB7FF4">
        <w:fldChar w:fldCharType="separate"/>
      </w:r>
      <w:r w:rsidRPr="00C73DC3">
        <w:rPr>
          <w:rFonts w:ascii="Times New Roman" w:hAnsi="Times New Roman"/>
          <w:sz w:val="24"/>
          <w:lang w:val="en-GB"/>
        </w:rPr>
        <w:t xml:space="preserve">Table </w:t>
      </w:r>
      <w:r w:rsidR="00BB7FF4">
        <w:fldChar w:fldCharType="end"/>
      </w:r>
      <w:r>
        <w:rPr>
          <w:rFonts w:ascii="Times New Roman" w:hAnsi="Times New Roman"/>
          <w:sz w:val="24"/>
          <w:lang w:val="en-GB"/>
        </w:rPr>
        <w:t>5</w:t>
      </w:r>
      <w:r w:rsidRPr="00C73DC3">
        <w:rPr>
          <w:rFonts w:ascii="Times New Roman" w:hAnsi="Times New Roman"/>
          <w:sz w:val="24"/>
          <w:lang w:val="en-GB"/>
        </w:rPr>
        <w:t xml:space="preserve">). Themes that companies report in 11 to 15 reports are called </w:t>
      </w:r>
      <w:r>
        <w:rPr>
          <w:rFonts w:ascii="Times New Roman" w:hAnsi="Times New Roman"/>
          <w:sz w:val="24"/>
          <w:lang w:val="en-GB"/>
        </w:rPr>
        <w:t>‘</w:t>
      </w:r>
      <w:r w:rsidRPr="00C73DC3">
        <w:rPr>
          <w:rFonts w:ascii="Times New Roman" w:hAnsi="Times New Roman"/>
          <w:sz w:val="24"/>
          <w:lang w:val="en-GB"/>
        </w:rPr>
        <w:t>most often reported</w:t>
      </w:r>
      <w:r>
        <w:rPr>
          <w:rFonts w:ascii="Times New Roman" w:hAnsi="Times New Roman"/>
          <w:sz w:val="24"/>
          <w:lang w:val="en-GB"/>
        </w:rPr>
        <w:t>’</w:t>
      </w:r>
      <w:r w:rsidRPr="00C73DC3">
        <w:rPr>
          <w:rFonts w:ascii="Times New Roman" w:hAnsi="Times New Roman"/>
          <w:sz w:val="24"/>
          <w:lang w:val="en-GB"/>
        </w:rPr>
        <w:t xml:space="preserve">. If one narrows this definition down, </w:t>
      </w:r>
      <w:r>
        <w:rPr>
          <w:rFonts w:ascii="Times New Roman" w:hAnsi="Times New Roman"/>
          <w:sz w:val="24"/>
          <w:lang w:val="en-GB"/>
        </w:rPr>
        <w:t xml:space="preserve">the </w:t>
      </w:r>
      <w:r w:rsidRPr="00C73DC3">
        <w:rPr>
          <w:rFonts w:ascii="Times New Roman" w:hAnsi="Times New Roman"/>
          <w:sz w:val="24"/>
          <w:lang w:val="en-GB"/>
        </w:rPr>
        <w:t xml:space="preserve">themes reported by each company in 14 to 15 reports are the following: energy, wood, air emissions, waste and water emissions. </w:t>
      </w:r>
    </w:p>
    <w:p w14:paraId="2243EEF5" w14:textId="77777777" w:rsidR="00C23C7D" w:rsidRPr="00C73DC3" w:rsidRDefault="00C23C7D" w:rsidP="00242436">
      <w:pPr>
        <w:pStyle w:val="Kuvanotsikko"/>
        <w:keepNext/>
        <w:rPr>
          <w:lang w:val="en-GB"/>
        </w:rPr>
      </w:pPr>
      <w:bookmarkStart w:id="4" w:name="_Ref410036844"/>
      <w:r w:rsidRPr="00C73DC3">
        <w:rPr>
          <w:lang w:val="en-GB"/>
        </w:rPr>
        <w:t xml:space="preserve">Table </w:t>
      </w:r>
      <w:bookmarkEnd w:id="4"/>
      <w:r>
        <w:rPr>
          <w:lang w:val="en-GB"/>
        </w:rPr>
        <w:t>5</w:t>
      </w:r>
      <w:r w:rsidRPr="00C73DC3">
        <w:rPr>
          <w:lang w:val="en-GB"/>
        </w:rPr>
        <w:t xml:space="preserve"> The frequency of indicator reporting </w:t>
      </w:r>
      <w:r>
        <w:rPr>
          <w:lang w:val="en-GB"/>
        </w:rPr>
        <w:t>by</w:t>
      </w:r>
      <w:r w:rsidRPr="00C73DC3">
        <w:rPr>
          <w:lang w:val="en-GB"/>
        </w:rPr>
        <w:t xml:space="preserve"> each company and in total</w:t>
      </w:r>
    </w:p>
    <w:p w14:paraId="2333019A" w14:textId="744C6B71" w:rsidR="00C23C7D" w:rsidRPr="00C73DC3" w:rsidRDefault="00C23C7D" w:rsidP="00D75E9D">
      <w:pPr>
        <w:jc w:val="both"/>
        <w:rPr>
          <w:rFonts w:ascii="Times New Roman" w:hAnsi="Times New Roman"/>
          <w:sz w:val="24"/>
          <w:lang w:val="en-GB"/>
        </w:rPr>
      </w:pPr>
      <w:r w:rsidRPr="00C73DC3">
        <w:rPr>
          <w:rFonts w:ascii="Times New Roman" w:hAnsi="Times New Roman"/>
          <w:sz w:val="24"/>
          <w:lang w:val="en-GB"/>
        </w:rPr>
        <w:t>The fourth trend shows that the number of indicators reported in each group is decreasing (see Figure 2). Regarding the background indicators, this trend is very obvious. In environmental impact and management indicators, the visible trend would be rather level with ups and downs. Similarly, the reporting of input and output indicators would seem to be recovering at the moment.</w:t>
      </w:r>
      <w:r>
        <w:rPr>
          <w:rFonts w:ascii="Times New Roman" w:hAnsi="Times New Roman"/>
          <w:sz w:val="24"/>
          <w:lang w:val="en-GB"/>
        </w:rPr>
        <w:t xml:space="preserve"> The same decrease is also visible at the theme level (see Figure 3). Only in the cases of climate change (in environmental impact group) and water (in input group), there seems to be an increase in the reporting; in all the other 17 themes, the reporting trend is decreasing. </w:t>
      </w:r>
    </w:p>
    <w:p w14:paraId="76D12731" w14:textId="69142A03" w:rsidR="00C23C7D" w:rsidRPr="00C73DC3" w:rsidRDefault="00C23C7D" w:rsidP="00D75E9D">
      <w:pPr>
        <w:jc w:val="both"/>
        <w:rPr>
          <w:rFonts w:ascii="Times New Roman" w:hAnsi="Times New Roman"/>
          <w:sz w:val="24"/>
          <w:lang w:val="en-GB"/>
        </w:rPr>
      </w:pPr>
      <w:r w:rsidRPr="00C73DC3">
        <w:rPr>
          <w:rFonts w:ascii="Times New Roman" w:hAnsi="Times New Roman"/>
          <w:sz w:val="24"/>
          <w:lang w:val="en-GB"/>
        </w:rPr>
        <w:t xml:space="preserve">The fifth trend is that there are only a few less often reported themes. Indicators that are reported in one to four reports are called </w:t>
      </w:r>
      <w:r>
        <w:rPr>
          <w:rFonts w:ascii="Times New Roman" w:hAnsi="Times New Roman"/>
          <w:sz w:val="24"/>
          <w:lang w:val="en-GB"/>
        </w:rPr>
        <w:t>‘</w:t>
      </w:r>
      <w:r w:rsidRPr="00C73DC3">
        <w:rPr>
          <w:rFonts w:ascii="Times New Roman" w:hAnsi="Times New Roman"/>
          <w:sz w:val="24"/>
          <w:lang w:val="en-GB"/>
        </w:rPr>
        <w:t>less often reported</w:t>
      </w:r>
      <w:r>
        <w:rPr>
          <w:rFonts w:ascii="Times New Roman" w:hAnsi="Times New Roman"/>
          <w:sz w:val="24"/>
          <w:lang w:val="en-GB"/>
        </w:rPr>
        <w:t>’</w:t>
      </w:r>
      <w:r w:rsidRPr="00C73DC3">
        <w:rPr>
          <w:rFonts w:ascii="Times New Roman" w:hAnsi="Times New Roman"/>
          <w:sz w:val="24"/>
          <w:lang w:val="en-GB"/>
        </w:rPr>
        <w:t xml:space="preserve">. Land issues and management indicators are reported in less than five reports in the whole material. If one looks at the number of indicators, land issues, suppliers, amount of paper (as a raw material), and management equal less than 1% of the whole number of indicators. The themes that </w:t>
      </w:r>
      <w:r>
        <w:rPr>
          <w:rFonts w:ascii="Times New Roman" w:hAnsi="Times New Roman"/>
          <w:sz w:val="24"/>
          <w:lang w:val="en-GB"/>
        </w:rPr>
        <w:t>comprise the</w:t>
      </w:r>
      <w:r w:rsidRPr="00C73DC3">
        <w:rPr>
          <w:rFonts w:ascii="Times New Roman" w:hAnsi="Times New Roman"/>
          <w:sz w:val="24"/>
          <w:lang w:val="en-GB"/>
        </w:rPr>
        <w:t xml:space="preserve"> least often reported indicators vary among the case companies (see Table </w:t>
      </w:r>
      <w:r>
        <w:rPr>
          <w:rFonts w:ascii="Times New Roman" w:hAnsi="Times New Roman"/>
          <w:sz w:val="24"/>
          <w:lang w:val="en-GB"/>
        </w:rPr>
        <w:t>5</w:t>
      </w:r>
      <w:r w:rsidRPr="00C73DC3">
        <w:rPr>
          <w:rFonts w:ascii="Times New Roman" w:hAnsi="Times New Roman"/>
          <w:sz w:val="24"/>
          <w:lang w:val="en-GB"/>
        </w:rPr>
        <w:t xml:space="preserve">). </w:t>
      </w:r>
    </w:p>
    <w:p w14:paraId="50D9701F" w14:textId="6C49E9F5" w:rsidR="00C23C7D" w:rsidRDefault="00C23C7D" w:rsidP="00D75E9D">
      <w:pPr>
        <w:jc w:val="both"/>
        <w:rPr>
          <w:rFonts w:ascii="Times New Roman" w:hAnsi="Times New Roman"/>
          <w:sz w:val="24"/>
          <w:lang w:val="en-GB"/>
        </w:rPr>
      </w:pPr>
      <w:r w:rsidRPr="00C73DC3">
        <w:rPr>
          <w:rFonts w:ascii="Times New Roman" w:hAnsi="Times New Roman"/>
          <w:sz w:val="24"/>
          <w:lang w:val="en-GB"/>
        </w:rPr>
        <w:t>The sixth trend is that reporting in the background and corporate environmental management group is typically fragmented. For example, Metsä Board reports on transportation in 1999, whereas</w:t>
      </w:r>
      <w:r>
        <w:rPr>
          <w:rFonts w:ascii="Times New Roman" w:hAnsi="Times New Roman"/>
          <w:sz w:val="24"/>
          <w:lang w:val="en-GB"/>
        </w:rPr>
        <w:t xml:space="preserve"> </w:t>
      </w:r>
      <w:r w:rsidRPr="00C73DC3">
        <w:rPr>
          <w:rFonts w:ascii="Times New Roman" w:hAnsi="Times New Roman"/>
          <w:sz w:val="24"/>
          <w:lang w:val="en-GB"/>
        </w:rPr>
        <w:t xml:space="preserve">in 2000 it does not; </w:t>
      </w:r>
      <w:r>
        <w:rPr>
          <w:rFonts w:ascii="Times New Roman" w:hAnsi="Times New Roman"/>
          <w:sz w:val="24"/>
          <w:lang w:val="en-GB"/>
        </w:rPr>
        <w:t>from</w:t>
      </w:r>
      <w:r w:rsidRPr="00C73DC3">
        <w:rPr>
          <w:rFonts w:ascii="Times New Roman" w:hAnsi="Times New Roman"/>
          <w:sz w:val="24"/>
          <w:lang w:val="en-GB"/>
        </w:rPr>
        <w:t xml:space="preserve"> 2001</w:t>
      </w:r>
      <w:r>
        <w:rPr>
          <w:rFonts w:ascii="Times New Roman" w:hAnsi="Times New Roman"/>
          <w:sz w:val="24"/>
          <w:lang w:val="en-GB"/>
        </w:rPr>
        <w:t xml:space="preserve"> to </w:t>
      </w:r>
      <w:r w:rsidRPr="00C73DC3">
        <w:rPr>
          <w:rFonts w:ascii="Times New Roman" w:hAnsi="Times New Roman"/>
          <w:sz w:val="24"/>
          <w:lang w:val="en-GB"/>
        </w:rPr>
        <w:t xml:space="preserve">2005 it reports </w:t>
      </w:r>
      <w:r>
        <w:rPr>
          <w:rFonts w:ascii="Times New Roman" w:hAnsi="Times New Roman"/>
          <w:sz w:val="24"/>
          <w:lang w:val="en-GB"/>
        </w:rPr>
        <w:t xml:space="preserve">on it </w:t>
      </w:r>
      <w:r w:rsidRPr="00C73DC3">
        <w:rPr>
          <w:rFonts w:ascii="Times New Roman" w:hAnsi="Times New Roman"/>
          <w:sz w:val="24"/>
          <w:lang w:val="en-GB"/>
        </w:rPr>
        <w:t xml:space="preserve">again. Stora Enso’s reporting of transportation is similar: </w:t>
      </w:r>
      <w:r>
        <w:rPr>
          <w:rFonts w:ascii="Times New Roman" w:hAnsi="Times New Roman"/>
          <w:sz w:val="24"/>
          <w:lang w:val="en-GB"/>
        </w:rPr>
        <w:t>the company</w:t>
      </w:r>
      <w:r w:rsidRPr="00C73DC3">
        <w:rPr>
          <w:rFonts w:ascii="Times New Roman" w:hAnsi="Times New Roman"/>
          <w:sz w:val="24"/>
          <w:lang w:val="en-GB"/>
        </w:rPr>
        <w:t xml:space="preserve"> report</w:t>
      </w:r>
      <w:r>
        <w:rPr>
          <w:rFonts w:ascii="Times New Roman" w:hAnsi="Times New Roman"/>
          <w:sz w:val="24"/>
          <w:lang w:val="en-GB"/>
        </w:rPr>
        <w:t>s</w:t>
      </w:r>
      <w:r w:rsidRPr="00C73DC3">
        <w:rPr>
          <w:rFonts w:ascii="Times New Roman" w:hAnsi="Times New Roman"/>
          <w:sz w:val="24"/>
          <w:lang w:val="en-GB"/>
        </w:rPr>
        <w:t xml:space="preserve"> in 1999 and 2000, do</w:t>
      </w:r>
      <w:r>
        <w:rPr>
          <w:rFonts w:ascii="Times New Roman" w:hAnsi="Times New Roman"/>
          <w:sz w:val="24"/>
          <w:lang w:val="en-GB"/>
        </w:rPr>
        <w:t>es</w:t>
      </w:r>
      <w:r w:rsidRPr="00C73DC3">
        <w:rPr>
          <w:rFonts w:ascii="Times New Roman" w:hAnsi="Times New Roman"/>
          <w:sz w:val="24"/>
          <w:lang w:val="en-GB"/>
        </w:rPr>
        <w:t xml:space="preserve"> not in 2001, and report</w:t>
      </w:r>
      <w:r>
        <w:rPr>
          <w:rFonts w:ascii="Times New Roman" w:hAnsi="Times New Roman"/>
          <w:sz w:val="24"/>
          <w:lang w:val="en-GB"/>
        </w:rPr>
        <w:t>s</w:t>
      </w:r>
      <w:r w:rsidRPr="00C73DC3">
        <w:rPr>
          <w:rFonts w:ascii="Times New Roman" w:hAnsi="Times New Roman"/>
          <w:sz w:val="24"/>
          <w:lang w:val="en-GB"/>
        </w:rPr>
        <w:t xml:space="preserve"> </w:t>
      </w:r>
      <w:r>
        <w:rPr>
          <w:rFonts w:ascii="Times New Roman" w:hAnsi="Times New Roman"/>
          <w:sz w:val="24"/>
          <w:lang w:val="en-GB"/>
        </w:rPr>
        <w:t xml:space="preserve">on it </w:t>
      </w:r>
      <w:r w:rsidRPr="00C73DC3">
        <w:rPr>
          <w:rFonts w:ascii="Times New Roman" w:hAnsi="Times New Roman"/>
          <w:sz w:val="24"/>
          <w:lang w:val="en-GB"/>
        </w:rPr>
        <w:t xml:space="preserve">again </w:t>
      </w:r>
      <w:r>
        <w:rPr>
          <w:rFonts w:ascii="Times New Roman" w:hAnsi="Times New Roman"/>
          <w:sz w:val="24"/>
          <w:lang w:val="en-GB"/>
        </w:rPr>
        <w:t>from</w:t>
      </w:r>
      <w:r w:rsidRPr="00C73DC3">
        <w:rPr>
          <w:rFonts w:ascii="Times New Roman" w:hAnsi="Times New Roman"/>
          <w:sz w:val="24"/>
          <w:lang w:val="en-GB"/>
        </w:rPr>
        <w:t xml:space="preserve"> 2002</w:t>
      </w:r>
      <w:r>
        <w:rPr>
          <w:rFonts w:ascii="Times New Roman" w:hAnsi="Times New Roman"/>
          <w:sz w:val="24"/>
          <w:lang w:val="en-GB"/>
        </w:rPr>
        <w:t xml:space="preserve"> to </w:t>
      </w:r>
      <w:r w:rsidRPr="00C73DC3">
        <w:rPr>
          <w:rFonts w:ascii="Times New Roman" w:hAnsi="Times New Roman"/>
          <w:sz w:val="24"/>
          <w:lang w:val="en-GB"/>
        </w:rPr>
        <w:t xml:space="preserve">2004. </w:t>
      </w:r>
      <w:r>
        <w:rPr>
          <w:rFonts w:ascii="Times New Roman" w:hAnsi="Times New Roman"/>
          <w:sz w:val="24"/>
          <w:lang w:val="en-GB"/>
        </w:rPr>
        <w:t>T</w:t>
      </w:r>
      <w:r w:rsidRPr="00C73DC3">
        <w:rPr>
          <w:rFonts w:ascii="Times New Roman" w:hAnsi="Times New Roman"/>
          <w:sz w:val="24"/>
          <w:lang w:val="en-GB"/>
        </w:rPr>
        <w:t xml:space="preserve">here are eight themes that these companies do not report </w:t>
      </w:r>
      <w:r>
        <w:rPr>
          <w:rFonts w:ascii="Times New Roman" w:hAnsi="Times New Roman"/>
          <w:sz w:val="24"/>
          <w:lang w:val="en-GB"/>
        </w:rPr>
        <w:t xml:space="preserve">on </w:t>
      </w:r>
      <w:r w:rsidRPr="00C73DC3">
        <w:rPr>
          <w:rFonts w:ascii="Times New Roman" w:hAnsi="Times New Roman"/>
          <w:sz w:val="24"/>
          <w:lang w:val="en-GB"/>
        </w:rPr>
        <w:t>during the whole analysis period</w:t>
      </w:r>
      <w:r>
        <w:rPr>
          <w:rFonts w:ascii="Times New Roman" w:hAnsi="Times New Roman"/>
          <w:sz w:val="24"/>
          <w:lang w:val="en-GB"/>
        </w:rPr>
        <w:t>:</w:t>
      </w:r>
      <w:r w:rsidRPr="00C73DC3">
        <w:rPr>
          <w:rFonts w:ascii="Times New Roman" w:hAnsi="Times New Roman"/>
          <w:sz w:val="24"/>
          <w:lang w:val="en-GB"/>
        </w:rPr>
        <w:t xml:space="preserve"> land issues, suppliers, transportation, paper, other raw materials, water, management and total emissions. </w:t>
      </w:r>
    </w:p>
    <w:p w14:paraId="40AF2FB3" w14:textId="56314137" w:rsidR="00C23C7D" w:rsidRPr="00C73DC3" w:rsidRDefault="00C23C7D" w:rsidP="00D75E9D">
      <w:pPr>
        <w:jc w:val="both"/>
        <w:rPr>
          <w:rFonts w:ascii="Times New Roman" w:hAnsi="Times New Roman"/>
          <w:sz w:val="24"/>
          <w:lang w:val="en-GB"/>
        </w:rPr>
      </w:pPr>
      <w:r>
        <w:rPr>
          <w:rFonts w:ascii="Times New Roman" w:hAnsi="Times New Roman"/>
          <w:sz w:val="24"/>
          <w:lang w:val="en-GB"/>
        </w:rPr>
        <w:t xml:space="preserve">The seventh trend emerges when looking at the theme level (see Figure 3). These trends are viewed next per indicator group. In output indicators, in the beginning of the time frame, the reporting consisted mainly of air and water emissions but lately, waste indicators have also been reported in significant numbers. Input indicators consist mainly of the energy indicators. In environmental impacts, climate change indicators have dominated lately and the role of acidification and eutrophication indicators has decreased. Regarding the background indicators, in the beginning of the analysing period, the reporting consisted mainly of forests and transportation while lately only forest indicators have been reported. Environmental management indicator reporting equals mainly to just environmental costs. </w:t>
      </w:r>
    </w:p>
    <w:p w14:paraId="1BC5C916" w14:textId="77777777" w:rsidR="00C23C7D" w:rsidRDefault="00C23C7D" w:rsidP="00C77070">
      <w:pPr>
        <w:pStyle w:val="Kuvanotsikko"/>
        <w:rPr>
          <w:lang w:val="en-GB"/>
        </w:rPr>
      </w:pPr>
      <w:r w:rsidRPr="00C73DC3">
        <w:rPr>
          <w:lang w:val="en-GB"/>
        </w:rPr>
        <w:t xml:space="preserve">Figure </w:t>
      </w:r>
      <w:r w:rsidRPr="00C73DC3">
        <w:rPr>
          <w:lang w:val="en-GB"/>
        </w:rPr>
        <w:fldChar w:fldCharType="begin"/>
      </w:r>
      <w:r w:rsidRPr="00C73DC3">
        <w:rPr>
          <w:lang w:val="en-GB"/>
        </w:rPr>
        <w:instrText xml:space="preserve"> SEQ Figure \* ARABIC </w:instrText>
      </w:r>
      <w:r w:rsidRPr="00C73DC3">
        <w:rPr>
          <w:lang w:val="en-GB"/>
        </w:rPr>
        <w:fldChar w:fldCharType="separate"/>
      </w:r>
      <w:r w:rsidRPr="00C73DC3">
        <w:rPr>
          <w:noProof/>
          <w:lang w:val="en-GB"/>
        </w:rPr>
        <w:t>2</w:t>
      </w:r>
      <w:r w:rsidRPr="00C73DC3">
        <w:rPr>
          <w:lang w:val="en-GB"/>
        </w:rPr>
        <w:fldChar w:fldCharType="end"/>
      </w:r>
      <w:r w:rsidRPr="00C73DC3">
        <w:rPr>
          <w:lang w:val="en-GB"/>
        </w:rPr>
        <w:t xml:space="preserve"> The number of indicators reported in each group by each company and in total between 1998 and 2012</w:t>
      </w:r>
    </w:p>
    <w:p w14:paraId="0DC0096B" w14:textId="77777777" w:rsidR="00C23C7D" w:rsidRDefault="00C23C7D" w:rsidP="00D56C9C">
      <w:pPr>
        <w:pStyle w:val="Kuvanotsikko"/>
        <w:rPr>
          <w:lang w:val="en-GB"/>
        </w:rPr>
      </w:pPr>
      <w:r w:rsidRPr="00C73DC3">
        <w:rPr>
          <w:lang w:val="en-GB"/>
        </w:rPr>
        <w:t xml:space="preserve">Figure </w:t>
      </w:r>
      <w:r>
        <w:rPr>
          <w:lang w:val="en-GB"/>
        </w:rPr>
        <w:t>3</w:t>
      </w:r>
      <w:r w:rsidRPr="00C73DC3">
        <w:rPr>
          <w:lang w:val="en-GB"/>
        </w:rPr>
        <w:t xml:space="preserve"> The number of indicators reported</w:t>
      </w:r>
      <w:r>
        <w:rPr>
          <w:lang w:val="en-GB"/>
        </w:rPr>
        <w:t xml:space="preserve"> in each theme</w:t>
      </w:r>
      <w:r w:rsidRPr="00C73DC3">
        <w:rPr>
          <w:lang w:val="en-GB"/>
        </w:rPr>
        <w:t xml:space="preserve"> by </w:t>
      </w:r>
      <w:r>
        <w:rPr>
          <w:lang w:val="en-GB"/>
        </w:rPr>
        <w:t xml:space="preserve">indicator groups </w:t>
      </w:r>
      <w:r w:rsidRPr="00C73DC3">
        <w:rPr>
          <w:lang w:val="en-GB"/>
        </w:rPr>
        <w:t>between 1998 and 2012</w:t>
      </w:r>
    </w:p>
    <w:p w14:paraId="1B35F8BC" w14:textId="77777777" w:rsidR="00C23C7D" w:rsidRPr="00C73DC3" w:rsidRDefault="00C23C7D" w:rsidP="00B52B88">
      <w:pPr>
        <w:rPr>
          <w:rFonts w:ascii="Times New Roman" w:hAnsi="Times New Roman"/>
          <w:b/>
          <w:sz w:val="24"/>
          <w:lang w:val="en-GB"/>
        </w:rPr>
      </w:pPr>
      <w:r w:rsidRPr="00C73DC3">
        <w:rPr>
          <w:rFonts w:ascii="Times New Roman" w:hAnsi="Times New Roman"/>
          <w:b/>
          <w:sz w:val="24"/>
          <w:lang w:val="en-GB"/>
        </w:rPr>
        <w:t xml:space="preserve">5 Discussion </w:t>
      </w:r>
    </w:p>
    <w:p w14:paraId="0093F3E1" w14:textId="77777777" w:rsidR="00C23C7D" w:rsidRPr="00C73DC3" w:rsidRDefault="00C23C7D" w:rsidP="00B52B88">
      <w:pPr>
        <w:rPr>
          <w:rFonts w:ascii="Times New Roman" w:hAnsi="Times New Roman"/>
          <w:b/>
          <w:sz w:val="24"/>
          <w:lang w:val="en-GB"/>
        </w:rPr>
      </w:pPr>
      <w:r w:rsidRPr="00C73DC3">
        <w:rPr>
          <w:rFonts w:ascii="Times New Roman" w:hAnsi="Times New Roman"/>
          <w:b/>
          <w:sz w:val="24"/>
          <w:lang w:val="en-GB"/>
        </w:rPr>
        <w:t xml:space="preserve">5.1 </w:t>
      </w:r>
      <w:r>
        <w:rPr>
          <w:rFonts w:ascii="Times New Roman" w:hAnsi="Times New Roman"/>
          <w:b/>
          <w:sz w:val="24"/>
          <w:lang w:val="en-GB"/>
        </w:rPr>
        <w:t>Summary</w:t>
      </w:r>
      <w:r w:rsidRPr="00C73DC3">
        <w:rPr>
          <w:rFonts w:ascii="Times New Roman" w:hAnsi="Times New Roman"/>
          <w:b/>
          <w:sz w:val="24"/>
          <w:lang w:val="en-GB"/>
        </w:rPr>
        <w:t xml:space="preserve"> of the results</w:t>
      </w:r>
    </w:p>
    <w:p w14:paraId="46FFBF54" w14:textId="5543073A" w:rsidR="00C23C7D" w:rsidRPr="00C73DC3" w:rsidRDefault="00C23C7D" w:rsidP="00D75E9D">
      <w:pPr>
        <w:jc w:val="both"/>
        <w:rPr>
          <w:rFonts w:ascii="Times New Roman" w:hAnsi="Times New Roman"/>
          <w:sz w:val="24"/>
          <w:lang w:val="en-GB"/>
        </w:rPr>
      </w:pPr>
      <w:r w:rsidRPr="00C73DC3">
        <w:rPr>
          <w:rFonts w:ascii="Times New Roman" w:hAnsi="Times New Roman"/>
          <w:sz w:val="24"/>
          <w:lang w:val="en-GB"/>
        </w:rPr>
        <w:t>The aim of this paper was to analyse the trends of environmental performance reporting in three Finnish forest industry companies. The reported indicators were classified into 20 themes (e.g. forest, energy, costs and air emissions), which were further categorised into five groups</w:t>
      </w:r>
      <w:r>
        <w:rPr>
          <w:rFonts w:ascii="Times New Roman" w:hAnsi="Times New Roman"/>
          <w:sz w:val="24"/>
          <w:lang w:val="en-GB"/>
        </w:rPr>
        <w:t>,</w:t>
      </w:r>
      <w:r w:rsidRPr="00C73DC3">
        <w:rPr>
          <w:rFonts w:ascii="Times New Roman" w:hAnsi="Times New Roman"/>
          <w:sz w:val="24"/>
          <w:lang w:val="en-GB"/>
        </w:rPr>
        <w:t xml:space="preserve"> according to the different phases of the forest industry production chain. The groups were background, inputs, corporate environmental management, outputs and environmental impacts.</w:t>
      </w:r>
    </w:p>
    <w:p w14:paraId="5C5BC305" w14:textId="7A03DE93" w:rsidR="00C23C7D" w:rsidRDefault="00C23C7D" w:rsidP="00D75E9D">
      <w:pPr>
        <w:jc w:val="both"/>
        <w:rPr>
          <w:rFonts w:ascii="Times New Roman" w:hAnsi="Times New Roman"/>
          <w:sz w:val="24"/>
          <w:lang w:val="en-GB"/>
        </w:rPr>
      </w:pPr>
      <w:r w:rsidRPr="00C73DC3">
        <w:rPr>
          <w:rFonts w:ascii="Times New Roman" w:hAnsi="Times New Roman"/>
          <w:sz w:val="24"/>
          <w:lang w:val="en-GB"/>
        </w:rPr>
        <w:t xml:space="preserve">The analysis revealed </w:t>
      </w:r>
      <w:r>
        <w:rPr>
          <w:rFonts w:ascii="Times New Roman" w:hAnsi="Times New Roman"/>
          <w:sz w:val="24"/>
          <w:lang w:val="en-GB"/>
        </w:rPr>
        <w:t>seven</w:t>
      </w:r>
      <w:r w:rsidRPr="00C73DC3">
        <w:rPr>
          <w:rFonts w:ascii="Times New Roman" w:hAnsi="Times New Roman"/>
          <w:sz w:val="24"/>
          <w:lang w:val="en-GB"/>
        </w:rPr>
        <w:t xml:space="preserve"> trends in environmental performance reporting in these companies.</w:t>
      </w:r>
      <w:r>
        <w:rPr>
          <w:rFonts w:ascii="Times New Roman" w:hAnsi="Times New Roman"/>
          <w:sz w:val="24"/>
          <w:lang w:val="en-GB"/>
        </w:rPr>
        <w:t xml:space="preserve"> These trends can be further categorised into four larger</w:t>
      </w:r>
      <w:r w:rsidRPr="00C73DC3">
        <w:rPr>
          <w:rFonts w:ascii="Times New Roman" w:hAnsi="Times New Roman"/>
          <w:sz w:val="24"/>
          <w:lang w:val="en-GB"/>
        </w:rPr>
        <w:t xml:space="preserve"> </w:t>
      </w:r>
      <w:r>
        <w:rPr>
          <w:rFonts w:ascii="Times New Roman" w:hAnsi="Times New Roman"/>
          <w:sz w:val="24"/>
          <w:lang w:val="en-GB"/>
        </w:rPr>
        <w:t xml:space="preserve">themes. First, the companies report a massive number of environmental performance indicators, while the majority of the reporting consists of input and output indicators. Even more narrowly, the bulk of this reporting is comprised of energy, wood as raw material, air and water emissions, and waste. Second, the amount of environmental performance indicators is decreasing. Third, very few of the reported indicators address the early parts of forest industry supply chain, i.e., the so-called background indicators in this research, and the actions of corporate environmental management. Fourth, this research recognised climate change indicators as an emerging theme. These four themes are reviewed next. </w:t>
      </w:r>
    </w:p>
    <w:p w14:paraId="47558363" w14:textId="77777777" w:rsidR="00C23C7D" w:rsidRPr="00CB31E6" w:rsidRDefault="00C23C7D" w:rsidP="00B52B88">
      <w:pPr>
        <w:rPr>
          <w:rFonts w:ascii="Times New Roman" w:hAnsi="Times New Roman"/>
          <w:b/>
          <w:sz w:val="24"/>
          <w:lang w:val="en-US"/>
        </w:rPr>
      </w:pPr>
      <w:r w:rsidRPr="00CB31E6">
        <w:rPr>
          <w:rFonts w:ascii="Times New Roman" w:hAnsi="Times New Roman"/>
          <w:b/>
          <w:sz w:val="24"/>
          <w:lang w:val="en-US"/>
        </w:rPr>
        <w:t>5.2 Review of the results</w:t>
      </w:r>
    </w:p>
    <w:p w14:paraId="369E4E5F" w14:textId="1A5FDB39" w:rsidR="00C23C7D" w:rsidRPr="00C73DC3" w:rsidRDefault="00C23C7D" w:rsidP="00D75E9D">
      <w:pPr>
        <w:jc w:val="both"/>
        <w:rPr>
          <w:rFonts w:ascii="Times New Roman" w:hAnsi="Times New Roman"/>
          <w:sz w:val="24"/>
          <w:lang w:val="en-GB"/>
        </w:rPr>
      </w:pPr>
      <w:r>
        <w:rPr>
          <w:rFonts w:ascii="Times New Roman" w:hAnsi="Times New Roman"/>
          <w:sz w:val="24"/>
          <w:lang w:val="en-GB"/>
        </w:rPr>
        <w:t>First, t</w:t>
      </w:r>
      <w:r w:rsidRPr="00C73DC3">
        <w:rPr>
          <w:rFonts w:ascii="Times New Roman" w:hAnsi="Times New Roman"/>
          <w:sz w:val="24"/>
          <w:lang w:val="en-GB"/>
        </w:rPr>
        <w:t xml:space="preserve">hese companies used a lot of indicators during the 15 years of reporting. There were </w:t>
      </w:r>
      <w:r w:rsidRPr="00C73DC3" w:rsidDel="00057959">
        <w:rPr>
          <w:rFonts w:ascii="Times New Roman" w:hAnsi="Times New Roman"/>
          <w:sz w:val="24"/>
          <w:lang w:val="en-GB"/>
        </w:rPr>
        <w:t>w</w:t>
      </w:r>
      <w:r w:rsidRPr="00C73DC3">
        <w:rPr>
          <w:rFonts w:ascii="Times New Roman" w:hAnsi="Times New Roman"/>
          <w:sz w:val="24"/>
          <w:lang w:val="en-GB"/>
        </w:rPr>
        <w:t>ell over 2,000 indicator</w:t>
      </w:r>
      <w:r>
        <w:rPr>
          <w:rFonts w:ascii="Times New Roman" w:hAnsi="Times New Roman"/>
          <w:sz w:val="24"/>
          <w:lang w:val="en-GB"/>
        </w:rPr>
        <w:t xml:space="preserve"> mention</w:t>
      </w:r>
      <w:r w:rsidR="00C85A94">
        <w:rPr>
          <w:rFonts w:ascii="Times New Roman" w:hAnsi="Times New Roman"/>
          <w:sz w:val="24"/>
          <w:lang w:val="en-GB"/>
        </w:rPr>
        <w:t>s</w:t>
      </w:r>
      <w:r>
        <w:rPr>
          <w:rFonts w:ascii="Times New Roman" w:hAnsi="Times New Roman"/>
          <w:sz w:val="24"/>
          <w:lang w:val="en-GB"/>
        </w:rPr>
        <w:t xml:space="preserve">, and </w:t>
      </w:r>
      <w:r w:rsidR="00C85A94">
        <w:rPr>
          <w:rFonts w:ascii="Times New Roman" w:hAnsi="Times New Roman"/>
          <w:sz w:val="24"/>
          <w:lang w:val="en-GB"/>
        </w:rPr>
        <w:t>the indicators</w:t>
      </w:r>
      <w:r>
        <w:rPr>
          <w:rFonts w:ascii="Times New Roman" w:hAnsi="Times New Roman"/>
          <w:sz w:val="24"/>
          <w:lang w:val="en-GB"/>
        </w:rPr>
        <w:t xml:space="preserve"> were divided in </w:t>
      </w:r>
      <w:r w:rsidRPr="00C73DC3">
        <w:rPr>
          <w:rFonts w:ascii="Times New Roman" w:hAnsi="Times New Roman"/>
          <w:sz w:val="24"/>
          <w:lang w:val="en-GB"/>
        </w:rPr>
        <w:t>20 themes and five groups. Similar results have been found in previous research as well</w:t>
      </w:r>
      <w:r>
        <w:rPr>
          <w:rFonts w:ascii="Times New Roman" w:hAnsi="Times New Roman"/>
          <w:sz w:val="24"/>
          <w:lang w:val="en-GB"/>
        </w:rPr>
        <w:t>, although the sample of companies has been totally different</w:t>
      </w:r>
      <w:r w:rsidRPr="00C73DC3">
        <w:rPr>
          <w:rFonts w:ascii="Times New Roman" w:hAnsi="Times New Roman"/>
          <w:sz w:val="24"/>
          <w:lang w:val="en-GB"/>
        </w:rPr>
        <w:t xml:space="preserve">. </w:t>
      </w:r>
      <w:r>
        <w:rPr>
          <w:rFonts w:ascii="Times New Roman" w:hAnsi="Times New Roman"/>
          <w:sz w:val="24"/>
          <w:lang w:val="en-GB"/>
        </w:rPr>
        <w:t xml:space="preserve">For example, </w:t>
      </w:r>
      <w:r w:rsidRPr="00C73DC3">
        <w:rPr>
          <w:rFonts w:ascii="Times New Roman" w:hAnsi="Times New Roman"/>
          <w:sz w:val="24"/>
          <w:lang w:val="en-GB"/>
        </w:rPr>
        <w:t>Jones (2011) found that the 63 compan</w:t>
      </w:r>
      <w:r>
        <w:rPr>
          <w:rFonts w:ascii="Times New Roman" w:hAnsi="Times New Roman"/>
          <w:sz w:val="24"/>
          <w:lang w:val="en-GB"/>
        </w:rPr>
        <w:t xml:space="preserve">ies analysed </w:t>
      </w:r>
      <w:r w:rsidDel="00057959">
        <w:rPr>
          <w:rFonts w:ascii="Times New Roman" w:hAnsi="Times New Roman"/>
          <w:sz w:val="24"/>
          <w:lang w:val="en-GB"/>
        </w:rPr>
        <w:t xml:space="preserve">used altogether </w:t>
      </w:r>
      <w:r w:rsidRPr="00C73DC3">
        <w:rPr>
          <w:rFonts w:ascii="Times New Roman" w:hAnsi="Times New Roman"/>
          <w:sz w:val="24"/>
          <w:lang w:val="en-GB"/>
        </w:rPr>
        <w:t>693 graphs</w:t>
      </w:r>
      <w:r w:rsidDel="00057959">
        <w:rPr>
          <w:rFonts w:ascii="Times New Roman" w:hAnsi="Times New Roman"/>
          <w:sz w:val="24"/>
          <w:lang w:val="en-GB"/>
        </w:rPr>
        <w:t>.</w:t>
      </w:r>
      <w:r>
        <w:rPr>
          <w:rFonts w:ascii="Times New Roman" w:hAnsi="Times New Roman"/>
          <w:sz w:val="24"/>
          <w:lang w:val="en-GB"/>
        </w:rPr>
        <w:t xml:space="preserve"> </w:t>
      </w:r>
      <w:r w:rsidRPr="00C73DC3">
        <w:rPr>
          <w:rFonts w:ascii="Times New Roman" w:hAnsi="Times New Roman"/>
          <w:sz w:val="24"/>
          <w:lang w:val="en-GB"/>
        </w:rPr>
        <w:t xml:space="preserve">Roca and Searcy (2012), on the other hand, studied 94 companies which used 585 different indicators. The indicators most often used in this analysis </w:t>
      </w:r>
      <w:r w:rsidRPr="00C73DC3" w:rsidDel="00057959">
        <w:rPr>
          <w:rFonts w:ascii="Times New Roman" w:hAnsi="Times New Roman"/>
          <w:sz w:val="24"/>
          <w:lang w:val="en-GB"/>
        </w:rPr>
        <w:t xml:space="preserve">were included </w:t>
      </w:r>
      <w:r>
        <w:rPr>
          <w:rFonts w:ascii="Times New Roman" w:hAnsi="Times New Roman"/>
          <w:sz w:val="24"/>
          <w:lang w:val="en-GB"/>
        </w:rPr>
        <w:t>in</w:t>
      </w:r>
      <w:r w:rsidRPr="00C73DC3">
        <w:rPr>
          <w:rFonts w:ascii="Times New Roman" w:hAnsi="Times New Roman"/>
          <w:sz w:val="24"/>
          <w:lang w:val="en-GB"/>
        </w:rPr>
        <w:t xml:space="preserve"> the input and output indicator</w:t>
      </w:r>
      <w:r>
        <w:rPr>
          <w:rFonts w:ascii="Times New Roman" w:hAnsi="Times New Roman"/>
          <w:sz w:val="24"/>
          <w:lang w:val="en-GB"/>
        </w:rPr>
        <w:t xml:space="preserve"> groups</w:t>
      </w:r>
      <w:r w:rsidRPr="00C73DC3">
        <w:rPr>
          <w:rFonts w:ascii="Times New Roman" w:hAnsi="Times New Roman"/>
          <w:sz w:val="24"/>
          <w:lang w:val="en-GB"/>
        </w:rPr>
        <w:t xml:space="preserve">. The themes that were most often reported were air emissions, energy, water emissions, waste and wood. These </w:t>
      </w:r>
      <w:r>
        <w:rPr>
          <w:rFonts w:ascii="Times New Roman" w:hAnsi="Times New Roman"/>
          <w:sz w:val="24"/>
          <w:lang w:val="en-GB"/>
        </w:rPr>
        <w:t xml:space="preserve">findings </w:t>
      </w:r>
      <w:r w:rsidRPr="00C73DC3">
        <w:rPr>
          <w:rFonts w:ascii="Times New Roman" w:hAnsi="Times New Roman"/>
          <w:sz w:val="24"/>
          <w:lang w:val="en-GB"/>
        </w:rPr>
        <w:t xml:space="preserve">are in line with previous research. For example, Fonseca et al. </w:t>
      </w:r>
      <w:r w:rsidRPr="00C73DC3">
        <w:rPr>
          <w:rFonts w:ascii="Times New Roman" w:hAnsi="Times New Roman"/>
          <w:sz w:val="24"/>
          <w:lang w:val="en-GB"/>
        </w:rPr>
        <w:fldChar w:fldCharType="begin"/>
      </w:r>
      <w:r w:rsidRPr="00C73DC3">
        <w:rPr>
          <w:rFonts w:ascii="Times New Roman" w:hAnsi="Times New Roman"/>
          <w:sz w:val="24"/>
          <w:lang w:val="en-GB"/>
        </w:rPr>
        <w:instrText>ADDIN RW.CITE{{2960 Fonseca,Alberto 2011 /a}}</w:instrText>
      </w:r>
      <w:r w:rsidRPr="00C73DC3">
        <w:rPr>
          <w:rFonts w:ascii="Times New Roman" w:hAnsi="Times New Roman"/>
          <w:sz w:val="24"/>
          <w:lang w:val="en-GB"/>
        </w:rPr>
        <w:fldChar w:fldCharType="separate"/>
      </w:r>
      <w:r w:rsidRPr="00C73DC3">
        <w:rPr>
          <w:rFonts w:ascii="Times New Roman" w:hAnsi="Times New Roman"/>
          <w:sz w:val="24"/>
          <w:lang w:val="en-GB"/>
        </w:rPr>
        <w:t>(2011)</w:t>
      </w:r>
      <w:r w:rsidRPr="00C73DC3">
        <w:rPr>
          <w:rFonts w:ascii="Times New Roman" w:hAnsi="Times New Roman"/>
          <w:sz w:val="24"/>
          <w:lang w:val="en-GB"/>
        </w:rPr>
        <w:fldChar w:fldCharType="end"/>
      </w:r>
      <w:r w:rsidRPr="00C73DC3">
        <w:rPr>
          <w:rFonts w:ascii="Times New Roman" w:hAnsi="Times New Roman"/>
          <w:sz w:val="24"/>
          <w:lang w:val="en-GB"/>
        </w:rPr>
        <w:t xml:space="preserve"> and Székely and Knirsch </w:t>
      </w:r>
      <w:r w:rsidRPr="00C73DC3">
        <w:rPr>
          <w:rFonts w:ascii="Times New Roman" w:hAnsi="Times New Roman"/>
          <w:sz w:val="24"/>
          <w:lang w:val="en-GB"/>
        </w:rPr>
        <w:fldChar w:fldCharType="begin"/>
      </w:r>
      <w:r w:rsidRPr="00C73DC3">
        <w:rPr>
          <w:rFonts w:ascii="Times New Roman" w:hAnsi="Times New Roman"/>
          <w:sz w:val="24"/>
          <w:lang w:val="en-GB"/>
        </w:rPr>
        <w:instrText>ADDIN RW.CITE{{1698 Székely,Francisco 2005 /a}}</w:instrText>
      </w:r>
      <w:r w:rsidRPr="00C73DC3">
        <w:rPr>
          <w:rFonts w:ascii="Times New Roman" w:hAnsi="Times New Roman"/>
          <w:sz w:val="24"/>
          <w:lang w:val="en-GB"/>
        </w:rPr>
        <w:fldChar w:fldCharType="separate"/>
      </w:r>
      <w:r w:rsidRPr="00C73DC3">
        <w:rPr>
          <w:rFonts w:ascii="Times New Roman" w:hAnsi="Times New Roman"/>
          <w:sz w:val="24"/>
          <w:lang w:val="en-GB"/>
        </w:rPr>
        <w:t>(2005)</w:t>
      </w:r>
      <w:r w:rsidRPr="00C73DC3">
        <w:rPr>
          <w:rFonts w:ascii="Times New Roman" w:hAnsi="Times New Roman"/>
          <w:sz w:val="24"/>
          <w:lang w:val="en-GB"/>
        </w:rPr>
        <w:fldChar w:fldCharType="end"/>
      </w:r>
      <w:r w:rsidRPr="00C73DC3">
        <w:rPr>
          <w:rFonts w:ascii="Times New Roman" w:hAnsi="Times New Roman"/>
          <w:sz w:val="24"/>
          <w:lang w:val="en-GB"/>
        </w:rPr>
        <w:t xml:space="preserve"> found energy that indicators </w:t>
      </w:r>
      <w:r w:rsidRPr="00C73DC3" w:rsidDel="00057959">
        <w:rPr>
          <w:rFonts w:ascii="Times New Roman" w:hAnsi="Times New Roman"/>
          <w:sz w:val="24"/>
          <w:lang w:val="en-GB"/>
        </w:rPr>
        <w:t>are</w:t>
      </w:r>
      <w:r w:rsidRPr="00C73DC3">
        <w:rPr>
          <w:rFonts w:ascii="Times New Roman" w:hAnsi="Times New Roman"/>
          <w:sz w:val="24"/>
          <w:lang w:val="en-GB"/>
        </w:rPr>
        <w:t xml:space="preserve"> frequently used. Then, Yongvanich and Guthrie </w:t>
      </w:r>
      <w:r w:rsidRPr="00C73DC3">
        <w:rPr>
          <w:rFonts w:ascii="Times New Roman" w:hAnsi="Times New Roman"/>
          <w:sz w:val="24"/>
          <w:lang w:val="en-GB"/>
        </w:rPr>
        <w:fldChar w:fldCharType="begin"/>
      </w:r>
      <w:r w:rsidRPr="00C73DC3">
        <w:rPr>
          <w:rFonts w:ascii="Times New Roman" w:hAnsi="Times New Roman"/>
          <w:sz w:val="24"/>
          <w:lang w:val="en-GB"/>
        </w:rPr>
        <w:instrText>ADDIN RW.CITE{{2903 Yongvanich,Kittiya 2005 /a; 2904 Yongvanich,Kittiya 2007 /a}}</w:instrText>
      </w:r>
      <w:r w:rsidRPr="00C73DC3">
        <w:rPr>
          <w:rFonts w:ascii="Times New Roman" w:hAnsi="Times New Roman"/>
          <w:sz w:val="24"/>
          <w:lang w:val="en-GB"/>
        </w:rPr>
        <w:fldChar w:fldCharType="separate"/>
      </w:r>
      <w:r w:rsidRPr="00C73DC3">
        <w:rPr>
          <w:rFonts w:ascii="Times New Roman" w:hAnsi="Times New Roman"/>
          <w:sz w:val="24"/>
          <w:lang w:val="en-GB"/>
        </w:rPr>
        <w:t>(2005, 2007)</w:t>
      </w:r>
      <w:r w:rsidRPr="00C73DC3">
        <w:rPr>
          <w:rFonts w:ascii="Times New Roman" w:hAnsi="Times New Roman"/>
          <w:sz w:val="24"/>
          <w:lang w:val="en-GB"/>
        </w:rPr>
        <w:fldChar w:fldCharType="end"/>
      </w:r>
      <w:r w:rsidRPr="00C73DC3">
        <w:rPr>
          <w:rFonts w:ascii="Times New Roman" w:hAnsi="Times New Roman"/>
          <w:sz w:val="24"/>
          <w:lang w:val="en-GB"/>
        </w:rPr>
        <w:t xml:space="preserve"> and Fonseca et al. </w:t>
      </w:r>
      <w:r w:rsidRPr="00C73DC3">
        <w:rPr>
          <w:rFonts w:ascii="Times New Roman" w:hAnsi="Times New Roman"/>
          <w:sz w:val="24"/>
          <w:lang w:val="en-GB"/>
        </w:rPr>
        <w:fldChar w:fldCharType="begin"/>
      </w:r>
      <w:r w:rsidRPr="00C73DC3">
        <w:rPr>
          <w:rFonts w:ascii="Times New Roman" w:hAnsi="Times New Roman"/>
          <w:sz w:val="24"/>
          <w:lang w:val="en-GB"/>
        </w:rPr>
        <w:instrText>ADDIN RW.CITE{{2960 Fonseca,Alberto 2011 /a}}</w:instrText>
      </w:r>
      <w:r w:rsidRPr="00C73DC3">
        <w:rPr>
          <w:rFonts w:ascii="Times New Roman" w:hAnsi="Times New Roman"/>
          <w:sz w:val="24"/>
          <w:lang w:val="en-GB"/>
        </w:rPr>
        <w:fldChar w:fldCharType="separate"/>
      </w:r>
      <w:r w:rsidRPr="00C73DC3">
        <w:rPr>
          <w:rFonts w:ascii="Times New Roman" w:hAnsi="Times New Roman"/>
          <w:sz w:val="24"/>
          <w:lang w:val="en-GB"/>
        </w:rPr>
        <w:t>(2011)</w:t>
      </w:r>
      <w:r w:rsidRPr="00C73DC3">
        <w:rPr>
          <w:rFonts w:ascii="Times New Roman" w:hAnsi="Times New Roman"/>
          <w:sz w:val="24"/>
          <w:lang w:val="en-GB"/>
        </w:rPr>
        <w:fldChar w:fldCharType="end"/>
      </w:r>
      <w:r w:rsidRPr="00C73DC3">
        <w:rPr>
          <w:rFonts w:ascii="Times New Roman" w:hAnsi="Times New Roman"/>
          <w:sz w:val="24"/>
          <w:lang w:val="en-GB"/>
        </w:rPr>
        <w:t xml:space="preserve"> showed the high frequency of reporting on emissions, effluent and waste. </w:t>
      </w:r>
      <w:r>
        <w:rPr>
          <w:rFonts w:ascii="Times New Roman" w:hAnsi="Times New Roman"/>
          <w:sz w:val="24"/>
          <w:lang w:val="en-GB"/>
        </w:rPr>
        <w:t>In addition</w:t>
      </w:r>
      <w:r w:rsidRPr="00C73DC3">
        <w:rPr>
          <w:rFonts w:ascii="Times New Roman" w:hAnsi="Times New Roman"/>
          <w:sz w:val="24"/>
          <w:lang w:val="en-GB"/>
        </w:rPr>
        <w:t xml:space="preserve">, emission reduction efforts </w:t>
      </w:r>
      <w:r w:rsidRPr="00C73DC3">
        <w:rPr>
          <w:rFonts w:ascii="Times New Roman" w:hAnsi="Times New Roman"/>
          <w:sz w:val="24"/>
          <w:lang w:val="en-GB"/>
        </w:rPr>
        <w:fldChar w:fldCharType="begin"/>
      </w:r>
      <w:r w:rsidRPr="00C73DC3">
        <w:rPr>
          <w:rFonts w:ascii="Times New Roman" w:hAnsi="Times New Roman"/>
          <w:sz w:val="24"/>
          <w:lang w:val="en-GB"/>
        </w:rPr>
        <w:instrText>ADDIN RW.CITE{{635 Vihervaara,Petteri 2009}}</w:instrText>
      </w:r>
      <w:r w:rsidRPr="00C73DC3">
        <w:rPr>
          <w:rFonts w:ascii="Times New Roman" w:hAnsi="Times New Roman"/>
          <w:sz w:val="24"/>
          <w:lang w:val="en-GB"/>
        </w:rPr>
        <w:fldChar w:fldCharType="separate"/>
      </w:r>
      <w:r w:rsidRPr="00C73DC3">
        <w:rPr>
          <w:rFonts w:ascii="Times New Roman" w:hAnsi="Times New Roman"/>
          <w:sz w:val="24"/>
          <w:lang w:val="en-GB"/>
        </w:rPr>
        <w:t>(Vihervaara and Kamppinen, 2009)</w:t>
      </w:r>
      <w:r w:rsidRPr="00C73DC3">
        <w:rPr>
          <w:rFonts w:ascii="Times New Roman" w:hAnsi="Times New Roman"/>
          <w:sz w:val="24"/>
          <w:lang w:val="en-GB"/>
        </w:rPr>
        <w:fldChar w:fldCharType="end"/>
      </w:r>
      <w:r w:rsidRPr="00C73DC3">
        <w:rPr>
          <w:rFonts w:ascii="Times New Roman" w:hAnsi="Times New Roman"/>
          <w:sz w:val="24"/>
          <w:lang w:val="en-GB"/>
        </w:rPr>
        <w:t xml:space="preserve"> and their measurement </w:t>
      </w:r>
      <w:r w:rsidRPr="00C73DC3">
        <w:rPr>
          <w:rFonts w:ascii="Times New Roman" w:hAnsi="Times New Roman"/>
          <w:sz w:val="24"/>
          <w:lang w:val="en-GB"/>
        </w:rPr>
        <w:fldChar w:fldCharType="begin"/>
      </w:r>
      <w:r w:rsidRPr="00C73DC3">
        <w:rPr>
          <w:rFonts w:ascii="Times New Roman" w:hAnsi="Times New Roman"/>
          <w:sz w:val="24"/>
          <w:lang w:val="en-GB"/>
        </w:rPr>
        <w:instrText>ADDIN RW.CITE{{844 Koskela,Marileena 2011}}</w:instrText>
      </w:r>
      <w:r w:rsidRPr="00C73DC3">
        <w:rPr>
          <w:rFonts w:ascii="Times New Roman" w:hAnsi="Times New Roman"/>
          <w:sz w:val="24"/>
          <w:lang w:val="en-GB"/>
        </w:rPr>
        <w:fldChar w:fldCharType="separate"/>
      </w:r>
      <w:r w:rsidRPr="00C73DC3">
        <w:rPr>
          <w:rFonts w:ascii="Times New Roman" w:hAnsi="Times New Roman"/>
          <w:sz w:val="24"/>
          <w:lang w:val="en-GB"/>
        </w:rPr>
        <w:t>(Koskela, 2011)</w:t>
      </w:r>
      <w:r w:rsidRPr="00C73DC3">
        <w:rPr>
          <w:rFonts w:ascii="Times New Roman" w:hAnsi="Times New Roman"/>
          <w:sz w:val="24"/>
          <w:lang w:val="en-GB"/>
        </w:rPr>
        <w:fldChar w:fldCharType="end"/>
      </w:r>
      <w:r w:rsidRPr="00C73DC3">
        <w:rPr>
          <w:rFonts w:ascii="Times New Roman" w:hAnsi="Times New Roman"/>
          <w:sz w:val="24"/>
          <w:lang w:val="en-GB"/>
        </w:rPr>
        <w:t xml:space="preserve"> are considered success factors within the Finnish forest industry. </w:t>
      </w:r>
    </w:p>
    <w:p w14:paraId="72317171" w14:textId="3B9CBCD3" w:rsidR="00C23C7D" w:rsidRDefault="00C23C7D" w:rsidP="00D75E9D">
      <w:pPr>
        <w:jc w:val="both"/>
        <w:rPr>
          <w:rFonts w:ascii="Times New Roman" w:hAnsi="Times New Roman"/>
          <w:sz w:val="24"/>
          <w:lang w:val="en-GB"/>
        </w:rPr>
      </w:pPr>
      <w:r>
        <w:rPr>
          <w:rFonts w:ascii="Times New Roman" w:hAnsi="Times New Roman"/>
          <w:sz w:val="24"/>
          <w:lang w:val="en-GB"/>
        </w:rPr>
        <w:t>Second, t</w:t>
      </w:r>
      <w:r w:rsidRPr="00C73DC3">
        <w:rPr>
          <w:rFonts w:ascii="Times New Roman" w:hAnsi="Times New Roman"/>
          <w:sz w:val="24"/>
          <w:lang w:val="en-GB"/>
        </w:rPr>
        <w:t>his study shows that there seems to be a decreasing trend in the number of environmental performance indicators reported by the case companies. The previous research has not addressed trends</w:t>
      </w:r>
      <w:r>
        <w:rPr>
          <w:rFonts w:ascii="Times New Roman" w:hAnsi="Times New Roman"/>
          <w:sz w:val="24"/>
          <w:lang w:val="en-GB"/>
        </w:rPr>
        <w:t>, as</w:t>
      </w:r>
      <w:r w:rsidRPr="00C73DC3">
        <w:rPr>
          <w:rFonts w:ascii="Times New Roman" w:hAnsi="Times New Roman"/>
          <w:sz w:val="24"/>
          <w:lang w:val="en-GB"/>
        </w:rPr>
        <w:t xml:space="preserve"> typically indicator reporting has only been analysed within reports from </w:t>
      </w:r>
      <w:r>
        <w:rPr>
          <w:rFonts w:ascii="Times New Roman" w:hAnsi="Times New Roman"/>
          <w:sz w:val="24"/>
          <w:lang w:val="en-GB"/>
        </w:rPr>
        <w:t xml:space="preserve">just </w:t>
      </w:r>
      <w:r w:rsidRPr="00C73DC3">
        <w:rPr>
          <w:rFonts w:ascii="Times New Roman" w:hAnsi="Times New Roman"/>
          <w:sz w:val="24"/>
          <w:lang w:val="en-GB"/>
        </w:rPr>
        <w:t>one</w:t>
      </w:r>
      <w:r>
        <w:rPr>
          <w:rFonts w:ascii="Times New Roman" w:hAnsi="Times New Roman"/>
          <w:sz w:val="24"/>
          <w:lang w:val="en-GB"/>
        </w:rPr>
        <w:t xml:space="preserve"> or a few</w:t>
      </w:r>
      <w:r w:rsidRPr="00C73DC3">
        <w:rPr>
          <w:rFonts w:ascii="Times New Roman" w:hAnsi="Times New Roman"/>
          <w:sz w:val="24"/>
          <w:lang w:val="en-GB"/>
        </w:rPr>
        <w:t xml:space="preserve"> year</w:t>
      </w:r>
      <w:r>
        <w:rPr>
          <w:rFonts w:ascii="Times New Roman" w:hAnsi="Times New Roman"/>
          <w:sz w:val="24"/>
          <w:lang w:val="en-GB"/>
        </w:rPr>
        <w:t>s</w:t>
      </w:r>
      <w:r w:rsidRPr="00C73DC3">
        <w:rPr>
          <w:rFonts w:ascii="Times New Roman" w:hAnsi="Times New Roman"/>
          <w:sz w:val="24"/>
          <w:lang w:val="en-GB"/>
        </w:rPr>
        <w:t>.</w:t>
      </w:r>
      <w:r>
        <w:rPr>
          <w:rFonts w:ascii="Times New Roman" w:hAnsi="Times New Roman"/>
          <w:sz w:val="24"/>
          <w:lang w:val="en-GB"/>
        </w:rPr>
        <w:t xml:space="preserve"> As regards longitudinal studies, Laine (2009) is the closest to the current research, and his findings are somewhat similar, although he did not focus on indicators. Laine noticed that, from 2000 onwards, the company he analysed reported fewer details on environmental performance. This may have related to the use of indicators. </w:t>
      </w:r>
      <w:r w:rsidRPr="00C73DC3">
        <w:rPr>
          <w:rFonts w:ascii="Times New Roman" w:hAnsi="Times New Roman"/>
          <w:sz w:val="24"/>
          <w:lang w:val="en-GB"/>
        </w:rPr>
        <w:t xml:space="preserve">The decrease could be explained by environmental issues being lumped together with other sustainability issues or placed as a section inside the annual report. Hence, there is simply not much space for environmental issues anymore. </w:t>
      </w:r>
      <w:r>
        <w:rPr>
          <w:rFonts w:ascii="Times New Roman" w:hAnsi="Times New Roman"/>
          <w:sz w:val="24"/>
          <w:lang w:val="en-GB"/>
        </w:rPr>
        <w:t xml:space="preserve">Another reason for the decrease could be that the need for reporting might be shifting toward social responsibility. </w:t>
      </w:r>
      <w:r w:rsidDel="00057959">
        <w:rPr>
          <w:rFonts w:ascii="Times New Roman" w:hAnsi="Times New Roman"/>
          <w:sz w:val="24"/>
          <w:lang w:val="en-GB"/>
        </w:rPr>
        <w:t>Indeed, while</w:t>
      </w:r>
      <w:r>
        <w:rPr>
          <w:rFonts w:ascii="Times New Roman" w:hAnsi="Times New Roman"/>
          <w:sz w:val="24"/>
          <w:lang w:val="en-GB"/>
        </w:rPr>
        <w:t xml:space="preserve"> the environmental reputation of the Finnish forest industry is good in Finland, the current restructuring efforts (i.e. layoffs in the mills in Finland) have raised debate regarding the issue of social responsibility</w:t>
      </w:r>
      <w:r w:rsidDel="00057959">
        <w:rPr>
          <w:rFonts w:ascii="Times New Roman" w:hAnsi="Times New Roman"/>
          <w:sz w:val="24"/>
          <w:lang w:val="en-GB"/>
        </w:rPr>
        <w:t>.</w:t>
      </w:r>
      <w:r>
        <w:rPr>
          <w:rFonts w:ascii="Times New Roman" w:hAnsi="Times New Roman"/>
          <w:sz w:val="24"/>
          <w:lang w:val="en-GB"/>
        </w:rPr>
        <w:t xml:space="preserve"> The problem with this argument is that good environmental performance in Finland does not necessarily move to countries with lower environmental regulations automatically; there would still be a need for environmental reporting. </w:t>
      </w:r>
    </w:p>
    <w:p w14:paraId="6DDA0192" w14:textId="46C53495" w:rsidR="00C23C7D" w:rsidRDefault="00C23C7D" w:rsidP="00D75E9D">
      <w:pPr>
        <w:jc w:val="both"/>
        <w:rPr>
          <w:rFonts w:ascii="Times New Roman" w:hAnsi="Times New Roman"/>
          <w:sz w:val="24"/>
          <w:lang w:val="en-GB"/>
        </w:rPr>
      </w:pPr>
      <w:r>
        <w:rPr>
          <w:rFonts w:ascii="Times New Roman" w:hAnsi="Times New Roman"/>
          <w:sz w:val="24"/>
          <w:lang w:val="en-GB"/>
        </w:rPr>
        <w:t>Third, t</w:t>
      </w:r>
      <w:r w:rsidRPr="00C73DC3">
        <w:rPr>
          <w:rFonts w:ascii="Times New Roman" w:hAnsi="Times New Roman"/>
          <w:sz w:val="24"/>
          <w:lang w:val="en-GB"/>
        </w:rPr>
        <w:t xml:space="preserve">he themes and groups that are seldom reported and the indicators that are not reported by the case companies are of particular interest in the results. These companies are really focusing their environmental performance reporting on the actions </w:t>
      </w:r>
      <w:r>
        <w:rPr>
          <w:rFonts w:ascii="Times New Roman" w:hAnsi="Times New Roman"/>
          <w:sz w:val="24"/>
          <w:lang w:val="en-GB"/>
        </w:rPr>
        <w:t xml:space="preserve">occurring </w:t>
      </w:r>
      <w:r w:rsidRPr="00C73DC3">
        <w:rPr>
          <w:rFonts w:ascii="Times New Roman" w:hAnsi="Times New Roman"/>
          <w:sz w:val="24"/>
          <w:lang w:val="en-GB"/>
        </w:rPr>
        <w:t xml:space="preserve">inside their sites. There are fewer indicators describing the actions of other parts of the supply chain. </w:t>
      </w:r>
      <w:r>
        <w:rPr>
          <w:rFonts w:ascii="Times New Roman" w:hAnsi="Times New Roman"/>
          <w:sz w:val="24"/>
          <w:lang w:val="en-GB"/>
        </w:rPr>
        <w:t>In addition</w:t>
      </w:r>
      <w:r w:rsidRPr="00C73DC3">
        <w:rPr>
          <w:rFonts w:ascii="Times New Roman" w:hAnsi="Times New Roman"/>
          <w:sz w:val="24"/>
          <w:lang w:val="en-GB"/>
        </w:rPr>
        <w:t>, corporate environmental management actions</w:t>
      </w:r>
      <w:r>
        <w:rPr>
          <w:rFonts w:ascii="Times New Roman" w:hAnsi="Times New Roman"/>
          <w:sz w:val="24"/>
          <w:lang w:val="en-GB"/>
        </w:rPr>
        <w:t xml:space="preserve"> were addressed by the fewest number of indicators</w:t>
      </w:r>
      <w:r w:rsidRPr="00C73DC3">
        <w:rPr>
          <w:rFonts w:ascii="Times New Roman" w:hAnsi="Times New Roman"/>
          <w:sz w:val="24"/>
          <w:lang w:val="en-GB"/>
        </w:rPr>
        <w:t xml:space="preserve">. </w:t>
      </w:r>
      <w:r w:rsidRPr="00C73DC3" w:rsidDel="00057959">
        <w:rPr>
          <w:rFonts w:ascii="Times New Roman" w:hAnsi="Times New Roman"/>
          <w:sz w:val="24"/>
          <w:lang w:val="en-GB"/>
        </w:rPr>
        <w:t>T</w:t>
      </w:r>
      <w:r w:rsidRPr="00C73DC3">
        <w:rPr>
          <w:rFonts w:ascii="Times New Roman" w:hAnsi="Times New Roman"/>
          <w:sz w:val="24"/>
          <w:lang w:val="en-GB"/>
        </w:rPr>
        <w:t>he low amount of reporting in the group of environmental impacts is especially interesting. Currently, the companies report three environmental impacts, namely, acidification, eutrophication and climate change</w:t>
      </w:r>
      <w:r>
        <w:rPr>
          <w:rFonts w:ascii="Times New Roman" w:hAnsi="Times New Roman"/>
          <w:sz w:val="24"/>
          <w:lang w:val="en-GB"/>
        </w:rPr>
        <w:t>, with the main focus being on climate change reporting</w:t>
      </w:r>
      <w:r w:rsidRPr="00C73DC3">
        <w:rPr>
          <w:rFonts w:ascii="Times New Roman" w:hAnsi="Times New Roman"/>
          <w:sz w:val="24"/>
          <w:lang w:val="en-GB"/>
        </w:rPr>
        <w:t xml:space="preserve">. Surely, there </w:t>
      </w:r>
      <w:r>
        <w:rPr>
          <w:rFonts w:ascii="Times New Roman" w:hAnsi="Times New Roman"/>
          <w:sz w:val="24"/>
          <w:lang w:val="en-GB"/>
        </w:rPr>
        <w:t>are</w:t>
      </w:r>
      <w:r w:rsidRPr="00C73DC3">
        <w:rPr>
          <w:rFonts w:ascii="Times New Roman" w:hAnsi="Times New Roman"/>
          <w:sz w:val="24"/>
          <w:lang w:val="en-GB"/>
        </w:rPr>
        <w:t xml:space="preserve"> other environmental impact indicators that the forest industry companies could report. The same issue was raised by forest industry experts</w:t>
      </w:r>
      <w:r>
        <w:rPr>
          <w:rFonts w:ascii="Times New Roman" w:hAnsi="Times New Roman"/>
          <w:sz w:val="24"/>
          <w:lang w:val="en-GB"/>
        </w:rPr>
        <w:t>,</w:t>
      </w:r>
      <w:r w:rsidRPr="00C73DC3">
        <w:rPr>
          <w:rFonts w:ascii="Times New Roman" w:hAnsi="Times New Roman"/>
          <w:sz w:val="24"/>
          <w:lang w:val="en-GB"/>
        </w:rPr>
        <w:t xml:space="preserve"> who said the measurement of the industry’s environmental impacts should be improved </w:t>
      </w:r>
      <w:r w:rsidRPr="00C73DC3">
        <w:rPr>
          <w:rFonts w:ascii="Times New Roman" w:hAnsi="Times New Roman"/>
          <w:sz w:val="24"/>
          <w:lang w:val="en-GB"/>
        </w:rPr>
        <w:fldChar w:fldCharType="begin"/>
      </w:r>
      <w:r w:rsidRPr="00C73DC3">
        <w:rPr>
          <w:rFonts w:ascii="Times New Roman" w:hAnsi="Times New Roman"/>
          <w:sz w:val="24"/>
          <w:lang w:val="en-GB"/>
        </w:rPr>
        <w:instrText>ADDIN RW.CITE{{844 Koskela,Marileena 2011}}</w:instrText>
      </w:r>
      <w:r w:rsidRPr="00C73DC3">
        <w:rPr>
          <w:rFonts w:ascii="Times New Roman" w:hAnsi="Times New Roman"/>
          <w:sz w:val="24"/>
          <w:lang w:val="en-GB"/>
        </w:rPr>
        <w:fldChar w:fldCharType="separate"/>
      </w:r>
      <w:r w:rsidRPr="00C73DC3">
        <w:rPr>
          <w:rFonts w:ascii="Times New Roman" w:hAnsi="Times New Roman"/>
          <w:sz w:val="24"/>
          <w:lang w:val="en-GB"/>
        </w:rPr>
        <w:t>(Koskela, 2011)</w:t>
      </w:r>
      <w:r w:rsidRPr="00C73DC3">
        <w:rPr>
          <w:rFonts w:ascii="Times New Roman" w:hAnsi="Times New Roman"/>
          <w:sz w:val="24"/>
          <w:lang w:val="en-GB"/>
        </w:rPr>
        <w:fldChar w:fldCharType="end"/>
      </w:r>
      <w:r w:rsidRPr="00C73DC3">
        <w:rPr>
          <w:rFonts w:ascii="Times New Roman" w:hAnsi="Times New Roman"/>
          <w:sz w:val="24"/>
          <w:lang w:val="en-GB"/>
        </w:rPr>
        <w:t xml:space="preserve">. For example, GRI lists biodiversity indicators as environmental performance indicators, but the case companies do not use </w:t>
      </w:r>
      <w:r>
        <w:rPr>
          <w:rFonts w:ascii="Times New Roman" w:hAnsi="Times New Roman"/>
          <w:sz w:val="24"/>
          <w:lang w:val="en-GB"/>
        </w:rPr>
        <w:t>them</w:t>
      </w:r>
      <w:r w:rsidRPr="00C73DC3">
        <w:rPr>
          <w:rFonts w:ascii="Times New Roman" w:hAnsi="Times New Roman"/>
          <w:sz w:val="24"/>
          <w:lang w:val="en-GB"/>
        </w:rPr>
        <w:t xml:space="preserve">. Previous research has shown that biodiversity indicators are used by other industries </w:t>
      </w:r>
      <w:r w:rsidRPr="00C73DC3">
        <w:rPr>
          <w:rFonts w:ascii="Times New Roman" w:hAnsi="Times New Roman"/>
          <w:sz w:val="24"/>
          <w:lang w:val="en-GB"/>
        </w:rPr>
        <w:fldChar w:fldCharType="begin"/>
      </w:r>
      <w:r w:rsidRPr="00C73DC3">
        <w:rPr>
          <w:rFonts w:ascii="Times New Roman" w:hAnsi="Times New Roman"/>
          <w:sz w:val="24"/>
          <w:lang w:val="en-GB"/>
        </w:rPr>
        <w:instrText>ADDIN RW.CITE{{2958 Mazzi,Anna 2012 /pe.g. ; 2892 Roca,LaurenceClément 2012; 2903 Yongvanich,Kittiya 2005}}</w:instrText>
      </w:r>
      <w:r w:rsidRPr="00C73DC3">
        <w:rPr>
          <w:rFonts w:ascii="Times New Roman" w:hAnsi="Times New Roman"/>
          <w:sz w:val="24"/>
          <w:lang w:val="en-GB"/>
        </w:rPr>
        <w:fldChar w:fldCharType="separate"/>
      </w:r>
      <w:r w:rsidR="00852AD2">
        <w:rPr>
          <w:rFonts w:ascii="Times New Roman" w:hAnsi="Times New Roman"/>
          <w:sz w:val="24"/>
          <w:lang w:val="en-GB"/>
        </w:rPr>
        <w:t>(e.g. Mazzi et al., 2012; Roca and Searcy, 2012;</w:t>
      </w:r>
      <w:r w:rsidRPr="00C73DC3">
        <w:rPr>
          <w:rFonts w:ascii="Times New Roman" w:hAnsi="Times New Roman"/>
          <w:sz w:val="24"/>
          <w:lang w:val="en-GB"/>
        </w:rPr>
        <w:t xml:space="preserve"> Yongvanich and Guthrie, 2005)</w:t>
      </w:r>
      <w:r w:rsidRPr="00C73DC3">
        <w:rPr>
          <w:rFonts w:ascii="Times New Roman" w:hAnsi="Times New Roman"/>
          <w:sz w:val="24"/>
          <w:lang w:val="en-GB"/>
        </w:rPr>
        <w:fldChar w:fldCharType="end"/>
      </w:r>
      <w:r w:rsidRPr="00C73DC3">
        <w:rPr>
          <w:rFonts w:ascii="Times New Roman" w:hAnsi="Times New Roman"/>
          <w:sz w:val="24"/>
          <w:lang w:val="en-GB"/>
        </w:rPr>
        <w:t>.</w:t>
      </w:r>
      <w:r>
        <w:rPr>
          <w:rFonts w:ascii="Times New Roman" w:hAnsi="Times New Roman"/>
          <w:sz w:val="24"/>
          <w:lang w:val="en-GB"/>
        </w:rPr>
        <w:t xml:space="preserve"> Again, this lack of reporting on environmental impacts is in line with Laine’s (2009) research. While the company he studied was open about the environmental problems caused in the 1970s, this approach was abandoned later on.   </w:t>
      </w:r>
    </w:p>
    <w:p w14:paraId="5F7B3240" w14:textId="120DAC66" w:rsidR="00C23C7D" w:rsidRPr="00C73DC3" w:rsidRDefault="00C23C7D" w:rsidP="00D75E9D">
      <w:pPr>
        <w:jc w:val="both"/>
        <w:rPr>
          <w:rFonts w:ascii="Times New Roman" w:hAnsi="Times New Roman"/>
          <w:sz w:val="24"/>
          <w:lang w:val="en-GB"/>
        </w:rPr>
      </w:pPr>
      <w:r>
        <w:rPr>
          <w:rFonts w:ascii="Times New Roman" w:hAnsi="Times New Roman"/>
          <w:sz w:val="24"/>
          <w:lang w:val="en-GB"/>
        </w:rPr>
        <w:t xml:space="preserve">Fourth, the emerging theme identified in this research offers few surprises. Climate change is evidently the most important environmental problem that companies are trying to address at the moment. This trend is visible in the content analysis </w:t>
      </w:r>
      <w:r w:rsidRPr="00C92250">
        <w:rPr>
          <w:rFonts w:ascii="Times New Roman" w:hAnsi="Times New Roman"/>
          <w:sz w:val="24"/>
          <w:lang w:val="en-GB"/>
        </w:rPr>
        <w:t xml:space="preserve">of corporate reporting; </w:t>
      </w:r>
      <w:r>
        <w:rPr>
          <w:rFonts w:ascii="Times New Roman" w:hAnsi="Times New Roman"/>
          <w:sz w:val="24"/>
          <w:lang w:val="en-GB"/>
        </w:rPr>
        <w:t>companies’ reporting related to climate change</w:t>
      </w:r>
      <w:r w:rsidRPr="00C92250">
        <w:rPr>
          <w:rFonts w:ascii="Times New Roman" w:hAnsi="Times New Roman"/>
          <w:sz w:val="24"/>
          <w:lang w:val="en-GB"/>
        </w:rPr>
        <w:t xml:space="preserve"> has </w:t>
      </w:r>
      <w:r>
        <w:rPr>
          <w:rFonts w:ascii="Times New Roman" w:hAnsi="Times New Roman"/>
          <w:sz w:val="24"/>
          <w:lang w:val="en-GB"/>
        </w:rPr>
        <w:t xml:space="preserve">been </w:t>
      </w:r>
      <w:r w:rsidRPr="00C92250">
        <w:rPr>
          <w:rFonts w:ascii="Times New Roman" w:hAnsi="Times New Roman"/>
          <w:sz w:val="24"/>
          <w:lang w:val="en-GB"/>
        </w:rPr>
        <w:t xml:space="preserve">analysed by, </w:t>
      </w:r>
      <w:r>
        <w:rPr>
          <w:rFonts w:ascii="Times New Roman" w:hAnsi="Times New Roman"/>
          <w:sz w:val="24"/>
          <w:lang w:val="en-GB"/>
        </w:rPr>
        <w:t>for example,</w:t>
      </w:r>
      <w:r w:rsidRPr="00C92250">
        <w:rPr>
          <w:rFonts w:ascii="Times New Roman" w:hAnsi="Times New Roman"/>
          <w:sz w:val="24"/>
          <w:lang w:val="en-GB"/>
        </w:rPr>
        <w:t xml:space="preserve"> Prado-Lorenzo et al. (2009), Dragomir (2012) and Amran et al. (2014)</w:t>
      </w:r>
      <w:r>
        <w:rPr>
          <w:rFonts w:ascii="Times New Roman" w:hAnsi="Times New Roman"/>
          <w:sz w:val="24"/>
          <w:lang w:val="en-GB"/>
        </w:rPr>
        <w:t xml:space="preserve">. </w:t>
      </w:r>
    </w:p>
    <w:p w14:paraId="1443B6F7" w14:textId="77777777" w:rsidR="00C23C7D" w:rsidRPr="00C73DC3" w:rsidRDefault="00C23C7D" w:rsidP="00B52B88">
      <w:pPr>
        <w:rPr>
          <w:rFonts w:ascii="Times New Roman" w:hAnsi="Times New Roman"/>
          <w:b/>
          <w:sz w:val="24"/>
          <w:lang w:val="en-GB"/>
        </w:rPr>
      </w:pPr>
      <w:r w:rsidRPr="00C73DC3">
        <w:rPr>
          <w:rFonts w:ascii="Times New Roman" w:hAnsi="Times New Roman"/>
          <w:b/>
          <w:sz w:val="24"/>
          <w:lang w:val="en-GB"/>
        </w:rPr>
        <w:t xml:space="preserve">5.3 </w:t>
      </w:r>
      <w:r>
        <w:rPr>
          <w:rFonts w:ascii="Times New Roman" w:hAnsi="Times New Roman"/>
          <w:b/>
          <w:sz w:val="24"/>
          <w:lang w:val="en-GB"/>
        </w:rPr>
        <w:t xml:space="preserve">Limitations </w:t>
      </w:r>
    </w:p>
    <w:p w14:paraId="04CEE2EC" w14:textId="28ECC4B7" w:rsidR="00C23C7D" w:rsidRPr="00C73DC3" w:rsidRDefault="00C23C7D" w:rsidP="00317A8E">
      <w:pPr>
        <w:jc w:val="both"/>
        <w:rPr>
          <w:rFonts w:ascii="Times New Roman" w:hAnsi="Times New Roman"/>
          <w:sz w:val="24"/>
          <w:lang w:val="en-GB"/>
        </w:rPr>
      </w:pPr>
      <w:r w:rsidRPr="00C73DC3">
        <w:rPr>
          <w:rFonts w:ascii="Times New Roman" w:hAnsi="Times New Roman"/>
          <w:sz w:val="24"/>
          <w:lang w:val="en-GB"/>
        </w:rPr>
        <w:t>This research has a few limitations</w:t>
      </w:r>
      <w:r>
        <w:rPr>
          <w:rFonts w:ascii="Times New Roman" w:hAnsi="Times New Roman"/>
          <w:sz w:val="24"/>
          <w:lang w:val="en-GB"/>
        </w:rPr>
        <w:t>.</w:t>
      </w:r>
      <w:r w:rsidRPr="00C73DC3">
        <w:rPr>
          <w:rFonts w:ascii="Times New Roman" w:hAnsi="Times New Roman"/>
          <w:sz w:val="24"/>
          <w:lang w:val="en-GB"/>
        </w:rPr>
        <w:t xml:space="preserve"> First, in this </w:t>
      </w:r>
      <w:r>
        <w:rPr>
          <w:rFonts w:ascii="Times New Roman" w:hAnsi="Times New Roman"/>
          <w:sz w:val="24"/>
          <w:lang w:val="en-GB"/>
        </w:rPr>
        <w:t>study,</w:t>
      </w:r>
      <w:r w:rsidRPr="00C73DC3">
        <w:rPr>
          <w:rFonts w:ascii="Times New Roman" w:hAnsi="Times New Roman"/>
          <w:sz w:val="24"/>
          <w:lang w:val="en-GB"/>
        </w:rPr>
        <w:t xml:space="preserve"> the indicators were defined as quantitative. The author is well aware that indicators can yield qualitative results as well. The search of indicators was further </w:t>
      </w:r>
      <w:r>
        <w:rPr>
          <w:rFonts w:ascii="Times New Roman" w:hAnsi="Times New Roman"/>
          <w:sz w:val="24"/>
          <w:lang w:val="en-GB"/>
        </w:rPr>
        <w:t>narrowed</w:t>
      </w:r>
      <w:r w:rsidRPr="00C73DC3">
        <w:rPr>
          <w:rFonts w:ascii="Times New Roman" w:hAnsi="Times New Roman"/>
          <w:sz w:val="24"/>
          <w:lang w:val="en-GB"/>
        </w:rPr>
        <w:t xml:space="preserve"> into </w:t>
      </w:r>
      <w:r>
        <w:rPr>
          <w:rFonts w:ascii="Times New Roman" w:hAnsi="Times New Roman"/>
          <w:sz w:val="24"/>
          <w:lang w:val="en-GB"/>
        </w:rPr>
        <w:t>an</w:t>
      </w:r>
      <w:r w:rsidRPr="00C73DC3">
        <w:rPr>
          <w:rFonts w:ascii="Times New Roman" w:hAnsi="Times New Roman"/>
          <w:sz w:val="24"/>
          <w:lang w:val="en-GB"/>
        </w:rPr>
        <w:t xml:space="preserve"> analysis of tables and graphs. Surely, </w:t>
      </w:r>
      <w:r>
        <w:rPr>
          <w:rFonts w:ascii="Times New Roman" w:hAnsi="Times New Roman"/>
          <w:sz w:val="24"/>
          <w:lang w:val="en-GB"/>
        </w:rPr>
        <w:t>additional</w:t>
      </w:r>
      <w:r w:rsidRPr="00C73DC3">
        <w:rPr>
          <w:rFonts w:ascii="Times New Roman" w:hAnsi="Times New Roman"/>
          <w:sz w:val="24"/>
          <w:lang w:val="en-GB"/>
        </w:rPr>
        <w:t xml:space="preserve"> quantitative results of the environmental performance of these companies would have been found if the whole body text had been analysed. However, the analysis of only tables and graphs is </w:t>
      </w:r>
      <w:r>
        <w:rPr>
          <w:rFonts w:ascii="Times New Roman" w:hAnsi="Times New Roman"/>
          <w:sz w:val="24"/>
          <w:lang w:val="en-GB"/>
        </w:rPr>
        <w:t>supported</w:t>
      </w:r>
      <w:r w:rsidRPr="00C73DC3">
        <w:rPr>
          <w:rFonts w:ascii="Times New Roman" w:hAnsi="Times New Roman"/>
          <w:sz w:val="24"/>
          <w:lang w:val="en-GB"/>
        </w:rPr>
        <w:t xml:space="preserve"> by the fact that tables and graphs usually draw the attention of the readers</w:t>
      </w:r>
      <w:r>
        <w:rPr>
          <w:rFonts w:ascii="Times New Roman" w:hAnsi="Times New Roman"/>
          <w:sz w:val="24"/>
          <w:lang w:val="en-GB"/>
        </w:rPr>
        <w:t>, as pointed out by Beattie and Jones (2008)</w:t>
      </w:r>
      <w:r w:rsidRPr="00C73DC3">
        <w:rPr>
          <w:rFonts w:ascii="Times New Roman" w:hAnsi="Times New Roman"/>
          <w:sz w:val="24"/>
          <w:lang w:val="en-GB"/>
        </w:rPr>
        <w:t xml:space="preserve">. Therefore, the reader should receive a balanced </w:t>
      </w:r>
      <w:r>
        <w:rPr>
          <w:rFonts w:ascii="Times New Roman" w:hAnsi="Times New Roman"/>
          <w:sz w:val="24"/>
          <w:lang w:val="en-GB"/>
        </w:rPr>
        <w:t>view on</w:t>
      </w:r>
      <w:r w:rsidRPr="00C73DC3">
        <w:rPr>
          <w:rFonts w:ascii="Times New Roman" w:hAnsi="Times New Roman"/>
          <w:sz w:val="24"/>
          <w:lang w:val="en-GB"/>
        </w:rPr>
        <w:t xml:space="preserve"> the company’s environmental performance just by going through the tables and graphs.</w:t>
      </w:r>
      <w:r>
        <w:rPr>
          <w:rFonts w:ascii="Times New Roman" w:hAnsi="Times New Roman"/>
          <w:sz w:val="24"/>
          <w:lang w:val="en-GB"/>
        </w:rPr>
        <w:t xml:space="preserve"> Second, the analysis was limited to only three companies from one industrial sector from one country. This approach was thought to be valid as the point here is not to generalise the results or to create a theory based on the results: </w:t>
      </w:r>
      <w:r w:rsidDel="00057959">
        <w:rPr>
          <w:rFonts w:ascii="Times New Roman" w:hAnsi="Times New Roman"/>
          <w:sz w:val="24"/>
          <w:lang w:val="en-GB"/>
        </w:rPr>
        <w:t>t</w:t>
      </w:r>
      <w:r>
        <w:rPr>
          <w:rFonts w:ascii="Times New Roman" w:hAnsi="Times New Roman"/>
          <w:sz w:val="24"/>
          <w:lang w:val="en-GB"/>
        </w:rPr>
        <w:t xml:space="preserve">he aim was to describe the reporting trends in these companies. </w:t>
      </w:r>
    </w:p>
    <w:p w14:paraId="0FE42C43" w14:textId="77777777" w:rsidR="00C23C7D" w:rsidRPr="00C73DC3" w:rsidRDefault="00C23C7D" w:rsidP="00D75E9D">
      <w:pPr>
        <w:jc w:val="both"/>
        <w:rPr>
          <w:rFonts w:ascii="Times New Roman" w:hAnsi="Times New Roman"/>
          <w:b/>
          <w:sz w:val="24"/>
          <w:lang w:val="en-GB"/>
        </w:rPr>
      </w:pPr>
      <w:r w:rsidRPr="00C73DC3">
        <w:rPr>
          <w:rFonts w:ascii="Times New Roman" w:hAnsi="Times New Roman"/>
          <w:b/>
          <w:sz w:val="24"/>
          <w:lang w:val="en-GB"/>
        </w:rPr>
        <w:t>6 Conclusions</w:t>
      </w:r>
    </w:p>
    <w:p w14:paraId="3F82C67B" w14:textId="6D510807" w:rsidR="00C23C7D" w:rsidRPr="00852AD2" w:rsidRDefault="00C23C7D" w:rsidP="00FD249D">
      <w:pPr>
        <w:jc w:val="both"/>
        <w:rPr>
          <w:rFonts w:ascii="Times New Roman" w:hAnsi="Times New Roman"/>
          <w:sz w:val="24"/>
          <w:lang w:val="en-GB"/>
        </w:rPr>
      </w:pPr>
      <w:r w:rsidRPr="00852AD2">
        <w:rPr>
          <w:rFonts w:ascii="Times New Roman" w:hAnsi="Times New Roman"/>
          <w:sz w:val="24"/>
          <w:lang w:val="en-GB"/>
        </w:rPr>
        <w:t xml:space="preserve">This paper focused on environmental performance reporting by analysing trends within three case companies’ 15 years of reporting. This research article makes two contributions: </w:t>
      </w:r>
      <w:r w:rsidRPr="00852AD2" w:rsidDel="00057959">
        <w:rPr>
          <w:rFonts w:ascii="Times New Roman" w:hAnsi="Times New Roman"/>
          <w:sz w:val="24"/>
          <w:lang w:val="en-GB"/>
        </w:rPr>
        <w:t>f</w:t>
      </w:r>
      <w:r w:rsidRPr="00852AD2">
        <w:rPr>
          <w:rFonts w:ascii="Times New Roman" w:hAnsi="Times New Roman"/>
          <w:sz w:val="24"/>
          <w:lang w:val="en-GB"/>
        </w:rPr>
        <w:t>irst, the number of reported indicators is decreasing</w:t>
      </w:r>
      <w:r w:rsidRPr="00852AD2" w:rsidDel="00057959">
        <w:rPr>
          <w:rFonts w:ascii="Times New Roman" w:hAnsi="Times New Roman"/>
          <w:sz w:val="24"/>
          <w:lang w:val="en-GB"/>
        </w:rPr>
        <w:t>;</w:t>
      </w:r>
      <w:r w:rsidRPr="00852AD2">
        <w:rPr>
          <w:rFonts w:ascii="Times New Roman" w:hAnsi="Times New Roman"/>
          <w:sz w:val="24"/>
          <w:lang w:val="en-GB"/>
        </w:rPr>
        <w:t xml:space="preserve"> </w:t>
      </w:r>
      <w:r w:rsidRPr="00852AD2" w:rsidDel="00057959">
        <w:rPr>
          <w:rFonts w:ascii="Times New Roman" w:hAnsi="Times New Roman"/>
          <w:sz w:val="24"/>
          <w:lang w:val="en-GB"/>
        </w:rPr>
        <w:t>s</w:t>
      </w:r>
      <w:r w:rsidRPr="00852AD2">
        <w:rPr>
          <w:rFonts w:ascii="Times New Roman" w:hAnsi="Times New Roman"/>
          <w:sz w:val="24"/>
          <w:lang w:val="en-GB"/>
        </w:rPr>
        <w:t>econd, the analysed companies’ reporting of environmental impacts seems inadequate. These contributions are both academic and practical, and they are next discussed in detail.</w:t>
      </w:r>
    </w:p>
    <w:p w14:paraId="170522BF" w14:textId="472E97BE" w:rsidR="00C23C7D" w:rsidRDefault="00C23C7D" w:rsidP="00FD249D">
      <w:pPr>
        <w:jc w:val="both"/>
        <w:rPr>
          <w:rFonts w:ascii="Times New Roman" w:hAnsi="Times New Roman"/>
          <w:sz w:val="24"/>
          <w:lang w:val="en-US"/>
        </w:rPr>
      </w:pPr>
      <w:r>
        <w:rPr>
          <w:rFonts w:ascii="Times New Roman" w:hAnsi="Times New Roman"/>
          <w:sz w:val="24"/>
          <w:lang w:val="en-US"/>
        </w:rPr>
        <w:t xml:space="preserve">From the academic point of view, the current research highlights the fact that the emphasis on environmental performance reporting seems to be decreasing. As the previous content analyses mainly focus on one or a few reporting years, the decrease has not been recorded previously. </w:t>
      </w:r>
      <w:r w:rsidDel="00057959">
        <w:rPr>
          <w:rFonts w:ascii="Times New Roman" w:hAnsi="Times New Roman"/>
          <w:sz w:val="24"/>
          <w:lang w:val="en-US"/>
        </w:rPr>
        <w:t xml:space="preserve">As </w:t>
      </w:r>
      <w:r>
        <w:rPr>
          <w:rFonts w:ascii="Times New Roman" w:hAnsi="Times New Roman"/>
          <w:sz w:val="24"/>
          <w:lang w:val="en-US"/>
        </w:rPr>
        <w:t>there are not many longitudinal analyses, especially regarding environmental reporting, this decrease highlights the need for further research. In the future, the question of whether this decrease is visible in other industries and other countries</w:t>
      </w:r>
      <w:r w:rsidRPr="00057959" w:rsidDel="00057959">
        <w:rPr>
          <w:rFonts w:ascii="Times New Roman" w:hAnsi="Times New Roman"/>
          <w:sz w:val="24"/>
          <w:lang w:val="en-US"/>
        </w:rPr>
        <w:t xml:space="preserve"> </w:t>
      </w:r>
      <w:r w:rsidDel="00057959">
        <w:rPr>
          <w:rFonts w:ascii="Times New Roman" w:hAnsi="Times New Roman"/>
          <w:sz w:val="24"/>
          <w:lang w:val="en-US"/>
        </w:rPr>
        <w:t>should be answered. Also,</w:t>
      </w:r>
      <w:r>
        <w:rPr>
          <w:rFonts w:ascii="Times New Roman" w:hAnsi="Times New Roman"/>
          <w:sz w:val="24"/>
          <w:lang w:val="en-US"/>
        </w:rPr>
        <w:t xml:space="preserve"> the reasons behind this decrease should be delved into</w:t>
      </w:r>
      <w:r w:rsidDel="00057959">
        <w:rPr>
          <w:rFonts w:ascii="Times New Roman" w:hAnsi="Times New Roman"/>
          <w:sz w:val="24"/>
          <w:lang w:val="en-US"/>
        </w:rPr>
        <w:t xml:space="preserve">. </w:t>
      </w:r>
    </w:p>
    <w:p w14:paraId="3B12A67F" w14:textId="3234571E" w:rsidR="00C23C7D" w:rsidRDefault="00C23C7D" w:rsidP="00FD249D">
      <w:pPr>
        <w:jc w:val="both"/>
        <w:rPr>
          <w:rFonts w:ascii="Times New Roman" w:hAnsi="Times New Roman"/>
          <w:sz w:val="24"/>
          <w:lang w:val="en-US"/>
        </w:rPr>
      </w:pPr>
      <w:r>
        <w:rPr>
          <w:rFonts w:ascii="Times New Roman" w:hAnsi="Times New Roman"/>
          <w:sz w:val="24"/>
          <w:lang w:val="en-US"/>
        </w:rPr>
        <w:t xml:space="preserve">These contributions are also practical. Companies publishing environmental information should work to ensure that readers obtain a balanced view by looking at the reporting of environmental performance indicators. As the current focus seems to be on reporting only technical aspects that are under the control of the companies (the inputs needed for the production and the unwanted outputs caused), the future focus should also be on the supply chain perspective and on the actual environmental impacts caused by a company.  </w:t>
      </w:r>
    </w:p>
    <w:p w14:paraId="558A16F3" w14:textId="3D57EB1C" w:rsidR="00C23C7D" w:rsidRDefault="00C23C7D" w:rsidP="00FD249D">
      <w:pPr>
        <w:jc w:val="both"/>
        <w:rPr>
          <w:rFonts w:ascii="Times New Roman" w:hAnsi="Times New Roman"/>
          <w:sz w:val="24"/>
          <w:lang w:val="en-GB"/>
        </w:rPr>
      </w:pPr>
      <w:r w:rsidRPr="00DD19B4">
        <w:rPr>
          <w:rFonts w:ascii="Times New Roman" w:hAnsi="Times New Roman"/>
          <w:sz w:val="24"/>
          <w:lang w:val="en-GB"/>
        </w:rPr>
        <w:t>This research raises questions for future research. First,</w:t>
      </w:r>
      <w:r>
        <w:rPr>
          <w:rFonts w:ascii="Times New Roman" w:hAnsi="Times New Roman"/>
          <w:sz w:val="24"/>
          <w:lang w:val="en-GB"/>
        </w:rPr>
        <w:t xml:space="preserve"> as this research </w:t>
      </w:r>
      <w:r w:rsidRPr="00C73DC3">
        <w:rPr>
          <w:rFonts w:ascii="Times New Roman" w:hAnsi="Times New Roman"/>
          <w:sz w:val="24"/>
          <w:lang w:val="en-GB"/>
        </w:rPr>
        <w:t xml:space="preserve">conducted </w:t>
      </w:r>
      <w:r>
        <w:rPr>
          <w:rFonts w:ascii="Times New Roman" w:hAnsi="Times New Roman"/>
          <w:sz w:val="24"/>
          <w:lang w:val="en-GB"/>
        </w:rPr>
        <w:t xml:space="preserve">only </w:t>
      </w:r>
      <w:r w:rsidRPr="00C73DC3">
        <w:rPr>
          <w:rFonts w:ascii="Times New Roman" w:hAnsi="Times New Roman"/>
          <w:sz w:val="24"/>
          <w:lang w:val="en-GB"/>
        </w:rPr>
        <w:t>a somewhat basic classification of the reported indicators</w:t>
      </w:r>
      <w:r>
        <w:rPr>
          <w:rFonts w:ascii="Times New Roman" w:hAnsi="Times New Roman"/>
          <w:sz w:val="24"/>
          <w:lang w:val="en-GB"/>
        </w:rPr>
        <w:t>, future</w:t>
      </w:r>
      <w:r w:rsidRPr="00C73DC3">
        <w:rPr>
          <w:rFonts w:ascii="Times New Roman" w:hAnsi="Times New Roman"/>
          <w:sz w:val="24"/>
          <w:lang w:val="en-GB"/>
        </w:rPr>
        <w:t xml:space="preserve"> research should investigate the content of the reported indicators in more detail. Previous research on indicator reporting has mainly focused on GRI indicator reporting analysis. Still, companies report other indicators as well, and, more importantly, companies apply the GRI framework in various ways. </w:t>
      </w:r>
      <w:r>
        <w:rPr>
          <w:rFonts w:ascii="Times New Roman" w:hAnsi="Times New Roman"/>
          <w:sz w:val="24"/>
          <w:lang w:val="en-GB"/>
        </w:rPr>
        <w:t xml:space="preserve">Second, </w:t>
      </w:r>
      <w:r w:rsidRPr="00C73DC3">
        <w:rPr>
          <w:rFonts w:ascii="Times New Roman" w:hAnsi="Times New Roman"/>
          <w:sz w:val="24"/>
          <w:lang w:val="en-GB"/>
        </w:rPr>
        <w:t>the analysis focused only on the reports. More information</w:t>
      </w:r>
      <w:r>
        <w:rPr>
          <w:rFonts w:ascii="Times New Roman" w:hAnsi="Times New Roman"/>
          <w:sz w:val="24"/>
          <w:lang w:val="en-GB"/>
        </w:rPr>
        <w:t xml:space="preserve"> on</w:t>
      </w:r>
      <w:r w:rsidRPr="00C73DC3">
        <w:rPr>
          <w:rFonts w:ascii="Times New Roman" w:hAnsi="Times New Roman"/>
          <w:sz w:val="24"/>
          <w:lang w:val="en-GB"/>
        </w:rPr>
        <w:t xml:space="preserve"> reporting trends would be found by combining content analysis and interviews in the companies.</w:t>
      </w:r>
      <w:r>
        <w:rPr>
          <w:rFonts w:ascii="Times New Roman" w:hAnsi="Times New Roman"/>
          <w:sz w:val="24"/>
          <w:lang w:val="en-GB"/>
        </w:rPr>
        <w:t xml:space="preserve"> Third, yet another </w:t>
      </w:r>
      <w:r w:rsidRPr="00C73DC3">
        <w:rPr>
          <w:rFonts w:ascii="Times New Roman" w:hAnsi="Times New Roman"/>
          <w:sz w:val="24"/>
          <w:lang w:val="en-GB"/>
        </w:rPr>
        <w:t>possible area for future research, in relation to the indicators, would be to apply Jones’s (2011) framework of impression management</w:t>
      </w:r>
      <w:r>
        <w:rPr>
          <w:rFonts w:ascii="Times New Roman" w:hAnsi="Times New Roman"/>
          <w:sz w:val="24"/>
          <w:lang w:val="en-GB"/>
        </w:rPr>
        <w:t>,</w:t>
      </w:r>
      <w:r w:rsidRPr="00C73DC3">
        <w:rPr>
          <w:rFonts w:ascii="Times New Roman" w:hAnsi="Times New Roman"/>
          <w:sz w:val="24"/>
          <w:lang w:val="en-GB"/>
        </w:rPr>
        <w:t xml:space="preserve"> where</w:t>
      </w:r>
      <w:r>
        <w:rPr>
          <w:rFonts w:ascii="Times New Roman" w:hAnsi="Times New Roman"/>
          <w:sz w:val="24"/>
          <w:lang w:val="en-GB"/>
        </w:rPr>
        <w:t>in</w:t>
      </w:r>
      <w:r w:rsidRPr="00C73DC3">
        <w:rPr>
          <w:rFonts w:ascii="Times New Roman" w:hAnsi="Times New Roman"/>
          <w:sz w:val="24"/>
          <w:lang w:val="en-GB"/>
        </w:rPr>
        <w:t xml:space="preserve"> he analysed the graphs according to good and bad news and favourable and unfavourable trends </w:t>
      </w:r>
      <w:r>
        <w:rPr>
          <w:rFonts w:ascii="Times New Roman" w:hAnsi="Times New Roman"/>
          <w:sz w:val="24"/>
          <w:lang w:val="en-GB"/>
        </w:rPr>
        <w:t>at</w:t>
      </w:r>
      <w:r w:rsidRPr="00C73DC3">
        <w:rPr>
          <w:rFonts w:ascii="Times New Roman" w:hAnsi="Times New Roman"/>
          <w:sz w:val="24"/>
          <w:lang w:val="en-GB"/>
        </w:rPr>
        <w:t xml:space="preserve"> the company.</w:t>
      </w:r>
      <w:r w:rsidRPr="000535CE">
        <w:rPr>
          <w:rFonts w:ascii="Times New Roman" w:hAnsi="Times New Roman"/>
          <w:sz w:val="24"/>
          <w:lang w:val="en-GB"/>
        </w:rPr>
        <w:t xml:space="preserve"> </w:t>
      </w:r>
      <w:r w:rsidRPr="00C73DC3">
        <w:rPr>
          <w:rFonts w:ascii="Times New Roman" w:hAnsi="Times New Roman"/>
          <w:sz w:val="24"/>
          <w:lang w:val="en-GB"/>
        </w:rPr>
        <w:t>As this research was – to the best of my knowledge – the first attempt to describe trends in environmental indicator reporting, more trend analyses are welcomed</w:t>
      </w:r>
      <w:r>
        <w:rPr>
          <w:rFonts w:ascii="Times New Roman" w:hAnsi="Times New Roman"/>
          <w:sz w:val="24"/>
          <w:lang w:val="en-GB"/>
        </w:rPr>
        <w:t xml:space="preserve"> from other industries and other countries</w:t>
      </w:r>
      <w:r w:rsidRPr="00C73DC3">
        <w:rPr>
          <w:rFonts w:ascii="Times New Roman" w:hAnsi="Times New Roman"/>
          <w:sz w:val="24"/>
          <w:lang w:val="en-GB"/>
        </w:rPr>
        <w:t>.</w:t>
      </w:r>
    </w:p>
    <w:p w14:paraId="2D9F46B0" w14:textId="77777777" w:rsidR="00C23C7D" w:rsidRPr="00C73DC3" w:rsidRDefault="00C23C7D" w:rsidP="00B52B88">
      <w:pPr>
        <w:rPr>
          <w:rFonts w:ascii="Times New Roman" w:hAnsi="Times New Roman"/>
          <w:b/>
          <w:sz w:val="24"/>
          <w:lang w:val="en-GB"/>
        </w:rPr>
      </w:pPr>
      <w:r w:rsidRPr="00C73DC3">
        <w:rPr>
          <w:rFonts w:ascii="Times New Roman" w:hAnsi="Times New Roman"/>
          <w:b/>
          <w:sz w:val="24"/>
          <w:lang w:val="en-GB"/>
        </w:rPr>
        <w:t>Acknowledgements</w:t>
      </w:r>
    </w:p>
    <w:p w14:paraId="5267A2AE" w14:textId="0A718E1C" w:rsidR="00C23C7D" w:rsidRDefault="00C23C7D" w:rsidP="0059552D">
      <w:pPr>
        <w:jc w:val="both"/>
        <w:rPr>
          <w:rFonts w:ascii="Times New Roman" w:hAnsi="Times New Roman"/>
          <w:sz w:val="24"/>
          <w:lang w:val="en-GB"/>
        </w:rPr>
      </w:pPr>
      <w:r w:rsidRPr="00C73DC3">
        <w:rPr>
          <w:rFonts w:ascii="Times New Roman" w:hAnsi="Times New Roman"/>
          <w:sz w:val="24"/>
          <w:lang w:val="en-GB"/>
        </w:rPr>
        <w:t>The research reported here was funded by the Academy of Finland (the project</w:t>
      </w:r>
      <w:r w:rsidR="00471CA1">
        <w:rPr>
          <w:rFonts w:ascii="Times New Roman" w:hAnsi="Times New Roman"/>
          <w:sz w:val="24"/>
          <w:lang w:val="en-GB"/>
        </w:rPr>
        <w:t>s</w:t>
      </w:r>
      <w:r w:rsidRPr="00C73DC3">
        <w:rPr>
          <w:rFonts w:ascii="Times New Roman" w:hAnsi="Times New Roman"/>
          <w:sz w:val="24"/>
          <w:lang w:val="en-GB"/>
        </w:rPr>
        <w:t xml:space="preserve"> ‘Indicator Framework for Eco-Efficiency’, number 117947</w:t>
      </w:r>
      <w:r w:rsidR="00471CA1">
        <w:rPr>
          <w:rFonts w:ascii="Times New Roman" w:hAnsi="Times New Roman"/>
          <w:sz w:val="24"/>
          <w:lang w:val="en-GB"/>
        </w:rPr>
        <w:t>, and ‘</w:t>
      </w:r>
      <w:r w:rsidR="00471CA1" w:rsidRPr="00471CA1">
        <w:rPr>
          <w:rFonts w:ascii="Times New Roman" w:hAnsi="Times New Roman"/>
          <w:sz w:val="24"/>
          <w:lang w:val="en-GB"/>
        </w:rPr>
        <w:t>Towards a future-oriented “Energiewende”</w:t>
      </w:r>
      <w:r w:rsidR="00471CA1">
        <w:rPr>
          <w:rFonts w:ascii="Times New Roman" w:hAnsi="Times New Roman"/>
          <w:sz w:val="24"/>
          <w:lang w:val="en-GB"/>
        </w:rPr>
        <w:t xml:space="preserve">’, number </w:t>
      </w:r>
      <w:r w:rsidR="00471CA1" w:rsidRPr="00471CA1">
        <w:rPr>
          <w:rFonts w:ascii="Times New Roman" w:hAnsi="Times New Roman"/>
          <w:sz w:val="24"/>
          <w:lang w:val="en-GB"/>
        </w:rPr>
        <w:t>297742</w:t>
      </w:r>
      <w:r w:rsidRPr="00C73DC3">
        <w:rPr>
          <w:rFonts w:ascii="Times New Roman" w:hAnsi="Times New Roman"/>
          <w:sz w:val="24"/>
          <w:lang w:val="en-GB"/>
        </w:rPr>
        <w:t>), Kone Foundation, Antti and Jenny Wihuri Foundation</w:t>
      </w:r>
      <w:r>
        <w:rPr>
          <w:rFonts w:ascii="Times New Roman" w:hAnsi="Times New Roman"/>
          <w:sz w:val="24"/>
          <w:lang w:val="en-GB"/>
        </w:rPr>
        <w:t>,</w:t>
      </w:r>
      <w:r w:rsidRPr="00C73DC3">
        <w:rPr>
          <w:rFonts w:ascii="Times New Roman" w:hAnsi="Times New Roman"/>
          <w:sz w:val="24"/>
          <w:lang w:val="en-GB"/>
        </w:rPr>
        <w:t xml:space="preserve"> and</w:t>
      </w:r>
      <w:r>
        <w:rPr>
          <w:rFonts w:ascii="Times New Roman" w:hAnsi="Times New Roman"/>
          <w:sz w:val="24"/>
          <w:lang w:val="en-GB"/>
        </w:rPr>
        <w:t xml:space="preserve"> the</w:t>
      </w:r>
      <w:r w:rsidRPr="00C73DC3">
        <w:rPr>
          <w:rFonts w:ascii="Times New Roman" w:hAnsi="Times New Roman"/>
          <w:sz w:val="24"/>
          <w:lang w:val="en-GB"/>
        </w:rPr>
        <w:t xml:space="preserve"> Turku School of Economics. The author expresses warm thanks to these funders. The earlier draft of this paper was commented on by Dr. Jarmo Vehmas. His comments are highly valued.</w:t>
      </w:r>
      <w:r>
        <w:rPr>
          <w:rFonts w:ascii="Times New Roman" w:hAnsi="Times New Roman"/>
          <w:sz w:val="24"/>
          <w:lang w:val="en-GB"/>
        </w:rPr>
        <w:t xml:space="preserve"> </w:t>
      </w:r>
      <w:r w:rsidRPr="0059552D">
        <w:rPr>
          <w:rFonts w:ascii="Times New Roman" w:hAnsi="Times New Roman"/>
          <w:sz w:val="24"/>
          <w:lang w:val="en-GB"/>
        </w:rPr>
        <w:t>The author also wishes to thank the reviewers for</w:t>
      </w:r>
      <w:r>
        <w:rPr>
          <w:rFonts w:ascii="Times New Roman" w:hAnsi="Times New Roman"/>
          <w:sz w:val="24"/>
          <w:lang w:val="en-GB"/>
        </w:rPr>
        <w:t xml:space="preserve"> </w:t>
      </w:r>
      <w:r w:rsidRPr="0059552D">
        <w:rPr>
          <w:rFonts w:ascii="Times New Roman" w:hAnsi="Times New Roman"/>
          <w:sz w:val="24"/>
          <w:lang w:val="en-GB"/>
        </w:rPr>
        <w:t>their precise comments that significantly improved the quality of</w:t>
      </w:r>
      <w:r>
        <w:rPr>
          <w:rFonts w:ascii="Times New Roman" w:hAnsi="Times New Roman"/>
          <w:sz w:val="24"/>
          <w:lang w:val="en-GB"/>
        </w:rPr>
        <w:t xml:space="preserve"> </w:t>
      </w:r>
      <w:r w:rsidRPr="0059552D">
        <w:rPr>
          <w:rFonts w:ascii="Times New Roman" w:hAnsi="Times New Roman"/>
          <w:sz w:val="24"/>
          <w:lang w:val="en-GB"/>
        </w:rPr>
        <w:t>this paper.</w:t>
      </w:r>
    </w:p>
    <w:p w14:paraId="6CD8D7C2" w14:textId="77777777" w:rsidR="00C23C7D" w:rsidRPr="00C73DC3" w:rsidRDefault="00C23C7D" w:rsidP="00B52B88">
      <w:pPr>
        <w:rPr>
          <w:rFonts w:ascii="Times New Roman" w:hAnsi="Times New Roman"/>
          <w:b/>
          <w:sz w:val="24"/>
          <w:lang w:val="en-GB"/>
        </w:rPr>
      </w:pPr>
      <w:r w:rsidRPr="001E72DF">
        <w:rPr>
          <w:rFonts w:ascii="Times New Roman" w:hAnsi="Times New Roman"/>
          <w:b/>
          <w:sz w:val="24"/>
          <w:lang w:val="en-GB"/>
        </w:rPr>
        <w:t>References</w:t>
      </w:r>
    </w:p>
    <w:p w14:paraId="55DA128E" w14:textId="77777777" w:rsidR="00C23C7D" w:rsidRPr="003C0147" w:rsidRDefault="00C23C7D" w:rsidP="00A17776">
      <w:pPr>
        <w:pStyle w:val="NormaaliWWW"/>
        <w:rPr>
          <w:lang w:val="en-GB"/>
        </w:rPr>
      </w:pPr>
      <w:r w:rsidRPr="003C0147">
        <w:rPr>
          <w:lang w:val="en-GB"/>
        </w:rPr>
        <w:t>Adams, C.A., Harte, G., 1998. The changing portrayal of the employment of women in British banks’ and retail companies’ corporate annual reports. Account. Organ. Soc. 23</w:t>
      </w:r>
      <w:r>
        <w:rPr>
          <w:lang w:val="en-GB"/>
        </w:rPr>
        <w:t xml:space="preserve"> (</w:t>
      </w:r>
      <w:r w:rsidRPr="003C0147">
        <w:rPr>
          <w:lang w:val="en-GB"/>
        </w:rPr>
        <w:t>8</w:t>
      </w:r>
      <w:r>
        <w:rPr>
          <w:lang w:val="en-GB"/>
        </w:rPr>
        <w:t>)</w:t>
      </w:r>
      <w:r w:rsidRPr="003C0147">
        <w:rPr>
          <w:lang w:val="en-GB"/>
        </w:rPr>
        <w:t>, 781-812.</w:t>
      </w:r>
    </w:p>
    <w:p w14:paraId="2A06ACC6" w14:textId="77777777" w:rsidR="00C23C7D" w:rsidRDefault="00C23C7D" w:rsidP="00D86F35">
      <w:pPr>
        <w:pStyle w:val="NormaaliWWW"/>
        <w:rPr>
          <w:lang w:val="en-GB"/>
        </w:rPr>
      </w:pPr>
      <w:r w:rsidRPr="003C0147">
        <w:rPr>
          <w:lang w:val="en-GB"/>
        </w:rPr>
        <w:t>Adams, C.A., McPhail, K.J, 2004. Reporting and politics of difference: (Non)disclosure on ethnic minorities. Acabus 40</w:t>
      </w:r>
      <w:r>
        <w:rPr>
          <w:lang w:val="en-GB"/>
        </w:rPr>
        <w:t xml:space="preserve"> (</w:t>
      </w:r>
      <w:r w:rsidRPr="003C0147">
        <w:rPr>
          <w:lang w:val="en-GB"/>
        </w:rPr>
        <w:t>3</w:t>
      </w:r>
      <w:r>
        <w:rPr>
          <w:lang w:val="en-GB"/>
        </w:rPr>
        <w:t>)</w:t>
      </w:r>
      <w:r w:rsidRPr="003C0147">
        <w:rPr>
          <w:lang w:val="en-GB"/>
        </w:rPr>
        <w:t>, 405-435.</w:t>
      </w:r>
      <w:r>
        <w:rPr>
          <w:lang w:val="en-GB"/>
        </w:rPr>
        <w:t xml:space="preserve"> </w:t>
      </w:r>
    </w:p>
    <w:p w14:paraId="5D1F03F1" w14:textId="77777777" w:rsidR="00C23C7D" w:rsidRPr="004C2327" w:rsidRDefault="00C23C7D" w:rsidP="00D86F35">
      <w:pPr>
        <w:pStyle w:val="NormaaliWWW"/>
        <w:rPr>
          <w:lang w:val="es-ES_tradnl"/>
        </w:rPr>
      </w:pPr>
      <w:r w:rsidRPr="004A424D">
        <w:rPr>
          <w:b/>
          <w:lang w:val="en-GB"/>
        </w:rPr>
        <w:fldChar w:fldCharType="begin"/>
      </w:r>
      <w:r w:rsidRPr="007E12F2">
        <w:rPr>
          <w:b/>
          <w:lang w:val="en-GB"/>
        </w:rPr>
        <w:instrText>ADDIN RW.BIB</w:instrText>
      </w:r>
      <w:r w:rsidRPr="004A424D">
        <w:rPr>
          <w:b/>
          <w:lang w:val="en-GB"/>
        </w:rPr>
        <w:fldChar w:fldCharType="separate"/>
      </w:r>
      <w:r w:rsidRPr="007E12F2">
        <w:rPr>
          <w:lang w:val="en-GB"/>
        </w:rPr>
        <w:t xml:space="preserve">Amran, A., Periasamy, V., Zulkafli, A.H., 2014. </w:t>
      </w:r>
      <w:r w:rsidRPr="003C0147">
        <w:rPr>
          <w:lang w:val="en-GB"/>
        </w:rPr>
        <w:t xml:space="preserve">Determinants of climate change disclosure by developed and emerging countries in Asia Pacific. </w:t>
      </w:r>
      <w:r w:rsidRPr="004C2327">
        <w:rPr>
          <w:lang w:val="es-ES_tradnl"/>
        </w:rPr>
        <w:t>Sust. Dev. 22, 188-204.</w:t>
      </w:r>
    </w:p>
    <w:p w14:paraId="09E7107E" w14:textId="77777777" w:rsidR="00C23C7D" w:rsidRPr="00F269A5" w:rsidRDefault="00C23C7D" w:rsidP="00D86F35">
      <w:pPr>
        <w:pStyle w:val="NormaaliWWW"/>
        <w:rPr>
          <w:lang w:val="en-GB"/>
        </w:rPr>
      </w:pPr>
      <w:r w:rsidRPr="004C2327">
        <w:rPr>
          <w:lang w:val="es-ES_tradnl"/>
        </w:rPr>
        <w:t xml:space="preserve">Asif, M., Searcy, C., dos Santos, P., Kensah, D., 2013. </w:t>
      </w:r>
      <w:r w:rsidRPr="00F269A5">
        <w:rPr>
          <w:lang w:val="en-GB"/>
        </w:rPr>
        <w:t>A Review of Dutch Corporate Sustainable Development Reports. Corp. Soc. Respons. Env. Manag. 20</w:t>
      </w:r>
      <w:r>
        <w:rPr>
          <w:lang w:val="en-GB"/>
        </w:rPr>
        <w:t xml:space="preserve"> (</w:t>
      </w:r>
      <w:r w:rsidRPr="00F269A5">
        <w:rPr>
          <w:lang w:val="en-GB"/>
        </w:rPr>
        <w:t>6</w:t>
      </w:r>
      <w:r>
        <w:rPr>
          <w:lang w:val="en-GB"/>
        </w:rPr>
        <w:t>)</w:t>
      </w:r>
      <w:r w:rsidRPr="00F269A5">
        <w:rPr>
          <w:lang w:val="en-GB"/>
        </w:rPr>
        <w:t xml:space="preserve">, 321-339. </w:t>
      </w:r>
    </w:p>
    <w:p w14:paraId="00706062" w14:textId="77777777" w:rsidR="00C23C7D" w:rsidRDefault="00C23C7D" w:rsidP="00D86F35">
      <w:pPr>
        <w:pStyle w:val="NormaaliWWW"/>
        <w:rPr>
          <w:lang w:val="en-GB"/>
        </w:rPr>
      </w:pPr>
      <w:r w:rsidRPr="00F269A5">
        <w:rPr>
          <w:lang w:val="en-GB"/>
        </w:rPr>
        <w:t>Azzone, G., Manzini, R., Noci, G., 1996. Evolutionary trends in environmental reporting. Bus. Strat. Env. 5</w:t>
      </w:r>
      <w:r>
        <w:rPr>
          <w:lang w:val="en-GB"/>
        </w:rPr>
        <w:t xml:space="preserve"> (</w:t>
      </w:r>
      <w:r w:rsidRPr="00F269A5">
        <w:rPr>
          <w:lang w:val="en-GB"/>
        </w:rPr>
        <w:t>4</w:t>
      </w:r>
      <w:r>
        <w:rPr>
          <w:lang w:val="en-GB"/>
        </w:rPr>
        <w:t>)</w:t>
      </w:r>
      <w:r w:rsidRPr="00F269A5">
        <w:rPr>
          <w:lang w:val="en-GB"/>
        </w:rPr>
        <w:t>, 219-230.</w:t>
      </w:r>
    </w:p>
    <w:p w14:paraId="722E4253" w14:textId="77777777" w:rsidR="00C23C7D" w:rsidRPr="00F269A5" w:rsidRDefault="00C23C7D" w:rsidP="00D86F35">
      <w:pPr>
        <w:pStyle w:val="NormaaliWWW"/>
        <w:rPr>
          <w:lang w:val="en-US"/>
        </w:rPr>
      </w:pPr>
      <w:r w:rsidRPr="003C0147">
        <w:rPr>
          <w:lang w:val="en-US"/>
        </w:rPr>
        <w:t>Beattie, V., Jones, M.J., 2008. Corporate reporting using graphs: a review and synthesis. J. Account. Lit.</w:t>
      </w:r>
      <w:r>
        <w:rPr>
          <w:lang w:val="en-US"/>
        </w:rPr>
        <w:t xml:space="preserve"> 27,</w:t>
      </w:r>
      <w:r w:rsidRPr="003C0147">
        <w:rPr>
          <w:lang w:val="en-US"/>
        </w:rPr>
        <w:t xml:space="preserve"> 71-110.</w:t>
      </w:r>
      <w:r>
        <w:rPr>
          <w:lang w:val="en-US"/>
        </w:rPr>
        <w:t xml:space="preserve"> </w:t>
      </w:r>
      <w:r w:rsidRPr="00F269A5">
        <w:rPr>
          <w:lang w:val="en-US"/>
        </w:rPr>
        <w:t xml:space="preserve"> </w:t>
      </w:r>
    </w:p>
    <w:p w14:paraId="73B3693B" w14:textId="77777777" w:rsidR="00C23C7D" w:rsidRPr="003C0147" w:rsidRDefault="00C23C7D" w:rsidP="00F269A5">
      <w:pPr>
        <w:pStyle w:val="NormaaliWWW"/>
        <w:rPr>
          <w:lang w:val="en-GB"/>
        </w:rPr>
      </w:pPr>
      <w:r w:rsidRPr="003C0147">
        <w:rPr>
          <w:lang w:val="en-GB"/>
        </w:rPr>
        <w:t>Buhr, N., 1998. Environmental performance, legislation and annual report disclosure: the case of acid rain and Falconbridge. Account. Auditing Account. J. 11</w:t>
      </w:r>
      <w:r>
        <w:rPr>
          <w:lang w:val="en-GB"/>
        </w:rPr>
        <w:t xml:space="preserve"> (</w:t>
      </w:r>
      <w:r w:rsidRPr="003C0147">
        <w:rPr>
          <w:lang w:val="en-GB"/>
        </w:rPr>
        <w:t>2</w:t>
      </w:r>
      <w:r>
        <w:rPr>
          <w:lang w:val="en-GB"/>
        </w:rPr>
        <w:t>)</w:t>
      </w:r>
      <w:r w:rsidRPr="003C0147">
        <w:rPr>
          <w:lang w:val="en-GB"/>
        </w:rPr>
        <w:t>, 163 - 190.</w:t>
      </w:r>
    </w:p>
    <w:p w14:paraId="44D8E436" w14:textId="77777777" w:rsidR="00C23C7D" w:rsidRPr="00C73DC3" w:rsidRDefault="00C23C7D" w:rsidP="00F269A5">
      <w:pPr>
        <w:pStyle w:val="NormaaliWWW"/>
        <w:rPr>
          <w:lang w:val="en-GB"/>
        </w:rPr>
      </w:pPr>
      <w:r w:rsidRPr="003C0147">
        <w:rPr>
          <w:lang w:val="en-GB"/>
        </w:rPr>
        <w:t>Campbell, D., Moore, G., Shrives, P., 2006. Cross-sectional effects in community disclosure. Account. Auditing Account. J. 19</w:t>
      </w:r>
      <w:r>
        <w:rPr>
          <w:lang w:val="en-GB"/>
        </w:rPr>
        <w:t xml:space="preserve"> (</w:t>
      </w:r>
      <w:r w:rsidRPr="003C0147">
        <w:rPr>
          <w:lang w:val="en-GB"/>
        </w:rPr>
        <w:t>1</w:t>
      </w:r>
      <w:r>
        <w:rPr>
          <w:lang w:val="en-GB"/>
        </w:rPr>
        <w:t>)</w:t>
      </w:r>
      <w:r w:rsidRPr="003C0147">
        <w:rPr>
          <w:lang w:val="en-GB"/>
        </w:rPr>
        <w:t>, 96 - 114.</w:t>
      </w:r>
      <w:r>
        <w:rPr>
          <w:lang w:val="en-GB"/>
        </w:rPr>
        <w:t xml:space="preserve"> </w:t>
      </w:r>
    </w:p>
    <w:p w14:paraId="4FB7B51F" w14:textId="77777777" w:rsidR="00C23C7D" w:rsidRPr="008457A0" w:rsidRDefault="00C23C7D" w:rsidP="00D86F35">
      <w:pPr>
        <w:pStyle w:val="NormaaliWWW"/>
        <w:rPr>
          <w:lang w:val="en-GB"/>
        </w:rPr>
      </w:pPr>
      <w:r w:rsidRPr="00F269A5">
        <w:rPr>
          <w:lang w:val="en-GB"/>
        </w:rPr>
        <w:t xml:space="preserve">Chan, W.W., Mak, B., 2005. An analysis of the environmental reporting structures of selected </w:t>
      </w:r>
      <w:r w:rsidRPr="008457A0">
        <w:rPr>
          <w:lang w:val="en-GB"/>
        </w:rPr>
        <w:t>European airlines. Int. J. Tour. Res. 7</w:t>
      </w:r>
      <w:r>
        <w:rPr>
          <w:lang w:val="en-GB"/>
        </w:rPr>
        <w:t xml:space="preserve"> (</w:t>
      </w:r>
      <w:r w:rsidRPr="008457A0">
        <w:rPr>
          <w:lang w:val="en-GB"/>
        </w:rPr>
        <w:t>4</w:t>
      </w:r>
      <w:r>
        <w:rPr>
          <w:lang w:val="en-GB"/>
        </w:rPr>
        <w:t>)</w:t>
      </w:r>
      <w:r w:rsidRPr="008457A0">
        <w:rPr>
          <w:lang w:val="en-GB"/>
        </w:rPr>
        <w:t>, 249-259.</w:t>
      </w:r>
    </w:p>
    <w:p w14:paraId="55AC475E" w14:textId="77777777" w:rsidR="00C23C7D" w:rsidRPr="00C73DC3" w:rsidRDefault="00C23C7D" w:rsidP="00D86F35">
      <w:pPr>
        <w:pStyle w:val="NormaaliWWW"/>
        <w:rPr>
          <w:lang w:val="en-GB"/>
        </w:rPr>
      </w:pPr>
      <w:r w:rsidRPr="008457A0">
        <w:rPr>
          <w:lang w:val="en-GB"/>
        </w:rPr>
        <w:t>Coupland, C., 2006. Corporate social and environmental responsibility in web-based reports: Currency in the banking sector? Criti. Perspect. Account.</w:t>
      </w:r>
      <w:r>
        <w:rPr>
          <w:lang w:val="en-GB"/>
        </w:rPr>
        <w:t xml:space="preserve"> 17,</w:t>
      </w:r>
      <w:r w:rsidRPr="008457A0">
        <w:rPr>
          <w:lang w:val="en-GB"/>
        </w:rPr>
        <w:t xml:space="preserve"> 865-881.</w:t>
      </w:r>
      <w:r>
        <w:rPr>
          <w:lang w:val="en-GB"/>
        </w:rPr>
        <w:t xml:space="preserve"> </w:t>
      </w:r>
    </w:p>
    <w:p w14:paraId="4D3ACA92" w14:textId="77777777" w:rsidR="00C23C7D" w:rsidRDefault="00C23C7D" w:rsidP="00D86F35">
      <w:pPr>
        <w:pStyle w:val="NormaaliWWW"/>
        <w:rPr>
          <w:lang w:val="en-GB"/>
        </w:rPr>
      </w:pPr>
      <w:r w:rsidRPr="00F269A5">
        <w:rPr>
          <w:lang w:val="en-GB"/>
        </w:rPr>
        <w:t>Cunningham, S., Gadenne, D., 2003. Do corporations perceive mandatory publication of pollution information for key stakeholders as a legitimacy threat? J. Env. Assess. Policy Manag. 5</w:t>
      </w:r>
      <w:r>
        <w:rPr>
          <w:lang w:val="en-GB"/>
        </w:rPr>
        <w:t xml:space="preserve"> (</w:t>
      </w:r>
      <w:r w:rsidRPr="00F269A5">
        <w:rPr>
          <w:lang w:val="en-GB"/>
        </w:rPr>
        <w:t>4</w:t>
      </w:r>
      <w:r>
        <w:rPr>
          <w:lang w:val="en-GB"/>
        </w:rPr>
        <w:t>)</w:t>
      </w:r>
      <w:r w:rsidRPr="00F269A5">
        <w:rPr>
          <w:lang w:val="en-GB"/>
        </w:rPr>
        <w:t>, 523-549.</w:t>
      </w:r>
    </w:p>
    <w:p w14:paraId="637A32AE" w14:textId="77777777" w:rsidR="00C23C7D" w:rsidRPr="00911254" w:rsidRDefault="00C23C7D" w:rsidP="00305CBD">
      <w:pPr>
        <w:pStyle w:val="NormaaliWWW"/>
        <w:rPr>
          <w:lang w:val="en-US"/>
        </w:rPr>
      </w:pPr>
      <w:r w:rsidRPr="003C0147">
        <w:rPr>
          <w:lang w:val="en-US"/>
        </w:rPr>
        <w:t xml:space="preserve">Daub, C-H., 2007. Assessing the quality of sustainability reporting: an alternative methodological approach. </w:t>
      </w:r>
      <w:r w:rsidRPr="003C0147">
        <w:rPr>
          <w:lang w:val="en-GB"/>
        </w:rPr>
        <w:t xml:space="preserve">J. Clean. Prod. </w:t>
      </w:r>
      <w:r w:rsidRPr="003C0147">
        <w:rPr>
          <w:lang w:val="en-US"/>
        </w:rPr>
        <w:t xml:space="preserve"> 15</w:t>
      </w:r>
      <w:r>
        <w:rPr>
          <w:lang w:val="en-US"/>
        </w:rPr>
        <w:t>,</w:t>
      </w:r>
      <w:r w:rsidRPr="003C0147">
        <w:rPr>
          <w:lang w:val="en-US"/>
        </w:rPr>
        <w:t xml:space="preserve"> 75-85.</w:t>
      </w:r>
      <w:r>
        <w:rPr>
          <w:lang w:val="en-US"/>
        </w:rPr>
        <w:t xml:space="preserve">  </w:t>
      </w:r>
    </w:p>
    <w:p w14:paraId="61F72FC6" w14:textId="77777777" w:rsidR="00C23C7D" w:rsidRDefault="00C23C7D" w:rsidP="00D86F35">
      <w:pPr>
        <w:pStyle w:val="NormaaliWWW"/>
        <w:rPr>
          <w:lang w:val="en-GB"/>
        </w:rPr>
      </w:pPr>
      <w:r w:rsidRPr="00911254">
        <w:rPr>
          <w:lang w:val="en-GB"/>
        </w:rPr>
        <w:t>Dragomir, V.D., 2012. The disclosure of industrial greenhouse gas emissions: a critical assessment of corporate sustainability reports. J. Clean. Prod. 29-30, 222-237.</w:t>
      </w:r>
    </w:p>
    <w:p w14:paraId="62F0B4B7" w14:textId="77777777" w:rsidR="00C23C7D" w:rsidRDefault="00C23C7D" w:rsidP="00D86F35">
      <w:pPr>
        <w:pStyle w:val="NormaaliWWW"/>
        <w:rPr>
          <w:lang w:val="en-US"/>
        </w:rPr>
      </w:pPr>
      <w:r w:rsidRPr="00911254">
        <w:rPr>
          <w:lang w:val="en-US"/>
        </w:rPr>
        <w:t xml:space="preserve">Eagan, P.D., Joeres, E., 2002. The utility of environmental impact information: a manufacturing case study. </w:t>
      </w:r>
      <w:r w:rsidRPr="00911254">
        <w:rPr>
          <w:lang w:val="en-GB"/>
        </w:rPr>
        <w:t xml:space="preserve">J. Clean. Prod. </w:t>
      </w:r>
      <w:r w:rsidRPr="00911254">
        <w:rPr>
          <w:lang w:val="en-US"/>
        </w:rPr>
        <w:t>10, 75-83.</w:t>
      </w:r>
    </w:p>
    <w:p w14:paraId="4751BF00" w14:textId="77777777" w:rsidR="00C23C7D" w:rsidRPr="00C73DC3" w:rsidRDefault="00C23C7D" w:rsidP="00D86F35">
      <w:pPr>
        <w:pStyle w:val="NormaaliWWW"/>
        <w:rPr>
          <w:lang w:val="en-GB"/>
        </w:rPr>
      </w:pPr>
      <w:r w:rsidRPr="008457A0">
        <w:rPr>
          <w:lang w:val="en-GB"/>
        </w:rPr>
        <w:t>Eisenhardt, K., 1989. Building theories from case study research. Acad. Manag. Rev.</w:t>
      </w:r>
      <w:r>
        <w:rPr>
          <w:lang w:val="en-GB"/>
        </w:rPr>
        <w:t xml:space="preserve"> 14 (</w:t>
      </w:r>
      <w:r w:rsidRPr="008457A0">
        <w:rPr>
          <w:lang w:val="en-GB"/>
        </w:rPr>
        <w:t>4</w:t>
      </w:r>
      <w:r>
        <w:rPr>
          <w:lang w:val="en-GB"/>
        </w:rPr>
        <w:t>)</w:t>
      </w:r>
      <w:r w:rsidRPr="008457A0">
        <w:rPr>
          <w:lang w:val="en-GB"/>
        </w:rPr>
        <w:t>, 532-550.</w:t>
      </w:r>
      <w:r>
        <w:rPr>
          <w:lang w:val="en-GB"/>
        </w:rPr>
        <w:t xml:space="preserve"> </w:t>
      </w:r>
    </w:p>
    <w:p w14:paraId="261939C5" w14:textId="77777777" w:rsidR="00C23C7D" w:rsidRPr="00911254" w:rsidRDefault="00C23C7D" w:rsidP="00D86F35">
      <w:pPr>
        <w:pStyle w:val="NormaaliWWW"/>
        <w:rPr>
          <w:lang w:val="en-GB"/>
        </w:rPr>
      </w:pPr>
      <w:r w:rsidRPr="00911254">
        <w:rPr>
          <w:lang w:val="en-GB"/>
        </w:rPr>
        <w:t>Erkko, S., Melanen, M., Mickwitz, P., 2005. Eco-efficiency in the Finnish EMAS reports—a buzz word? J. Clean. Prod. 13</w:t>
      </w:r>
      <w:r>
        <w:rPr>
          <w:lang w:val="en-GB"/>
        </w:rPr>
        <w:t xml:space="preserve"> (</w:t>
      </w:r>
      <w:r w:rsidRPr="00911254">
        <w:rPr>
          <w:lang w:val="en-GB"/>
        </w:rPr>
        <w:t>8</w:t>
      </w:r>
      <w:r>
        <w:rPr>
          <w:lang w:val="en-GB"/>
        </w:rPr>
        <w:t>)</w:t>
      </w:r>
      <w:r w:rsidRPr="00911254">
        <w:rPr>
          <w:lang w:val="en-GB"/>
        </w:rPr>
        <w:t>, 799-813.</w:t>
      </w:r>
    </w:p>
    <w:p w14:paraId="30C9FB15" w14:textId="77777777" w:rsidR="00C23C7D" w:rsidRPr="00911254" w:rsidRDefault="00C23C7D" w:rsidP="00D86F35">
      <w:pPr>
        <w:pStyle w:val="NormaaliWWW"/>
        <w:rPr>
          <w:lang w:val="en-GB"/>
        </w:rPr>
      </w:pPr>
      <w:r w:rsidRPr="00911254">
        <w:rPr>
          <w:lang w:val="en-GB"/>
        </w:rPr>
        <w:t>Fifka, M., 2012. The development and state of research on social and environmental reporting in global comparison. J. Betr. Wirtsch. 62</w:t>
      </w:r>
      <w:r>
        <w:rPr>
          <w:lang w:val="en-GB"/>
        </w:rPr>
        <w:t xml:space="preserve"> (</w:t>
      </w:r>
      <w:r w:rsidRPr="00911254">
        <w:rPr>
          <w:lang w:val="en-GB"/>
        </w:rPr>
        <w:t>1</w:t>
      </w:r>
      <w:r>
        <w:rPr>
          <w:lang w:val="en-GB"/>
        </w:rPr>
        <w:t>)</w:t>
      </w:r>
      <w:r w:rsidRPr="00911254">
        <w:rPr>
          <w:lang w:val="en-GB"/>
        </w:rPr>
        <w:t>, 45-84.</w:t>
      </w:r>
    </w:p>
    <w:p w14:paraId="4FB2172A" w14:textId="3D40A5DE" w:rsidR="00C23C7D" w:rsidRPr="00911254" w:rsidRDefault="00C23C7D" w:rsidP="001566F2">
      <w:pPr>
        <w:pStyle w:val="NormaaliWWW"/>
        <w:rPr>
          <w:lang w:val="en-GB"/>
        </w:rPr>
      </w:pPr>
      <w:r w:rsidRPr="00911254">
        <w:rPr>
          <w:lang w:val="en-GB"/>
        </w:rPr>
        <w:t xml:space="preserve">Finnish Forest Industries Federation, 2013a. Knowlegde bank, Graphs and statistics of the forest industry. </w:t>
      </w:r>
      <w:r w:rsidRPr="00AB653A">
        <w:rPr>
          <w:lang w:val="en-GB"/>
        </w:rPr>
        <w:t>www.metsateollisuus.fi</w:t>
      </w:r>
      <w:r w:rsidR="00AB653A">
        <w:rPr>
          <w:lang w:val="en-GB"/>
        </w:rPr>
        <w:t xml:space="preserve"> </w:t>
      </w:r>
      <w:r w:rsidRPr="00911254">
        <w:rPr>
          <w:lang w:val="en-GB"/>
        </w:rPr>
        <w:t>[16 September 2013].</w:t>
      </w:r>
    </w:p>
    <w:p w14:paraId="7E2F8B7C" w14:textId="77777777" w:rsidR="00C23C7D" w:rsidRPr="00911254" w:rsidRDefault="00C23C7D" w:rsidP="00D86F35">
      <w:pPr>
        <w:pStyle w:val="NormaaliWWW"/>
        <w:rPr>
          <w:lang w:val="en-GB"/>
        </w:rPr>
      </w:pPr>
      <w:r w:rsidRPr="00911254">
        <w:rPr>
          <w:lang w:val="en-GB"/>
        </w:rPr>
        <w:t>Finnish Forest Industries Federation. 2013b. Metsäteollisuuden ympäristötilastot vuodelta 2012 (Environmental statistics of the forest industry 2012). Finnish Forest Industries Federation, Helsinki.</w:t>
      </w:r>
    </w:p>
    <w:p w14:paraId="0106FD1A" w14:textId="77777777" w:rsidR="00C23C7D" w:rsidRPr="00C73DC3" w:rsidRDefault="00C23C7D" w:rsidP="00D86F35">
      <w:pPr>
        <w:pStyle w:val="NormaaliWWW"/>
        <w:rPr>
          <w:lang w:val="en-GB"/>
        </w:rPr>
      </w:pPr>
      <w:r w:rsidRPr="00FC7D69">
        <w:rPr>
          <w:lang w:val="en-US"/>
        </w:rPr>
        <w:t xml:space="preserve">Fonseca, A., Macdonald, A., Dandy, E., Valenti, P., 2011. </w:t>
      </w:r>
      <w:r w:rsidRPr="00911254">
        <w:rPr>
          <w:lang w:val="en-GB"/>
        </w:rPr>
        <w:t>The state of sustainability reporting at Canadian universities. Int J Sus Higher Ed 12</w:t>
      </w:r>
      <w:r>
        <w:rPr>
          <w:lang w:val="en-GB"/>
        </w:rPr>
        <w:t xml:space="preserve"> (</w:t>
      </w:r>
      <w:r w:rsidRPr="00911254">
        <w:rPr>
          <w:lang w:val="en-GB"/>
        </w:rPr>
        <w:t>1</w:t>
      </w:r>
      <w:r>
        <w:rPr>
          <w:lang w:val="en-GB"/>
        </w:rPr>
        <w:t>)</w:t>
      </w:r>
      <w:r w:rsidRPr="00911254">
        <w:rPr>
          <w:lang w:val="en-GB"/>
        </w:rPr>
        <w:t>, 22-40.</w:t>
      </w:r>
    </w:p>
    <w:p w14:paraId="0428750A" w14:textId="77777777" w:rsidR="00C23C7D" w:rsidRPr="00911254" w:rsidRDefault="00C23C7D" w:rsidP="00D86F35">
      <w:pPr>
        <w:pStyle w:val="NormaaliWWW"/>
        <w:rPr>
          <w:lang w:val="en-GB"/>
        </w:rPr>
      </w:pPr>
      <w:r w:rsidRPr="00911254">
        <w:rPr>
          <w:lang w:val="en-GB"/>
        </w:rPr>
        <w:t>Gallego, I., 2006. The use of economic, social and environmental indicators as a measure of sustainable development in Spain. Corp. Soc. Respons. Env. Manag. 13</w:t>
      </w:r>
      <w:r>
        <w:rPr>
          <w:lang w:val="en-GB"/>
        </w:rPr>
        <w:t xml:space="preserve"> (</w:t>
      </w:r>
      <w:r w:rsidRPr="00911254">
        <w:rPr>
          <w:lang w:val="en-GB"/>
        </w:rPr>
        <w:t>2</w:t>
      </w:r>
      <w:r>
        <w:rPr>
          <w:lang w:val="en-GB"/>
        </w:rPr>
        <w:t>)</w:t>
      </w:r>
      <w:r w:rsidRPr="00911254">
        <w:rPr>
          <w:lang w:val="en-GB"/>
        </w:rPr>
        <w:t>, 78-97.</w:t>
      </w:r>
    </w:p>
    <w:p w14:paraId="1F1EA2A7" w14:textId="77777777" w:rsidR="00C23C7D" w:rsidRDefault="00C23C7D" w:rsidP="00E67BCE">
      <w:pPr>
        <w:pStyle w:val="NormaaliWWW"/>
        <w:rPr>
          <w:lang w:val="en-GB"/>
        </w:rPr>
      </w:pPr>
      <w:r w:rsidRPr="00911254">
        <w:rPr>
          <w:lang w:val="en-GB"/>
        </w:rPr>
        <w:t>Global Reporting Initiati</w:t>
      </w:r>
      <w:r>
        <w:rPr>
          <w:lang w:val="en-GB"/>
        </w:rPr>
        <w:t>ve (GRI), 2011. Sustainability reporting g</w:t>
      </w:r>
      <w:r w:rsidRPr="00911254">
        <w:rPr>
          <w:lang w:val="en-GB"/>
        </w:rPr>
        <w:t>uidelines. Version 3.1, Amsterdam.</w:t>
      </w:r>
    </w:p>
    <w:p w14:paraId="7552B178" w14:textId="77777777" w:rsidR="00C23C7D" w:rsidRDefault="00C23C7D" w:rsidP="00E67BCE">
      <w:pPr>
        <w:pStyle w:val="NormaaliWWW"/>
        <w:rPr>
          <w:lang w:val="en-GB"/>
        </w:rPr>
      </w:pPr>
      <w:r w:rsidRPr="00911254">
        <w:rPr>
          <w:lang w:val="en-GB"/>
        </w:rPr>
        <w:t>Global Reporting Initiative (GRI), 201</w:t>
      </w:r>
      <w:r>
        <w:rPr>
          <w:lang w:val="en-GB"/>
        </w:rPr>
        <w:t>4</w:t>
      </w:r>
      <w:r w:rsidRPr="00911254">
        <w:rPr>
          <w:lang w:val="en-GB"/>
        </w:rPr>
        <w:t xml:space="preserve">. Sustainability Reporting Guidelines. </w:t>
      </w:r>
      <w:r>
        <w:rPr>
          <w:lang w:val="en-GB"/>
        </w:rPr>
        <w:t>Reporting principles and standard disclosures. G4</w:t>
      </w:r>
      <w:r w:rsidRPr="00911254">
        <w:rPr>
          <w:lang w:val="en-GB"/>
        </w:rPr>
        <w:t>, Amsterdam.</w:t>
      </w:r>
    </w:p>
    <w:p w14:paraId="006F507B" w14:textId="77777777" w:rsidR="00C23C7D" w:rsidRPr="008457A0" w:rsidRDefault="00C23C7D" w:rsidP="00D86F35">
      <w:pPr>
        <w:pStyle w:val="NormaaliWWW"/>
        <w:rPr>
          <w:lang w:val="en-US"/>
        </w:rPr>
      </w:pPr>
      <w:r w:rsidRPr="008457A0">
        <w:rPr>
          <w:lang w:val="en-US"/>
        </w:rPr>
        <w:t>Guthrie, J., Parker, L.D., 1989. Corporate social reporting: A rebuttal of legitimacy theory. Account. Bus. Res. 19</w:t>
      </w:r>
      <w:r>
        <w:rPr>
          <w:lang w:val="en-US"/>
        </w:rPr>
        <w:t xml:space="preserve"> (</w:t>
      </w:r>
      <w:r w:rsidRPr="008457A0">
        <w:rPr>
          <w:lang w:val="en-US"/>
        </w:rPr>
        <w:t>76</w:t>
      </w:r>
      <w:r>
        <w:rPr>
          <w:lang w:val="en-US"/>
        </w:rPr>
        <w:t>)</w:t>
      </w:r>
      <w:r w:rsidRPr="008457A0">
        <w:rPr>
          <w:lang w:val="en-US"/>
        </w:rPr>
        <w:t>, 343-352.</w:t>
      </w:r>
    </w:p>
    <w:p w14:paraId="496F2E90" w14:textId="77777777" w:rsidR="00C23C7D" w:rsidRPr="00C73DC3" w:rsidRDefault="00C23C7D" w:rsidP="00D86F35">
      <w:pPr>
        <w:pStyle w:val="NormaaliWWW"/>
        <w:rPr>
          <w:lang w:val="en-GB"/>
        </w:rPr>
      </w:pPr>
      <w:r w:rsidRPr="00911254">
        <w:rPr>
          <w:lang w:val="en-GB"/>
        </w:rPr>
        <w:t>Halme, M., Huse, M., 1997. The influence of corporate governance, industry and country factors on environmental reporting. Scand. J. Manag. 13</w:t>
      </w:r>
      <w:r>
        <w:rPr>
          <w:lang w:val="en-GB"/>
        </w:rPr>
        <w:t xml:space="preserve"> (</w:t>
      </w:r>
      <w:r w:rsidRPr="00911254">
        <w:rPr>
          <w:lang w:val="en-GB"/>
        </w:rPr>
        <w:t>2</w:t>
      </w:r>
      <w:r>
        <w:rPr>
          <w:lang w:val="en-GB"/>
        </w:rPr>
        <w:t>)</w:t>
      </w:r>
      <w:r w:rsidRPr="00911254">
        <w:rPr>
          <w:lang w:val="en-GB"/>
        </w:rPr>
        <w:t>, 137-157.</w:t>
      </w:r>
    </w:p>
    <w:p w14:paraId="495A26C6" w14:textId="77777777" w:rsidR="00C23C7D" w:rsidRPr="00C92250" w:rsidRDefault="00C23C7D" w:rsidP="00D86F35">
      <w:pPr>
        <w:pStyle w:val="NormaaliWWW"/>
        <w:rPr>
          <w:lang w:val="en-GB"/>
        </w:rPr>
      </w:pPr>
      <w:r w:rsidRPr="00C92250">
        <w:rPr>
          <w:lang w:val="en-GB"/>
        </w:rPr>
        <w:t>Hoffrén, J., Apajalahti, E., 2009. Emergent eco-efficiency paradigm in corporate environment management. Sust</w:t>
      </w:r>
      <w:r>
        <w:rPr>
          <w:lang w:val="en-GB"/>
        </w:rPr>
        <w:t>.</w:t>
      </w:r>
      <w:r w:rsidRPr="00C92250">
        <w:rPr>
          <w:lang w:val="en-GB"/>
        </w:rPr>
        <w:t xml:space="preserve"> Dev. 17</w:t>
      </w:r>
      <w:r>
        <w:rPr>
          <w:lang w:val="en-GB"/>
        </w:rPr>
        <w:t xml:space="preserve"> (</w:t>
      </w:r>
      <w:r w:rsidRPr="00C92250">
        <w:rPr>
          <w:lang w:val="en-GB"/>
        </w:rPr>
        <w:t>4</w:t>
      </w:r>
      <w:r>
        <w:rPr>
          <w:lang w:val="en-GB"/>
        </w:rPr>
        <w:t>)</w:t>
      </w:r>
      <w:r w:rsidRPr="00C92250">
        <w:rPr>
          <w:lang w:val="en-GB"/>
        </w:rPr>
        <w:t>, 233-243.</w:t>
      </w:r>
    </w:p>
    <w:p w14:paraId="228E64C8" w14:textId="77777777" w:rsidR="00C23C7D" w:rsidRDefault="00C23C7D" w:rsidP="00D86F35">
      <w:pPr>
        <w:pStyle w:val="NormaaliWWW"/>
        <w:rPr>
          <w:lang w:val="en-GB"/>
        </w:rPr>
      </w:pPr>
      <w:r w:rsidRPr="00C92250">
        <w:rPr>
          <w:lang w:val="en-GB"/>
        </w:rPr>
        <w:t>Hooper, P.D., Greenall, A., 2005. Exploring the potential for environmental performance benchmarking in the airline sector. Benchmarking: Int. J. 12</w:t>
      </w:r>
      <w:r>
        <w:rPr>
          <w:lang w:val="en-GB"/>
        </w:rPr>
        <w:t xml:space="preserve"> (</w:t>
      </w:r>
      <w:r w:rsidRPr="00C92250">
        <w:rPr>
          <w:lang w:val="en-GB"/>
        </w:rPr>
        <w:t>2</w:t>
      </w:r>
      <w:r>
        <w:rPr>
          <w:lang w:val="en-GB"/>
        </w:rPr>
        <w:t>)</w:t>
      </w:r>
      <w:r w:rsidRPr="00C92250">
        <w:rPr>
          <w:lang w:val="en-GB"/>
        </w:rPr>
        <w:t>, 151-165.</w:t>
      </w:r>
    </w:p>
    <w:p w14:paraId="4BBD00E2" w14:textId="77777777" w:rsidR="00C23C7D" w:rsidRPr="00C92250" w:rsidRDefault="00C23C7D" w:rsidP="00401390">
      <w:pPr>
        <w:pStyle w:val="NormaaliWWW"/>
        <w:rPr>
          <w:lang w:val="en-US"/>
        </w:rPr>
      </w:pPr>
      <w:r w:rsidRPr="00C92250">
        <w:rPr>
          <w:lang w:val="en-US"/>
        </w:rPr>
        <w:t>ISO, 2004a. Environmental Management Systems. General Guidelines on Principles,</w:t>
      </w:r>
      <w:r>
        <w:rPr>
          <w:lang w:val="en-US"/>
        </w:rPr>
        <w:t xml:space="preserve"> </w:t>
      </w:r>
      <w:r w:rsidRPr="00C92250">
        <w:rPr>
          <w:lang w:val="en-US"/>
        </w:rPr>
        <w:t>Systems and Support Techniques (ISO 14004:2004). European Committee for</w:t>
      </w:r>
      <w:r>
        <w:rPr>
          <w:lang w:val="en-US"/>
        </w:rPr>
        <w:t xml:space="preserve"> </w:t>
      </w:r>
      <w:r w:rsidRPr="00C92250">
        <w:rPr>
          <w:lang w:val="en-US"/>
        </w:rPr>
        <w:t>Standardization, Brussels.</w:t>
      </w:r>
    </w:p>
    <w:p w14:paraId="2CD7A8BB" w14:textId="77777777" w:rsidR="00C23C7D" w:rsidRPr="00C92250" w:rsidRDefault="00C23C7D" w:rsidP="00C92250">
      <w:pPr>
        <w:pStyle w:val="NormaaliWWW"/>
        <w:rPr>
          <w:lang w:val="en-US"/>
        </w:rPr>
      </w:pPr>
      <w:r w:rsidRPr="00C92250">
        <w:rPr>
          <w:lang w:val="en-US"/>
        </w:rPr>
        <w:t>ISO, 2004b. Environmental Management Systems. Requirements with Guidance for Use (ISO 14001:2004). European Committee for Standardization, Brussels.</w:t>
      </w:r>
    </w:p>
    <w:p w14:paraId="6870E479" w14:textId="77777777" w:rsidR="00C23C7D" w:rsidRPr="00C92250" w:rsidRDefault="00C23C7D" w:rsidP="00401390">
      <w:pPr>
        <w:pStyle w:val="NormaaliWWW"/>
        <w:rPr>
          <w:lang w:val="en-US"/>
        </w:rPr>
      </w:pPr>
      <w:r w:rsidRPr="00401390">
        <w:rPr>
          <w:lang w:val="en-US"/>
        </w:rPr>
        <w:t>ISO, 2013. Environmental Management - Environmental Performance Evaluation - Guidelines (ISO 14031:2013). European Committee for Standardization, Brussels.</w:t>
      </w:r>
    </w:p>
    <w:p w14:paraId="4DF9EE4B" w14:textId="77777777" w:rsidR="00C23C7D" w:rsidRPr="00401390" w:rsidRDefault="00C23C7D" w:rsidP="00D86F35">
      <w:pPr>
        <w:pStyle w:val="NormaaliWWW"/>
        <w:rPr>
          <w:lang w:val="en-US"/>
        </w:rPr>
      </w:pPr>
      <w:r w:rsidRPr="008457A0">
        <w:rPr>
          <w:lang w:val="en-US"/>
        </w:rPr>
        <w:t>Jasch, C.,</w:t>
      </w:r>
      <w:r w:rsidRPr="00401390">
        <w:rPr>
          <w:lang w:val="en-US"/>
        </w:rPr>
        <w:t xml:space="preserve"> 2000</w:t>
      </w:r>
      <w:r>
        <w:rPr>
          <w:lang w:val="en-US"/>
        </w:rPr>
        <w:t xml:space="preserve">. Environmental performance evaluation and indicators. </w:t>
      </w:r>
      <w:r w:rsidRPr="008457A0">
        <w:rPr>
          <w:lang w:val="en-US"/>
        </w:rPr>
        <w:t>J. Clean. Prod.</w:t>
      </w:r>
      <w:r>
        <w:rPr>
          <w:lang w:val="en-US"/>
        </w:rPr>
        <w:t xml:space="preserve"> 8, 79-88.</w:t>
      </w:r>
    </w:p>
    <w:p w14:paraId="08378226" w14:textId="77777777" w:rsidR="00C23C7D" w:rsidRPr="00401390" w:rsidRDefault="00C23C7D" w:rsidP="00D86F35">
      <w:pPr>
        <w:pStyle w:val="NormaaliWWW"/>
        <w:rPr>
          <w:lang w:val="en-US"/>
        </w:rPr>
      </w:pPr>
      <w:r w:rsidRPr="00FC7D69">
        <w:rPr>
          <w:lang w:val="en-US"/>
        </w:rPr>
        <w:t xml:space="preserve">Joensuu, K., Koskela, M., Onkila, T., 2015. </w:t>
      </w:r>
      <w:r w:rsidRPr="00401390">
        <w:rPr>
          <w:lang w:val="en-US"/>
        </w:rPr>
        <w:t>Social proximity and environmental NGO relationships in corporate sustainability reports. Sust. Dev. 23, 26-40.</w:t>
      </w:r>
    </w:p>
    <w:p w14:paraId="5488A98B" w14:textId="77777777" w:rsidR="00C23C7D" w:rsidRPr="00401390" w:rsidRDefault="00C23C7D" w:rsidP="00D86F35">
      <w:pPr>
        <w:pStyle w:val="NormaaliWWW"/>
        <w:rPr>
          <w:lang w:val="en-GB"/>
        </w:rPr>
      </w:pPr>
      <w:r w:rsidRPr="00401390">
        <w:rPr>
          <w:lang w:val="en-GB"/>
        </w:rPr>
        <w:t>Jones, M.J., 2011. The nature, use and impression management of graphs in social and en</w:t>
      </w:r>
      <w:r>
        <w:rPr>
          <w:lang w:val="en-GB"/>
        </w:rPr>
        <w:t>vironmental accounting. Account</w:t>
      </w:r>
      <w:r w:rsidRPr="00401390">
        <w:rPr>
          <w:lang w:val="en-GB"/>
        </w:rPr>
        <w:t>. Forum 35</w:t>
      </w:r>
      <w:r>
        <w:rPr>
          <w:lang w:val="en-GB"/>
        </w:rPr>
        <w:t xml:space="preserve"> (</w:t>
      </w:r>
      <w:r w:rsidRPr="00401390">
        <w:rPr>
          <w:lang w:val="en-GB"/>
        </w:rPr>
        <w:t>2</w:t>
      </w:r>
      <w:r>
        <w:rPr>
          <w:lang w:val="en-GB"/>
        </w:rPr>
        <w:t>)</w:t>
      </w:r>
      <w:r w:rsidRPr="00401390">
        <w:rPr>
          <w:lang w:val="en-GB"/>
        </w:rPr>
        <w:t>, 75-89.</w:t>
      </w:r>
    </w:p>
    <w:p w14:paraId="19DD2D1D" w14:textId="77777777" w:rsidR="00C23C7D" w:rsidRPr="00401390" w:rsidRDefault="00C23C7D" w:rsidP="00D86F35">
      <w:pPr>
        <w:pStyle w:val="NormaaliWWW"/>
        <w:rPr>
          <w:lang w:val="en-GB"/>
        </w:rPr>
      </w:pPr>
      <w:r w:rsidRPr="00401390">
        <w:rPr>
          <w:lang w:val="en-GB"/>
        </w:rPr>
        <w:t>Julien, H., 2008. Content Analysis, in: Given, L.M. (Ed.), The SAGE Encyclopedia of Qualitative Research Methods. Sage, Thousand Oaks, pp. 120-121.</w:t>
      </w:r>
    </w:p>
    <w:p w14:paraId="55186F6D" w14:textId="77777777" w:rsidR="00C23C7D" w:rsidRPr="00401390" w:rsidRDefault="00C23C7D" w:rsidP="00D86F35">
      <w:pPr>
        <w:pStyle w:val="NormaaliWWW"/>
        <w:rPr>
          <w:lang w:val="en-GB"/>
        </w:rPr>
      </w:pPr>
      <w:r w:rsidRPr="00401390">
        <w:rPr>
          <w:lang w:val="en-GB"/>
        </w:rPr>
        <w:t>Kaenzig, J., Friot, D., Saadé, M., Margni, M., Jolliet, O., 2011. Using life cycle approaches to enhance the value of corporate environmental disclosures. Bus. Strat. Env. 20</w:t>
      </w:r>
      <w:r>
        <w:rPr>
          <w:lang w:val="en-GB"/>
        </w:rPr>
        <w:t xml:space="preserve"> (</w:t>
      </w:r>
      <w:r w:rsidRPr="00401390">
        <w:rPr>
          <w:lang w:val="en-GB"/>
        </w:rPr>
        <w:t>1</w:t>
      </w:r>
      <w:r>
        <w:rPr>
          <w:lang w:val="en-GB"/>
        </w:rPr>
        <w:t>)</w:t>
      </w:r>
      <w:r w:rsidRPr="00401390">
        <w:rPr>
          <w:lang w:val="en-GB"/>
        </w:rPr>
        <w:t>, 38-54.</w:t>
      </w:r>
    </w:p>
    <w:p w14:paraId="257783CA" w14:textId="77777777" w:rsidR="00C23C7D" w:rsidRPr="00C73DC3" w:rsidRDefault="00C23C7D" w:rsidP="00D86F35">
      <w:pPr>
        <w:pStyle w:val="NormaaliWWW"/>
        <w:rPr>
          <w:lang w:val="en-GB"/>
        </w:rPr>
      </w:pPr>
      <w:r w:rsidRPr="00401390">
        <w:rPr>
          <w:lang w:val="en-GB"/>
        </w:rPr>
        <w:t>Koskela, M., 2014. Occupational health and safety in corporate social responsibility reports. Saf. Sci. 68, 294-308.</w:t>
      </w:r>
    </w:p>
    <w:p w14:paraId="75079207" w14:textId="77777777" w:rsidR="00C23C7D" w:rsidRPr="00401390" w:rsidRDefault="00C23C7D" w:rsidP="00D86F35">
      <w:pPr>
        <w:pStyle w:val="NormaaliWWW"/>
        <w:rPr>
          <w:lang w:val="en-GB"/>
        </w:rPr>
      </w:pPr>
      <w:r w:rsidRPr="00401390">
        <w:rPr>
          <w:lang w:val="en-GB"/>
        </w:rPr>
        <w:t>Koskela, M., 2011. Expert views on environmental impacts and their measurement in the forest industry. J. Clean. Prod. 19</w:t>
      </w:r>
      <w:r>
        <w:rPr>
          <w:lang w:val="en-GB"/>
        </w:rPr>
        <w:t xml:space="preserve"> (</w:t>
      </w:r>
      <w:r w:rsidRPr="00401390">
        <w:rPr>
          <w:lang w:val="en-GB"/>
        </w:rPr>
        <w:t>12</w:t>
      </w:r>
      <w:r>
        <w:rPr>
          <w:lang w:val="en-GB"/>
        </w:rPr>
        <w:t>)</w:t>
      </w:r>
      <w:r w:rsidRPr="00401390">
        <w:rPr>
          <w:lang w:val="en-GB"/>
        </w:rPr>
        <w:t>, 1365-1376.</w:t>
      </w:r>
    </w:p>
    <w:p w14:paraId="3E7A18D8" w14:textId="77777777" w:rsidR="00C23C7D" w:rsidRPr="00401390" w:rsidRDefault="00C23C7D" w:rsidP="00D86F35">
      <w:pPr>
        <w:pStyle w:val="NormaaliWWW"/>
        <w:rPr>
          <w:lang w:val="en-GB"/>
        </w:rPr>
      </w:pPr>
      <w:r w:rsidRPr="00401390">
        <w:rPr>
          <w:lang w:val="en-GB"/>
        </w:rPr>
        <w:t>Koskela, M., Vehmas, J., 2012. Defining eco-efficiency: Case study on Finnish forest industry. Bus. Strat. Env. 21</w:t>
      </w:r>
      <w:r>
        <w:rPr>
          <w:lang w:val="en-GB"/>
        </w:rPr>
        <w:t xml:space="preserve"> (</w:t>
      </w:r>
      <w:r w:rsidRPr="00401390">
        <w:rPr>
          <w:lang w:val="en-GB"/>
        </w:rPr>
        <w:t>8</w:t>
      </w:r>
      <w:r>
        <w:rPr>
          <w:lang w:val="en-GB"/>
        </w:rPr>
        <w:t>)</w:t>
      </w:r>
      <w:r w:rsidRPr="00401390">
        <w:rPr>
          <w:lang w:val="en-GB"/>
        </w:rPr>
        <w:t>, 546-566.</w:t>
      </w:r>
    </w:p>
    <w:p w14:paraId="6D17EB83" w14:textId="77777777" w:rsidR="00C23C7D" w:rsidRPr="00C73DC3" w:rsidRDefault="00C23C7D" w:rsidP="00D86F35">
      <w:pPr>
        <w:pStyle w:val="NormaaliWWW"/>
        <w:rPr>
          <w:lang w:val="en-GB"/>
        </w:rPr>
      </w:pPr>
      <w:r w:rsidRPr="00401390">
        <w:rPr>
          <w:lang w:val="en-GB"/>
        </w:rPr>
        <w:t>Krippendorff, K., 2004. Content analysis: An introduction to its methodology, second ed. Sage Publications, Thousand Oaks.</w:t>
      </w:r>
    </w:p>
    <w:p w14:paraId="49B2E0A6" w14:textId="77777777" w:rsidR="00C23C7D" w:rsidRPr="00401390" w:rsidRDefault="00C23C7D" w:rsidP="00D86F35">
      <w:pPr>
        <w:pStyle w:val="NormaaliWWW"/>
        <w:rPr>
          <w:lang w:val="en-US"/>
        </w:rPr>
      </w:pPr>
      <w:r w:rsidRPr="008457A0">
        <w:rPr>
          <w:lang w:val="en-GB"/>
        </w:rPr>
        <w:t xml:space="preserve">Laine, M., 2009. Ensuring legitimacy through rhetorical changes? A longitudinal interpretation of the environmental disclosures of a leading Finnish chemical company. Account. Auditing Account. J. </w:t>
      </w:r>
      <w:r>
        <w:rPr>
          <w:lang w:val="en-GB"/>
        </w:rPr>
        <w:t>22 (</w:t>
      </w:r>
      <w:r w:rsidRPr="008457A0">
        <w:rPr>
          <w:lang w:val="en-GB"/>
        </w:rPr>
        <w:t>7</w:t>
      </w:r>
      <w:r>
        <w:rPr>
          <w:lang w:val="en-GB"/>
        </w:rPr>
        <w:t>)</w:t>
      </w:r>
      <w:r w:rsidRPr="008457A0">
        <w:rPr>
          <w:lang w:val="en-GB"/>
        </w:rPr>
        <w:t>, 1029-1054.</w:t>
      </w:r>
    </w:p>
    <w:p w14:paraId="6E61150C" w14:textId="77777777" w:rsidR="00C23C7D" w:rsidRPr="00401390" w:rsidRDefault="00C23C7D" w:rsidP="00D86F35">
      <w:pPr>
        <w:pStyle w:val="NormaaliWWW"/>
        <w:rPr>
          <w:lang w:val="en-GB"/>
        </w:rPr>
      </w:pPr>
      <w:r w:rsidRPr="00FC7D69">
        <w:rPr>
          <w:lang w:val="en-US"/>
        </w:rPr>
        <w:t xml:space="preserve">Li, N., Toppinen, A., Tuppura, A., Puumalainen, K., Hujala, M., 2011. </w:t>
      </w:r>
      <w:r w:rsidRPr="00401390">
        <w:rPr>
          <w:lang w:val="en-GB"/>
        </w:rPr>
        <w:t>Determinants of Sustainability Disclosure in the Global Forest Industry. EJBO 16</w:t>
      </w:r>
      <w:r>
        <w:rPr>
          <w:lang w:val="en-GB"/>
        </w:rPr>
        <w:t xml:space="preserve"> (</w:t>
      </w:r>
      <w:r w:rsidRPr="00401390">
        <w:rPr>
          <w:lang w:val="en-GB"/>
        </w:rPr>
        <w:t>1</w:t>
      </w:r>
      <w:r>
        <w:rPr>
          <w:lang w:val="en-GB"/>
        </w:rPr>
        <w:t>)</w:t>
      </w:r>
      <w:r w:rsidRPr="00401390">
        <w:rPr>
          <w:lang w:val="en-GB"/>
        </w:rPr>
        <w:t>, 33-40.</w:t>
      </w:r>
    </w:p>
    <w:p w14:paraId="1D7157E9" w14:textId="77777777" w:rsidR="00C23C7D" w:rsidRPr="00AC6FDC" w:rsidRDefault="00C23C7D" w:rsidP="00D86F35">
      <w:pPr>
        <w:pStyle w:val="NormaaliWWW"/>
      </w:pPr>
      <w:r w:rsidRPr="00401390">
        <w:rPr>
          <w:lang w:val="en-GB"/>
        </w:rPr>
        <w:t xml:space="preserve">Lober, D.J., Bynum, D., Campbell, E., Jacques, M., 1997. The 100 plus corporate environmental report study: A survey of an evolving environmental management tool. </w:t>
      </w:r>
      <w:r w:rsidRPr="00AC6FDC">
        <w:t>Bus. Strat. Env. 6 (2), 57-73.</w:t>
      </w:r>
    </w:p>
    <w:p w14:paraId="20464483" w14:textId="77777777" w:rsidR="00C23C7D" w:rsidRPr="00401390" w:rsidRDefault="00C23C7D" w:rsidP="00D86F35">
      <w:pPr>
        <w:pStyle w:val="NormaaliWWW"/>
        <w:rPr>
          <w:lang w:val="en-GB"/>
        </w:rPr>
      </w:pPr>
      <w:r w:rsidRPr="00AC6FDC">
        <w:t xml:space="preserve">Lovio, R., Kuisma, M., 2004. Ympäristöasioiden ja yritystalouden yhteensovittamisen haaste (The challenge of combining environmental issues and business), in: Heiskanen, E. (Ed.), Ympäristö ja liiketoiminta: arkiset käytännöt ja kriittiset kysymykset (The environment and business: Daily practises and critical questions). </w:t>
      </w:r>
      <w:r w:rsidRPr="00401390">
        <w:rPr>
          <w:lang w:val="en-GB"/>
        </w:rPr>
        <w:t>Gaudeamus, Helsinki, pp. 17-49</w:t>
      </w:r>
    </w:p>
    <w:p w14:paraId="42BF1847" w14:textId="77777777" w:rsidR="00C23C7D" w:rsidRDefault="00C23C7D" w:rsidP="00D86F35">
      <w:pPr>
        <w:pStyle w:val="NormaaliWWW"/>
        <w:rPr>
          <w:lang w:val="en-GB"/>
        </w:rPr>
      </w:pPr>
      <w:r w:rsidRPr="00401390">
        <w:rPr>
          <w:lang w:val="en-GB"/>
        </w:rPr>
        <w:t>Lozano, R., 2011. The state of sustainability reporting in universities. Int. J. Sus. Higher Ed</w:t>
      </w:r>
      <w:r>
        <w:rPr>
          <w:lang w:val="en-GB"/>
        </w:rPr>
        <w:t>. 12 (</w:t>
      </w:r>
      <w:r w:rsidRPr="00401390">
        <w:rPr>
          <w:lang w:val="en-GB"/>
        </w:rPr>
        <w:t>1</w:t>
      </w:r>
      <w:r>
        <w:rPr>
          <w:lang w:val="en-GB"/>
        </w:rPr>
        <w:t>)</w:t>
      </w:r>
      <w:r w:rsidRPr="00401390">
        <w:rPr>
          <w:lang w:val="en-GB"/>
        </w:rPr>
        <w:t>, 67-78.</w:t>
      </w:r>
    </w:p>
    <w:p w14:paraId="38132898" w14:textId="77777777" w:rsidR="00C23C7D" w:rsidRPr="008457A0" w:rsidRDefault="00C23C7D" w:rsidP="00D86F35">
      <w:pPr>
        <w:pStyle w:val="NormaaliWWW"/>
        <w:rPr>
          <w:lang w:val="en-GB"/>
        </w:rPr>
      </w:pPr>
      <w:r w:rsidRPr="008457A0">
        <w:rPr>
          <w:lang w:val="en-GB"/>
        </w:rPr>
        <w:t>Lozano, R., Huising, D., 2011. Inter-linking issues and dimensions in sustainability reporting. J. Clean. Prod.</w:t>
      </w:r>
      <w:r>
        <w:rPr>
          <w:lang w:val="en-GB"/>
        </w:rPr>
        <w:t xml:space="preserve"> </w:t>
      </w:r>
      <w:r w:rsidRPr="008457A0">
        <w:rPr>
          <w:lang w:val="en-GB"/>
        </w:rPr>
        <w:t xml:space="preserve">19, 99-107. </w:t>
      </w:r>
    </w:p>
    <w:p w14:paraId="52093006" w14:textId="77777777" w:rsidR="00C23C7D" w:rsidRPr="008B3962" w:rsidRDefault="00C23C7D" w:rsidP="00D86F35">
      <w:pPr>
        <w:pStyle w:val="NormaaliWWW"/>
        <w:rPr>
          <w:lang w:val="en-US"/>
        </w:rPr>
      </w:pPr>
      <w:r w:rsidRPr="008457A0">
        <w:rPr>
          <w:lang w:val="en-US"/>
        </w:rPr>
        <w:t xml:space="preserve">Lundberg, K., Balfors, B., Folkeson, L., 2009. Framework for environmental performance measurement in a Swedish public sector organization. </w:t>
      </w:r>
      <w:r w:rsidRPr="008457A0">
        <w:rPr>
          <w:lang w:val="en-GB"/>
        </w:rPr>
        <w:t>J. Clean. Prod.</w:t>
      </w:r>
      <w:r w:rsidRPr="008457A0">
        <w:rPr>
          <w:lang w:val="en-US"/>
        </w:rPr>
        <w:t xml:space="preserve"> 17, 1017-2024.</w:t>
      </w:r>
    </w:p>
    <w:p w14:paraId="45844A18" w14:textId="77777777" w:rsidR="00C23C7D" w:rsidRPr="00401390" w:rsidRDefault="00C23C7D" w:rsidP="00D86F35">
      <w:pPr>
        <w:pStyle w:val="NormaaliWWW"/>
        <w:rPr>
          <w:lang w:val="en-GB"/>
        </w:rPr>
      </w:pPr>
      <w:r w:rsidRPr="00401390">
        <w:rPr>
          <w:lang w:val="en-GB"/>
        </w:rPr>
        <w:t>Mak, B.L.M., Chan, W.W., 2007. A study of environmental reporting: International Japanese airlines. Asia Pac. J. Tour. Res. 12</w:t>
      </w:r>
      <w:r>
        <w:rPr>
          <w:lang w:val="en-GB"/>
        </w:rPr>
        <w:t xml:space="preserve"> (</w:t>
      </w:r>
      <w:r w:rsidRPr="00401390">
        <w:rPr>
          <w:lang w:val="en-GB"/>
        </w:rPr>
        <w:t>4</w:t>
      </w:r>
      <w:r>
        <w:rPr>
          <w:lang w:val="en-GB"/>
        </w:rPr>
        <w:t>)</w:t>
      </w:r>
      <w:r w:rsidRPr="00401390">
        <w:rPr>
          <w:lang w:val="en-GB"/>
        </w:rPr>
        <w:t>, 303-312.</w:t>
      </w:r>
    </w:p>
    <w:p w14:paraId="7F1B547B" w14:textId="77777777" w:rsidR="00C23C7D" w:rsidRPr="00401390" w:rsidRDefault="00C23C7D" w:rsidP="00D86F35">
      <w:pPr>
        <w:pStyle w:val="NormaaliWWW"/>
        <w:rPr>
          <w:lang w:val="en-GB"/>
        </w:rPr>
      </w:pPr>
      <w:r w:rsidRPr="00401390">
        <w:rPr>
          <w:lang w:val="en-GB"/>
        </w:rPr>
        <w:t>Mak, B.L.M., Chan, W.W.H., Wong, K., Zheng, C., 2007. Comparative studies of standalone environmental reports – European and Asian airlines. Transp. Res. Part D: Transp. Env. 12</w:t>
      </w:r>
      <w:r>
        <w:rPr>
          <w:lang w:val="en-GB"/>
        </w:rPr>
        <w:t xml:space="preserve"> (</w:t>
      </w:r>
      <w:r w:rsidRPr="00401390">
        <w:rPr>
          <w:lang w:val="en-GB"/>
        </w:rPr>
        <w:t>1</w:t>
      </w:r>
      <w:r>
        <w:rPr>
          <w:lang w:val="en-GB"/>
        </w:rPr>
        <w:t>)</w:t>
      </w:r>
      <w:r w:rsidRPr="00401390">
        <w:rPr>
          <w:lang w:val="en-GB"/>
        </w:rPr>
        <w:t>, 45-52.</w:t>
      </w:r>
    </w:p>
    <w:p w14:paraId="5684E3C0" w14:textId="77777777" w:rsidR="00C23C7D" w:rsidRDefault="00C23C7D" w:rsidP="00D86F35">
      <w:pPr>
        <w:pStyle w:val="NormaaliWWW"/>
        <w:rPr>
          <w:lang w:val="en-GB"/>
        </w:rPr>
      </w:pPr>
      <w:r w:rsidRPr="00401390">
        <w:rPr>
          <w:lang w:val="en-GB"/>
        </w:rPr>
        <w:t>Mak, B., Chan, W.W., 2006. Environmental Reporting of Airlines in the Asia Pacific Region. J. Sust. Tour. 14</w:t>
      </w:r>
      <w:r>
        <w:rPr>
          <w:lang w:val="en-GB"/>
        </w:rPr>
        <w:t xml:space="preserve"> (</w:t>
      </w:r>
      <w:r w:rsidRPr="00401390">
        <w:rPr>
          <w:lang w:val="en-GB"/>
        </w:rPr>
        <w:t>6</w:t>
      </w:r>
      <w:r>
        <w:rPr>
          <w:lang w:val="en-GB"/>
        </w:rPr>
        <w:t>)</w:t>
      </w:r>
      <w:r w:rsidRPr="00401390">
        <w:rPr>
          <w:lang w:val="en-GB"/>
        </w:rPr>
        <w:t>, 618-628.</w:t>
      </w:r>
    </w:p>
    <w:p w14:paraId="43221A56" w14:textId="77777777" w:rsidR="00C23C7D" w:rsidRPr="008B3962" w:rsidRDefault="00C23C7D" w:rsidP="00D86F35">
      <w:pPr>
        <w:pStyle w:val="NormaaliWWW"/>
        <w:rPr>
          <w:lang w:val="en-US"/>
        </w:rPr>
      </w:pPr>
      <w:r w:rsidRPr="00DE10BC">
        <w:rPr>
          <w:lang w:val="en-GB"/>
        </w:rPr>
        <w:t xml:space="preserve">Marby, L., 2008. 13. Case study in social research, in: </w:t>
      </w:r>
      <w:r w:rsidRPr="00DE10BC">
        <w:rPr>
          <w:lang w:val="en-US"/>
        </w:rPr>
        <w:t>Alasuutari, P., Bickman, L., Brannen, J., (Eds.), The SAGE handbook of social research methods. SAGE Publishing company Ltd, London, 214-228.</w:t>
      </w:r>
      <w:r>
        <w:rPr>
          <w:lang w:val="en-US"/>
        </w:rPr>
        <w:t xml:space="preserve"> </w:t>
      </w:r>
    </w:p>
    <w:p w14:paraId="0E592A10" w14:textId="77777777" w:rsidR="00C23C7D" w:rsidRPr="008B3962" w:rsidRDefault="00C23C7D" w:rsidP="00D86F35">
      <w:pPr>
        <w:pStyle w:val="NormaaliWWW"/>
        <w:rPr>
          <w:lang w:val="en-GB"/>
        </w:rPr>
      </w:pPr>
      <w:r w:rsidRPr="008B3962">
        <w:rPr>
          <w:lang w:val="en-GB"/>
        </w:rPr>
        <w:t>Mazzi, A., Mason, C., Mason, M., Scipioni, A., 2012. Is it possible to compare environmental performance indicators reported by public administrations? Results from an Italian survey. Ecol. Ind. 23, 653-659.</w:t>
      </w:r>
    </w:p>
    <w:p w14:paraId="0DAF72F8" w14:textId="66DE0952" w:rsidR="00C23C7D" w:rsidRPr="008B3962" w:rsidRDefault="00C23C7D" w:rsidP="00D86F35">
      <w:pPr>
        <w:pStyle w:val="NormaaliWWW"/>
        <w:rPr>
          <w:lang w:val="en-GB"/>
        </w:rPr>
      </w:pPr>
      <w:r w:rsidRPr="008B3962">
        <w:rPr>
          <w:lang w:val="en-GB"/>
        </w:rPr>
        <w:t xml:space="preserve">Metsä Board, 2013. Metsä Board's webpage. </w:t>
      </w:r>
      <w:r w:rsidR="00AB653A">
        <w:rPr>
          <w:lang w:val="en-GB"/>
        </w:rPr>
        <w:t>www.metsaboard.com</w:t>
      </w:r>
      <w:r w:rsidRPr="008B3962">
        <w:rPr>
          <w:lang w:val="en-GB"/>
        </w:rPr>
        <w:t>. [1 March 2013]</w:t>
      </w:r>
    </w:p>
    <w:p w14:paraId="1EDA4EB1" w14:textId="77777777" w:rsidR="00C23C7D" w:rsidRPr="00C73DC3" w:rsidRDefault="00C23C7D" w:rsidP="00D86F35">
      <w:pPr>
        <w:pStyle w:val="NormaaliWWW"/>
        <w:rPr>
          <w:lang w:val="en-GB"/>
        </w:rPr>
      </w:pPr>
      <w:r w:rsidRPr="008B3962">
        <w:rPr>
          <w:lang w:val="en-GB"/>
        </w:rPr>
        <w:t>Mikkilä, M., Toppinen, A., 2008. Corporate responsibility reporting by large pulp and paper companies. For. Policy Econ. 10</w:t>
      </w:r>
      <w:r>
        <w:rPr>
          <w:lang w:val="en-GB"/>
        </w:rPr>
        <w:t xml:space="preserve"> (</w:t>
      </w:r>
      <w:r w:rsidRPr="008B3962">
        <w:rPr>
          <w:lang w:val="en-GB"/>
        </w:rPr>
        <w:t>7-8</w:t>
      </w:r>
      <w:r>
        <w:rPr>
          <w:lang w:val="en-GB"/>
        </w:rPr>
        <w:t>)</w:t>
      </w:r>
      <w:r w:rsidRPr="008B3962">
        <w:rPr>
          <w:lang w:val="en-GB"/>
        </w:rPr>
        <w:t>, 500-506.</w:t>
      </w:r>
    </w:p>
    <w:p w14:paraId="3809916D" w14:textId="77777777" w:rsidR="00C23C7D" w:rsidRPr="00C73DC3" w:rsidRDefault="00C23C7D" w:rsidP="00D86F35">
      <w:pPr>
        <w:pStyle w:val="NormaaliWWW"/>
        <w:rPr>
          <w:lang w:val="en-GB"/>
        </w:rPr>
      </w:pPr>
      <w:r w:rsidRPr="008457A0">
        <w:rPr>
          <w:lang w:val="en-US"/>
        </w:rPr>
        <w:t xml:space="preserve">Mintcheva, V., 2005. Indicators for environmental policy integration in the food supply chain (the case of the tomato ketchup supply chain and the integrated product policy). </w:t>
      </w:r>
      <w:r w:rsidRPr="008457A0">
        <w:rPr>
          <w:lang w:val="en-GB"/>
        </w:rPr>
        <w:t>J. Clean. Prod.</w:t>
      </w:r>
      <w:r w:rsidRPr="008457A0">
        <w:rPr>
          <w:lang w:val="en-US"/>
        </w:rPr>
        <w:t xml:space="preserve"> 13, 717-731.</w:t>
      </w:r>
    </w:p>
    <w:p w14:paraId="621CD41E" w14:textId="77777777" w:rsidR="00C23C7D" w:rsidRPr="008B3962" w:rsidRDefault="00C23C7D" w:rsidP="00D86F35">
      <w:pPr>
        <w:pStyle w:val="NormaaliWWW"/>
        <w:rPr>
          <w:lang w:val="en-GB"/>
        </w:rPr>
      </w:pPr>
      <w:r w:rsidRPr="008B3962">
        <w:rPr>
          <w:lang w:val="en-GB"/>
        </w:rPr>
        <w:t>Murguia, D.I., Böhling, K., 2013. Sustainability reporting on large-scale mining conflicts: the case of Bajo de la Alumbrera, Argentina. J. Clean. Prod. 41, 202-209.</w:t>
      </w:r>
    </w:p>
    <w:p w14:paraId="070274B8" w14:textId="77777777" w:rsidR="00C23C7D" w:rsidRDefault="00C23C7D" w:rsidP="00D86F35">
      <w:pPr>
        <w:pStyle w:val="NormaaliWWW"/>
        <w:rPr>
          <w:lang w:val="en-GB"/>
        </w:rPr>
      </w:pPr>
      <w:r w:rsidRPr="008B3962">
        <w:rPr>
          <w:lang w:val="en-GB"/>
        </w:rPr>
        <w:t>Noci, G., 2000. Environmental reporting in Italy: current practice and future developments. Bus. Strat. Env.  9</w:t>
      </w:r>
      <w:r>
        <w:rPr>
          <w:lang w:val="en-GB"/>
        </w:rPr>
        <w:t xml:space="preserve"> (</w:t>
      </w:r>
      <w:r w:rsidRPr="008B3962">
        <w:rPr>
          <w:lang w:val="en-GB"/>
        </w:rPr>
        <w:t>4</w:t>
      </w:r>
      <w:r>
        <w:rPr>
          <w:lang w:val="en-GB"/>
        </w:rPr>
        <w:t>)</w:t>
      </w:r>
      <w:r w:rsidRPr="008B3962">
        <w:rPr>
          <w:lang w:val="en-GB"/>
        </w:rPr>
        <w:t>, 211-223.</w:t>
      </w:r>
    </w:p>
    <w:p w14:paraId="044466F4" w14:textId="77777777" w:rsidR="00C23C7D" w:rsidRPr="00C73DC3" w:rsidRDefault="00C23C7D" w:rsidP="00D86F35">
      <w:pPr>
        <w:pStyle w:val="NormaaliWWW"/>
        <w:rPr>
          <w:lang w:val="en-GB"/>
        </w:rPr>
      </w:pPr>
      <w:r w:rsidRPr="008457A0">
        <w:rPr>
          <w:lang w:val="en-GB"/>
        </w:rPr>
        <w:t>O’Connor, M., Spangenberg, J., 2008. A methodology for CSR reporting: assuring a repsentative diversity of indicators across stakeholders, scales, sites and performance issues. J. Clean. Prod. 16, 1399-1415.</w:t>
      </w:r>
    </w:p>
    <w:p w14:paraId="4F2E4348" w14:textId="77777777" w:rsidR="00C23C7D" w:rsidRPr="00FB28DF" w:rsidRDefault="00C23C7D" w:rsidP="00D86F35">
      <w:pPr>
        <w:pStyle w:val="NormaaliWWW"/>
        <w:rPr>
          <w:lang w:val="en-GB"/>
        </w:rPr>
      </w:pPr>
      <w:r w:rsidRPr="00FA08D5">
        <w:rPr>
          <w:lang w:val="en-GB"/>
        </w:rPr>
        <w:t xml:space="preserve">Organisation for Economic co-operation and development (OECD), 1993.OECD core set of indicators for environmental performance reviews. A synthesis report by the Group on the State of the Environment. Environmental monographs Number 83. OECD/GD(93)179. </w:t>
      </w:r>
    </w:p>
    <w:p w14:paraId="3CD7F42D" w14:textId="77777777" w:rsidR="00C23C7D" w:rsidRPr="004C2327" w:rsidRDefault="00C23C7D" w:rsidP="00D86F35">
      <w:pPr>
        <w:pStyle w:val="NormaaliWWW"/>
        <w:rPr>
          <w:lang w:val="en-US"/>
        </w:rPr>
      </w:pPr>
      <w:r w:rsidRPr="008457A0">
        <w:rPr>
          <w:lang w:val="en-GB"/>
        </w:rPr>
        <w:t xml:space="preserve">Onkila, T., Joensuu, K., Koskela, M., 2014. </w:t>
      </w:r>
      <w:r w:rsidRPr="008457A0">
        <w:rPr>
          <w:lang w:val="en-US"/>
        </w:rPr>
        <w:t xml:space="preserve">Implications of managerial framing of stakeholders in environmental reports. </w:t>
      </w:r>
      <w:r w:rsidRPr="004C2327">
        <w:rPr>
          <w:lang w:val="en-US"/>
        </w:rPr>
        <w:t xml:space="preserve">Soc. Environ. Account. J. 34. 3, 134-156. </w:t>
      </w:r>
    </w:p>
    <w:p w14:paraId="43BF4614" w14:textId="77777777" w:rsidR="00C23C7D" w:rsidRPr="00FA08D5" w:rsidRDefault="00C23C7D" w:rsidP="00D86F35">
      <w:pPr>
        <w:pStyle w:val="NormaaliWWW"/>
        <w:rPr>
          <w:lang w:val="en-GB"/>
        </w:rPr>
      </w:pPr>
      <w:r w:rsidRPr="004C2327">
        <w:rPr>
          <w:lang w:val="en-US"/>
        </w:rPr>
        <w:t xml:space="preserve">Prado-Lorenzo, J., Rodríguez-Domínguez, L., Gallego-Álvarez, I., García-Sánchez, I., 2009. </w:t>
      </w:r>
      <w:r w:rsidRPr="00FA08D5">
        <w:rPr>
          <w:lang w:val="en-GB"/>
        </w:rPr>
        <w:t>Factors influencing the disclosure of greenhouse gas emissions in companies world-wide. Manag. Decis. 47</w:t>
      </w:r>
      <w:r>
        <w:rPr>
          <w:lang w:val="en-GB"/>
        </w:rPr>
        <w:t xml:space="preserve"> (</w:t>
      </w:r>
      <w:r w:rsidRPr="00FA08D5">
        <w:rPr>
          <w:lang w:val="en-GB"/>
        </w:rPr>
        <w:t>7</w:t>
      </w:r>
      <w:r>
        <w:rPr>
          <w:lang w:val="en-GB"/>
        </w:rPr>
        <w:t>)</w:t>
      </w:r>
      <w:r w:rsidRPr="00FA08D5">
        <w:rPr>
          <w:lang w:val="en-GB"/>
        </w:rPr>
        <w:t>, 1133-1157.</w:t>
      </w:r>
    </w:p>
    <w:p w14:paraId="1BF03E0A" w14:textId="77777777" w:rsidR="00C23C7D" w:rsidRPr="00FA08D5" w:rsidRDefault="00C23C7D" w:rsidP="00D86F35">
      <w:pPr>
        <w:pStyle w:val="NormaaliWWW"/>
        <w:rPr>
          <w:lang w:val="en-GB"/>
        </w:rPr>
      </w:pPr>
      <w:r w:rsidRPr="00FA08D5">
        <w:rPr>
          <w:lang w:val="en-GB"/>
        </w:rPr>
        <w:t>Roca, L.C., Searcy, C., 2012. An analysis of indicators disclosed in corporate sustainability reports. J. Clean. Prod. 20</w:t>
      </w:r>
      <w:r>
        <w:rPr>
          <w:lang w:val="en-GB"/>
        </w:rPr>
        <w:t xml:space="preserve"> (</w:t>
      </w:r>
      <w:r w:rsidRPr="00FA08D5">
        <w:rPr>
          <w:lang w:val="en-GB"/>
        </w:rPr>
        <w:t>1</w:t>
      </w:r>
      <w:r>
        <w:rPr>
          <w:lang w:val="en-GB"/>
        </w:rPr>
        <w:t>)</w:t>
      </w:r>
      <w:r w:rsidRPr="00FA08D5">
        <w:rPr>
          <w:lang w:val="en-GB"/>
        </w:rPr>
        <w:t>, 103-118.</w:t>
      </w:r>
    </w:p>
    <w:p w14:paraId="6A88D820" w14:textId="77777777" w:rsidR="00C23C7D" w:rsidRPr="00FA08D5" w:rsidRDefault="00C23C7D" w:rsidP="00D86F35">
      <w:pPr>
        <w:pStyle w:val="NormaaliWWW"/>
        <w:rPr>
          <w:lang w:val="en-GB"/>
        </w:rPr>
      </w:pPr>
      <w:r w:rsidRPr="00FA08D5">
        <w:rPr>
          <w:lang w:val="en-GB"/>
        </w:rPr>
        <w:t>Romolini, A., Fissi, S., Gori, E., 2014. Scoring CSR Reporting in Listed Companies - Evidence from Italian Best Practices. Corp. Soc. Respons. Env. Manag. 21</w:t>
      </w:r>
      <w:r>
        <w:rPr>
          <w:lang w:val="en-GB"/>
        </w:rPr>
        <w:t xml:space="preserve"> (</w:t>
      </w:r>
      <w:r w:rsidRPr="00FA08D5">
        <w:rPr>
          <w:lang w:val="en-GB"/>
        </w:rPr>
        <w:t>2</w:t>
      </w:r>
      <w:r>
        <w:rPr>
          <w:lang w:val="en-GB"/>
        </w:rPr>
        <w:t>)</w:t>
      </w:r>
      <w:r w:rsidRPr="00FA08D5">
        <w:rPr>
          <w:lang w:val="en-GB"/>
        </w:rPr>
        <w:t>, 65-81.</w:t>
      </w:r>
    </w:p>
    <w:p w14:paraId="1ED8434E" w14:textId="77777777" w:rsidR="00C23C7D" w:rsidRDefault="00C23C7D" w:rsidP="00D86F35">
      <w:pPr>
        <w:pStyle w:val="NormaaliWWW"/>
        <w:rPr>
          <w:lang w:val="en-GB"/>
        </w:rPr>
      </w:pPr>
      <w:r w:rsidRPr="00FA08D5">
        <w:rPr>
          <w:lang w:val="en-GB"/>
        </w:rPr>
        <w:t>Roth, A., Kåberger, T., 2002. Making transport systems sustainable. J. Clean. Prod. 10</w:t>
      </w:r>
      <w:r>
        <w:rPr>
          <w:lang w:val="en-GB"/>
        </w:rPr>
        <w:t xml:space="preserve"> (</w:t>
      </w:r>
      <w:r w:rsidRPr="00FA08D5">
        <w:rPr>
          <w:lang w:val="en-GB"/>
        </w:rPr>
        <w:t>4</w:t>
      </w:r>
      <w:r>
        <w:rPr>
          <w:lang w:val="en-GB"/>
        </w:rPr>
        <w:t>)</w:t>
      </w:r>
      <w:r w:rsidRPr="00FA08D5">
        <w:rPr>
          <w:lang w:val="en-GB"/>
        </w:rPr>
        <w:t>, 361-371.</w:t>
      </w:r>
    </w:p>
    <w:p w14:paraId="699ACE97" w14:textId="77777777" w:rsidR="00C23C7D" w:rsidRPr="00C73DC3" w:rsidRDefault="00C23C7D" w:rsidP="00D86F35">
      <w:pPr>
        <w:pStyle w:val="NormaaliWWW"/>
        <w:rPr>
          <w:lang w:val="en-GB"/>
        </w:rPr>
      </w:pPr>
      <w:r w:rsidRPr="00DE10BC">
        <w:rPr>
          <w:lang w:val="en-US"/>
        </w:rPr>
        <w:t>Sandelowski, M., 2004. Qualitative research, in: Lewis-Beck, M.S., Bryman, A., Liao, T. F. (Eds.), Encyclopedia of social science research methods. SAGE publications Inc., Thousand Oaks, pp. 893-895.</w:t>
      </w:r>
    </w:p>
    <w:p w14:paraId="72F46D17" w14:textId="77777777" w:rsidR="00C23C7D" w:rsidRPr="00FA08D5" w:rsidRDefault="00C23C7D" w:rsidP="00D86F35">
      <w:pPr>
        <w:pStyle w:val="NormaaliWWW"/>
        <w:rPr>
          <w:lang w:val="en-GB"/>
        </w:rPr>
      </w:pPr>
      <w:r w:rsidRPr="00FA08D5">
        <w:rPr>
          <w:lang w:val="en-GB"/>
        </w:rPr>
        <w:t>Sawani, Y., Zain, M.M., Darus, F., 2010. Preliminary insights on sustainability reporting and assurance practices in Malaysia. Soc. Respons. J. 6</w:t>
      </w:r>
      <w:r>
        <w:rPr>
          <w:lang w:val="en-GB"/>
        </w:rPr>
        <w:t xml:space="preserve"> (</w:t>
      </w:r>
      <w:r w:rsidRPr="00FA08D5">
        <w:rPr>
          <w:lang w:val="en-GB"/>
        </w:rPr>
        <w:t>4</w:t>
      </w:r>
      <w:r>
        <w:rPr>
          <w:lang w:val="en-GB"/>
        </w:rPr>
        <w:t>)</w:t>
      </w:r>
      <w:r w:rsidRPr="00FA08D5">
        <w:rPr>
          <w:lang w:val="en-GB"/>
        </w:rPr>
        <w:t>, 627-645.</w:t>
      </w:r>
    </w:p>
    <w:p w14:paraId="2609FD53" w14:textId="77777777" w:rsidR="00C23C7D" w:rsidRPr="00FA08D5" w:rsidRDefault="00C23C7D" w:rsidP="00D86F35">
      <w:pPr>
        <w:pStyle w:val="NormaaliWWW"/>
        <w:rPr>
          <w:lang w:val="en-GB"/>
        </w:rPr>
      </w:pPr>
      <w:r w:rsidRPr="00FA08D5">
        <w:rPr>
          <w:lang w:val="en-GB"/>
        </w:rPr>
        <w:t>Sinclair, P., Walton, J., 2003. Environmental reporting within the forest and pape</w:t>
      </w:r>
      <w:r>
        <w:rPr>
          <w:lang w:val="en-GB"/>
        </w:rPr>
        <w:t>r industry. Bus. Strat. Env. 12 (</w:t>
      </w:r>
      <w:r w:rsidRPr="00FA08D5">
        <w:rPr>
          <w:lang w:val="en-GB"/>
        </w:rPr>
        <w:t>5</w:t>
      </w:r>
      <w:r>
        <w:rPr>
          <w:lang w:val="en-GB"/>
        </w:rPr>
        <w:t>)</w:t>
      </w:r>
      <w:r w:rsidRPr="00FA08D5">
        <w:rPr>
          <w:lang w:val="en-GB"/>
        </w:rPr>
        <w:t>, 326-337.</w:t>
      </w:r>
    </w:p>
    <w:p w14:paraId="68481744" w14:textId="77777777" w:rsidR="00C23C7D" w:rsidRPr="00FA08D5" w:rsidRDefault="00C23C7D" w:rsidP="00D86F35">
      <w:pPr>
        <w:pStyle w:val="NormaaliWWW"/>
        <w:rPr>
          <w:lang w:val="en-GB"/>
        </w:rPr>
      </w:pPr>
      <w:r w:rsidRPr="00FA08D5">
        <w:rPr>
          <w:lang w:val="en-GB"/>
        </w:rPr>
        <w:t>Skouloudis, A., Evangelinos, K.I., 2009. Sustainability reporting in Greece. Environ. Qual. Manage. 1</w:t>
      </w:r>
      <w:r>
        <w:rPr>
          <w:lang w:val="en-GB"/>
        </w:rPr>
        <w:t>9 (</w:t>
      </w:r>
      <w:r w:rsidRPr="00FA08D5">
        <w:rPr>
          <w:lang w:val="en-GB"/>
        </w:rPr>
        <w:t>1</w:t>
      </w:r>
      <w:r>
        <w:rPr>
          <w:lang w:val="en-GB"/>
        </w:rPr>
        <w:t>)</w:t>
      </w:r>
      <w:r w:rsidRPr="00FA08D5">
        <w:rPr>
          <w:lang w:val="en-GB"/>
        </w:rPr>
        <w:t>, 43-60.</w:t>
      </w:r>
    </w:p>
    <w:p w14:paraId="30B17BCC" w14:textId="77777777" w:rsidR="00C23C7D" w:rsidRDefault="00C23C7D" w:rsidP="00D86F35">
      <w:pPr>
        <w:pStyle w:val="NormaaliWWW"/>
        <w:rPr>
          <w:lang w:val="en-GB"/>
        </w:rPr>
      </w:pPr>
      <w:r w:rsidRPr="00FA08D5">
        <w:rPr>
          <w:lang w:val="en-GB"/>
        </w:rPr>
        <w:t>Skouloudis, A., Evangelinos, K., Kourmousis, F., 2010. Assessing non-financial reports according to the Global Reporting Initiative guidelines: evidence from Greece. J. Clean. Prod. 18</w:t>
      </w:r>
      <w:r>
        <w:rPr>
          <w:lang w:val="en-GB"/>
        </w:rPr>
        <w:t xml:space="preserve"> (</w:t>
      </w:r>
      <w:r w:rsidRPr="00FA08D5">
        <w:rPr>
          <w:lang w:val="en-GB"/>
        </w:rPr>
        <w:t>5</w:t>
      </w:r>
      <w:r>
        <w:rPr>
          <w:lang w:val="en-GB"/>
        </w:rPr>
        <w:t>)</w:t>
      </w:r>
      <w:r w:rsidRPr="00FA08D5">
        <w:rPr>
          <w:lang w:val="en-GB"/>
        </w:rPr>
        <w:t>, 426-438.</w:t>
      </w:r>
    </w:p>
    <w:p w14:paraId="23E710C3" w14:textId="77777777" w:rsidR="00C23C7D" w:rsidRPr="00DE10BC" w:rsidRDefault="00C23C7D" w:rsidP="00D86F35">
      <w:pPr>
        <w:pStyle w:val="NormaaliWWW"/>
        <w:rPr>
          <w:lang w:val="en-GB"/>
        </w:rPr>
      </w:pPr>
      <w:r w:rsidRPr="00DE10BC">
        <w:rPr>
          <w:lang w:val="en-US"/>
        </w:rPr>
        <w:t>Stacks, D.W., 2005. Content analysis, in: Heath, R.L. (Ed.) Encyclopedia of public relations. SAGE Publications, Thousand Oaks, pp. 190-192.</w:t>
      </w:r>
    </w:p>
    <w:p w14:paraId="727ABF89" w14:textId="77777777" w:rsidR="00C23C7D" w:rsidRPr="00C73DC3" w:rsidRDefault="00C23C7D" w:rsidP="00D86F35">
      <w:pPr>
        <w:pStyle w:val="NormaaliWWW"/>
        <w:rPr>
          <w:lang w:val="en-GB"/>
        </w:rPr>
      </w:pPr>
      <w:r w:rsidRPr="0000566B">
        <w:rPr>
          <w:lang w:val="en-GB"/>
        </w:rPr>
        <w:t>Stake</w:t>
      </w:r>
      <w:r>
        <w:rPr>
          <w:lang w:val="en-GB"/>
        </w:rPr>
        <w:t>, R., 1995. The art of case study r</w:t>
      </w:r>
      <w:r w:rsidRPr="0000566B">
        <w:rPr>
          <w:lang w:val="en-GB"/>
        </w:rPr>
        <w:t xml:space="preserve">esearch. </w:t>
      </w:r>
      <w:r>
        <w:rPr>
          <w:lang w:val="en-GB"/>
        </w:rPr>
        <w:t xml:space="preserve">SAGE Publications, </w:t>
      </w:r>
      <w:r w:rsidRPr="0000566B">
        <w:rPr>
          <w:lang w:val="en-GB"/>
        </w:rPr>
        <w:t>Thousand Oaks</w:t>
      </w:r>
      <w:r>
        <w:rPr>
          <w:lang w:val="en-GB"/>
        </w:rPr>
        <w:t>.</w:t>
      </w:r>
    </w:p>
    <w:p w14:paraId="6A12DB89" w14:textId="65797DC1" w:rsidR="00C23C7D" w:rsidRPr="00FC7D69" w:rsidRDefault="00C23C7D" w:rsidP="00D86F35">
      <w:pPr>
        <w:pStyle w:val="NormaaliWWW"/>
        <w:rPr>
          <w:lang w:val="en-GB"/>
        </w:rPr>
      </w:pPr>
      <w:r w:rsidRPr="00FC7D69">
        <w:rPr>
          <w:lang w:val="en-US"/>
        </w:rPr>
        <w:t xml:space="preserve">Stora Enso, 2013. Stora Enso's webpage. </w:t>
      </w:r>
      <w:r w:rsidR="00AB653A">
        <w:rPr>
          <w:lang w:val="en-US"/>
        </w:rPr>
        <w:t>www.storaenso.com</w:t>
      </w:r>
      <w:r w:rsidRPr="00FC7D69">
        <w:rPr>
          <w:lang w:val="en-US"/>
        </w:rPr>
        <w:t xml:space="preserve">. </w:t>
      </w:r>
      <w:r w:rsidRPr="00FC7D69">
        <w:rPr>
          <w:lang w:val="en-GB"/>
        </w:rPr>
        <w:t>[1 March 2013]</w:t>
      </w:r>
    </w:p>
    <w:p w14:paraId="707CFED8" w14:textId="77777777" w:rsidR="00C23C7D" w:rsidRDefault="00C23C7D" w:rsidP="00D86F35">
      <w:pPr>
        <w:pStyle w:val="NormaaliWWW"/>
        <w:rPr>
          <w:lang w:val="en-GB"/>
        </w:rPr>
      </w:pPr>
      <w:r w:rsidRPr="00FC7D69">
        <w:rPr>
          <w:lang w:val="en-GB"/>
        </w:rPr>
        <w:t>Székely, F., Knirsch, M., 2005. Responsible Leadership and Corporate Social Responsibility: Metrics for Sustainable</w:t>
      </w:r>
      <w:r>
        <w:rPr>
          <w:lang w:val="en-GB"/>
        </w:rPr>
        <w:t xml:space="preserve"> Performance. Eur. Manag. J. 23 (</w:t>
      </w:r>
      <w:r w:rsidRPr="00FC7D69">
        <w:rPr>
          <w:lang w:val="en-GB"/>
        </w:rPr>
        <w:t>6</w:t>
      </w:r>
      <w:r>
        <w:rPr>
          <w:lang w:val="en-GB"/>
        </w:rPr>
        <w:t>)</w:t>
      </w:r>
      <w:r w:rsidRPr="00FC7D69">
        <w:rPr>
          <w:lang w:val="en-GB"/>
        </w:rPr>
        <w:t>, 628-647.</w:t>
      </w:r>
    </w:p>
    <w:p w14:paraId="064989C7" w14:textId="77777777" w:rsidR="00C23C7D" w:rsidRPr="00C73DC3" w:rsidRDefault="00C23C7D" w:rsidP="00D86F35">
      <w:pPr>
        <w:pStyle w:val="NormaaliWWW"/>
        <w:rPr>
          <w:lang w:val="en-GB"/>
        </w:rPr>
      </w:pPr>
      <w:r w:rsidRPr="008457A0">
        <w:rPr>
          <w:lang w:val="en-GB"/>
        </w:rPr>
        <w:t>Tinker, T., Neimark, M., 1987. The role of annual reports in gender and class contradictions at General Motors: 1917-1976. Account. Organ.Soc.</w:t>
      </w:r>
      <w:r>
        <w:rPr>
          <w:lang w:val="en-GB"/>
        </w:rPr>
        <w:t xml:space="preserve"> 12 (</w:t>
      </w:r>
      <w:r w:rsidRPr="008457A0">
        <w:rPr>
          <w:lang w:val="en-GB"/>
        </w:rPr>
        <w:t>1</w:t>
      </w:r>
      <w:r>
        <w:rPr>
          <w:lang w:val="en-GB"/>
        </w:rPr>
        <w:t>)</w:t>
      </w:r>
      <w:r w:rsidRPr="008457A0">
        <w:rPr>
          <w:lang w:val="en-GB"/>
        </w:rPr>
        <w:t>, 71-88.</w:t>
      </w:r>
      <w:r>
        <w:rPr>
          <w:lang w:val="en-GB"/>
        </w:rPr>
        <w:t xml:space="preserve"> </w:t>
      </w:r>
    </w:p>
    <w:p w14:paraId="4E373A95" w14:textId="77777777" w:rsidR="00C23C7D" w:rsidRPr="00FC7D69" w:rsidRDefault="00C23C7D" w:rsidP="00D86F35">
      <w:pPr>
        <w:pStyle w:val="NormaaliWWW"/>
        <w:rPr>
          <w:lang w:val="en-GB"/>
        </w:rPr>
      </w:pPr>
      <w:r w:rsidRPr="00FC7D69">
        <w:rPr>
          <w:lang w:val="en-US"/>
        </w:rPr>
        <w:t xml:space="preserve">Toppinen, A., Korhonen-Kurki, K., 2013. </w:t>
      </w:r>
      <w:r w:rsidRPr="00FC7D69">
        <w:rPr>
          <w:lang w:val="en-GB"/>
        </w:rPr>
        <w:t>Global Reporting Initiative and social impact in managing corporate responsibility: a case study of three multinationals in the forest industry. Bus. Ethics Eur. Rev</w:t>
      </w:r>
      <w:r>
        <w:rPr>
          <w:lang w:val="en-GB"/>
        </w:rPr>
        <w:t>. 22 (</w:t>
      </w:r>
      <w:r w:rsidRPr="00FC7D69">
        <w:rPr>
          <w:lang w:val="en-GB"/>
        </w:rPr>
        <w:t>2</w:t>
      </w:r>
      <w:r>
        <w:rPr>
          <w:lang w:val="en-GB"/>
        </w:rPr>
        <w:t>)</w:t>
      </w:r>
      <w:r w:rsidRPr="00FC7D69">
        <w:rPr>
          <w:lang w:val="en-GB"/>
        </w:rPr>
        <w:t>, 202-217.</w:t>
      </w:r>
    </w:p>
    <w:p w14:paraId="37CF552C" w14:textId="77777777" w:rsidR="00C23C7D" w:rsidRPr="00FC7D69" w:rsidRDefault="00C23C7D" w:rsidP="00D86F35">
      <w:pPr>
        <w:pStyle w:val="NormaaliWWW"/>
        <w:rPr>
          <w:lang w:val="en-GB"/>
        </w:rPr>
      </w:pPr>
      <w:r w:rsidRPr="00FC7D69">
        <w:rPr>
          <w:lang w:val="en-GB"/>
        </w:rPr>
        <w:t>Toppinen, A., Li, N., Tuppura, A., Xiong, Y., 2011. Corporate Responsibility and Strategic Groups in the Forest-based Industry: Exploratory Analysis based on the Global Reporting Initiative (GRI) Framework. Corp. Soc. Responsib. Env. Manag. 19</w:t>
      </w:r>
      <w:r>
        <w:rPr>
          <w:lang w:val="en-GB"/>
        </w:rPr>
        <w:t xml:space="preserve"> (4),</w:t>
      </w:r>
      <w:r w:rsidRPr="00FC7D69">
        <w:rPr>
          <w:lang w:val="en-GB"/>
        </w:rPr>
        <w:t xml:space="preserve"> 191-205.</w:t>
      </w:r>
    </w:p>
    <w:p w14:paraId="28035A2B" w14:textId="4FD49AF4" w:rsidR="00C23C7D" w:rsidRPr="00FC7D69" w:rsidRDefault="00C23C7D" w:rsidP="001566F2">
      <w:pPr>
        <w:pStyle w:val="NormaaliWWW"/>
        <w:rPr>
          <w:lang w:val="en-GB"/>
        </w:rPr>
      </w:pPr>
      <w:r w:rsidRPr="00FC7D69">
        <w:rPr>
          <w:lang w:val="en-GB"/>
        </w:rPr>
        <w:t xml:space="preserve">UPM-Kymmene, 2013. UPM-Kymmene's webpage.  </w:t>
      </w:r>
      <w:r w:rsidR="00AB653A">
        <w:rPr>
          <w:lang w:val="en-GB"/>
        </w:rPr>
        <w:t>www.upm.com</w:t>
      </w:r>
      <w:r w:rsidRPr="00FC7D69">
        <w:rPr>
          <w:lang w:val="en-GB"/>
        </w:rPr>
        <w:t>. [1 March 2013]</w:t>
      </w:r>
    </w:p>
    <w:p w14:paraId="23A6EDA7" w14:textId="77777777" w:rsidR="00C23C7D" w:rsidRPr="00FC7D69" w:rsidRDefault="00C23C7D" w:rsidP="00D86F35">
      <w:pPr>
        <w:pStyle w:val="NormaaliWWW"/>
        <w:rPr>
          <w:lang w:val="en-GB"/>
        </w:rPr>
      </w:pPr>
      <w:r w:rsidRPr="00FC7D69">
        <w:rPr>
          <w:lang w:val="en-GB"/>
        </w:rPr>
        <w:t>Veleva, V., Hart, M., Geiner, T., Crumbley, C., 2003. Indicators for measuring environmental sustainability: A case study of the pharmaceutical industry. Benchmarking 10</w:t>
      </w:r>
      <w:r>
        <w:rPr>
          <w:lang w:val="en-GB"/>
        </w:rPr>
        <w:t xml:space="preserve"> (</w:t>
      </w:r>
      <w:r w:rsidRPr="00FC7D69">
        <w:rPr>
          <w:lang w:val="en-GB"/>
        </w:rPr>
        <w:t>2</w:t>
      </w:r>
      <w:r>
        <w:rPr>
          <w:lang w:val="en-GB"/>
        </w:rPr>
        <w:t>)</w:t>
      </w:r>
      <w:r w:rsidRPr="00FC7D69">
        <w:rPr>
          <w:lang w:val="en-GB"/>
        </w:rPr>
        <w:t>, 107-119.</w:t>
      </w:r>
    </w:p>
    <w:p w14:paraId="55F7E4D3" w14:textId="77777777" w:rsidR="00C23C7D" w:rsidRPr="00FC7D69" w:rsidRDefault="00C23C7D" w:rsidP="00D86F35">
      <w:pPr>
        <w:pStyle w:val="NormaaliWWW"/>
        <w:rPr>
          <w:lang w:val="en-GB"/>
        </w:rPr>
      </w:pPr>
      <w:r w:rsidRPr="00FC7D69">
        <w:rPr>
          <w:lang w:val="en-GB"/>
        </w:rPr>
        <w:t>Vidal, N.G., Kozak, R.A., 2008a. The recent evolution of corporate responsibility practices in the forestry sector. Int. For. Rev. 10</w:t>
      </w:r>
      <w:r>
        <w:rPr>
          <w:lang w:val="en-GB"/>
        </w:rPr>
        <w:t xml:space="preserve"> (</w:t>
      </w:r>
      <w:r w:rsidRPr="00FC7D69">
        <w:rPr>
          <w:lang w:val="en-GB"/>
        </w:rPr>
        <w:t>1</w:t>
      </w:r>
      <w:r>
        <w:rPr>
          <w:lang w:val="en-GB"/>
        </w:rPr>
        <w:t>)</w:t>
      </w:r>
      <w:r w:rsidRPr="00FC7D69">
        <w:rPr>
          <w:lang w:val="en-GB"/>
        </w:rPr>
        <w:t>, 1-13.</w:t>
      </w:r>
    </w:p>
    <w:p w14:paraId="22126598" w14:textId="77777777" w:rsidR="00C23C7D" w:rsidRPr="00FC7D69" w:rsidRDefault="00C23C7D" w:rsidP="00D86F35">
      <w:pPr>
        <w:pStyle w:val="NormaaliWWW"/>
        <w:rPr>
          <w:lang w:val="en-GB"/>
        </w:rPr>
      </w:pPr>
      <w:r w:rsidRPr="00FC7D69">
        <w:rPr>
          <w:lang w:val="en-GB"/>
        </w:rPr>
        <w:t>Vidal, N.G., Kozak, R.A., 2008b. Corporate Responsibility Practices in the Forestry Sector. J. Corp. Citizsh. 31, 59-75.</w:t>
      </w:r>
    </w:p>
    <w:p w14:paraId="36D0441F" w14:textId="77777777" w:rsidR="00C23C7D" w:rsidRPr="00FC7D69" w:rsidRDefault="00C23C7D" w:rsidP="00D86F35">
      <w:pPr>
        <w:pStyle w:val="NormaaliWWW"/>
        <w:rPr>
          <w:lang w:val="en-GB"/>
        </w:rPr>
      </w:pPr>
      <w:r w:rsidRPr="00FC7D69">
        <w:rPr>
          <w:lang w:val="en-GB"/>
        </w:rPr>
        <w:t>Vihervaara, P., Kamppinen, M., 2009. The ecosystem approach in corporate environmental management - expert mental models and environmental drivers in the Finnish forest industry. Corp. Soc. Responsib. Env.. Manag. 16</w:t>
      </w:r>
      <w:r>
        <w:rPr>
          <w:lang w:val="en-GB"/>
        </w:rPr>
        <w:t xml:space="preserve"> (</w:t>
      </w:r>
      <w:r w:rsidRPr="00FC7D69">
        <w:rPr>
          <w:lang w:val="en-GB"/>
        </w:rPr>
        <w:t>2</w:t>
      </w:r>
      <w:r>
        <w:rPr>
          <w:lang w:val="en-GB"/>
        </w:rPr>
        <w:t>)</w:t>
      </w:r>
      <w:r w:rsidRPr="00FC7D69">
        <w:rPr>
          <w:lang w:val="en-GB"/>
        </w:rPr>
        <w:t>, 79-93.</w:t>
      </w:r>
    </w:p>
    <w:p w14:paraId="6ED2332C" w14:textId="77777777" w:rsidR="00C23C7D" w:rsidRPr="001B7806" w:rsidRDefault="00C23C7D" w:rsidP="00D86F35">
      <w:pPr>
        <w:pStyle w:val="NormaaliWWW"/>
      </w:pPr>
      <w:r w:rsidRPr="00FC7D69">
        <w:rPr>
          <w:lang w:val="en-GB"/>
        </w:rPr>
        <w:t xml:space="preserve">Vuontisjärvi, T., 2006. Corporate Social Reporting in the European Context and Human Resource Disclosures: An Analysis of Finnish Companies. </w:t>
      </w:r>
      <w:r w:rsidRPr="001B7806">
        <w:t>J. Bus. Ethics 69 (4), 331-354.</w:t>
      </w:r>
    </w:p>
    <w:p w14:paraId="11021DFE" w14:textId="77777777" w:rsidR="00C23C7D" w:rsidRPr="00853B93" w:rsidRDefault="00C23C7D" w:rsidP="00853B93">
      <w:pPr>
        <w:pStyle w:val="NormaaliWWW"/>
        <w:rPr>
          <w:lang w:val="en-GB"/>
        </w:rPr>
      </w:pPr>
      <w:r w:rsidRPr="00853B93">
        <w:t>Welch, C., Piekkari, R., Plakoyiannaki, E.,</w:t>
      </w:r>
      <w:r>
        <w:t xml:space="preserve"> Paavilainen-Mäntymäki, E., 2011. </w:t>
      </w:r>
      <w:r w:rsidRPr="00853B93">
        <w:rPr>
          <w:lang w:val="en-GB"/>
        </w:rPr>
        <w:t>Theorising from case studies: Towards a</w:t>
      </w:r>
      <w:r>
        <w:rPr>
          <w:lang w:val="en-GB"/>
        </w:rPr>
        <w:t xml:space="preserve"> </w:t>
      </w:r>
      <w:r w:rsidRPr="00853B93">
        <w:rPr>
          <w:lang w:val="en-GB"/>
        </w:rPr>
        <w:t>pluralist future for international business</w:t>
      </w:r>
      <w:r>
        <w:rPr>
          <w:lang w:val="en-GB"/>
        </w:rPr>
        <w:t xml:space="preserve"> </w:t>
      </w:r>
      <w:r w:rsidRPr="00853B93">
        <w:rPr>
          <w:lang w:val="en-GB"/>
        </w:rPr>
        <w:t>research</w:t>
      </w:r>
      <w:r>
        <w:rPr>
          <w:lang w:val="en-GB"/>
        </w:rPr>
        <w:t xml:space="preserve">. </w:t>
      </w:r>
      <w:r w:rsidRPr="00853B93">
        <w:rPr>
          <w:lang w:val="en-GB"/>
        </w:rPr>
        <w:t>J</w:t>
      </w:r>
      <w:r>
        <w:rPr>
          <w:lang w:val="en-GB"/>
        </w:rPr>
        <w:t>.</w:t>
      </w:r>
      <w:r w:rsidRPr="00853B93">
        <w:rPr>
          <w:lang w:val="en-GB"/>
        </w:rPr>
        <w:t xml:space="preserve"> Int</w:t>
      </w:r>
      <w:r>
        <w:rPr>
          <w:lang w:val="en-GB"/>
        </w:rPr>
        <w:t>.</w:t>
      </w:r>
      <w:r w:rsidRPr="00853B93">
        <w:rPr>
          <w:lang w:val="en-GB"/>
        </w:rPr>
        <w:t xml:space="preserve"> Bus</w:t>
      </w:r>
      <w:r>
        <w:rPr>
          <w:lang w:val="en-GB"/>
        </w:rPr>
        <w:t>.</w:t>
      </w:r>
      <w:r w:rsidRPr="00853B93">
        <w:rPr>
          <w:lang w:val="en-GB"/>
        </w:rPr>
        <w:t xml:space="preserve"> Stud</w:t>
      </w:r>
      <w:r>
        <w:rPr>
          <w:lang w:val="en-GB"/>
        </w:rPr>
        <w:t>.</w:t>
      </w:r>
      <w:r w:rsidRPr="00853B93">
        <w:rPr>
          <w:lang w:val="en-GB"/>
        </w:rPr>
        <w:t xml:space="preserve"> 42, 740-762</w:t>
      </w:r>
      <w:r>
        <w:rPr>
          <w:lang w:val="en-GB"/>
        </w:rPr>
        <w:t>.</w:t>
      </w:r>
    </w:p>
    <w:p w14:paraId="19454842" w14:textId="77777777" w:rsidR="00C23C7D" w:rsidRPr="00C73DC3" w:rsidRDefault="00C23C7D" w:rsidP="00D86F35">
      <w:pPr>
        <w:pStyle w:val="NormaaliWWW"/>
        <w:rPr>
          <w:lang w:val="en-GB"/>
        </w:rPr>
      </w:pPr>
      <w:r w:rsidRPr="00F562C1">
        <w:rPr>
          <w:lang w:val="en-GB"/>
        </w:rPr>
        <w:t>Yin, R.K., 2009. Case study research: Design and methods. SAGE Publications, Los Angeles.</w:t>
      </w:r>
    </w:p>
    <w:p w14:paraId="11F1BB2F" w14:textId="77777777" w:rsidR="00C23C7D" w:rsidRPr="00FC7D69" w:rsidRDefault="00C23C7D" w:rsidP="00D86F35">
      <w:pPr>
        <w:pStyle w:val="NormaaliWWW"/>
        <w:rPr>
          <w:lang w:val="en-GB"/>
        </w:rPr>
      </w:pPr>
      <w:r w:rsidRPr="00FC7D69">
        <w:rPr>
          <w:lang w:val="en-GB"/>
        </w:rPr>
        <w:t>Yongvanich, K., Guthrie, J., 2007. Legitimation strategies in Australian mining extended performance reporting. J. Hum. Resour. Costing Account. 11</w:t>
      </w:r>
      <w:r>
        <w:rPr>
          <w:lang w:val="en-GB"/>
        </w:rPr>
        <w:t xml:space="preserve"> (</w:t>
      </w:r>
      <w:r w:rsidRPr="00FC7D69">
        <w:rPr>
          <w:lang w:val="en-GB"/>
        </w:rPr>
        <w:t>3</w:t>
      </w:r>
      <w:r>
        <w:rPr>
          <w:lang w:val="en-GB"/>
        </w:rPr>
        <w:t>)</w:t>
      </w:r>
      <w:r w:rsidRPr="00FC7D69">
        <w:rPr>
          <w:lang w:val="en-GB"/>
        </w:rPr>
        <w:t>, 156-177.</w:t>
      </w:r>
    </w:p>
    <w:p w14:paraId="01A6BE30" w14:textId="77777777" w:rsidR="00C23C7D" w:rsidRPr="00FC7D69" w:rsidRDefault="00C23C7D" w:rsidP="00D86F35">
      <w:pPr>
        <w:pStyle w:val="NormaaliWWW"/>
        <w:rPr>
          <w:lang w:val="en-GB"/>
        </w:rPr>
      </w:pPr>
      <w:r w:rsidRPr="00FC7D69">
        <w:rPr>
          <w:lang w:val="en-GB"/>
        </w:rPr>
        <w:t>Yongvanich, K., Guthrie, J., 2005. Extended performance reporting: an examination of the Australian mining industry. Account. Forum 29</w:t>
      </w:r>
      <w:r>
        <w:rPr>
          <w:lang w:val="en-GB"/>
        </w:rPr>
        <w:t xml:space="preserve"> (</w:t>
      </w:r>
      <w:r w:rsidRPr="00FC7D69">
        <w:rPr>
          <w:lang w:val="en-GB"/>
        </w:rPr>
        <w:t>1</w:t>
      </w:r>
      <w:r>
        <w:rPr>
          <w:lang w:val="en-GB"/>
        </w:rPr>
        <w:t>)</w:t>
      </w:r>
      <w:r w:rsidRPr="00FC7D69">
        <w:rPr>
          <w:lang w:val="en-GB"/>
        </w:rPr>
        <w:t>, 103-119.</w:t>
      </w:r>
    </w:p>
    <w:p w14:paraId="74DAEF2E" w14:textId="77777777" w:rsidR="00C23C7D" w:rsidRPr="00C73DC3" w:rsidRDefault="00C23C7D" w:rsidP="00D86F35">
      <w:pPr>
        <w:pStyle w:val="NormaaliWWW"/>
        <w:rPr>
          <w:lang w:val="en-GB"/>
        </w:rPr>
      </w:pPr>
      <w:r w:rsidRPr="00FC7D69">
        <w:rPr>
          <w:lang w:val="en-GB"/>
        </w:rPr>
        <w:t>Zeng, S.X., Xu, X.D., Dong, Z.Y., Tamb, V.Y., 2010. Towards corporate environmental information disclosure: an empirical study in China. J. Clean. Prod. 18, 1142-1148.</w:t>
      </w:r>
    </w:p>
    <w:p w14:paraId="0E16BD50" w14:textId="77777777" w:rsidR="00C23C7D" w:rsidRPr="00C73DC3" w:rsidRDefault="00C23C7D" w:rsidP="00D86F35">
      <w:pPr>
        <w:rPr>
          <w:rFonts w:ascii="Times New Roman" w:hAnsi="Times New Roman"/>
          <w:b/>
          <w:sz w:val="24"/>
          <w:lang w:val="en-GB"/>
        </w:rPr>
      </w:pPr>
      <w:r w:rsidRPr="004A424D">
        <w:rPr>
          <w:b/>
          <w:lang w:val="en-GB"/>
        </w:rPr>
        <w:fldChar w:fldCharType="end"/>
      </w:r>
    </w:p>
    <w:p w14:paraId="19695FFC" w14:textId="77777777" w:rsidR="00C23C7D" w:rsidRPr="00C73DC3" w:rsidRDefault="00C23C7D" w:rsidP="00D86F35">
      <w:pPr>
        <w:rPr>
          <w:rFonts w:ascii="Times New Roman" w:hAnsi="Times New Roman"/>
          <w:b/>
          <w:sz w:val="24"/>
          <w:lang w:val="en-GB"/>
        </w:rPr>
      </w:pPr>
      <w:r w:rsidRPr="00C73DC3">
        <w:rPr>
          <w:rFonts w:ascii="Times New Roman" w:hAnsi="Times New Roman"/>
          <w:b/>
          <w:sz w:val="24"/>
          <w:lang w:val="en-GB"/>
        </w:rPr>
        <w:br w:type="page"/>
        <w:t>Appendix 1</w:t>
      </w:r>
      <w:r>
        <w:rPr>
          <w:rFonts w:ascii="Times New Roman" w:hAnsi="Times New Roman"/>
          <w:b/>
          <w:sz w:val="24"/>
          <w:lang w:val="en-GB"/>
        </w:rPr>
        <w:t xml:space="preserve"> </w:t>
      </w:r>
    </w:p>
    <w:p w14:paraId="7A9409AE" w14:textId="77777777" w:rsidR="00C23C7D" w:rsidRPr="00C73DC3" w:rsidRDefault="00C23C7D" w:rsidP="00D80386">
      <w:pPr>
        <w:pStyle w:val="Kuvanotsikko"/>
        <w:keepNext/>
        <w:rPr>
          <w:lang w:val="en-GB"/>
        </w:rPr>
      </w:pPr>
      <w:r w:rsidRPr="00C73DC3">
        <w:rPr>
          <w:lang w:val="en-GB"/>
        </w:rPr>
        <w:t xml:space="preserve">Table A.1 </w:t>
      </w:r>
      <w:r>
        <w:rPr>
          <w:lang w:val="en-GB"/>
        </w:rPr>
        <w:t>The groups, t</w:t>
      </w:r>
      <w:r w:rsidRPr="00C73DC3">
        <w:rPr>
          <w:lang w:val="en-GB"/>
        </w:rPr>
        <w:t>he themes</w:t>
      </w:r>
      <w:r>
        <w:rPr>
          <w:lang w:val="en-GB"/>
        </w:rPr>
        <w:t xml:space="preserve">, and examples of indicator set </w:t>
      </w:r>
      <w:r w:rsidRPr="00C73DC3">
        <w:rPr>
          <w:lang w:val="en-GB"/>
        </w:rPr>
        <w:t>groups of reported environmental performance indicators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8"/>
        <w:gridCol w:w="2268"/>
        <w:gridCol w:w="4111"/>
      </w:tblGrid>
      <w:tr w:rsidR="00C23C7D" w:rsidRPr="00AA15FE" w14:paraId="6812159B" w14:textId="77777777" w:rsidTr="007A5926">
        <w:tc>
          <w:tcPr>
            <w:tcW w:w="2518" w:type="dxa"/>
            <w:shd w:val="clear" w:color="auto" w:fill="auto"/>
          </w:tcPr>
          <w:p w14:paraId="1C444ED3"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 xml:space="preserve">Groups </w:t>
            </w:r>
          </w:p>
        </w:tc>
        <w:tc>
          <w:tcPr>
            <w:tcW w:w="2268" w:type="dxa"/>
            <w:shd w:val="clear" w:color="auto" w:fill="auto"/>
          </w:tcPr>
          <w:p w14:paraId="0390BCD0"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 xml:space="preserve">Themes </w:t>
            </w:r>
          </w:p>
        </w:tc>
        <w:tc>
          <w:tcPr>
            <w:tcW w:w="4111" w:type="dxa"/>
            <w:shd w:val="clear" w:color="auto" w:fill="auto"/>
          </w:tcPr>
          <w:p w14:paraId="62A827F7"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Examples of indicator sets</w:t>
            </w:r>
          </w:p>
        </w:tc>
      </w:tr>
      <w:tr w:rsidR="00C23C7D" w:rsidRPr="00AA15FE" w14:paraId="0F1695E5" w14:textId="77777777" w:rsidTr="007A5926">
        <w:trPr>
          <w:trHeight w:val="69"/>
        </w:trPr>
        <w:tc>
          <w:tcPr>
            <w:tcW w:w="2518" w:type="dxa"/>
            <w:vMerge w:val="restart"/>
            <w:shd w:val="clear" w:color="auto" w:fill="auto"/>
          </w:tcPr>
          <w:p w14:paraId="18D3C436"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Background</w:t>
            </w:r>
          </w:p>
        </w:tc>
        <w:tc>
          <w:tcPr>
            <w:tcW w:w="2268" w:type="dxa"/>
            <w:shd w:val="clear" w:color="auto" w:fill="auto"/>
          </w:tcPr>
          <w:p w14:paraId="0F1B0A7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Forest</w:t>
            </w:r>
          </w:p>
        </w:tc>
        <w:tc>
          <w:tcPr>
            <w:tcW w:w="4111" w:type="dxa"/>
            <w:shd w:val="clear" w:color="auto" w:fill="auto"/>
          </w:tcPr>
          <w:p w14:paraId="1B6DF9B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Forest ownership</w:t>
            </w:r>
          </w:p>
          <w:p w14:paraId="65126E19"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Wood procurement</w:t>
            </w:r>
          </w:p>
        </w:tc>
      </w:tr>
      <w:tr w:rsidR="00C23C7D" w:rsidRPr="00AA15FE" w14:paraId="6133EE6D" w14:textId="77777777" w:rsidTr="007A5926">
        <w:trPr>
          <w:trHeight w:val="67"/>
        </w:trPr>
        <w:tc>
          <w:tcPr>
            <w:tcW w:w="2518" w:type="dxa"/>
            <w:vMerge/>
            <w:shd w:val="clear" w:color="auto" w:fill="auto"/>
          </w:tcPr>
          <w:p w14:paraId="70811960"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23B7780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Land issues</w:t>
            </w:r>
          </w:p>
        </w:tc>
        <w:tc>
          <w:tcPr>
            <w:tcW w:w="4111" w:type="dxa"/>
            <w:shd w:val="clear" w:color="auto" w:fill="auto"/>
          </w:tcPr>
          <w:p w14:paraId="50838937"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Land use</w:t>
            </w:r>
          </w:p>
        </w:tc>
      </w:tr>
      <w:tr w:rsidR="00C23C7D" w:rsidRPr="00AA15FE" w14:paraId="4F25066F" w14:textId="77777777" w:rsidTr="007A5926">
        <w:trPr>
          <w:trHeight w:val="67"/>
        </w:trPr>
        <w:tc>
          <w:tcPr>
            <w:tcW w:w="2518" w:type="dxa"/>
            <w:vMerge/>
            <w:shd w:val="clear" w:color="auto" w:fill="auto"/>
          </w:tcPr>
          <w:p w14:paraId="204EB792"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06E52C1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Suppliers</w:t>
            </w:r>
          </w:p>
        </w:tc>
        <w:tc>
          <w:tcPr>
            <w:tcW w:w="4111" w:type="dxa"/>
            <w:shd w:val="clear" w:color="auto" w:fill="auto"/>
          </w:tcPr>
          <w:p w14:paraId="20D83B5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Supplier certificates</w:t>
            </w:r>
          </w:p>
          <w:p w14:paraId="2269C7D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Supplier assessments</w:t>
            </w:r>
          </w:p>
        </w:tc>
      </w:tr>
      <w:tr w:rsidR="00C23C7D" w:rsidRPr="00AA15FE" w14:paraId="2C56E76A" w14:textId="77777777" w:rsidTr="007A5926">
        <w:trPr>
          <w:trHeight w:val="67"/>
        </w:trPr>
        <w:tc>
          <w:tcPr>
            <w:tcW w:w="2518" w:type="dxa"/>
            <w:vMerge/>
            <w:shd w:val="clear" w:color="auto" w:fill="auto"/>
          </w:tcPr>
          <w:p w14:paraId="5A749D0D"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46B9D590"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Transportation</w:t>
            </w:r>
          </w:p>
        </w:tc>
        <w:tc>
          <w:tcPr>
            <w:tcW w:w="4111" w:type="dxa"/>
            <w:shd w:val="clear" w:color="auto" w:fill="auto"/>
          </w:tcPr>
          <w:p w14:paraId="6242C6F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Transport volume</w:t>
            </w:r>
          </w:p>
          <w:p w14:paraId="36D88AF0"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Transported distance</w:t>
            </w:r>
          </w:p>
        </w:tc>
      </w:tr>
      <w:tr w:rsidR="00C23C7D" w:rsidRPr="00FA54A3" w14:paraId="642B93FC" w14:textId="77777777" w:rsidTr="007A5926">
        <w:trPr>
          <w:trHeight w:val="141"/>
        </w:trPr>
        <w:tc>
          <w:tcPr>
            <w:tcW w:w="2518" w:type="dxa"/>
            <w:vMerge w:val="restart"/>
            <w:shd w:val="clear" w:color="auto" w:fill="auto"/>
          </w:tcPr>
          <w:p w14:paraId="1CF8994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Inputs</w:t>
            </w:r>
          </w:p>
        </w:tc>
        <w:tc>
          <w:tcPr>
            <w:tcW w:w="2268" w:type="dxa"/>
            <w:shd w:val="clear" w:color="auto" w:fill="auto"/>
          </w:tcPr>
          <w:p w14:paraId="081C6B5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Energy</w:t>
            </w:r>
          </w:p>
        </w:tc>
        <w:tc>
          <w:tcPr>
            <w:tcW w:w="4111" w:type="dxa"/>
            <w:shd w:val="clear" w:color="auto" w:fill="auto"/>
          </w:tcPr>
          <w:p w14:paraId="454DE34F"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Electricity consumption</w:t>
            </w:r>
          </w:p>
          <w:p w14:paraId="58162238"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Distribution of consumed fuels</w:t>
            </w:r>
          </w:p>
        </w:tc>
      </w:tr>
      <w:tr w:rsidR="00C23C7D" w:rsidRPr="00FA54A3" w14:paraId="14543AA7" w14:textId="77777777" w:rsidTr="007A5926">
        <w:trPr>
          <w:trHeight w:val="45"/>
        </w:trPr>
        <w:tc>
          <w:tcPr>
            <w:tcW w:w="2518" w:type="dxa"/>
            <w:vMerge/>
            <w:shd w:val="clear" w:color="auto" w:fill="auto"/>
          </w:tcPr>
          <w:p w14:paraId="76D91BFC"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021392E7"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Fibre</w:t>
            </w:r>
          </w:p>
        </w:tc>
        <w:tc>
          <w:tcPr>
            <w:tcW w:w="4111" w:type="dxa"/>
            <w:shd w:val="clear" w:color="auto" w:fill="auto"/>
          </w:tcPr>
          <w:p w14:paraId="43F7613D"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Amount of recovered paper</w:t>
            </w:r>
          </w:p>
          <w:p w14:paraId="045A3948"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Amount of pulp</w:t>
            </w:r>
          </w:p>
        </w:tc>
      </w:tr>
      <w:tr w:rsidR="00C23C7D" w:rsidRPr="00AA15FE" w14:paraId="535AA3D7" w14:textId="77777777" w:rsidTr="007A5926">
        <w:trPr>
          <w:trHeight w:val="45"/>
        </w:trPr>
        <w:tc>
          <w:tcPr>
            <w:tcW w:w="2518" w:type="dxa"/>
            <w:vMerge/>
            <w:shd w:val="clear" w:color="auto" w:fill="auto"/>
          </w:tcPr>
          <w:p w14:paraId="7E5AD4AF"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7D9E2A5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Other raw materials</w:t>
            </w:r>
          </w:p>
        </w:tc>
        <w:tc>
          <w:tcPr>
            <w:tcW w:w="4111" w:type="dxa"/>
            <w:shd w:val="clear" w:color="auto" w:fill="auto"/>
          </w:tcPr>
          <w:p w14:paraId="37CC4E76"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Binders</w:t>
            </w:r>
          </w:p>
          <w:p w14:paraId="33EAD78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Pigments</w:t>
            </w:r>
          </w:p>
        </w:tc>
      </w:tr>
      <w:tr w:rsidR="00C23C7D" w:rsidRPr="00FA54A3" w14:paraId="1705F78E" w14:textId="77777777" w:rsidTr="007A5926">
        <w:trPr>
          <w:trHeight w:val="45"/>
        </w:trPr>
        <w:tc>
          <w:tcPr>
            <w:tcW w:w="2518" w:type="dxa"/>
            <w:vMerge/>
            <w:shd w:val="clear" w:color="auto" w:fill="auto"/>
          </w:tcPr>
          <w:p w14:paraId="574C547B"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2651E9A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Paper</w:t>
            </w:r>
          </w:p>
        </w:tc>
        <w:tc>
          <w:tcPr>
            <w:tcW w:w="4111" w:type="dxa"/>
            <w:shd w:val="clear" w:color="auto" w:fill="auto"/>
          </w:tcPr>
          <w:p w14:paraId="2F7E300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Amount of purchased paper and board</w:t>
            </w:r>
          </w:p>
        </w:tc>
      </w:tr>
      <w:tr w:rsidR="00C23C7D" w:rsidRPr="00AA15FE" w14:paraId="049511A4" w14:textId="77777777" w:rsidTr="007A5926">
        <w:trPr>
          <w:trHeight w:val="45"/>
        </w:trPr>
        <w:tc>
          <w:tcPr>
            <w:tcW w:w="2518" w:type="dxa"/>
            <w:vMerge/>
            <w:shd w:val="clear" w:color="auto" w:fill="auto"/>
          </w:tcPr>
          <w:p w14:paraId="5AF6C918"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488D74A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w:t>
            </w:r>
          </w:p>
        </w:tc>
        <w:tc>
          <w:tcPr>
            <w:tcW w:w="4111" w:type="dxa"/>
            <w:shd w:val="clear" w:color="auto" w:fill="auto"/>
          </w:tcPr>
          <w:p w14:paraId="75C05FA9"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 consumption</w:t>
            </w:r>
          </w:p>
          <w:p w14:paraId="7022DD6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 source</w:t>
            </w:r>
          </w:p>
        </w:tc>
      </w:tr>
      <w:tr w:rsidR="00C23C7D" w:rsidRPr="00AA15FE" w14:paraId="2EE0F86D" w14:textId="77777777" w:rsidTr="007A5926">
        <w:trPr>
          <w:trHeight w:val="114"/>
        </w:trPr>
        <w:tc>
          <w:tcPr>
            <w:tcW w:w="2518" w:type="dxa"/>
            <w:vMerge/>
            <w:shd w:val="clear" w:color="auto" w:fill="auto"/>
          </w:tcPr>
          <w:p w14:paraId="65D263DE"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534E2AB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Wood</w:t>
            </w:r>
          </w:p>
        </w:tc>
        <w:tc>
          <w:tcPr>
            <w:tcW w:w="4111" w:type="dxa"/>
            <w:shd w:val="clear" w:color="auto" w:fill="auto"/>
          </w:tcPr>
          <w:p w14:paraId="78C8A97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Wood consumption</w:t>
            </w:r>
          </w:p>
          <w:p w14:paraId="451AC41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Wood certification</w:t>
            </w:r>
          </w:p>
        </w:tc>
      </w:tr>
      <w:tr w:rsidR="00C23C7D" w:rsidRPr="00AA15FE" w14:paraId="3E6EC8D3" w14:textId="77777777" w:rsidTr="007A5926">
        <w:trPr>
          <w:trHeight w:val="64"/>
        </w:trPr>
        <w:tc>
          <w:tcPr>
            <w:tcW w:w="2518" w:type="dxa"/>
            <w:vMerge w:val="restart"/>
            <w:shd w:val="clear" w:color="auto" w:fill="auto"/>
          </w:tcPr>
          <w:p w14:paraId="07A73A2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Corporate environmental management</w:t>
            </w:r>
          </w:p>
        </w:tc>
        <w:tc>
          <w:tcPr>
            <w:tcW w:w="2268" w:type="dxa"/>
            <w:shd w:val="clear" w:color="auto" w:fill="auto"/>
          </w:tcPr>
          <w:p w14:paraId="356F9C40"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Environmental costs</w:t>
            </w:r>
          </w:p>
        </w:tc>
        <w:tc>
          <w:tcPr>
            <w:tcW w:w="4111" w:type="dxa"/>
            <w:shd w:val="clear" w:color="auto" w:fill="auto"/>
          </w:tcPr>
          <w:p w14:paraId="15CA1D2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Balance sheet</w:t>
            </w:r>
          </w:p>
          <w:p w14:paraId="05CDACE7"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Costs</w:t>
            </w:r>
          </w:p>
        </w:tc>
      </w:tr>
      <w:tr w:rsidR="00C23C7D" w:rsidRPr="00FA54A3" w14:paraId="080E5638" w14:textId="77777777" w:rsidTr="007A5926">
        <w:trPr>
          <w:trHeight w:val="64"/>
        </w:trPr>
        <w:tc>
          <w:tcPr>
            <w:tcW w:w="2518" w:type="dxa"/>
            <w:vMerge/>
            <w:shd w:val="clear" w:color="auto" w:fill="auto"/>
          </w:tcPr>
          <w:p w14:paraId="3B1B1541"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190B26D9"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Management</w:t>
            </w:r>
          </w:p>
        </w:tc>
        <w:tc>
          <w:tcPr>
            <w:tcW w:w="4111" w:type="dxa"/>
            <w:shd w:val="clear" w:color="auto" w:fill="auto"/>
          </w:tcPr>
          <w:p w14:paraId="5BDE0A3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Eco-labelled sales</w:t>
            </w:r>
          </w:p>
          <w:p w14:paraId="703A4FA5"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Management systems</w:t>
            </w:r>
          </w:p>
        </w:tc>
      </w:tr>
      <w:tr w:rsidR="00C23C7D" w:rsidRPr="00AA15FE" w14:paraId="7B690A67" w14:textId="77777777" w:rsidTr="007A5926">
        <w:trPr>
          <w:trHeight w:val="54"/>
        </w:trPr>
        <w:tc>
          <w:tcPr>
            <w:tcW w:w="2518" w:type="dxa"/>
            <w:vMerge w:val="restart"/>
            <w:shd w:val="clear" w:color="auto" w:fill="auto"/>
          </w:tcPr>
          <w:p w14:paraId="290E5DC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Outputs</w:t>
            </w:r>
          </w:p>
        </w:tc>
        <w:tc>
          <w:tcPr>
            <w:tcW w:w="2268" w:type="dxa"/>
            <w:shd w:val="clear" w:color="auto" w:fill="auto"/>
          </w:tcPr>
          <w:p w14:paraId="272FDD4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Air emissions</w:t>
            </w:r>
          </w:p>
        </w:tc>
        <w:tc>
          <w:tcPr>
            <w:tcW w:w="4111" w:type="dxa"/>
            <w:shd w:val="clear" w:color="auto" w:fill="auto"/>
          </w:tcPr>
          <w:p w14:paraId="7247D12A" w14:textId="77777777" w:rsidR="00C23C7D" w:rsidRPr="007A5926" w:rsidRDefault="00C23C7D" w:rsidP="007A5926">
            <w:pPr>
              <w:spacing w:after="0" w:line="240" w:lineRule="auto"/>
              <w:rPr>
                <w:rFonts w:ascii="Times New Roman" w:hAnsi="Times New Roman"/>
                <w:sz w:val="20"/>
                <w:vertAlign w:val="subscript"/>
                <w:lang w:val="en-GB"/>
              </w:rPr>
            </w:pPr>
            <w:r w:rsidRPr="007A5926">
              <w:rPr>
                <w:rFonts w:ascii="Times New Roman" w:hAnsi="Times New Roman"/>
                <w:sz w:val="20"/>
                <w:lang w:val="en-GB"/>
              </w:rPr>
              <w:t>CO</w:t>
            </w:r>
            <w:r w:rsidRPr="007A5926">
              <w:rPr>
                <w:rFonts w:ascii="Times New Roman" w:hAnsi="Times New Roman"/>
                <w:sz w:val="20"/>
                <w:vertAlign w:val="subscript"/>
                <w:lang w:val="en-GB"/>
              </w:rPr>
              <w:t>2</w:t>
            </w:r>
          </w:p>
          <w:p w14:paraId="48302E3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SO</w:t>
            </w:r>
            <w:r w:rsidRPr="007A5926">
              <w:rPr>
                <w:rFonts w:ascii="Times New Roman" w:hAnsi="Times New Roman"/>
                <w:sz w:val="20"/>
                <w:vertAlign w:val="subscript"/>
                <w:lang w:val="en-GB"/>
              </w:rPr>
              <w:t>2</w:t>
            </w:r>
          </w:p>
        </w:tc>
      </w:tr>
      <w:tr w:rsidR="00C23C7D" w:rsidRPr="00FA54A3" w14:paraId="7D00BCD3" w14:textId="77777777" w:rsidTr="007A5926">
        <w:trPr>
          <w:trHeight w:val="54"/>
        </w:trPr>
        <w:tc>
          <w:tcPr>
            <w:tcW w:w="2518" w:type="dxa"/>
            <w:vMerge/>
            <w:shd w:val="clear" w:color="auto" w:fill="auto"/>
          </w:tcPr>
          <w:p w14:paraId="07C1143F"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15326E0F"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Total emissions</w:t>
            </w:r>
          </w:p>
        </w:tc>
        <w:tc>
          <w:tcPr>
            <w:tcW w:w="4111" w:type="dxa"/>
            <w:shd w:val="clear" w:color="auto" w:fill="auto"/>
          </w:tcPr>
          <w:p w14:paraId="4AB4FFA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Absolute emission figures</w:t>
            </w:r>
          </w:p>
          <w:p w14:paraId="1CBF9696"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Specific emission figures</w:t>
            </w:r>
          </w:p>
        </w:tc>
      </w:tr>
      <w:tr w:rsidR="00C23C7D" w:rsidRPr="00AA15FE" w14:paraId="150267C1" w14:textId="77777777" w:rsidTr="007A5926">
        <w:trPr>
          <w:trHeight w:val="54"/>
        </w:trPr>
        <w:tc>
          <w:tcPr>
            <w:tcW w:w="2518" w:type="dxa"/>
            <w:vMerge/>
            <w:shd w:val="clear" w:color="auto" w:fill="auto"/>
          </w:tcPr>
          <w:p w14:paraId="2058DDAB"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0C3CBC1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w:t>
            </w:r>
          </w:p>
        </w:tc>
        <w:tc>
          <w:tcPr>
            <w:tcW w:w="4111" w:type="dxa"/>
            <w:shd w:val="clear" w:color="auto" w:fill="auto"/>
          </w:tcPr>
          <w:p w14:paraId="1107B4F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Landfill waste</w:t>
            </w:r>
          </w:p>
          <w:p w14:paraId="6FB5301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Hazardous waste</w:t>
            </w:r>
          </w:p>
        </w:tc>
      </w:tr>
      <w:tr w:rsidR="00C23C7D" w:rsidRPr="00FA54A3" w14:paraId="34E45BBC" w14:textId="77777777" w:rsidTr="007A5926">
        <w:trPr>
          <w:trHeight w:val="54"/>
        </w:trPr>
        <w:tc>
          <w:tcPr>
            <w:tcW w:w="2518" w:type="dxa"/>
            <w:vMerge/>
            <w:shd w:val="clear" w:color="auto" w:fill="auto"/>
          </w:tcPr>
          <w:p w14:paraId="18530D97"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453D0F5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 water</w:t>
            </w:r>
          </w:p>
        </w:tc>
        <w:tc>
          <w:tcPr>
            <w:tcW w:w="4111" w:type="dxa"/>
            <w:shd w:val="clear" w:color="auto" w:fill="auto"/>
          </w:tcPr>
          <w:p w14:paraId="5282E40F"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 water volume</w:t>
            </w:r>
          </w:p>
          <w:p w14:paraId="0273F0A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Cooling water discharge</w:t>
            </w:r>
          </w:p>
        </w:tc>
      </w:tr>
      <w:tr w:rsidR="00C23C7D" w:rsidRPr="00AA15FE" w14:paraId="708D49AB" w14:textId="77777777" w:rsidTr="007A5926">
        <w:trPr>
          <w:trHeight w:val="64"/>
        </w:trPr>
        <w:tc>
          <w:tcPr>
            <w:tcW w:w="2518" w:type="dxa"/>
            <w:vMerge/>
            <w:shd w:val="clear" w:color="auto" w:fill="auto"/>
          </w:tcPr>
          <w:p w14:paraId="37A01B0F"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143ADE2D"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 emissions</w:t>
            </w:r>
          </w:p>
        </w:tc>
        <w:tc>
          <w:tcPr>
            <w:tcW w:w="4111" w:type="dxa"/>
            <w:shd w:val="clear" w:color="auto" w:fill="auto"/>
          </w:tcPr>
          <w:p w14:paraId="316A220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COD</w:t>
            </w:r>
          </w:p>
          <w:p w14:paraId="4FA7B9B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AOX</w:t>
            </w:r>
          </w:p>
        </w:tc>
      </w:tr>
      <w:tr w:rsidR="00C23C7D" w:rsidRPr="00AA15FE" w14:paraId="28188626" w14:textId="77777777" w:rsidTr="007A5926">
        <w:trPr>
          <w:trHeight w:val="90"/>
        </w:trPr>
        <w:tc>
          <w:tcPr>
            <w:tcW w:w="2518" w:type="dxa"/>
            <w:vMerge w:val="restart"/>
            <w:shd w:val="clear" w:color="auto" w:fill="auto"/>
          </w:tcPr>
          <w:p w14:paraId="7750264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Environmental impacts</w:t>
            </w:r>
          </w:p>
        </w:tc>
        <w:tc>
          <w:tcPr>
            <w:tcW w:w="2268" w:type="dxa"/>
            <w:shd w:val="clear" w:color="auto" w:fill="auto"/>
          </w:tcPr>
          <w:p w14:paraId="58DA112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Acidification</w:t>
            </w:r>
          </w:p>
        </w:tc>
        <w:tc>
          <w:tcPr>
            <w:tcW w:w="4111" w:type="dxa"/>
            <w:shd w:val="clear" w:color="auto" w:fill="auto"/>
          </w:tcPr>
          <w:p w14:paraId="40D082B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SO</w:t>
            </w:r>
            <w:r w:rsidRPr="007A5926">
              <w:rPr>
                <w:rFonts w:ascii="Times New Roman" w:hAnsi="Times New Roman"/>
                <w:sz w:val="20"/>
                <w:vertAlign w:val="subscript"/>
                <w:lang w:val="en-GB"/>
              </w:rPr>
              <w:t>2</w:t>
            </w:r>
            <w:r w:rsidRPr="007A5926">
              <w:rPr>
                <w:rFonts w:ascii="Times New Roman" w:hAnsi="Times New Roman"/>
                <w:sz w:val="20"/>
                <w:lang w:val="en-GB"/>
              </w:rPr>
              <w:t xml:space="preserve"> emissions</w:t>
            </w:r>
          </w:p>
          <w:p w14:paraId="1A32C0B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Acidification</w:t>
            </w:r>
          </w:p>
        </w:tc>
      </w:tr>
      <w:tr w:rsidR="00C23C7D" w:rsidRPr="00AA15FE" w14:paraId="3773E562" w14:textId="77777777" w:rsidTr="007A5926">
        <w:trPr>
          <w:trHeight w:val="90"/>
        </w:trPr>
        <w:tc>
          <w:tcPr>
            <w:tcW w:w="2518" w:type="dxa"/>
            <w:vMerge/>
            <w:shd w:val="clear" w:color="auto" w:fill="auto"/>
          </w:tcPr>
          <w:p w14:paraId="4FDF2CD5"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3FC7B6B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Climate change</w:t>
            </w:r>
          </w:p>
        </w:tc>
        <w:tc>
          <w:tcPr>
            <w:tcW w:w="4111" w:type="dxa"/>
            <w:shd w:val="clear" w:color="auto" w:fill="auto"/>
          </w:tcPr>
          <w:p w14:paraId="6BB9E51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CO</w:t>
            </w:r>
            <w:r w:rsidRPr="007A5926">
              <w:rPr>
                <w:rFonts w:ascii="Times New Roman" w:hAnsi="Times New Roman"/>
                <w:sz w:val="20"/>
                <w:vertAlign w:val="subscript"/>
                <w:lang w:val="en-GB"/>
              </w:rPr>
              <w:t>2</w:t>
            </w:r>
            <w:r w:rsidRPr="007A5926">
              <w:rPr>
                <w:rFonts w:ascii="Times New Roman" w:hAnsi="Times New Roman"/>
                <w:sz w:val="20"/>
                <w:lang w:val="en-GB"/>
              </w:rPr>
              <w:t xml:space="preserve"> emissions</w:t>
            </w:r>
          </w:p>
          <w:p w14:paraId="5597B126"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Climate change</w:t>
            </w:r>
          </w:p>
        </w:tc>
      </w:tr>
      <w:tr w:rsidR="00C23C7D" w:rsidRPr="00AA15FE" w14:paraId="6E0C699D" w14:textId="77777777" w:rsidTr="007A5926">
        <w:trPr>
          <w:trHeight w:val="231"/>
        </w:trPr>
        <w:tc>
          <w:tcPr>
            <w:tcW w:w="2518" w:type="dxa"/>
            <w:vMerge/>
            <w:shd w:val="clear" w:color="auto" w:fill="auto"/>
          </w:tcPr>
          <w:p w14:paraId="7433ADA0" w14:textId="77777777" w:rsidR="00C23C7D" w:rsidRPr="007A5926" w:rsidRDefault="00C23C7D" w:rsidP="007A5926">
            <w:pPr>
              <w:spacing w:after="0" w:line="240" w:lineRule="auto"/>
              <w:rPr>
                <w:rFonts w:ascii="Times New Roman" w:hAnsi="Times New Roman"/>
                <w:sz w:val="20"/>
                <w:lang w:val="en-GB"/>
              </w:rPr>
            </w:pPr>
          </w:p>
        </w:tc>
        <w:tc>
          <w:tcPr>
            <w:tcW w:w="2268" w:type="dxa"/>
            <w:shd w:val="clear" w:color="auto" w:fill="auto"/>
          </w:tcPr>
          <w:p w14:paraId="7D98C8D5"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Eutrophication</w:t>
            </w:r>
          </w:p>
        </w:tc>
        <w:tc>
          <w:tcPr>
            <w:tcW w:w="4111" w:type="dxa"/>
            <w:shd w:val="clear" w:color="auto" w:fill="auto"/>
          </w:tcPr>
          <w:p w14:paraId="695DA15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Eutrophication</w:t>
            </w:r>
          </w:p>
          <w:p w14:paraId="4804751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Phosphorus</w:t>
            </w:r>
          </w:p>
        </w:tc>
      </w:tr>
    </w:tbl>
    <w:p w14:paraId="6D3C94B5" w14:textId="77777777" w:rsidR="00C23C7D" w:rsidRPr="00C73DC3" w:rsidRDefault="00C23C7D" w:rsidP="00B52B88">
      <w:pPr>
        <w:rPr>
          <w:rFonts w:ascii="Times New Roman" w:hAnsi="Times New Roman"/>
          <w:sz w:val="24"/>
          <w:lang w:val="en-GB"/>
        </w:rPr>
      </w:pPr>
    </w:p>
    <w:p w14:paraId="4821DA84" w14:textId="77777777" w:rsidR="00C23C7D" w:rsidRPr="00C73DC3" w:rsidRDefault="00C23C7D">
      <w:pPr>
        <w:rPr>
          <w:rFonts w:ascii="Times New Roman" w:hAnsi="Times New Roman"/>
          <w:sz w:val="24"/>
          <w:lang w:val="en-GB"/>
        </w:rPr>
      </w:pPr>
      <w:r w:rsidRPr="00C73DC3">
        <w:rPr>
          <w:rFonts w:ascii="Times New Roman" w:hAnsi="Times New Roman"/>
          <w:sz w:val="24"/>
          <w:lang w:val="en-GB"/>
        </w:rPr>
        <w:br w:type="page"/>
      </w:r>
    </w:p>
    <w:p w14:paraId="55C8D00B" w14:textId="77777777" w:rsidR="00C23C7D" w:rsidRDefault="00C23C7D" w:rsidP="007F358D">
      <w:pPr>
        <w:pStyle w:val="Kuvanotsikko"/>
        <w:keepNext/>
        <w:spacing w:line="276" w:lineRule="auto"/>
        <w:rPr>
          <w:lang w:val="en-GB"/>
        </w:rPr>
      </w:pPr>
      <w:r w:rsidRPr="00C73DC3">
        <w:rPr>
          <w:lang w:val="en-GB"/>
        </w:rPr>
        <w:t>Table 1 Previous sustainability report analysis research on the use of indicators</w:t>
      </w:r>
      <w:r>
        <w:rPr>
          <w:lang w:val="en-GB"/>
        </w:rPr>
        <w:t xml:space="preserve"> and </w:t>
      </w:r>
      <w:r w:rsidRPr="00C73DC3">
        <w:rPr>
          <w:lang w:val="en-GB"/>
        </w:rPr>
        <w:t>the forest industry</w:t>
      </w:r>
      <w:r>
        <w:rPr>
          <w:lang w:val="en-G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93"/>
        <w:gridCol w:w="2551"/>
        <w:gridCol w:w="2689"/>
        <w:gridCol w:w="2445"/>
      </w:tblGrid>
      <w:tr w:rsidR="00C23C7D" w:rsidRPr="00AA15FE" w14:paraId="48795D5A" w14:textId="77777777" w:rsidTr="007A5926">
        <w:trPr>
          <w:trHeight w:val="345"/>
        </w:trPr>
        <w:tc>
          <w:tcPr>
            <w:tcW w:w="2093" w:type="dxa"/>
            <w:shd w:val="clear" w:color="auto" w:fill="auto"/>
          </w:tcPr>
          <w:p w14:paraId="13E22AE3"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Indicator focus</w:t>
            </w:r>
          </w:p>
        </w:tc>
        <w:tc>
          <w:tcPr>
            <w:tcW w:w="2551" w:type="dxa"/>
            <w:vMerge w:val="restart"/>
            <w:shd w:val="clear" w:color="auto" w:fill="auto"/>
          </w:tcPr>
          <w:p w14:paraId="669407BA"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Research focusing on indicator reporting</w:t>
            </w:r>
          </w:p>
          <w:p w14:paraId="57F94C6D"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(Group 1)</w:t>
            </w:r>
          </w:p>
        </w:tc>
        <w:tc>
          <w:tcPr>
            <w:tcW w:w="2689" w:type="dxa"/>
            <w:vMerge w:val="restart"/>
            <w:shd w:val="clear" w:color="auto" w:fill="auto"/>
          </w:tcPr>
          <w:p w14:paraId="11F5D3FB"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Indicators used as one analysing criteria and results provided</w:t>
            </w:r>
          </w:p>
          <w:p w14:paraId="1ED20A9E"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(Group 2)</w:t>
            </w:r>
          </w:p>
        </w:tc>
        <w:tc>
          <w:tcPr>
            <w:tcW w:w="2445" w:type="dxa"/>
            <w:vMerge w:val="restart"/>
            <w:shd w:val="clear" w:color="auto" w:fill="auto"/>
          </w:tcPr>
          <w:p w14:paraId="7AEE1F58"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Indicators used as one analysing criteria but no results provided</w:t>
            </w:r>
          </w:p>
          <w:p w14:paraId="1C356BE8"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(Group 3)</w:t>
            </w:r>
          </w:p>
        </w:tc>
      </w:tr>
      <w:tr w:rsidR="00C23C7D" w:rsidRPr="00AA15FE" w14:paraId="1CB12844" w14:textId="77777777" w:rsidTr="007A5926">
        <w:trPr>
          <w:trHeight w:val="345"/>
        </w:trPr>
        <w:tc>
          <w:tcPr>
            <w:tcW w:w="2093" w:type="dxa"/>
            <w:shd w:val="clear" w:color="auto" w:fill="auto"/>
          </w:tcPr>
          <w:p w14:paraId="72FF16C4"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Forest industry focus</w:t>
            </w:r>
          </w:p>
        </w:tc>
        <w:tc>
          <w:tcPr>
            <w:tcW w:w="2551" w:type="dxa"/>
            <w:vMerge/>
            <w:shd w:val="clear" w:color="auto" w:fill="auto"/>
          </w:tcPr>
          <w:p w14:paraId="3F194B93" w14:textId="77777777" w:rsidR="00C23C7D" w:rsidRPr="007A5926" w:rsidRDefault="00C23C7D" w:rsidP="007A5926">
            <w:pPr>
              <w:spacing w:after="0" w:line="240" w:lineRule="auto"/>
              <w:rPr>
                <w:rFonts w:ascii="Times New Roman" w:hAnsi="Times New Roman"/>
                <w:b/>
                <w:sz w:val="20"/>
                <w:lang w:val="en-GB"/>
              </w:rPr>
            </w:pPr>
          </w:p>
        </w:tc>
        <w:tc>
          <w:tcPr>
            <w:tcW w:w="2689" w:type="dxa"/>
            <w:vMerge/>
            <w:shd w:val="clear" w:color="auto" w:fill="auto"/>
          </w:tcPr>
          <w:p w14:paraId="48750F4F" w14:textId="77777777" w:rsidR="00C23C7D" w:rsidRPr="007A5926" w:rsidRDefault="00C23C7D" w:rsidP="007A5926">
            <w:pPr>
              <w:spacing w:after="0" w:line="240" w:lineRule="auto"/>
              <w:rPr>
                <w:rFonts w:ascii="Times New Roman" w:hAnsi="Times New Roman"/>
                <w:b/>
                <w:sz w:val="20"/>
                <w:lang w:val="en-GB"/>
              </w:rPr>
            </w:pPr>
          </w:p>
        </w:tc>
        <w:tc>
          <w:tcPr>
            <w:tcW w:w="2445" w:type="dxa"/>
            <w:vMerge/>
            <w:shd w:val="clear" w:color="auto" w:fill="auto"/>
          </w:tcPr>
          <w:p w14:paraId="4DD9196C" w14:textId="77777777" w:rsidR="00C23C7D" w:rsidRPr="007A5926" w:rsidRDefault="00C23C7D" w:rsidP="007A5926">
            <w:pPr>
              <w:spacing w:after="0" w:line="240" w:lineRule="auto"/>
              <w:rPr>
                <w:rFonts w:ascii="Times New Roman" w:hAnsi="Times New Roman"/>
                <w:b/>
                <w:sz w:val="20"/>
                <w:lang w:val="en-GB"/>
              </w:rPr>
            </w:pPr>
          </w:p>
        </w:tc>
      </w:tr>
      <w:tr w:rsidR="00C23C7D" w:rsidRPr="00AA15FE" w14:paraId="51935F81" w14:textId="77777777" w:rsidTr="007A5926">
        <w:tc>
          <w:tcPr>
            <w:tcW w:w="2093" w:type="dxa"/>
            <w:shd w:val="clear" w:color="auto" w:fill="auto"/>
          </w:tcPr>
          <w:p w14:paraId="53627EFC"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Research focusing on forest industry</w:t>
            </w:r>
          </w:p>
        </w:tc>
        <w:tc>
          <w:tcPr>
            <w:tcW w:w="2551" w:type="dxa"/>
            <w:shd w:val="clear" w:color="auto" w:fill="auto"/>
          </w:tcPr>
          <w:p w14:paraId="04AE71ED"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Mikkilä and Toppinen (2008)</w:t>
            </w:r>
          </w:p>
        </w:tc>
        <w:tc>
          <w:tcPr>
            <w:tcW w:w="2689" w:type="dxa"/>
            <w:shd w:val="clear" w:color="auto" w:fill="auto"/>
          </w:tcPr>
          <w:p w14:paraId="3355458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Koskela and Vehmas (2012)</w:t>
            </w:r>
          </w:p>
          <w:p w14:paraId="6959EB6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Sinclair and Walton (2003)</w:t>
            </w:r>
          </w:p>
          <w:p w14:paraId="39A84BDF"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 xml:space="preserve">Toppinen and Korhonen-Kurki (2013) </w:t>
            </w:r>
          </w:p>
        </w:tc>
        <w:tc>
          <w:tcPr>
            <w:tcW w:w="2445" w:type="dxa"/>
            <w:shd w:val="clear" w:color="auto" w:fill="auto"/>
          </w:tcPr>
          <w:p w14:paraId="08737D1C" w14:textId="77777777" w:rsidR="00C23C7D" w:rsidRPr="007A5926" w:rsidRDefault="00C23C7D" w:rsidP="007A5926">
            <w:pPr>
              <w:spacing w:after="0" w:line="240" w:lineRule="auto"/>
              <w:rPr>
                <w:rFonts w:ascii="Times New Roman" w:hAnsi="Times New Roman"/>
                <w:sz w:val="20"/>
                <w:lang w:val="en-GB"/>
              </w:rPr>
            </w:pPr>
          </w:p>
        </w:tc>
      </w:tr>
      <w:tr w:rsidR="00C23C7D" w:rsidRPr="00AA15FE" w14:paraId="717C1975" w14:textId="77777777" w:rsidTr="007A5926">
        <w:tc>
          <w:tcPr>
            <w:tcW w:w="2093" w:type="dxa"/>
            <w:shd w:val="clear" w:color="auto" w:fill="auto"/>
          </w:tcPr>
          <w:p w14:paraId="1DC3CAE1"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Forest industry analysed among other industries</w:t>
            </w:r>
          </w:p>
        </w:tc>
        <w:tc>
          <w:tcPr>
            <w:tcW w:w="2551" w:type="dxa"/>
            <w:shd w:val="clear" w:color="auto" w:fill="auto"/>
          </w:tcPr>
          <w:p w14:paraId="7B4AEC9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Roca and Searcy (2012)</w:t>
            </w:r>
          </w:p>
        </w:tc>
        <w:tc>
          <w:tcPr>
            <w:tcW w:w="2689" w:type="dxa"/>
            <w:shd w:val="clear" w:color="auto" w:fill="auto"/>
          </w:tcPr>
          <w:p w14:paraId="0463F278" w14:textId="77777777" w:rsidR="00C23C7D" w:rsidRPr="007A5926" w:rsidRDefault="00C23C7D" w:rsidP="007A5926">
            <w:pPr>
              <w:spacing w:after="0" w:line="240" w:lineRule="auto"/>
              <w:rPr>
                <w:rFonts w:ascii="Times New Roman" w:hAnsi="Times New Roman"/>
                <w:sz w:val="20"/>
                <w:lang w:val="sv-SE"/>
              </w:rPr>
            </w:pPr>
            <w:r w:rsidRPr="007A5926">
              <w:rPr>
                <w:rFonts w:ascii="Times New Roman" w:hAnsi="Times New Roman"/>
                <w:sz w:val="20"/>
                <w:lang w:val="sv-SE"/>
              </w:rPr>
              <w:t>Cunningham and Gadenne (2003)</w:t>
            </w:r>
          </w:p>
          <w:p w14:paraId="0959985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sv-SE"/>
              </w:rPr>
              <w:t xml:space="preserve">Erkko et al. </w:t>
            </w:r>
            <w:r w:rsidRPr="007A5926">
              <w:rPr>
                <w:rFonts w:ascii="Times New Roman" w:hAnsi="Times New Roman"/>
                <w:sz w:val="20"/>
                <w:lang w:val="en-GB"/>
              </w:rPr>
              <w:t xml:space="preserve">(2005) </w:t>
            </w:r>
          </w:p>
          <w:p w14:paraId="4D355A8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Prado-Lorenzo et al. (2009)</w:t>
            </w:r>
          </w:p>
          <w:p w14:paraId="12DDE31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Roth and Kåberger (2002)</w:t>
            </w:r>
          </w:p>
          <w:p w14:paraId="655E26E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Vuontisjärvi (2006)</w:t>
            </w:r>
          </w:p>
        </w:tc>
        <w:tc>
          <w:tcPr>
            <w:tcW w:w="2445" w:type="dxa"/>
            <w:shd w:val="clear" w:color="auto" w:fill="auto"/>
          </w:tcPr>
          <w:p w14:paraId="68081AB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 xml:space="preserve">Lober et al. (1997) </w:t>
            </w:r>
          </w:p>
          <w:p w14:paraId="19F5459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 xml:space="preserve">Noci (2000) </w:t>
            </w:r>
          </w:p>
        </w:tc>
      </w:tr>
      <w:tr w:rsidR="00C23C7D" w:rsidRPr="00AA15FE" w14:paraId="6CB3117A" w14:textId="77777777" w:rsidTr="007A5926">
        <w:tc>
          <w:tcPr>
            <w:tcW w:w="2093" w:type="dxa"/>
            <w:shd w:val="clear" w:color="auto" w:fill="auto"/>
          </w:tcPr>
          <w:p w14:paraId="40E988A7"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No forest industry companies analysed</w:t>
            </w:r>
          </w:p>
        </w:tc>
        <w:tc>
          <w:tcPr>
            <w:tcW w:w="2551" w:type="dxa"/>
            <w:shd w:val="clear" w:color="auto" w:fill="auto"/>
          </w:tcPr>
          <w:p w14:paraId="5A2C3EE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Azzone et al. (1996)Dragomir (2012)Gallego (2006)Hooper and Greenall (2005)</w:t>
            </w:r>
            <w:r w:rsidRPr="007A5926">
              <w:rPr>
                <w:rFonts w:ascii="Times New Roman" w:hAnsi="Times New Roman"/>
                <w:sz w:val="20"/>
                <w:lang w:val="en-US"/>
              </w:rPr>
              <w:t xml:space="preserve">Jones (2011)Lozano (2011)Mazzi et al. </w:t>
            </w:r>
            <w:r w:rsidRPr="007A5926">
              <w:rPr>
                <w:rFonts w:ascii="Times New Roman" w:hAnsi="Times New Roman"/>
                <w:sz w:val="20"/>
                <w:lang w:val="en-GB"/>
              </w:rPr>
              <w:t>(2012)Murguía and Böhling (2013)Romolini et al. (2014)Székely and Knirsch (2005)</w:t>
            </w:r>
          </w:p>
          <w:p w14:paraId="6E76857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Veleva et al. (2003)</w:t>
            </w:r>
          </w:p>
        </w:tc>
        <w:tc>
          <w:tcPr>
            <w:tcW w:w="2689" w:type="dxa"/>
            <w:shd w:val="clear" w:color="auto" w:fill="auto"/>
          </w:tcPr>
          <w:p w14:paraId="53EA82F0"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Asif et al. (2013)</w:t>
            </w:r>
          </w:p>
          <w:p w14:paraId="66AE1C42" w14:textId="77777777" w:rsidR="00C23C7D" w:rsidRPr="007A5926" w:rsidRDefault="00C23C7D" w:rsidP="007A5926">
            <w:pPr>
              <w:spacing w:after="0" w:line="240" w:lineRule="auto"/>
              <w:rPr>
                <w:rFonts w:ascii="Times New Roman" w:hAnsi="Times New Roman"/>
                <w:sz w:val="20"/>
              </w:rPr>
            </w:pPr>
            <w:r w:rsidRPr="007A5926">
              <w:rPr>
                <w:rFonts w:ascii="Times New Roman" w:hAnsi="Times New Roman"/>
                <w:sz w:val="20"/>
                <w:lang w:val="en-GB"/>
              </w:rPr>
              <w:t xml:space="preserve">Chan and Mak (2005), also Mak and Chan (2006), Mak and Chan (2007), Mak et al. </w:t>
            </w:r>
            <w:r w:rsidRPr="007A5926">
              <w:rPr>
                <w:rFonts w:ascii="Times New Roman" w:hAnsi="Times New Roman"/>
                <w:sz w:val="20"/>
              </w:rPr>
              <w:t>(2007)</w:t>
            </w:r>
          </w:p>
          <w:p w14:paraId="407EFF78" w14:textId="77777777" w:rsidR="00C23C7D" w:rsidRPr="007A5926" w:rsidRDefault="00C23C7D" w:rsidP="007A5926">
            <w:pPr>
              <w:spacing w:after="0" w:line="240" w:lineRule="auto"/>
              <w:rPr>
                <w:rFonts w:ascii="Times New Roman" w:hAnsi="Times New Roman"/>
                <w:sz w:val="20"/>
              </w:rPr>
            </w:pPr>
            <w:r w:rsidRPr="007A5926">
              <w:rPr>
                <w:rFonts w:ascii="Times New Roman" w:hAnsi="Times New Roman"/>
                <w:sz w:val="20"/>
              </w:rPr>
              <w:t>Fonseca et al. (2011)</w:t>
            </w:r>
          </w:p>
          <w:p w14:paraId="631B8338" w14:textId="77777777" w:rsidR="00C23C7D" w:rsidRPr="007A5926" w:rsidRDefault="00C23C7D" w:rsidP="007A5926">
            <w:pPr>
              <w:spacing w:after="0" w:line="240" w:lineRule="auto"/>
              <w:rPr>
                <w:rFonts w:ascii="Times New Roman" w:hAnsi="Times New Roman"/>
                <w:sz w:val="20"/>
              </w:rPr>
            </w:pPr>
            <w:r w:rsidRPr="007A5926">
              <w:rPr>
                <w:rFonts w:ascii="Times New Roman" w:hAnsi="Times New Roman"/>
                <w:sz w:val="20"/>
              </w:rPr>
              <w:t>Kaenzig et al. (2011)</w:t>
            </w:r>
          </w:p>
          <w:p w14:paraId="3185F960" w14:textId="77777777" w:rsidR="00C23C7D" w:rsidRPr="007A5926" w:rsidRDefault="00C23C7D" w:rsidP="007A5926">
            <w:pPr>
              <w:spacing w:after="0" w:line="240" w:lineRule="auto"/>
              <w:rPr>
                <w:rFonts w:ascii="Times New Roman" w:hAnsi="Times New Roman"/>
                <w:sz w:val="20"/>
              </w:rPr>
            </w:pPr>
            <w:r w:rsidRPr="007A5926">
              <w:rPr>
                <w:rFonts w:ascii="Times New Roman" w:hAnsi="Times New Roman"/>
                <w:sz w:val="20"/>
              </w:rPr>
              <w:t>Koskela (2014)</w:t>
            </w:r>
          </w:p>
          <w:p w14:paraId="7BBC9F47" w14:textId="77777777" w:rsidR="00C23C7D" w:rsidRPr="007A5926" w:rsidRDefault="00C23C7D" w:rsidP="007A5926">
            <w:pPr>
              <w:spacing w:after="0" w:line="240" w:lineRule="auto"/>
              <w:rPr>
                <w:rFonts w:ascii="Times New Roman" w:hAnsi="Times New Roman"/>
                <w:sz w:val="20"/>
              </w:rPr>
            </w:pPr>
            <w:r w:rsidRPr="007A5926">
              <w:rPr>
                <w:rFonts w:ascii="Times New Roman" w:hAnsi="Times New Roman"/>
                <w:sz w:val="20"/>
              </w:rPr>
              <w:t>Sawani et al. (2010)</w:t>
            </w:r>
          </w:p>
          <w:p w14:paraId="0E376AF8"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rPr>
              <w:t xml:space="preserve">Skouloudis and Evangelinos (2009), also Skouloudis et al. </w:t>
            </w:r>
            <w:r w:rsidRPr="007A5926">
              <w:rPr>
                <w:rFonts w:ascii="Times New Roman" w:hAnsi="Times New Roman"/>
                <w:sz w:val="20"/>
                <w:lang w:val="en-GB"/>
              </w:rPr>
              <w:t>(2010)</w:t>
            </w:r>
          </w:p>
          <w:p w14:paraId="7F0F6F7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Yongvanich and Guthrie (2005), also Yongvanich and Guthrie (2007)</w:t>
            </w:r>
          </w:p>
        </w:tc>
        <w:tc>
          <w:tcPr>
            <w:tcW w:w="2445" w:type="dxa"/>
            <w:shd w:val="clear" w:color="auto" w:fill="auto"/>
          </w:tcPr>
          <w:p w14:paraId="0E339A4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Hoffrén and Apajalahti (2009)</w:t>
            </w:r>
          </w:p>
        </w:tc>
      </w:tr>
    </w:tbl>
    <w:p w14:paraId="2CB2542E" w14:textId="77777777" w:rsidR="00C23C7D" w:rsidRDefault="00C23C7D" w:rsidP="00B52B88">
      <w:pPr>
        <w:rPr>
          <w:rFonts w:ascii="Times New Roman" w:hAnsi="Times New Roman"/>
          <w:color w:val="92D050"/>
          <w:sz w:val="24"/>
          <w:lang w:val="en-GB"/>
        </w:rPr>
      </w:pPr>
    </w:p>
    <w:p w14:paraId="5054410D" w14:textId="77777777" w:rsidR="00C23C7D" w:rsidRPr="00C73DC3" w:rsidRDefault="00C23C7D" w:rsidP="00311613">
      <w:pPr>
        <w:rPr>
          <w:rFonts w:ascii="Times New Roman" w:hAnsi="Times New Roman"/>
          <w:color w:val="92D050"/>
          <w:sz w:val="24"/>
          <w:lang w:val="en-GB"/>
        </w:rPr>
      </w:pPr>
    </w:p>
    <w:p w14:paraId="4B506F7B" w14:textId="77777777" w:rsidR="00C23C7D" w:rsidRPr="00311613" w:rsidRDefault="00C23C7D" w:rsidP="00B52B88">
      <w:pPr>
        <w:rPr>
          <w:rFonts w:ascii="Times New Roman" w:hAnsi="Times New Roman"/>
          <w:sz w:val="24"/>
          <w:lang w:val="en-GB"/>
        </w:rPr>
        <w:sectPr w:rsidR="00C23C7D" w:rsidRPr="00311613">
          <w:footerReference w:type="default" r:id="rId10"/>
          <w:pgSz w:w="11906" w:h="16838"/>
          <w:pgMar w:top="1417" w:right="1134" w:bottom="1417" w:left="1134" w:header="708" w:footer="708" w:gutter="0"/>
          <w:cols w:space="708"/>
          <w:docGrid w:linePitch="360"/>
        </w:sectPr>
      </w:pPr>
    </w:p>
    <w:p w14:paraId="67D1A0C4" w14:textId="5BB3FF55" w:rsidR="00C23C7D" w:rsidRPr="00C73DC3" w:rsidRDefault="00C23C7D" w:rsidP="007F358D">
      <w:pPr>
        <w:pStyle w:val="Kuvanotsikko"/>
        <w:keepNext/>
        <w:spacing w:line="276" w:lineRule="auto"/>
        <w:rPr>
          <w:lang w:val="en-GB"/>
        </w:rPr>
      </w:pPr>
      <w:r w:rsidRPr="00C73DC3">
        <w:rPr>
          <w:lang w:val="en-GB"/>
        </w:rPr>
        <w:t>Table 2 The frequency of indicator use according to previous literature</w:t>
      </w:r>
    </w:p>
    <w:tbl>
      <w:tblPr>
        <w:tblW w:w="12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9"/>
        <w:gridCol w:w="1413"/>
        <w:gridCol w:w="1954"/>
        <w:gridCol w:w="2684"/>
        <w:gridCol w:w="2311"/>
        <w:gridCol w:w="2311"/>
      </w:tblGrid>
      <w:tr w:rsidR="007A5926" w:rsidRPr="00AA15FE" w14:paraId="2F973D2B" w14:textId="77777777" w:rsidTr="007A5926">
        <w:tc>
          <w:tcPr>
            <w:tcW w:w="1419" w:type="dxa"/>
            <w:shd w:val="clear" w:color="auto" w:fill="auto"/>
          </w:tcPr>
          <w:p w14:paraId="70116C4C" w14:textId="77777777" w:rsidR="00C23C7D" w:rsidRPr="007A5926" w:rsidRDefault="00C23C7D" w:rsidP="007A5926">
            <w:pPr>
              <w:autoSpaceDE w:val="0"/>
              <w:autoSpaceDN w:val="0"/>
              <w:adjustRightInd w:val="0"/>
              <w:spacing w:after="0" w:line="240" w:lineRule="auto"/>
              <w:rPr>
                <w:rFonts w:ascii="Times New Roman" w:hAnsi="Times New Roman"/>
                <w:b/>
                <w:sz w:val="20"/>
                <w:lang w:val="en-GB"/>
              </w:rPr>
            </w:pPr>
            <w:r w:rsidRPr="007A5926">
              <w:rPr>
                <w:rFonts w:ascii="Times New Roman" w:hAnsi="Times New Roman"/>
                <w:b/>
                <w:sz w:val="20"/>
                <w:lang w:val="en-GB"/>
              </w:rPr>
              <w:t>Reference</w:t>
            </w:r>
          </w:p>
        </w:tc>
        <w:tc>
          <w:tcPr>
            <w:tcW w:w="1413" w:type="dxa"/>
            <w:shd w:val="clear" w:color="auto" w:fill="auto"/>
          </w:tcPr>
          <w:p w14:paraId="67748B6E" w14:textId="77777777" w:rsidR="00C23C7D" w:rsidRPr="007A5926" w:rsidRDefault="00C23C7D" w:rsidP="007A5926">
            <w:pPr>
              <w:autoSpaceDE w:val="0"/>
              <w:autoSpaceDN w:val="0"/>
              <w:adjustRightInd w:val="0"/>
              <w:spacing w:after="0" w:line="240" w:lineRule="auto"/>
              <w:rPr>
                <w:rFonts w:ascii="Times New Roman" w:hAnsi="Times New Roman"/>
                <w:b/>
                <w:sz w:val="20"/>
                <w:lang w:val="en-GB"/>
              </w:rPr>
            </w:pPr>
            <w:r w:rsidRPr="007A5926">
              <w:rPr>
                <w:rFonts w:ascii="Times New Roman" w:hAnsi="Times New Roman"/>
                <w:b/>
                <w:sz w:val="20"/>
                <w:lang w:val="en-GB"/>
              </w:rPr>
              <w:t>Target</w:t>
            </w:r>
          </w:p>
        </w:tc>
        <w:tc>
          <w:tcPr>
            <w:tcW w:w="1954" w:type="dxa"/>
            <w:shd w:val="clear" w:color="auto" w:fill="auto"/>
          </w:tcPr>
          <w:p w14:paraId="7D15E37C" w14:textId="77777777" w:rsidR="00C23C7D" w:rsidRPr="007A5926" w:rsidRDefault="00C23C7D" w:rsidP="007A5926">
            <w:pPr>
              <w:autoSpaceDE w:val="0"/>
              <w:autoSpaceDN w:val="0"/>
              <w:adjustRightInd w:val="0"/>
              <w:spacing w:after="0" w:line="240" w:lineRule="auto"/>
              <w:rPr>
                <w:rFonts w:ascii="Times New Roman" w:hAnsi="Times New Roman"/>
                <w:b/>
                <w:sz w:val="20"/>
                <w:lang w:val="en-GB"/>
              </w:rPr>
            </w:pPr>
            <w:r w:rsidRPr="007A5926">
              <w:rPr>
                <w:rFonts w:ascii="Times New Roman" w:hAnsi="Times New Roman"/>
                <w:b/>
                <w:sz w:val="20"/>
                <w:lang w:val="en-GB"/>
              </w:rPr>
              <w:t>Analysed sectors (1)</w:t>
            </w:r>
          </w:p>
        </w:tc>
        <w:tc>
          <w:tcPr>
            <w:tcW w:w="2684" w:type="dxa"/>
            <w:shd w:val="clear" w:color="auto" w:fill="auto"/>
          </w:tcPr>
          <w:p w14:paraId="4BC4F4CC" w14:textId="77777777" w:rsidR="00C23C7D" w:rsidRPr="007A5926" w:rsidRDefault="00C23C7D" w:rsidP="007A5926">
            <w:pPr>
              <w:autoSpaceDE w:val="0"/>
              <w:autoSpaceDN w:val="0"/>
              <w:adjustRightInd w:val="0"/>
              <w:spacing w:after="0" w:line="240" w:lineRule="auto"/>
              <w:rPr>
                <w:rFonts w:ascii="Times New Roman" w:hAnsi="Times New Roman"/>
                <w:b/>
                <w:sz w:val="20"/>
                <w:lang w:val="en-GB"/>
              </w:rPr>
            </w:pPr>
            <w:r w:rsidRPr="007A5926">
              <w:rPr>
                <w:rFonts w:ascii="Times New Roman" w:hAnsi="Times New Roman"/>
                <w:b/>
                <w:sz w:val="20"/>
                <w:lang w:val="en-GB"/>
              </w:rPr>
              <w:t>Most often reported</w:t>
            </w:r>
          </w:p>
        </w:tc>
        <w:tc>
          <w:tcPr>
            <w:tcW w:w="2311" w:type="dxa"/>
            <w:shd w:val="clear" w:color="auto" w:fill="auto"/>
          </w:tcPr>
          <w:p w14:paraId="5DF00D8D" w14:textId="77777777" w:rsidR="00C23C7D" w:rsidRPr="007A5926" w:rsidRDefault="00C23C7D" w:rsidP="007A5926">
            <w:pPr>
              <w:autoSpaceDE w:val="0"/>
              <w:autoSpaceDN w:val="0"/>
              <w:adjustRightInd w:val="0"/>
              <w:spacing w:after="0" w:line="240" w:lineRule="auto"/>
              <w:rPr>
                <w:rFonts w:ascii="Times New Roman" w:hAnsi="Times New Roman"/>
                <w:b/>
                <w:sz w:val="20"/>
                <w:lang w:val="en-GB"/>
              </w:rPr>
            </w:pPr>
            <w:r w:rsidRPr="007A5926">
              <w:rPr>
                <w:rFonts w:ascii="Times New Roman" w:hAnsi="Times New Roman"/>
                <w:b/>
                <w:sz w:val="20"/>
                <w:lang w:val="en-GB"/>
              </w:rPr>
              <w:t>In between</w:t>
            </w:r>
          </w:p>
        </w:tc>
        <w:tc>
          <w:tcPr>
            <w:tcW w:w="2311" w:type="dxa"/>
            <w:shd w:val="clear" w:color="auto" w:fill="auto"/>
          </w:tcPr>
          <w:p w14:paraId="5D44B316" w14:textId="77777777" w:rsidR="00C23C7D" w:rsidRPr="007A5926" w:rsidRDefault="00C23C7D" w:rsidP="007A5926">
            <w:pPr>
              <w:autoSpaceDE w:val="0"/>
              <w:autoSpaceDN w:val="0"/>
              <w:adjustRightInd w:val="0"/>
              <w:spacing w:after="0" w:line="240" w:lineRule="auto"/>
              <w:rPr>
                <w:rFonts w:ascii="Times New Roman" w:hAnsi="Times New Roman"/>
                <w:b/>
                <w:sz w:val="20"/>
                <w:lang w:val="en-GB"/>
              </w:rPr>
            </w:pPr>
            <w:r w:rsidRPr="007A5926">
              <w:rPr>
                <w:rFonts w:ascii="Times New Roman" w:hAnsi="Times New Roman"/>
                <w:b/>
                <w:sz w:val="20"/>
                <w:lang w:val="en-GB"/>
              </w:rPr>
              <w:t>Least often reported</w:t>
            </w:r>
          </w:p>
        </w:tc>
      </w:tr>
      <w:tr w:rsidR="007A5926" w:rsidRPr="00FA54A3" w14:paraId="79B0CFA0" w14:textId="77777777" w:rsidTr="007A5926">
        <w:tc>
          <w:tcPr>
            <w:tcW w:w="1419" w:type="dxa"/>
            <w:shd w:val="clear" w:color="auto" w:fill="auto"/>
          </w:tcPr>
          <w:p w14:paraId="58125CD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Azzone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RW.CITE{{252 Azzone,Giovanni 1996 /a}}</w:instrText>
            </w:r>
            <w:r w:rsidRPr="007A5926">
              <w:rPr>
                <w:rFonts w:ascii="Times New Roman" w:hAnsi="Times New Roman"/>
                <w:sz w:val="20"/>
                <w:lang w:val="en-GB"/>
              </w:rPr>
              <w:fldChar w:fldCharType="separate"/>
            </w:r>
            <w:r w:rsidRPr="007A5926">
              <w:rPr>
                <w:rFonts w:ascii="Times New Roman" w:hAnsi="Times New Roman"/>
                <w:sz w:val="20"/>
                <w:lang w:val="en-GB"/>
              </w:rPr>
              <w:t>(1996)</w:t>
            </w:r>
            <w:r w:rsidRPr="007A5926">
              <w:rPr>
                <w:rFonts w:ascii="Times New Roman" w:hAnsi="Times New Roman"/>
                <w:sz w:val="20"/>
                <w:lang w:val="en-GB"/>
              </w:rPr>
              <w:fldChar w:fldCharType="end"/>
            </w:r>
          </w:p>
        </w:tc>
        <w:tc>
          <w:tcPr>
            <w:tcW w:w="1413" w:type="dxa"/>
            <w:shd w:val="clear" w:color="auto" w:fill="auto"/>
          </w:tcPr>
          <w:p w14:paraId="53812D4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reporting</w:t>
            </w:r>
          </w:p>
        </w:tc>
        <w:tc>
          <w:tcPr>
            <w:tcW w:w="1954" w:type="dxa"/>
            <w:shd w:val="clear" w:color="auto" w:fill="auto"/>
          </w:tcPr>
          <w:p w14:paraId="1DB2CFF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Chemical, services, automotive, electronics</w:t>
            </w:r>
          </w:p>
        </w:tc>
        <w:tc>
          <w:tcPr>
            <w:tcW w:w="2684" w:type="dxa"/>
            <w:shd w:val="clear" w:color="auto" w:fill="auto"/>
          </w:tcPr>
          <w:p w14:paraId="6FE1020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Prevention costs and investments</w:t>
            </w:r>
          </w:p>
          <w:p w14:paraId="2617DBC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Physical data (PD)</w:t>
            </w:r>
          </w:p>
          <w:p w14:paraId="7C581AB7" w14:textId="77777777" w:rsidR="00C23C7D" w:rsidRPr="007A5926" w:rsidRDefault="00C23C7D" w:rsidP="007A5926">
            <w:pPr>
              <w:pStyle w:val="Luettelokappale"/>
              <w:numPr>
                <w:ilvl w:val="0"/>
                <w:numId w:val="32"/>
              </w:num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Air emissions</w:t>
            </w:r>
          </w:p>
          <w:p w14:paraId="5B05D71D" w14:textId="77777777" w:rsidR="00C23C7D" w:rsidRPr="007A5926" w:rsidRDefault="00C23C7D" w:rsidP="007A5926">
            <w:pPr>
              <w:pStyle w:val="Luettelokappale"/>
              <w:numPr>
                <w:ilvl w:val="0"/>
                <w:numId w:val="32"/>
              </w:num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 emissions</w:t>
            </w:r>
          </w:p>
          <w:p w14:paraId="0A1A5E76" w14:textId="77777777" w:rsidR="00C23C7D" w:rsidRPr="007A5926" w:rsidRDefault="00C23C7D" w:rsidP="007A5926">
            <w:pPr>
              <w:pStyle w:val="Luettelokappale"/>
              <w:numPr>
                <w:ilvl w:val="0"/>
                <w:numId w:val="32"/>
              </w:num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w:t>
            </w:r>
          </w:p>
          <w:p w14:paraId="30A69010" w14:textId="77777777" w:rsidR="00C23C7D" w:rsidRPr="007A5926" w:rsidRDefault="00C23C7D" w:rsidP="007A5926">
            <w:pPr>
              <w:pStyle w:val="Luettelokappale"/>
              <w:numPr>
                <w:ilvl w:val="0"/>
                <w:numId w:val="32"/>
              </w:num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Waste</w:t>
            </w:r>
          </w:p>
          <w:p w14:paraId="00F17C5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p w14:paraId="4B3B2CB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OC: EMS costs</w:t>
            </w:r>
          </w:p>
        </w:tc>
        <w:tc>
          <w:tcPr>
            <w:tcW w:w="2311" w:type="dxa"/>
            <w:shd w:val="clear" w:color="auto" w:fill="auto"/>
          </w:tcPr>
          <w:p w14:paraId="382EEA3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Operating costs (OC)</w:t>
            </w:r>
          </w:p>
          <w:p w14:paraId="7ADBB90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p w14:paraId="5A55860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PD: Water</w:t>
            </w:r>
          </w:p>
          <w:p w14:paraId="1E04722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PD: Dangerous substances</w:t>
            </w:r>
          </w:p>
        </w:tc>
        <w:tc>
          <w:tcPr>
            <w:tcW w:w="2311" w:type="dxa"/>
            <w:shd w:val="clear" w:color="auto" w:fill="auto"/>
          </w:tcPr>
          <w:p w14:paraId="2B9CC67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Contingent liabilities</w:t>
            </w:r>
          </w:p>
          <w:p w14:paraId="3876C42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p w14:paraId="3F5109B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OC: Clean-up costs</w:t>
            </w:r>
          </w:p>
          <w:p w14:paraId="22EE14E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OC: Environmental taxes</w:t>
            </w:r>
          </w:p>
          <w:p w14:paraId="22A5E6C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OC: Costs for recycling and waste disposal</w:t>
            </w:r>
          </w:p>
          <w:p w14:paraId="5193EF0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PD: Soil emissions</w:t>
            </w:r>
          </w:p>
          <w:p w14:paraId="334503D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PD: Noise</w:t>
            </w:r>
          </w:p>
        </w:tc>
      </w:tr>
      <w:tr w:rsidR="007A5926" w:rsidRPr="00AA15FE" w14:paraId="6A39D142" w14:textId="77777777" w:rsidTr="007A5926">
        <w:trPr>
          <w:trHeight w:val="992"/>
        </w:trPr>
        <w:tc>
          <w:tcPr>
            <w:tcW w:w="1419" w:type="dxa"/>
            <w:shd w:val="clear" w:color="auto" w:fill="auto"/>
          </w:tcPr>
          <w:p w14:paraId="0F1A37B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Fonseca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RW.CITE{{2960 Fonseca,Alberto 2011 /a}}</w:instrText>
            </w:r>
            <w:r w:rsidRPr="007A5926">
              <w:rPr>
                <w:rFonts w:ascii="Times New Roman" w:hAnsi="Times New Roman"/>
                <w:sz w:val="20"/>
                <w:lang w:val="en-GB"/>
              </w:rPr>
              <w:fldChar w:fldCharType="separate"/>
            </w:r>
            <w:r w:rsidRPr="007A5926">
              <w:rPr>
                <w:rFonts w:ascii="Times New Roman" w:hAnsi="Times New Roman"/>
                <w:sz w:val="20"/>
                <w:lang w:val="en-GB"/>
              </w:rPr>
              <w:t>(2011)</w:t>
            </w:r>
            <w:r w:rsidRPr="007A5926">
              <w:rPr>
                <w:rFonts w:ascii="Times New Roman" w:hAnsi="Times New Roman"/>
                <w:sz w:val="20"/>
                <w:lang w:val="en-GB"/>
              </w:rPr>
              <w:fldChar w:fldCharType="end"/>
            </w:r>
          </w:p>
        </w:tc>
        <w:tc>
          <w:tcPr>
            <w:tcW w:w="1413" w:type="dxa"/>
            <w:shd w:val="clear" w:color="auto" w:fill="auto"/>
          </w:tcPr>
          <w:p w14:paraId="7BD94F5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5AC6665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Universities</w:t>
            </w:r>
          </w:p>
        </w:tc>
        <w:tc>
          <w:tcPr>
            <w:tcW w:w="2684" w:type="dxa"/>
            <w:shd w:val="clear" w:color="auto" w:fill="auto"/>
          </w:tcPr>
          <w:p w14:paraId="08521E5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w:t>
            </w:r>
          </w:p>
          <w:p w14:paraId="51636CB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w:t>
            </w:r>
          </w:p>
          <w:p w14:paraId="6E4E724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Emissions, effluent, and waste</w:t>
            </w:r>
          </w:p>
          <w:p w14:paraId="5283312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w:t>
            </w:r>
          </w:p>
        </w:tc>
        <w:tc>
          <w:tcPr>
            <w:tcW w:w="2311" w:type="dxa"/>
            <w:shd w:val="clear" w:color="auto" w:fill="auto"/>
          </w:tcPr>
          <w:p w14:paraId="0E00E4A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Materials</w:t>
            </w:r>
          </w:p>
          <w:p w14:paraId="5350CBC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Biodiversity</w:t>
            </w:r>
          </w:p>
          <w:p w14:paraId="5DA7A8A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p w14:paraId="03FEE4F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tc>
        <w:tc>
          <w:tcPr>
            <w:tcW w:w="2311" w:type="dxa"/>
            <w:shd w:val="clear" w:color="auto" w:fill="auto"/>
          </w:tcPr>
          <w:p w14:paraId="64A1C13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Compliance</w:t>
            </w:r>
          </w:p>
          <w:p w14:paraId="2C7D9E9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expenditure</w:t>
            </w:r>
          </w:p>
        </w:tc>
      </w:tr>
      <w:tr w:rsidR="007A5926" w:rsidRPr="00AA15FE" w14:paraId="6A99C8BA" w14:textId="77777777" w:rsidTr="007A5926">
        <w:tc>
          <w:tcPr>
            <w:tcW w:w="1419" w:type="dxa"/>
            <w:shd w:val="clear" w:color="auto" w:fill="auto"/>
          </w:tcPr>
          <w:p w14:paraId="471DB8F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Gallego </w:t>
            </w:r>
            <w:r w:rsidRPr="007A5926">
              <w:rPr>
                <w:rFonts w:ascii="Times New Roman" w:hAnsi="Times New Roman"/>
                <w:sz w:val="20"/>
                <w:lang w:val="en-GB"/>
              </w:rPr>
              <w:fldChar w:fldCharType="begin"/>
            </w:r>
            <w:r w:rsidRPr="007A5926">
              <w:rPr>
                <w:rFonts w:ascii="Times New Roman" w:hAnsi="Times New Roman"/>
                <w:sz w:val="20"/>
                <w:lang w:val="en-GB"/>
              </w:rPr>
              <w:instrText>ADDIN RW.CITE{{461 Gallego,Isabel 2006 /a}}</w:instrText>
            </w:r>
            <w:r w:rsidRPr="007A5926">
              <w:rPr>
                <w:rFonts w:ascii="Times New Roman" w:hAnsi="Times New Roman"/>
                <w:sz w:val="20"/>
                <w:lang w:val="en-GB"/>
              </w:rPr>
              <w:fldChar w:fldCharType="separate"/>
            </w:r>
            <w:r w:rsidRPr="007A5926">
              <w:rPr>
                <w:rFonts w:ascii="Times New Roman" w:hAnsi="Times New Roman"/>
                <w:sz w:val="20"/>
                <w:lang w:val="en-GB"/>
              </w:rPr>
              <w:t>(2006)</w:t>
            </w:r>
            <w:r w:rsidRPr="007A5926">
              <w:rPr>
                <w:rFonts w:ascii="Times New Roman" w:hAnsi="Times New Roman"/>
                <w:sz w:val="20"/>
                <w:lang w:val="en-GB"/>
              </w:rPr>
              <w:fldChar w:fldCharType="end"/>
            </w:r>
          </w:p>
        </w:tc>
        <w:tc>
          <w:tcPr>
            <w:tcW w:w="1413" w:type="dxa"/>
            <w:shd w:val="clear" w:color="auto" w:fill="auto"/>
          </w:tcPr>
          <w:p w14:paraId="5A4E2D2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0427255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 and water; financial and insurance; transport and communication; industries of transformation; construction</w:t>
            </w:r>
          </w:p>
        </w:tc>
        <w:tc>
          <w:tcPr>
            <w:tcW w:w="2684" w:type="dxa"/>
            <w:shd w:val="clear" w:color="auto" w:fill="auto"/>
          </w:tcPr>
          <w:p w14:paraId="6CCF1001" w14:textId="77777777" w:rsidR="00C23C7D" w:rsidRPr="007A5926" w:rsidRDefault="00C23C7D" w:rsidP="007A5926">
            <w:pPr>
              <w:autoSpaceDE w:val="0"/>
              <w:autoSpaceDN w:val="0"/>
              <w:adjustRightInd w:val="0"/>
              <w:spacing w:after="0" w:line="240" w:lineRule="auto"/>
              <w:rPr>
                <w:rFonts w:ascii="Times New Roman" w:hAnsi="Times New Roman"/>
                <w:sz w:val="20"/>
                <w:lang w:val="sv-SE"/>
              </w:rPr>
            </w:pPr>
            <w:r w:rsidRPr="007A5926">
              <w:rPr>
                <w:rFonts w:ascii="Times New Roman" w:hAnsi="Times New Roman"/>
                <w:sz w:val="20"/>
                <w:lang w:val="sv-SE"/>
              </w:rPr>
              <w:t>EN3 (energy)</w:t>
            </w:r>
          </w:p>
          <w:p w14:paraId="5EA5DB11" w14:textId="77777777" w:rsidR="00C23C7D" w:rsidRPr="007A5926" w:rsidRDefault="00C23C7D" w:rsidP="007A5926">
            <w:pPr>
              <w:autoSpaceDE w:val="0"/>
              <w:autoSpaceDN w:val="0"/>
              <w:adjustRightInd w:val="0"/>
              <w:spacing w:after="0" w:line="240" w:lineRule="auto"/>
              <w:rPr>
                <w:rFonts w:ascii="Times New Roman" w:hAnsi="Times New Roman"/>
                <w:sz w:val="20"/>
                <w:lang w:val="sv-SE"/>
              </w:rPr>
            </w:pPr>
            <w:r w:rsidRPr="007A5926">
              <w:rPr>
                <w:rFonts w:ascii="Times New Roman" w:hAnsi="Times New Roman"/>
                <w:sz w:val="20"/>
                <w:lang w:val="sv-SE"/>
              </w:rPr>
              <w:t>EN2 (water)</w:t>
            </w:r>
          </w:p>
          <w:p w14:paraId="1BD1F9D0" w14:textId="77777777" w:rsidR="00C23C7D" w:rsidRPr="007A5926" w:rsidRDefault="00C23C7D" w:rsidP="007A5926">
            <w:pPr>
              <w:autoSpaceDE w:val="0"/>
              <w:autoSpaceDN w:val="0"/>
              <w:adjustRightInd w:val="0"/>
              <w:spacing w:after="0" w:line="240" w:lineRule="auto"/>
              <w:rPr>
                <w:rFonts w:ascii="Times New Roman" w:hAnsi="Times New Roman"/>
                <w:sz w:val="20"/>
                <w:lang w:val="sv-SE"/>
              </w:rPr>
            </w:pPr>
            <w:r w:rsidRPr="007A5926">
              <w:rPr>
                <w:rFonts w:ascii="Times New Roman" w:hAnsi="Times New Roman"/>
                <w:sz w:val="20"/>
                <w:lang w:val="sv-SE"/>
              </w:rPr>
              <w:t>EN8, 11 (emissions…)</w:t>
            </w:r>
          </w:p>
          <w:p w14:paraId="616963D9" w14:textId="77777777" w:rsidR="00C23C7D" w:rsidRPr="007A5926" w:rsidRDefault="00C23C7D" w:rsidP="007A5926">
            <w:pPr>
              <w:autoSpaceDE w:val="0"/>
              <w:autoSpaceDN w:val="0"/>
              <w:adjustRightInd w:val="0"/>
              <w:spacing w:after="0" w:line="240" w:lineRule="auto"/>
              <w:rPr>
                <w:rFonts w:ascii="Times New Roman" w:hAnsi="Times New Roman"/>
                <w:sz w:val="20"/>
                <w:lang w:val="sv-SE"/>
              </w:rPr>
            </w:pPr>
          </w:p>
        </w:tc>
        <w:tc>
          <w:tcPr>
            <w:tcW w:w="2311" w:type="dxa"/>
            <w:shd w:val="clear" w:color="auto" w:fill="auto"/>
          </w:tcPr>
          <w:p w14:paraId="23285A0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Materials</w:t>
            </w:r>
          </w:p>
          <w:p w14:paraId="5E1231A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w:t>
            </w:r>
          </w:p>
          <w:p w14:paraId="7B07CA9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w:t>
            </w:r>
          </w:p>
          <w:p w14:paraId="74F373B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Emissions, effluents and waste</w:t>
            </w:r>
          </w:p>
          <w:p w14:paraId="3AAB3FA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Suppliers</w:t>
            </w:r>
          </w:p>
          <w:p w14:paraId="56B67DA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Products and services</w:t>
            </w:r>
          </w:p>
          <w:p w14:paraId="31FE62A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Compliance</w:t>
            </w:r>
          </w:p>
          <w:p w14:paraId="071B805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Overall</w:t>
            </w:r>
          </w:p>
          <w:p w14:paraId="4517D4D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p w14:paraId="3E4BFA6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All other GRI indicators</w:t>
            </w:r>
          </w:p>
        </w:tc>
        <w:tc>
          <w:tcPr>
            <w:tcW w:w="2311" w:type="dxa"/>
            <w:shd w:val="clear" w:color="auto" w:fill="auto"/>
          </w:tcPr>
          <w:p w14:paraId="03D29FF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Biodiversity</w:t>
            </w:r>
          </w:p>
          <w:p w14:paraId="424F3F9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w:t>
            </w:r>
          </w:p>
          <w:p w14:paraId="75483A0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p w14:paraId="6EE82AF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EN18 (energy)</w:t>
            </w:r>
          </w:p>
          <w:p w14:paraId="5BC6082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EN20-21 (water)</w:t>
            </w:r>
          </w:p>
          <w:p w14:paraId="5733645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 23, 29 (biodiversity)</w:t>
            </w:r>
          </w:p>
          <w:p w14:paraId="699DECF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tc>
      </w:tr>
      <w:tr w:rsidR="007A5926" w:rsidRPr="00AA15FE" w14:paraId="01944CDC" w14:textId="77777777" w:rsidTr="007A5926">
        <w:tc>
          <w:tcPr>
            <w:tcW w:w="1419" w:type="dxa"/>
            <w:shd w:val="clear" w:color="auto" w:fill="auto"/>
          </w:tcPr>
          <w:p w14:paraId="28B67C7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Hooper and Greenall </w:t>
            </w:r>
            <w:r w:rsidRPr="007A5926">
              <w:rPr>
                <w:rFonts w:ascii="Times New Roman" w:hAnsi="Times New Roman"/>
                <w:sz w:val="20"/>
                <w:lang w:val="en-GB"/>
              </w:rPr>
              <w:fldChar w:fldCharType="begin"/>
            </w:r>
            <w:r w:rsidRPr="007A5926">
              <w:rPr>
                <w:rFonts w:ascii="Times New Roman" w:hAnsi="Times New Roman"/>
                <w:sz w:val="20"/>
                <w:lang w:val="en-GB"/>
              </w:rPr>
              <w:instrText>ADDIN RW.CITE{{2842 Hooper,PaulD. 2005 /a}}</w:instrText>
            </w:r>
            <w:r w:rsidRPr="007A5926">
              <w:rPr>
                <w:rFonts w:ascii="Times New Roman" w:hAnsi="Times New Roman"/>
                <w:sz w:val="20"/>
                <w:lang w:val="en-GB"/>
              </w:rPr>
              <w:fldChar w:fldCharType="separate"/>
            </w:r>
            <w:r w:rsidRPr="007A5926">
              <w:rPr>
                <w:rFonts w:ascii="Times New Roman" w:hAnsi="Times New Roman"/>
                <w:sz w:val="20"/>
                <w:lang w:val="en-GB"/>
              </w:rPr>
              <w:t>(2005)</w:t>
            </w:r>
            <w:r w:rsidRPr="007A5926">
              <w:rPr>
                <w:rFonts w:ascii="Times New Roman" w:hAnsi="Times New Roman"/>
                <w:sz w:val="20"/>
                <w:lang w:val="en-GB"/>
              </w:rPr>
              <w:fldChar w:fldCharType="end"/>
            </w:r>
            <w:r w:rsidRPr="007A5926">
              <w:rPr>
                <w:rFonts w:ascii="Times New Roman" w:hAnsi="Times New Roman"/>
                <w:sz w:val="20"/>
                <w:lang w:val="en-GB"/>
              </w:rPr>
              <w:t xml:space="preserve"> </w:t>
            </w:r>
          </w:p>
        </w:tc>
        <w:tc>
          <w:tcPr>
            <w:tcW w:w="1413" w:type="dxa"/>
            <w:shd w:val="clear" w:color="auto" w:fill="auto"/>
          </w:tcPr>
          <w:p w14:paraId="7BD17C2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reporting</w:t>
            </w:r>
          </w:p>
        </w:tc>
        <w:tc>
          <w:tcPr>
            <w:tcW w:w="1954" w:type="dxa"/>
            <w:shd w:val="clear" w:color="auto" w:fill="auto"/>
          </w:tcPr>
          <w:p w14:paraId="2E93DFD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Aviation</w:t>
            </w:r>
          </w:p>
        </w:tc>
        <w:tc>
          <w:tcPr>
            <w:tcW w:w="2684" w:type="dxa"/>
            <w:shd w:val="clear" w:color="auto" w:fill="auto"/>
          </w:tcPr>
          <w:p w14:paraId="79FF43F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t>
            </w:r>
          </w:p>
        </w:tc>
        <w:tc>
          <w:tcPr>
            <w:tcW w:w="2311" w:type="dxa"/>
            <w:shd w:val="clear" w:color="auto" w:fill="auto"/>
          </w:tcPr>
          <w:p w14:paraId="50E0885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Air emissions</w:t>
            </w:r>
          </w:p>
          <w:p w14:paraId="50DC6C5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Energy </w:t>
            </w:r>
          </w:p>
          <w:p w14:paraId="3336336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Waste </w:t>
            </w:r>
          </w:p>
          <w:p w14:paraId="415EEDC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Waste water</w:t>
            </w:r>
          </w:p>
          <w:p w14:paraId="71D4D2B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w:t>
            </w:r>
          </w:p>
        </w:tc>
        <w:tc>
          <w:tcPr>
            <w:tcW w:w="2311" w:type="dxa"/>
            <w:shd w:val="clear" w:color="auto" w:fill="auto"/>
          </w:tcPr>
          <w:p w14:paraId="0CA3C39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t>
            </w:r>
          </w:p>
        </w:tc>
      </w:tr>
      <w:tr w:rsidR="007A5926" w:rsidRPr="00AA15FE" w14:paraId="3D7110E8" w14:textId="77777777" w:rsidTr="007A5926">
        <w:tc>
          <w:tcPr>
            <w:tcW w:w="1419" w:type="dxa"/>
            <w:shd w:val="clear" w:color="auto" w:fill="auto"/>
          </w:tcPr>
          <w:p w14:paraId="315539D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Jones </w:t>
            </w:r>
            <w:r w:rsidRPr="007A5926">
              <w:rPr>
                <w:rFonts w:ascii="Times New Roman" w:hAnsi="Times New Roman"/>
                <w:sz w:val="20"/>
                <w:lang w:val="en-GB"/>
              </w:rPr>
              <w:fldChar w:fldCharType="begin"/>
            </w:r>
            <w:r w:rsidRPr="007A5926">
              <w:rPr>
                <w:rFonts w:ascii="Times New Roman" w:hAnsi="Times New Roman"/>
                <w:sz w:val="20"/>
                <w:lang w:val="en-GB"/>
              </w:rPr>
              <w:instrText>ADDIN RW.CITE{{2886 Jones,MichaelJohn 2011 /a}}</w:instrText>
            </w:r>
            <w:r w:rsidRPr="007A5926">
              <w:rPr>
                <w:rFonts w:ascii="Times New Roman" w:hAnsi="Times New Roman"/>
                <w:sz w:val="20"/>
                <w:lang w:val="en-GB"/>
              </w:rPr>
              <w:fldChar w:fldCharType="separate"/>
            </w:r>
            <w:r w:rsidRPr="007A5926">
              <w:rPr>
                <w:rFonts w:ascii="Times New Roman" w:hAnsi="Times New Roman"/>
                <w:sz w:val="20"/>
                <w:lang w:val="en-GB"/>
              </w:rPr>
              <w:t>(2011)</w:t>
            </w:r>
            <w:r w:rsidRPr="007A5926">
              <w:rPr>
                <w:rFonts w:ascii="Times New Roman" w:hAnsi="Times New Roman"/>
                <w:sz w:val="20"/>
                <w:lang w:val="en-GB"/>
              </w:rPr>
              <w:fldChar w:fldCharType="end"/>
            </w:r>
            <w:r w:rsidRPr="007A5926">
              <w:rPr>
                <w:rFonts w:ascii="Times New Roman" w:hAnsi="Times New Roman"/>
                <w:sz w:val="20"/>
                <w:lang w:val="en-GB"/>
              </w:rPr>
              <w:t xml:space="preserve"> </w:t>
            </w:r>
          </w:p>
        </w:tc>
        <w:tc>
          <w:tcPr>
            <w:tcW w:w="1413" w:type="dxa"/>
            <w:shd w:val="clear" w:color="auto" w:fill="auto"/>
          </w:tcPr>
          <w:p w14:paraId="2D989D2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52D1174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Beverages, tobacco, food produce; extractive; industrial; financial; retail; construction and real estate; telecom and media; utilities; other</w:t>
            </w:r>
          </w:p>
        </w:tc>
        <w:tc>
          <w:tcPr>
            <w:tcW w:w="2684" w:type="dxa"/>
            <w:shd w:val="clear" w:color="auto" w:fill="auto"/>
          </w:tcPr>
          <w:p w14:paraId="3A75D80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Air emissions</w:t>
            </w:r>
          </w:p>
          <w:p w14:paraId="55EDDB7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 consumption</w:t>
            </w:r>
          </w:p>
          <w:p w14:paraId="21082F6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Waste</w:t>
            </w:r>
          </w:p>
          <w:p w14:paraId="52105D5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Waste recycling</w:t>
            </w:r>
          </w:p>
        </w:tc>
        <w:tc>
          <w:tcPr>
            <w:tcW w:w="2311" w:type="dxa"/>
            <w:shd w:val="clear" w:color="auto" w:fill="auto"/>
          </w:tcPr>
          <w:p w14:paraId="58D985E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Material usage</w:t>
            </w:r>
          </w:p>
          <w:p w14:paraId="2BF3E59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Waste water</w:t>
            </w:r>
          </w:p>
          <w:p w14:paraId="46BA809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Industry specific data</w:t>
            </w:r>
          </w:p>
          <w:p w14:paraId="7BE3A19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Travel data</w:t>
            </w:r>
          </w:p>
        </w:tc>
        <w:tc>
          <w:tcPr>
            <w:tcW w:w="2311" w:type="dxa"/>
            <w:shd w:val="clear" w:color="auto" w:fill="auto"/>
          </w:tcPr>
          <w:p w14:paraId="66BB8A1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 data</w:t>
            </w:r>
          </w:p>
          <w:p w14:paraId="43ADFCB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Fuel efficiency</w:t>
            </w:r>
          </w:p>
          <w:p w14:paraId="04C48FD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expenditure</w:t>
            </w:r>
          </w:p>
          <w:p w14:paraId="03CFB82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Noise pollution</w:t>
            </w:r>
          </w:p>
          <w:p w14:paraId="52D9543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scoping</w:t>
            </w:r>
          </w:p>
          <w:p w14:paraId="7681835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incidents</w:t>
            </w:r>
          </w:p>
          <w:p w14:paraId="6198C95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Contaminated land</w:t>
            </w:r>
          </w:p>
        </w:tc>
      </w:tr>
      <w:tr w:rsidR="007A5926" w:rsidRPr="00FA54A3" w14:paraId="0BA99E3B" w14:textId="77777777" w:rsidTr="007A5926">
        <w:trPr>
          <w:trHeight w:val="1260"/>
        </w:trPr>
        <w:tc>
          <w:tcPr>
            <w:tcW w:w="1419" w:type="dxa"/>
            <w:shd w:val="clear" w:color="auto" w:fill="auto"/>
          </w:tcPr>
          <w:p w14:paraId="35A2694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Kaenzig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RW.CITE{{1065 Kaenzig,Josef 2011 /a}}</w:instrText>
            </w:r>
            <w:r w:rsidRPr="007A5926">
              <w:rPr>
                <w:rFonts w:ascii="Times New Roman" w:hAnsi="Times New Roman"/>
                <w:sz w:val="20"/>
                <w:lang w:val="en-GB"/>
              </w:rPr>
              <w:fldChar w:fldCharType="separate"/>
            </w:r>
            <w:r w:rsidRPr="007A5926">
              <w:rPr>
                <w:rFonts w:ascii="Times New Roman" w:hAnsi="Times New Roman"/>
                <w:sz w:val="20"/>
                <w:lang w:val="en-GB"/>
              </w:rPr>
              <w:t>(2011)</w:t>
            </w:r>
            <w:r w:rsidRPr="007A5926">
              <w:rPr>
                <w:rFonts w:ascii="Times New Roman" w:hAnsi="Times New Roman"/>
                <w:sz w:val="20"/>
                <w:lang w:val="en-GB"/>
              </w:rPr>
              <w:fldChar w:fldCharType="end"/>
            </w:r>
          </w:p>
        </w:tc>
        <w:tc>
          <w:tcPr>
            <w:tcW w:w="1413" w:type="dxa"/>
            <w:shd w:val="clear" w:color="auto" w:fill="auto"/>
          </w:tcPr>
          <w:p w14:paraId="32AC955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reporting</w:t>
            </w:r>
          </w:p>
        </w:tc>
        <w:tc>
          <w:tcPr>
            <w:tcW w:w="1954" w:type="dxa"/>
            <w:shd w:val="clear" w:color="auto" w:fill="auto"/>
          </w:tcPr>
          <w:p w14:paraId="21EA035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Automotive, banking, pharmaceutical, electronic hardware</w:t>
            </w:r>
          </w:p>
        </w:tc>
        <w:tc>
          <w:tcPr>
            <w:tcW w:w="2684" w:type="dxa"/>
            <w:shd w:val="clear" w:color="auto" w:fill="auto"/>
          </w:tcPr>
          <w:p w14:paraId="298E3D0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 consumption</w:t>
            </w:r>
          </w:p>
          <w:p w14:paraId="50C8000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 consumption</w:t>
            </w:r>
          </w:p>
          <w:p w14:paraId="23B5AEC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Industrial waste</w:t>
            </w:r>
          </w:p>
          <w:p w14:paraId="0BFF2F3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GHG emissions</w:t>
            </w:r>
          </w:p>
          <w:p w14:paraId="57C3DEF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Common waste</w:t>
            </w:r>
          </w:p>
          <w:p w14:paraId="104CD51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tc>
        <w:tc>
          <w:tcPr>
            <w:tcW w:w="2311" w:type="dxa"/>
            <w:shd w:val="clear" w:color="auto" w:fill="auto"/>
          </w:tcPr>
          <w:p w14:paraId="6E9696E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VOC emissions</w:t>
            </w:r>
          </w:p>
          <w:p w14:paraId="2228492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Discharge to water</w:t>
            </w:r>
          </w:p>
          <w:p w14:paraId="7E8B353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tc>
        <w:tc>
          <w:tcPr>
            <w:tcW w:w="2311" w:type="dxa"/>
            <w:shd w:val="clear" w:color="auto" w:fill="auto"/>
          </w:tcPr>
          <w:p w14:paraId="3D851C8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costs</w:t>
            </w:r>
          </w:p>
          <w:p w14:paraId="36A34A3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NO</w:t>
            </w:r>
            <w:r w:rsidRPr="007A5926">
              <w:rPr>
                <w:rFonts w:ascii="Times New Roman" w:hAnsi="Times New Roman"/>
                <w:sz w:val="20"/>
                <w:vertAlign w:val="subscript"/>
                <w:lang w:val="en-GB"/>
              </w:rPr>
              <w:t xml:space="preserve">X </w:t>
            </w:r>
            <w:r w:rsidRPr="007A5926">
              <w:rPr>
                <w:rFonts w:ascii="Times New Roman" w:hAnsi="Times New Roman"/>
                <w:sz w:val="20"/>
                <w:lang w:val="en-GB"/>
              </w:rPr>
              <w:t>emissions</w:t>
            </w:r>
          </w:p>
          <w:p w14:paraId="3163198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 emissions</w:t>
            </w:r>
          </w:p>
          <w:p w14:paraId="41D6A84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Particles</w:t>
            </w:r>
          </w:p>
          <w:p w14:paraId="6301B48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Ozone depletion chemical use</w:t>
            </w:r>
          </w:p>
          <w:p w14:paraId="5376B27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Business travel</w:t>
            </w:r>
          </w:p>
        </w:tc>
      </w:tr>
      <w:tr w:rsidR="007A5926" w:rsidRPr="00AA15FE" w14:paraId="1039AB1E" w14:textId="77777777" w:rsidTr="007A5926">
        <w:tc>
          <w:tcPr>
            <w:tcW w:w="1419" w:type="dxa"/>
            <w:shd w:val="clear" w:color="auto" w:fill="auto"/>
          </w:tcPr>
          <w:p w14:paraId="052801D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Lober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RW.CITE{{478 Lober,DouglasJ. 1997 /a}}</w:instrText>
            </w:r>
            <w:r w:rsidRPr="007A5926">
              <w:rPr>
                <w:rFonts w:ascii="Times New Roman" w:hAnsi="Times New Roman"/>
                <w:sz w:val="20"/>
                <w:lang w:val="en-GB"/>
              </w:rPr>
              <w:fldChar w:fldCharType="separate"/>
            </w:r>
            <w:r w:rsidRPr="007A5926">
              <w:rPr>
                <w:rFonts w:ascii="Times New Roman" w:hAnsi="Times New Roman"/>
                <w:sz w:val="20"/>
                <w:lang w:val="en-GB"/>
              </w:rPr>
              <w:t>(1997)</w:t>
            </w:r>
            <w:r w:rsidRPr="007A5926">
              <w:rPr>
                <w:rFonts w:ascii="Times New Roman" w:hAnsi="Times New Roman"/>
                <w:sz w:val="20"/>
                <w:lang w:val="en-GB"/>
              </w:rPr>
              <w:fldChar w:fldCharType="end"/>
            </w:r>
          </w:p>
        </w:tc>
        <w:tc>
          <w:tcPr>
            <w:tcW w:w="1413" w:type="dxa"/>
            <w:shd w:val="clear" w:color="auto" w:fill="auto"/>
          </w:tcPr>
          <w:p w14:paraId="6ADB8F1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reporting</w:t>
            </w:r>
          </w:p>
        </w:tc>
        <w:tc>
          <w:tcPr>
            <w:tcW w:w="1954" w:type="dxa"/>
            <w:shd w:val="clear" w:color="auto" w:fill="auto"/>
          </w:tcPr>
          <w:p w14:paraId="040D341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Pollution control; utilies; forest and paper; pharmaceuticals; telephone; petroleum / refining; aerospace; scientific equipment;  chemicals; beverages; airlines; soap and cosmetics; electronics; mining / crude oil; computers; metal products; metals; industrial and farm equipment; motor vehicle and parts; food; others</w:t>
            </w:r>
          </w:p>
        </w:tc>
        <w:tc>
          <w:tcPr>
            <w:tcW w:w="2684" w:type="dxa"/>
            <w:shd w:val="clear" w:color="auto" w:fill="auto"/>
          </w:tcPr>
          <w:p w14:paraId="0994C60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Total TRI releases</w:t>
            </w:r>
          </w:p>
        </w:tc>
        <w:tc>
          <w:tcPr>
            <w:tcW w:w="2311" w:type="dxa"/>
            <w:shd w:val="clear" w:color="auto" w:fill="auto"/>
          </w:tcPr>
          <w:p w14:paraId="2B7EBD3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Individual chemicals listed </w:t>
            </w:r>
          </w:p>
          <w:p w14:paraId="382C937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33/50 releases</w:t>
            </w:r>
          </w:p>
          <w:p w14:paraId="2121D21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Energy use </w:t>
            </w:r>
          </w:p>
          <w:p w14:paraId="2986578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Ozone-depleting chemicals</w:t>
            </w:r>
          </w:p>
          <w:p w14:paraId="21D8002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Data adjusted for production </w:t>
            </w:r>
          </w:p>
          <w:p w14:paraId="768B920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Reporting by plant or site </w:t>
            </w:r>
          </w:p>
          <w:p w14:paraId="636E85B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International releases </w:t>
            </w:r>
          </w:p>
          <w:p w14:paraId="220C8F8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Global warming/CO</w:t>
            </w:r>
            <w:r w:rsidRPr="007A5926">
              <w:rPr>
                <w:rFonts w:ascii="Times New Roman" w:hAnsi="Times New Roman"/>
                <w:sz w:val="20"/>
                <w:vertAlign w:val="subscript"/>
                <w:lang w:val="en-GB"/>
              </w:rPr>
              <w:t>2</w:t>
            </w:r>
            <w:r w:rsidRPr="007A5926">
              <w:rPr>
                <w:rFonts w:ascii="Times New Roman" w:hAnsi="Times New Roman"/>
                <w:sz w:val="20"/>
                <w:lang w:val="en-GB"/>
              </w:rPr>
              <w:t xml:space="preserve"> </w:t>
            </w:r>
          </w:p>
          <w:p w14:paraId="56EB03E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Performance compared to competitors</w:t>
            </w:r>
          </w:p>
        </w:tc>
        <w:tc>
          <w:tcPr>
            <w:tcW w:w="2311" w:type="dxa"/>
            <w:shd w:val="clear" w:color="auto" w:fill="auto"/>
          </w:tcPr>
          <w:p w14:paraId="1101E1A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 use</w:t>
            </w:r>
          </w:p>
        </w:tc>
      </w:tr>
      <w:tr w:rsidR="007A5926" w:rsidRPr="00AA15FE" w14:paraId="0580D5FD" w14:textId="77777777" w:rsidTr="007A5926">
        <w:tc>
          <w:tcPr>
            <w:tcW w:w="1419" w:type="dxa"/>
            <w:shd w:val="clear" w:color="auto" w:fill="auto"/>
          </w:tcPr>
          <w:p w14:paraId="0F66584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Lozano </w:t>
            </w:r>
            <w:r w:rsidRPr="007A5926">
              <w:rPr>
                <w:rFonts w:ascii="Times New Roman" w:hAnsi="Times New Roman"/>
                <w:sz w:val="20"/>
                <w:lang w:val="en-GB"/>
              </w:rPr>
              <w:fldChar w:fldCharType="begin"/>
            </w:r>
            <w:r w:rsidRPr="007A5926">
              <w:rPr>
                <w:rFonts w:ascii="Times New Roman" w:hAnsi="Times New Roman"/>
                <w:sz w:val="20"/>
                <w:lang w:val="en-GB"/>
              </w:rPr>
              <w:instrText>ADDIN RW.CITE{{2957 Lozano,Rodrigo 2011 /a}}</w:instrText>
            </w:r>
            <w:r w:rsidRPr="007A5926">
              <w:rPr>
                <w:rFonts w:ascii="Times New Roman" w:hAnsi="Times New Roman"/>
                <w:sz w:val="20"/>
                <w:lang w:val="en-GB"/>
              </w:rPr>
              <w:fldChar w:fldCharType="separate"/>
            </w:r>
            <w:r w:rsidRPr="007A5926">
              <w:rPr>
                <w:rFonts w:ascii="Times New Roman" w:hAnsi="Times New Roman"/>
                <w:sz w:val="20"/>
                <w:lang w:val="en-GB"/>
              </w:rPr>
              <w:t>(2011)</w:t>
            </w:r>
            <w:r w:rsidRPr="007A5926">
              <w:rPr>
                <w:rFonts w:ascii="Times New Roman" w:hAnsi="Times New Roman"/>
                <w:sz w:val="20"/>
                <w:lang w:val="en-GB"/>
              </w:rPr>
              <w:fldChar w:fldCharType="end"/>
            </w:r>
          </w:p>
        </w:tc>
        <w:tc>
          <w:tcPr>
            <w:tcW w:w="1413" w:type="dxa"/>
            <w:shd w:val="clear" w:color="auto" w:fill="auto"/>
          </w:tcPr>
          <w:p w14:paraId="645515A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2F2C5F3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Universities</w:t>
            </w:r>
          </w:p>
        </w:tc>
        <w:tc>
          <w:tcPr>
            <w:tcW w:w="2684" w:type="dxa"/>
            <w:shd w:val="clear" w:color="auto" w:fill="auto"/>
          </w:tcPr>
          <w:p w14:paraId="544CA52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w:t>
            </w:r>
          </w:p>
          <w:p w14:paraId="1B67C40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w:t>
            </w:r>
          </w:p>
        </w:tc>
        <w:tc>
          <w:tcPr>
            <w:tcW w:w="2311" w:type="dxa"/>
            <w:shd w:val="clear" w:color="auto" w:fill="auto"/>
          </w:tcPr>
          <w:p w14:paraId="76D7D64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Materials</w:t>
            </w:r>
          </w:p>
          <w:p w14:paraId="514408D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w:t>
            </w:r>
          </w:p>
          <w:p w14:paraId="3A139F4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Emissions, effluents, and waste</w:t>
            </w:r>
          </w:p>
        </w:tc>
        <w:tc>
          <w:tcPr>
            <w:tcW w:w="2311" w:type="dxa"/>
            <w:shd w:val="clear" w:color="auto" w:fill="auto"/>
          </w:tcPr>
          <w:p w14:paraId="1DD2671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Biodiversity</w:t>
            </w:r>
          </w:p>
          <w:p w14:paraId="2BC8F62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Suppliers</w:t>
            </w:r>
          </w:p>
          <w:p w14:paraId="579917F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Products and services</w:t>
            </w:r>
          </w:p>
          <w:p w14:paraId="2739C6C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Compliance</w:t>
            </w:r>
          </w:p>
          <w:p w14:paraId="6E8BD53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Overall</w:t>
            </w:r>
          </w:p>
        </w:tc>
      </w:tr>
      <w:tr w:rsidR="007A5926" w:rsidRPr="00AA15FE" w14:paraId="356FE379" w14:textId="77777777" w:rsidTr="007A5926">
        <w:tc>
          <w:tcPr>
            <w:tcW w:w="1419" w:type="dxa"/>
            <w:shd w:val="clear" w:color="auto" w:fill="auto"/>
          </w:tcPr>
          <w:p w14:paraId="3A9E076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Mazzi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RW.CITE{{2958 Mazzi,Anna 2012 /a}}</w:instrText>
            </w:r>
            <w:r w:rsidRPr="007A5926">
              <w:rPr>
                <w:rFonts w:ascii="Times New Roman" w:hAnsi="Times New Roman"/>
                <w:sz w:val="20"/>
                <w:lang w:val="en-GB"/>
              </w:rPr>
              <w:fldChar w:fldCharType="separate"/>
            </w:r>
            <w:r w:rsidRPr="007A5926">
              <w:rPr>
                <w:rFonts w:ascii="Times New Roman" w:hAnsi="Times New Roman"/>
                <w:sz w:val="20"/>
                <w:lang w:val="en-GB"/>
              </w:rPr>
              <w:t>(2012)</w:t>
            </w:r>
            <w:r w:rsidRPr="007A5926">
              <w:rPr>
                <w:rFonts w:ascii="Times New Roman" w:hAnsi="Times New Roman"/>
                <w:sz w:val="20"/>
                <w:lang w:val="en-GB"/>
              </w:rPr>
              <w:fldChar w:fldCharType="end"/>
            </w:r>
          </w:p>
        </w:tc>
        <w:tc>
          <w:tcPr>
            <w:tcW w:w="1413" w:type="dxa"/>
            <w:shd w:val="clear" w:color="auto" w:fill="auto"/>
          </w:tcPr>
          <w:p w14:paraId="5B8DDE1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reporting</w:t>
            </w:r>
          </w:p>
        </w:tc>
        <w:tc>
          <w:tcPr>
            <w:tcW w:w="1954" w:type="dxa"/>
            <w:shd w:val="clear" w:color="auto" w:fill="auto"/>
          </w:tcPr>
          <w:p w14:paraId="6C8F027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Municipalities</w:t>
            </w:r>
          </w:p>
        </w:tc>
        <w:tc>
          <w:tcPr>
            <w:tcW w:w="2684" w:type="dxa"/>
            <w:shd w:val="clear" w:color="auto" w:fill="auto"/>
          </w:tcPr>
          <w:p w14:paraId="455F23D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w:t>
            </w:r>
          </w:p>
        </w:tc>
        <w:tc>
          <w:tcPr>
            <w:tcW w:w="2311" w:type="dxa"/>
            <w:shd w:val="clear" w:color="auto" w:fill="auto"/>
          </w:tcPr>
          <w:p w14:paraId="6DEFC6C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 efficiency</w:t>
            </w:r>
          </w:p>
          <w:p w14:paraId="22AA876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Emissions</w:t>
            </w:r>
          </w:p>
          <w:p w14:paraId="031A629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Biodiversity</w:t>
            </w:r>
          </w:p>
        </w:tc>
        <w:tc>
          <w:tcPr>
            <w:tcW w:w="2311" w:type="dxa"/>
            <w:shd w:val="clear" w:color="auto" w:fill="auto"/>
          </w:tcPr>
          <w:p w14:paraId="2645670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Material efficiency</w:t>
            </w:r>
          </w:p>
          <w:p w14:paraId="4F8ED43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Waste</w:t>
            </w:r>
          </w:p>
        </w:tc>
      </w:tr>
      <w:tr w:rsidR="007A5926" w:rsidRPr="00FA54A3" w14:paraId="674A44FE" w14:textId="77777777" w:rsidTr="007A5926">
        <w:tc>
          <w:tcPr>
            <w:tcW w:w="1419" w:type="dxa"/>
            <w:shd w:val="clear" w:color="auto" w:fill="auto"/>
          </w:tcPr>
          <w:p w14:paraId="20767A3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Mikkilä and Toppinen </w:t>
            </w:r>
            <w:r w:rsidRPr="007A5926">
              <w:rPr>
                <w:rFonts w:ascii="Times New Roman" w:hAnsi="Times New Roman"/>
                <w:sz w:val="20"/>
                <w:lang w:val="en-GB"/>
              </w:rPr>
              <w:fldChar w:fldCharType="begin"/>
            </w:r>
            <w:r w:rsidRPr="007A5926">
              <w:rPr>
                <w:rFonts w:ascii="Times New Roman" w:hAnsi="Times New Roman"/>
                <w:sz w:val="20"/>
                <w:lang w:val="en-GB"/>
              </w:rPr>
              <w:instrText>ADDIN RW.CITE{{308 Mikkilä,Mirja 2008 /a}}</w:instrText>
            </w:r>
            <w:r w:rsidRPr="007A5926">
              <w:rPr>
                <w:rFonts w:ascii="Times New Roman" w:hAnsi="Times New Roman"/>
                <w:sz w:val="20"/>
                <w:lang w:val="en-GB"/>
              </w:rPr>
              <w:fldChar w:fldCharType="separate"/>
            </w:r>
            <w:r w:rsidRPr="007A5926">
              <w:rPr>
                <w:rFonts w:ascii="Times New Roman" w:hAnsi="Times New Roman"/>
                <w:sz w:val="20"/>
                <w:lang w:val="en-GB"/>
              </w:rPr>
              <w:t>(2008)</w:t>
            </w:r>
            <w:r w:rsidRPr="007A5926">
              <w:rPr>
                <w:rFonts w:ascii="Times New Roman" w:hAnsi="Times New Roman"/>
                <w:sz w:val="20"/>
                <w:lang w:val="en-GB"/>
              </w:rPr>
              <w:fldChar w:fldCharType="end"/>
            </w:r>
          </w:p>
        </w:tc>
        <w:tc>
          <w:tcPr>
            <w:tcW w:w="1413" w:type="dxa"/>
            <w:shd w:val="clear" w:color="auto" w:fill="auto"/>
          </w:tcPr>
          <w:p w14:paraId="7C3B60F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0D043E3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Forest industry</w:t>
            </w:r>
          </w:p>
        </w:tc>
        <w:tc>
          <w:tcPr>
            <w:tcW w:w="2684" w:type="dxa"/>
            <w:shd w:val="clear" w:color="auto" w:fill="auto"/>
          </w:tcPr>
          <w:p w14:paraId="76D3DDA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Origin of wood</w:t>
            </w:r>
          </w:p>
          <w:p w14:paraId="38EB64C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Forest certification</w:t>
            </w:r>
          </w:p>
          <w:p w14:paraId="3985EBC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Use of recovered fibre</w:t>
            </w:r>
          </w:p>
          <w:p w14:paraId="61B20D3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Air emissions</w:t>
            </w:r>
          </w:p>
          <w:p w14:paraId="06B13F5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Climate change</w:t>
            </w:r>
          </w:p>
          <w:p w14:paraId="58D6951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 emissions</w:t>
            </w:r>
          </w:p>
          <w:p w14:paraId="3B23441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Solid waste</w:t>
            </w:r>
          </w:p>
          <w:p w14:paraId="52F7F5E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Hazardous waste</w:t>
            </w:r>
          </w:p>
          <w:p w14:paraId="0DA2818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 consumption</w:t>
            </w:r>
          </w:p>
          <w:p w14:paraId="2E50F31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 efficiency</w:t>
            </w:r>
          </w:p>
        </w:tc>
        <w:tc>
          <w:tcPr>
            <w:tcW w:w="2311" w:type="dxa"/>
            <w:shd w:val="clear" w:color="auto" w:fill="auto"/>
          </w:tcPr>
          <w:p w14:paraId="728B60C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costs</w:t>
            </w:r>
          </w:p>
          <w:p w14:paraId="680D53F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Sustainable forest management</w:t>
            </w:r>
          </w:p>
        </w:tc>
        <w:tc>
          <w:tcPr>
            <w:tcW w:w="2311" w:type="dxa"/>
            <w:shd w:val="clear" w:color="auto" w:fill="auto"/>
          </w:tcPr>
          <w:p w14:paraId="625B0D4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Chemical treatment</w:t>
            </w:r>
          </w:p>
          <w:p w14:paraId="5A1897B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Transportation</w:t>
            </w:r>
          </w:p>
          <w:p w14:paraId="7C80E8D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Raw materials </w:t>
            </w:r>
          </w:p>
          <w:p w14:paraId="7870B9F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Green energy</w:t>
            </w:r>
          </w:p>
          <w:p w14:paraId="179B5EB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Carbon sequestration</w:t>
            </w:r>
          </w:p>
          <w:p w14:paraId="3E8CB96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Noise</w:t>
            </w:r>
          </w:p>
          <w:p w14:paraId="37B10C4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Suppliers</w:t>
            </w:r>
          </w:p>
          <w:p w14:paraId="1E31605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Awards</w:t>
            </w:r>
          </w:p>
        </w:tc>
      </w:tr>
      <w:tr w:rsidR="007A5926" w:rsidRPr="007A5926" w14:paraId="2E28B0A4" w14:textId="77777777" w:rsidTr="007A5926">
        <w:tc>
          <w:tcPr>
            <w:tcW w:w="1419" w:type="dxa"/>
            <w:shd w:val="clear" w:color="auto" w:fill="auto"/>
          </w:tcPr>
          <w:p w14:paraId="2745BE7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Roca and Searcy </w:t>
            </w:r>
            <w:r w:rsidRPr="007A5926">
              <w:rPr>
                <w:rFonts w:ascii="Times New Roman" w:hAnsi="Times New Roman"/>
                <w:sz w:val="20"/>
                <w:lang w:val="en-GB"/>
              </w:rPr>
              <w:fldChar w:fldCharType="begin"/>
            </w:r>
            <w:r w:rsidRPr="007A5926">
              <w:rPr>
                <w:rFonts w:ascii="Times New Roman" w:hAnsi="Times New Roman"/>
                <w:sz w:val="20"/>
                <w:lang w:val="en-GB"/>
              </w:rPr>
              <w:instrText>ADDIN RW.CITE{{2892 Roca,LaurenceClément 2012 /a}}</w:instrText>
            </w:r>
            <w:r w:rsidRPr="007A5926">
              <w:rPr>
                <w:rFonts w:ascii="Times New Roman" w:hAnsi="Times New Roman"/>
                <w:sz w:val="20"/>
                <w:lang w:val="en-GB"/>
              </w:rPr>
              <w:fldChar w:fldCharType="separate"/>
            </w:r>
            <w:r w:rsidRPr="007A5926">
              <w:rPr>
                <w:rFonts w:ascii="Times New Roman" w:hAnsi="Times New Roman"/>
                <w:sz w:val="20"/>
                <w:lang w:val="en-GB"/>
              </w:rPr>
              <w:t>(2012)</w:t>
            </w:r>
            <w:r w:rsidRPr="007A5926">
              <w:rPr>
                <w:rFonts w:ascii="Times New Roman" w:hAnsi="Times New Roman"/>
                <w:sz w:val="20"/>
                <w:lang w:val="en-GB"/>
              </w:rPr>
              <w:fldChar w:fldCharType="end"/>
            </w:r>
          </w:p>
        </w:tc>
        <w:tc>
          <w:tcPr>
            <w:tcW w:w="1413" w:type="dxa"/>
            <w:shd w:val="clear" w:color="auto" w:fill="auto"/>
          </w:tcPr>
          <w:p w14:paraId="39A9585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30AECB6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Mining; oil and gas; electricity; banks; insurance, investments and other finance; forestry and paper; engineering, construction and chemical; steel; transport, communication and services; retail and food</w:t>
            </w:r>
          </w:p>
        </w:tc>
        <w:tc>
          <w:tcPr>
            <w:tcW w:w="2684" w:type="dxa"/>
            <w:shd w:val="clear" w:color="auto" w:fill="auto"/>
          </w:tcPr>
          <w:p w14:paraId="3CBE51C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GHG emissions</w:t>
            </w:r>
          </w:p>
          <w:p w14:paraId="6C537EC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spills and releases</w:t>
            </w:r>
          </w:p>
          <w:p w14:paraId="5A33896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p w14:paraId="062C4BF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EN3-4 (Energy)</w:t>
            </w:r>
          </w:p>
          <w:p w14:paraId="6C6AA74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EN8 (Water)</w:t>
            </w:r>
          </w:p>
          <w:p w14:paraId="52A1491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EN16, 22, 23 (Emissions…)</w:t>
            </w:r>
          </w:p>
          <w:p w14:paraId="107E6EB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EN26 (Products…)</w:t>
            </w:r>
          </w:p>
          <w:p w14:paraId="5D696CF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EN28 (Compliance)</w:t>
            </w:r>
          </w:p>
          <w:p w14:paraId="30872D4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tc>
        <w:tc>
          <w:tcPr>
            <w:tcW w:w="2311" w:type="dxa"/>
            <w:shd w:val="clear" w:color="auto" w:fill="auto"/>
          </w:tcPr>
          <w:p w14:paraId="4CE1EBC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 use intensity</w:t>
            </w:r>
          </w:p>
          <w:p w14:paraId="121F982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GHG emission intensity</w:t>
            </w:r>
          </w:p>
          <w:p w14:paraId="611CB5A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 consumption</w:t>
            </w:r>
          </w:p>
          <w:p w14:paraId="2570DAC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p w14:paraId="7586A0D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EN1-2 (Materials)</w:t>
            </w:r>
          </w:p>
          <w:p w14:paraId="48D65FE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EN5-7 (Energy)</w:t>
            </w:r>
          </w:p>
          <w:p w14:paraId="632A197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EM9-10 (Water)</w:t>
            </w:r>
          </w:p>
          <w:p w14:paraId="6120412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EN11-14 (Biodiversity)</w:t>
            </w:r>
          </w:p>
          <w:p w14:paraId="2D6F405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EN17,19-21, 24 (Emissions…)</w:t>
            </w:r>
          </w:p>
          <w:p w14:paraId="2005248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EN29 (Transport)</w:t>
            </w:r>
          </w:p>
        </w:tc>
        <w:tc>
          <w:tcPr>
            <w:tcW w:w="2311" w:type="dxa"/>
            <w:shd w:val="clear" w:color="auto" w:fill="auto"/>
          </w:tcPr>
          <w:p w14:paraId="0057026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 consumption</w:t>
            </w:r>
          </w:p>
          <w:p w14:paraId="2502BA4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 consumption intensity</w:t>
            </w:r>
          </w:p>
          <w:p w14:paraId="74AFE48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Electricity use</w:t>
            </w:r>
          </w:p>
          <w:p w14:paraId="1ADE9E2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Emissions of SO</w:t>
            </w:r>
            <w:r w:rsidRPr="007A5926">
              <w:rPr>
                <w:rFonts w:ascii="Times New Roman" w:hAnsi="Times New Roman"/>
                <w:sz w:val="20"/>
                <w:vertAlign w:val="subscript"/>
                <w:lang w:val="en-GB"/>
              </w:rPr>
              <w:t>2</w:t>
            </w:r>
          </w:p>
          <w:p w14:paraId="696718D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Solid waste recycled</w:t>
            </w:r>
          </w:p>
          <w:p w14:paraId="33319B1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w:t>
            </w:r>
            <w:r w:rsidRPr="007A5926">
              <w:rPr>
                <w:rFonts w:ascii="Times New Roman" w:hAnsi="Times New Roman"/>
                <w:sz w:val="20"/>
                <w:vertAlign w:val="subscript"/>
                <w:lang w:val="en-GB"/>
              </w:rPr>
              <w:t>2</w:t>
            </w:r>
            <w:r w:rsidRPr="007A5926">
              <w:rPr>
                <w:rFonts w:ascii="Times New Roman" w:hAnsi="Times New Roman"/>
                <w:sz w:val="20"/>
                <w:lang w:val="en-GB"/>
              </w:rPr>
              <w:t xml:space="preserve"> emissions</w:t>
            </w:r>
          </w:p>
          <w:p w14:paraId="1116D1A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incidents</w:t>
            </w:r>
          </w:p>
          <w:p w14:paraId="33753AB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p w14:paraId="335AA34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EN15 (Biodiversity)</w:t>
            </w:r>
          </w:p>
          <w:p w14:paraId="3735922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EN25 (Emissions…)</w:t>
            </w:r>
          </w:p>
          <w:p w14:paraId="1D3411E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EN27 (Products…)</w:t>
            </w:r>
          </w:p>
          <w:p w14:paraId="71A04FF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EN30 (Overall)</w:t>
            </w:r>
          </w:p>
        </w:tc>
      </w:tr>
      <w:tr w:rsidR="007A5926" w:rsidRPr="00AA15FE" w14:paraId="71DFD5B7" w14:textId="77777777" w:rsidTr="007A5926">
        <w:tc>
          <w:tcPr>
            <w:tcW w:w="1419" w:type="dxa"/>
            <w:shd w:val="clear" w:color="auto" w:fill="auto"/>
          </w:tcPr>
          <w:p w14:paraId="6A0D4B6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Romolini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RW.CITE{{2959 Romolini,Alberto 2014 /a}}</w:instrText>
            </w:r>
            <w:r w:rsidRPr="007A5926">
              <w:rPr>
                <w:rFonts w:ascii="Times New Roman" w:hAnsi="Times New Roman"/>
                <w:sz w:val="20"/>
                <w:lang w:val="en-GB"/>
              </w:rPr>
              <w:fldChar w:fldCharType="separate"/>
            </w:r>
            <w:r w:rsidRPr="007A5926">
              <w:rPr>
                <w:rFonts w:ascii="Times New Roman" w:hAnsi="Times New Roman"/>
                <w:sz w:val="20"/>
                <w:lang w:val="en-GB"/>
              </w:rPr>
              <w:t>(2014)</w:t>
            </w:r>
            <w:r w:rsidRPr="007A5926">
              <w:rPr>
                <w:rFonts w:ascii="Times New Roman" w:hAnsi="Times New Roman"/>
                <w:sz w:val="20"/>
                <w:lang w:val="en-GB"/>
              </w:rPr>
              <w:fldChar w:fldCharType="end"/>
            </w:r>
          </w:p>
        </w:tc>
        <w:tc>
          <w:tcPr>
            <w:tcW w:w="1413" w:type="dxa"/>
            <w:shd w:val="clear" w:color="auto" w:fill="auto"/>
          </w:tcPr>
          <w:p w14:paraId="1B13C29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601C9F2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Utilities; industrial goods and services; travel and leisure; banks; automobile and parts, oil and gas; insurance; personal and household goods; construction and materials, technologies</w:t>
            </w:r>
          </w:p>
        </w:tc>
        <w:tc>
          <w:tcPr>
            <w:tcW w:w="2684" w:type="dxa"/>
            <w:shd w:val="clear" w:color="auto" w:fill="auto"/>
          </w:tcPr>
          <w:p w14:paraId="4511760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Raw materials</w:t>
            </w:r>
          </w:p>
          <w:p w14:paraId="49E9B77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w:t>
            </w:r>
          </w:p>
          <w:p w14:paraId="26314B8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Direct and indirect emissions</w:t>
            </w:r>
          </w:p>
          <w:p w14:paraId="4C2AF2A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Conformity</w:t>
            </w:r>
          </w:p>
          <w:p w14:paraId="26AABEA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General</w:t>
            </w:r>
          </w:p>
        </w:tc>
        <w:tc>
          <w:tcPr>
            <w:tcW w:w="2311" w:type="dxa"/>
            <w:shd w:val="clear" w:color="auto" w:fill="auto"/>
          </w:tcPr>
          <w:p w14:paraId="7F605D3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w:t>
            </w:r>
          </w:p>
          <w:p w14:paraId="2EE5C7D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Products and services</w:t>
            </w:r>
          </w:p>
          <w:p w14:paraId="402FBB6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w:t>
            </w:r>
          </w:p>
          <w:p w14:paraId="0235186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tc>
        <w:tc>
          <w:tcPr>
            <w:tcW w:w="2311" w:type="dxa"/>
            <w:shd w:val="clear" w:color="auto" w:fill="auto"/>
          </w:tcPr>
          <w:p w14:paraId="49F6649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Biodiversity</w:t>
            </w:r>
          </w:p>
          <w:p w14:paraId="0C7EA72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tc>
      </w:tr>
      <w:tr w:rsidR="007A5926" w:rsidRPr="00AA15FE" w14:paraId="73D90624" w14:textId="77777777" w:rsidTr="007A5926">
        <w:tc>
          <w:tcPr>
            <w:tcW w:w="1419" w:type="dxa"/>
            <w:shd w:val="clear" w:color="auto" w:fill="auto"/>
          </w:tcPr>
          <w:p w14:paraId="3316B70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Sawani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RW.CITE{{2900 Sawani,Yussri 2010 /a}}</w:instrText>
            </w:r>
            <w:r w:rsidRPr="007A5926">
              <w:rPr>
                <w:rFonts w:ascii="Times New Roman" w:hAnsi="Times New Roman"/>
                <w:sz w:val="20"/>
                <w:lang w:val="en-GB"/>
              </w:rPr>
              <w:fldChar w:fldCharType="separate"/>
            </w:r>
            <w:r w:rsidRPr="007A5926">
              <w:rPr>
                <w:rFonts w:ascii="Times New Roman" w:hAnsi="Times New Roman"/>
                <w:sz w:val="20"/>
                <w:lang w:val="en-GB"/>
              </w:rPr>
              <w:t>(2010)</w:t>
            </w:r>
            <w:r w:rsidRPr="007A5926">
              <w:rPr>
                <w:rFonts w:ascii="Times New Roman" w:hAnsi="Times New Roman"/>
                <w:sz w:val="20"/>
                <w:lang w:val="en-GB"/>
              </w:rPr>
              <w:fldChar w:fldCharType="end"/>
            </w:r>
            <w:r w:rsidRPr="007A5926">
              <w:rPr>
                <w:rFonts w:ascii="Times New Roman" w:hAnsi="Times New Roman"/>
                <w:sz w:val="20"/>
                <w:lang w:val="en-GB"/>
              </w:rPr>
              <w:t xml:space="preserve"> </w:t>
            </w:r>
          </w:p>
        </w:tc>
        <w:tc>
          <w:tcPr>
            <w:tcW w:w="1413" w:type="dxa"/>
            <w:shd w:val="clear" w:color="auto" w:fill="auto"/>
          </w:tcPr>
          <w:p w14:paraId="09796B6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1219332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Consumer product manufacturing; properties; technology; industrial product manufacturing; construction; trading and services; plantation</w:t>
            </w:r>
          </w:p>
        </w:tc>
        <w:tc>
          <w:tcPr>
            <w:tcW w:w="2684" w:type="dxa"/>
            <w:shd w:val="clear" w:color="auto" w:fill="auto"/>
          </w:tcPr>
          <w:p w14:paraId="6BCCC4A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Materials</w:t>
            </w:r>
          </w:p>
          <w:p w14:paraId="29A1E25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w:t>
            </w:r>
          </w:p>
          <w:p w14:paraId="4274CDC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w:t>
            </w:r>
          </w:p>
          <w:p w14:paraId="1607A25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Products and services</w:t>
            </w:r>
          </w:p>
          <w:p w14:paraId="3DEBA2E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Compliance</w:t>
            </w:r>
          </w:p>
        </w:tc>
        <w:tc>
          <w:tcPr>
            <w:tcW w:w="2311" w:type="dxa"/>
            <w:shd w:val="clear" w:color="auto" w:fill="auto"/>
          </w:tcPr>
          <w:p w14:paraId="13D5FDD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Emissions, effluent, and waste</w:t>
            </w:r>
          </w:p>
          <w:p w14:paraId="1379081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w:t>
            </w:r>
          </w:p>
        </w:tc>
        <w:tc>
          <w:tcPr>
            <w:tcW w:w="2311" w:type="dxa"/>
            <w:shd w:val="clear" w:color="auto" w:fill="auto"/>
          </w:tcPr>
          <w:p w14:paraId="2538170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Biodiversity</w:t>
            </w:r>
          </w:p>
        </w:tc>
      </w:tr>
      <w:tr w:rsidR="007A5926" w:rsidRPr="00FA54A3" w14:paraId="4CBEFD79" w14:textId="77777777" w:rsidTr="007A5926">
        <w:tc>
          <w:tcPr>
            <w:tcW w:w="1419" w:type="dxa"/>
            <w:shd w:val="clear" w:color="auto" w:fill="auto"/>
          </w:tcPr>
          <w:p w14:paraId="67CD8AA9" w14:textId="77777777" w:rsidR="00C23C7D" w:rsidRPr="007A5926" w:rsidRDefault="00C23C7D" w:rsidP="007A5926">
            <w:pPr>
              <w:autoSpaceDE w:val="0"/>
              <w:autoSpaceDN w:val="0"/>
              <w:adjustRightInd w:val="0"/>
              <w:spacing w:after="0" w:line="240" w:lineRule="auto"/>
              <w:rPr>
                <w:rFonts w:ascii="Times New Roman" w:hAnsi="Times New Roman"/>
                <w:sz w:val="20"/>
              </w:rPr>
            </w:pPr>
            <w:r w:rsidRPr="007A5926">
              <w:rPr>
                <w:rFonts w:ascii="Times New Roman" w:hAnsi="Times New Roman"/>
                <w:sz w:val="20"/>
              </w:rPr>
              <w:t xml:space="preserve">Skouloudis and Evangelinos </w:t>
            </w:r>
            <w:r w:rsidRPr="007A5926">
              <w:rPr>
                <w:rFonts w:ascii="Times New Roman" w:hAnsi="Times New Roman"/>
                <w:sz w:val="20"/>
              </w:rPr>
              <w:fldChar w:fldCharType="begin"/>
            </w:r>
            <w:r w:rsidRPr="007A5926">
              <w:rPr>
                <w:rFonts w:ascii="Times New Roman" w:hAnsi="Times New Roman"/>
                <w:sz w:val="20"/>
              </w:rPr>
              <w:instrText>ADDIN RW.CITE{{2902 Skouloudis,Antonis 2009 /a; 2901 Skouloudis,Antonis 2010 /h}}</w:instrText>
            </w:r>
            <w:r w:rsidRPr="007A5926">
              <w:rPr>
                <w:rFonts w:ascii="Times New Roman" w:hAnsi="Times New Roman"/>
                <w:sz w:val="20"/>
              </w:rPr>
              <w:fldChar w:fldCharType="separate"/>
            </w:r>
            <w:r w:rsidRPr="007A5926">
              <w:rPr>
                <w:rFonts w:ascii="Times New Roman" w:hAnsi="Times New Roman"/>
                <w:sz w:val="20"/>
              </w:rPr>
              <w:t>(2009)</w:t>
            </w:r>
            <w:r w:rsidRPr="007A5926">
              <w:rPr>
                <w:rFonts w:ascii="Times New Roman" w:hAnsi="Times New Roman"/>
                <w:sz w:val="20"/>
              </w:rPr>
              <w:fldChar w:fldCharType="end"/>
            </w:r>
            <w:r w:rsidRPr="007A5926">
              <w:rPr>
                <w:rFonts w:ascii="Times New Roman" w:hAnsi="Times New Roman"/>
                <w:sz w:val="20"/>
              </w:rPr>
              <w:t xml:space="preserve">, also </w:t>
            </w:r>
          </w:p>
          <w:p w14:paraId="534D71B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rPr>
              <w:t xml:space="preserve">Skouloudis et al. </w:t>
            </w:r>
            <w:r w:rsidRPr="007A5926">
              <w:rPr>
                <w:rFonts w:ascii="Times New Roman" w:hAnsi="Times New Roman"/>
                <w:sz w:val="20"/>
                <w:lang w:val="en-GB"/>
              </w:rPr>
              <w:t>(2010)</w:t>
            </w:r>
          </w:p>
        </w:tc>
        <w:tc>
          <w:tcPr>
            <w:tcW w:w="1413" w:type="dxa"/>
            <w:shd w:val="clear" w:color="auto" w:fill="auto"/>
          </w:tcPr>
          <w:p w14:paraId="5D0FC6F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415154B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Transportation; food and beverage; telecommunication; financial services; retail; oil and gas; construction and materials; basic resources</w:t>
            </w:r>
          </w:p>
        </w:tc>
        <w:tc>
          <w:tcPr>
            <w:tcW w:w="2684" w:type="dxa"/>
            <w:shd w:val="clear" w:color="auto" w:fill="auto"/>
          </w:tcPr>
          <w:p w14:paraId="682AC50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Direct energy consumption</w:t>
            </w:r>
          </w:p>
          <w:p w14:paraId="4BD6206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 consumption</w:t>
            </w:r>
          </w:p>
          <w:p w14:paraId="70A6988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w:t>
            </w:r>
            <w:r w:rsidRPr="007A5926">
              <w:rPr>
                <w:rFonts w:ascii="Times New Roman" w:hAnsi="Times New Roman"/>
                <w:sz w:val="20"/>
                <w:vertAlign w:val="subscript"/>
                <w:lang w:val="en-GB"/>
              </w:rPr>
              <w:t>2</w:t>
            </w:r>
            <w:r w:rsidRPr="007A5926">
              <w:rPr>
                <w:rFonts w:ascii="Times New Roman" w:hAnsi="Times New Roman"/>
                <w:sz w:val="20"/>
                <w:lang w:val="en-GB"/>
              </w:rPr>
              <w:t xml:space="preserve"> emissions</w:t>
            </w:r>
          </w:p>
        </w:tc>
        <w:tc>
          <w:tcPr>
            <w:tcW w:w="2311" w:type="dxa"/>
            <w:shd w:val="clear" w:color="auto" w:fill="auto"/>
          </w:tcPr>
          <w:p w14:paraId="4235CC2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t>
            </w:r>
          </w:p>
        </w:tc>
        <w:tc>
          <w:tcPr>
            <w:tcW w:w="2311" w:type="dxa"/>
            <w:shd w:val="clear" w:color="auto" w:fill="auto"/>
          </w:tcPr>
          <w:p w14:paraId="24E5EA0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Total material consumption</w:t>
            </w:r>
          </w:p>
          <w:p w14:paraId="2350040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Total energy consumption</w:t>
            </w:r>
          </w:p>
          <w:p w14:paraId="4FB7798D"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The total amount of waste produced</w:t>
            </w:r>
          </w:p>
        </w:tc>
      </w:tr>
      <w:tr w:rsidR="007A5926" w:rsidRPr="00AA15FE" w14:paraId="62257CDB" w14:textId="77777777" w:rsidTr="007A5926">
        <w:tc>
          <w:tcPr>
            <w:tcW w:w="1419" w:type="dxa"/>
            <w:shd w:val="clear" w:color="auto" w:fill="auto"/>
          </w:tcPr>
          <w:p w14:paraId="560EF056"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Székely and Knirsch </w:t>
            </w:r>
            <w:r w:rsidRPr="007A5926">
              <w:rPr>
                <w:rFonts w:ascii="Times New Roman" w:hAnsi="Times New Roman"/>
                <w:sz w:val="20"/>
                <w:lang w:val="en-GB"/>
              </w:rPr>
              <w:fldChar w:fldCharType="begin"/>
            </w:r>
            <w:r w:rsidRPr="007A5926">
              <w:rPr>
                <w:rFonts w:ascii="Times New Roman" w:hAnsi="Times New Roman"/>
                <w:sz w:val="20"/>
                <w:lang w:val="en-GB"/>
              </w:rPr>
              <w:instrText>ADDIN RW.CITE{{1698 Székely,Francisco 2005 /a}}</w:instrText>
            </w:r>
            <w:r w:rsidRPr="007A5926">
              <w:rPr>
                <w:rFonts w:ascii="Times New Roman" w:hAnsi="Times New Roman"/>
                <w:sz w:val="20"/>
                <w:lang w:val="en-GB"/>
              </w:rPr>
              <w:fldChar w:fldCharType="separate"/>
            </w:r>
            <w:r w:rsidRPr="007A5926">
              <w:rPr>
                <w:rFonts w:ascii="Times New Roman" w:hAnsi="Times New Roman"/>
                <w:sz w:val="20"/>
                <w:lang w:val="en-GB"/>
              </w:rPr>
              <w:t>(2005)</w:t>
            </w:r>
            <w:r w:rsidRPr="007A5926">
              <w:rPr>
                <w:rFonts w:ascii="Times New Roman" w:hAnsi="Times New Roman"/>
                <w:sz w:val="20"/>
                <w:lang w:val="en-GB"/>
              </w:rPr>
              <w:fldChar w:fldCharType="end"/>
            </w:r>
            <w:r w:rsidRPr="007A5926">
              <w:rPr>
                <w:rFonts w:ascii="Times New Roman" w:hAnsi="Times New Roman"/>
                <w:sz w:val="20"/>
                <w:lang w:val="en-GB"/>
              </w:rPr>
              <w:t xml:space="preserve"> </w:t>
            </w:r>
          </w:p>
        </w:tc>
        <w:tc>
          <w:tcPr>
            <w:tcW w:w="1413" w:type="dxa"/>
            <w:shd w:val="clear" w:color="auto" w:fill="auto"/>
          </w:tcPr>
          <w:p w14:paraId="1626E3D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6D00803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Financial; information and communication; energy; automobile and transportation; manufacturing; pharmaceutical</w:t>
            </w:r>
          </w:p>
        </w:tc>
        <w:tc>
          <w:tcPr>
            <w:tcW w:w="2684" w:type="dxa"/>
            <w:shd w:val="clear" w:color="auto" w:fill="auto"/>
          </w:tcPr>
          <w:p w14:paraId="474352C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w:t>
            </w:r>
          </w:p>
          <w:p w14:paraId="7CCCBC3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Climate change</w:t>
            </w:r>
          </w:p>
          <w:p w14:paraId="555D953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Waste</w:t>
            </w:r>
          </w:p>
          <w:p w14:paraId="02318BE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w:t>
            </w:r>
          </w:p>
        </w:tc>
        <w:tc>
          <w:tcPr>
            <w:tcW w:w="2311" w:type="dxa"/>
            <w:shd w:val="clear" w:color="auto" w:fill="auto"/>
          </w:tcPr>
          <w:p w14:paraId="41D04C7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Emissions</w:t>
            </w:r>
          </w:p>
          <w:p w14:paraId="6F11881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Costs</w:t>
            </w:r>
          </w:p>
          <w:p w14:paraId="0E9F6AB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Business travel</w:t>
            </w:r>
          </w:p>
          <w:p w14:paraId="14CDF8E0"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Employees</w:t>
            </w:r>
          </w:p>
          <w:p w14:paraId="3CD16FA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Material flows</w:t>
            </w:r>
          </w:p>
          <w:p w14:paraId="49B5686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Raw materials</w:t>
            </w:r>
          </w:p>
          <w:p w14:paraId="4F73389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Non-compliance</w:t>
            </w:r>
          </w:p>
        </w:tc>
        <w:tc>
          <w:tcPr>
            <w:tcW w:w="2311" w:type="dxa"/>
            <w:shd w:val="clear" w:color="auto" w:fill="auto"/>
          </w:tcPr>
          <w:p w14:paraId="124EFEC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Products</w:t>
            </w:r>
          </w:p>
          <w:p w14:paraId="7B8FFC4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Management</w:t>
            </w:r>
          </w:p>
          <w:p w14:paraId="5DCE9C5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Noise </w:t>
            </w:r>
          </w:p>
          <w:p w14:paraId="5A50A06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Transportation</w:t>
            </w:r>
          </w:p>
        </w:tc>
      </w:tr>
      <w:tr w:rsidR="007A5926" w:rsidRPr="00AA15FE" w14:paraId="6831D0DE" w14:textId="77777777" w:rsidTr="007A5926">
        <w:tc>
          <w:tcPr>
            <w:tcW w:w="1419" w:type="dxa"/>
            <w:shd w:val="clear" w:color="auto" w:fill="auto"/>
          </w:tcPr>
          <w:p w14:paraId="5333D2AC"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Veleva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RW.CITE{{2888 Veleva,Vesela 2003 /a}}</w:instrText>
            </w:r>
            <w:r w:rsidRPr="007A5926">
              <w:rPr>
                <w:rFonts w:ascii="Times New Roman" w:hAnsi="Times New Roman"/>
                <w:sz w:val="20"/>
                <w:lang w:val="en-GB"/>
              </w:rPr>
              <w:fldChar w:fldCharType="separate"/>
            </w:r>
            <w:r w:rsidRPr="007A5926">
              <w:rPr>
                <w:rFonts w:ascii="Times New Roman" w:hAnsi="Times New Roman"/>
                <w:sz w:val="20"/>
                <w:lang w:val="en-GB"/>
              </w:rPr>
              <w:t>(2003)</w:t>
            </w:r>
            <w:r w:rsidRPr="007A5926">
              <w:rPr>
                <w:rFonts w:ascii="Times New Roman" w:hAnsi="Times New Roman"/>
                <w:sz w:val="20"/>
                <w:lang w:val="en-GB"/>
              </w:rPr>
              <w:fldChar w:fldCharType="end"/>
            </w:r>
          </w:p>
        </w:tc>
        <w:tc>
          <w:tcPr>
            <w:tcW w:w="1413" w:type="dxa"/>
            <w:shd w:val="clear" w:color="auto" w:fill="auto"/>
          </w:tcPr>
          <w:p w14:paraId="0625E6A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Environmental reporting</w:t>
            </w:r>
          </w:p>
        </w:tc>
        <w:tc>
          <w:tcPr>
            <w:tcW w:w="1954" w:type="dxa"/>
            <w:shd w:val="clear" w:color="auto" w:fill="auto"/>
          </w:tcPr>
          <w:p w14:paraId="770E6A2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Pharmaceutical</w:t>
            </w:r>
          </w:p>
        </w:tc>
        <w:tc>
          <w:tcPr>
            <w:tcW w:w="2684" w:type="dxa"/>
            <w:shd w:val="clear" w:color="auto" w:fill="auto"/>
          </w:tcPr>
          <w:p w14:paraId="7F0B8A6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Material use and eco-efficiency</w:t>
            </w:r>
          </w:p>
          <w:p w14:paraId="78C94D4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Emissions (to air, water, land, noise and odour)</w:t>
            </w:r>
          </w:p>
          <w:p w14:paraId="5DA6C87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Global warming and other environmental effects</w:t>
            </w:r>
          </w:p>
          <w:p w14:paraId="6264E95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tc>
        <w:tc>
          <w:tcPr>
            <w:tcW w:w="2311" w:type="dxa"/>
            <w:shd w:val="clear" w:color="auto" w:fill="auto"/>
          </w:tcPr>
          <w:p w14:paraId="5459DC8B"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Compliance</w:t>
            </w:r>
          </w:p>
          <w:p w14:paraId="166EA41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Remediation</w:t>
            </w:r>
          </w:p>
          <w:p w14:paraId="2D99561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EHS expenditures and benchmarking</w:t>
            </w:r>
          </w:p>
          <w:p w14:paraId="6E88FE2E"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External recognition</w:t>
            </w:r>
          </w:p>
          <w:p w14:paraId="188C29A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Land use and biodiversity</w:t>
            </w:r>
          </w:p>
          <w:p w14:paraId="5426470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Products and services</w:t>
            </w:r>
          </w:p>
        </w:tc>
        <w:tc>
          <w:tcPr>
            <w:tcW w:w="2311" w:type="dxa"/>
            <w:shd w:val="clear" w:color="auto" w:fill="auto"/>
          </w:tcPr>
          <w:p w14:paraId="5B7FB83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Transport </w:t>
            </w:r>
          </w:p>
          <w:p w14:paraId="4DCA6281"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Supplier performance</w:t>
            </w:r>
          </w:p>
        </w:tc>
      </w:tr>
      <w:tr w:rsidR="007A5926" w:rsidRPr="00AA15FE" w14:paraId="70176E7D" w14:textId="77777777" w:rsidTr="007A5926">
        <w:tc>
          <w:tcPr>
            <w:tcW w:w="1419" w:type="dxa"/>
            <w:shd w:val="clear" w:color="auto" w:fill="auto"/>
          </w:tcPr>
          <w:p w14:paraId="5A26C4F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 xml:space="preserve">Yongvanich and Guthrie </w:t>
            </w:r>
            <w:r w:rsidRPr="007A5926">
              <w:rPr>
                <w:rFonts w:ascii="Times New Roman" w:hAnsi="Times New Roman"/>
                <w:sz w:val="20"/>
                <w:lang w:val="en-GB"/>
              </w:rPr>
              <w:fldChar w:fldCharType="begin"/>
            </w:r>
            <w:r w:rsidRPr="007A5926">
              <w:rPr>
                <w:rFonts w:ascii="Times New Roman" w:hAnsi="Times New Roman"/>
                <w:sz w:val="20"/>
                <w:lang w:val="en-GB"/>
              </w:rPr>
              <w:instrText>ADDIN RW.CITE{{2903 Yongvanich,Kittiya 2005 /a; 2904 Yongvanich,Kittiya 2007 /h}}</w:instrText>
            </w:r>
            <w:r w:rsidRPr="007A5926">
              <w:rPr>
                <w:rFonts w:ascii="Times New Roman" w:hAnsi="Times New Roman"/>
                <w:sz w:val="20"/>
                <w:lang w:val="en-GB"/>
              </w:rPr>
              <w:fldChar w:fldCharType="separate"/>
            </w:r>
            <w:r w:rsidRPr="007A5926">
              <w:rPr>
                <w:rFonts w:ascii="Times New Roman" w:hAnsi="Times New Roman"/>
                <w:sz w:val="20"/>
                <w:lang w:val="en-GB"/>
              </w:rPr>
              <w:t>(2005)</w:t>
            </w:r>
            <w:r w:rsidRPr="007A5926">
              <w:rPr>
                <w:rFonts w:ascii="Times New Roman" w:hAnsi="Times New Roman"/>
                <w:sz w:val="20"/>
                <w:lang w:val="en-GB"/>
              </w:rPr>
              <w:fldChar w:fldCharType="end"/>
            </w:r>
            <w:r w:rsidRPr="007A5926">
              <w:rPr>
                <w:rFonts w:ascii="Times New Roman" w:hAnsi="Times New Roman"/>
                <w:sz w:val="20"/>
                <w:lang w:val="en-GB"/>
              </w:rPr>
              <w:t>, also Yongvanich and Guthrie (2007)</w:t>
            </w:r>
          </w:p>
        </w:tc>
        <w:tc>
          <w:tcPr>
            <w:tcW w:w="1413" w:type="dxa"/>
            <w:shd w:val="clear" w:color="auto" w:fill="auto"/>
          </w:tcPr>
          <w:p w14:paraId="1C5F1C4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Sustainability reporting</w:t>
            </w:r>
          </w:p>
        </w:tc>
        <w:tc>
          <w:tcPr>
            <w:tcW w:w="1954" w:type="dxa"/>
            <w:shd w:val="clear" w:color="auto" w:fill="auto"/>
          </w:tcPr>
          <w:p w14:paraId="07CCED39"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Mining</w:t>
            </w:r>
          </w:p>
        </w:tc>
        <w:tc>
          <w:tcPr>
            <w:tcW w:w="2684" w:type="dxa"/>
            <w:shd w:val="clear" w:color="auto" w:fill="auto"/>
          </w:tcPr>
          <w:p w14:paraId="5BB548DF"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Emissions, effluent and waste</w:t>
            </w:r>
          </w:p>
          <w:p w14:paraId="54B9707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Compliance</w:t>
            </w:r>
          </w:p>
          <w:p w14:paraId="691BB2A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p>
        </w:tc>
        <w:tc>
          <w:tcPr>
            <w:tcW w:w="2311" w:type="dxa"/>
            <w:shd w:val="clear" w:color="auto" w:fill="auto"/>
          </w:tcPr>
          <w:p w14:paraId="66A1D0CA"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Materials</w:t>
            </w:r>
          </w:p>
          <w:p w14:paraId="68D3B597"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Energy</w:t>
            </w:r>
          </w:p>
          <w:p w14:paraId="1CEA4463"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Water</w:t>
            </w:r>
          </w:p>
          <w:p w14:paraId="624E5E55"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Biodiversity</w:t>
            </w:r>
          </w:p>
          <w:p w14:paraId="7385D0F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Products and services</w:t>
            </w:r>
          </w:p>
        </w:tc>
        <w:tc>
          <w:tcPr>
            <w:tcW w:w="2311" w:type="dxa"/>
            <w:shd w:val="clear" w:color="auto" w:fill="auto"/>
          </w:tcPr>
          <w:p w14:paraId="6FADCD98"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Suppliers</w:t>
            </w:r>
          </w:p>
          <w:p w14:paraId="79B53FD2"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Transport</w:t>
            </w:r>
          </w:p>
          <w:p w14:paraId="395E4204" w14:textId="77777777" w:rsidR="00C23C7D" w:rsidRPr="007A5926" w:rsidRDefault="00C23C7D" w:rsidP="007A5926">
            <w:pPr>
              <w:autoSpaceDE w:val="0"/>
              <w:autoSpaceDN w:val="0"/>
              <w:adjustRightInd w:val="0"/>
              <w:spacing w:after="0" w:line="240" w:lineRule="auto"/>
              <w:rPr>
                <w:rFonts w:ascii="Times New Roman" w:hAnsi="Times New Roman"/>
                <w:sz w:val="20"/>
                <w:lang w:val="en-GB"/>
              </w:rPr>
            </w:pPr>
            <w:r w:rsidRPr="007A5926">
              <w:rPr>
                <w:rFonts w:ascii="Times New Roman" w:hAnsi="Times New Roman"/>
                <w:sz w:val="20"/>
                <w:lang w:val="en-GB"/>
              </w:rPr>
              <w:t>Overall</w:t>
            </w:r>
          </w:p>
        </w:tc>
      </w:tr>
    </w:tbl>
    <w:p w14:paraId="4DF6A5D9" w14:textId="77777777" w:rsidR="00C23C7D" w:rsidRDefault="00C23C7D" w:rsidP="007F358D">
      <w:pPr>
        <w:autoSpaceDE w:val="0"/>
        <w:autoSpaceDN w:val="0"/>
        <w:adjustRightInd w:val="0"/>
        <w:rPr>
          <w:rFonts w:ascii="Times New Roman" w:hAnsi="Times New Roman"/>
          <w:sz w:val="24"/>
          <w:lang w:val="en-GB"/>
        </w:rPr>
      </w:pPr>
    </w:p>
    <w:p w14:paraId="0A455A2A" w14:textId="77777777" w:rsidR="00C23C7D" w:rsidRDefault="00C23C7D" w:rsidP="007F358D">
      <w:pPr>
        <w:autoSpaceDE w:val="0"/>
        <w:autoSpaceDN w:val="0"/>
        <w:adjustRightInd w:val="0"/>
        <w:rPr>
          <w:rFonts w:ascii="Times New Roman" w:hAnsi="Times New Roman"/>
          <w:sz w:val="24"/>
          <w:lang w:val="en-GB"/>
        </w:rPr>
      </w:pPr>
      <w:r>
        <w:rPr>
          <w:rFonts w:ascii="Times New Roman" w:hAnsi="Times New Roman"/>
          <w:sz w:val="24"/>
          <w:lang w:val="en-GB"/>
        </w:rPr>
        <w:t>Note to Table</w:t>
      </w:r>
    </w:p>
    <w:p w14:paraId="21A0B90E" w14:textId="77777777" w:rsidR="00C23C7D" w:rsidRPr="00C73DC3" w:rsidRDefault="00C23C7D" w:rsidP="007F358D">
      <w:pPr>
        <w:autoSpaceDE w:val="0"/>
        <w:autoSpaceDN w:val="0"/>
        <w:adjustRightInd w:val="0"/>
        <w:rPr>
          <w:rFonts w:ascii="Times New Roman" w:hAnsi="Times New Roman"/>
          <w:sz w:val="24"/>
          <w:lang w:val="en-GB"/>
        </w:rPr>
        <w:sectPr w:rsidR="00C23C7D" w:rsidRPr="00C73DC3">
          <w:pgSz w:w="16838" w:h="11906" w:orient="landscape"/>
          <w:pgMar w:top="1418" w:right="1418" w:bottom="1418" w:left="1418" w:header="709" w:footer="709" w:gutter="0"/>
          <w:cols w:space="708"/>
          <w:docGrid w:linePitch="360"/>
        </w:sectPr>
      </w:pPr>
      <w:r>
        <w:rPr>
          <w:rFonts w:ascii="Times New Roman" w:hAnsi="Times New Roman"/>
          <w:sz w:val="24"/>
          <w:lang w:val="en-GB"/>
        </w:rPr>
        <w:t>(1) Sectors are written as the authors have named them.</w:t>
      </w:r>
    </w:p>
    <w:p w14:paraId="2DE7FF9D" w14:textId="77777777" w:rsidR="00C23C7D" w:rsidRDefault="00C23C7D" w:rsidP="00311613">
      <w:pPr>
        <w:pStyle w:val="Kuvanotsikko"/>
        <w:keepNext/>
        <w:spacing w:line="276" w:lineRule="auto"/>
        <w:rPr>
          <w:lang w:val="en-GB"/>
        </w:rPr>
      </w:pPr>
      <w:r w:rsidRPr="00C73DC3">
        <w:rPr>
          <w:lang w:val="en-GB"/>
        </w:rPr>
        <w:t xml:space="preserve">Table </w:t>
      </w:r>
      <w:r>
        <w:rPr>
          <w:lang w:val="en-GB"/>
        </w:rPr>
        <w:t>3</w:t>
      </w:r>
      <w:r w:rsidRPr="00C73DC3">
        <w:rPr>
          <w:lang w:val="en-GB"/>
        </w:rPr>
        <w:t xml:space="preserve"> </w:t>
      </w:r>
      <w:r>
        <w:rPr>
          <w:lang w:val="en-GB"/>
        </w:rPr>
        <w:t>Summary of the p</w:t>
      </w:r>
      <w:r w:rsidRPr="00C73DC3">
        <w:rPr>
          <w:lang w:val="en-GB"/>
        </w:rPr>
        <w:t xml:space="preserve">revious sustainability report analysis </w:t>
      </w:r>
      <w:r>
        <w:rPr>
          <w:lang w:val="en-GB"/>
        </w:rPr>
        <w:t xml:space="preserve">of the </w:t>
      </w:r>
      <w:r w:rsidRPr="00C73DC3">
        <w:rPr>
          <w:lang w:val="en-GB"/>
        </w:rPr>
        <w:t>forest industry</w:t>
      </w:r>
      <w:r>
        <w:rPr>
          <w:lang w:val="en-G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53"/>
        <w:gridCol w:w="1559"/>
        <w:gridCol w:w="1418"/>
      </w:tblGrid>
      <w:tr w:rsidR="00C23C7D" w:rsidRPr="00AA15FE" w14:paraId="4108A5D1" w14:textId="77777777" w:rsidTr="007A5926">
        <w:tc>
          <w:tcPr>
            <w:tcW w:w="5353" w:type="dxa"/>
            <w:shd w:val="clear" w:color="auto" w:fill="auto"/>
          </w:tcPr>
          <w:p w14:paraId="38460659" w14:textId="77777777" w:rsidR="00C23C7D" w:rsidRPr="007A5926" w:rsidRDefault="00C23C7D" w:rsidP="007A5926">
            <w:pPr>
              <w:spacing w:after="0" w:line="240" w:lineRule="auto"/>
              <w:jc w:val="both"/>
              <w:rPr>
                <w:rFonts w:ascii="Times New Roman" w:hAnsi="Times New Roman"/>
                <w:b/>
                <w:sz w:val="20"/>
                <w:lang w:val="en-GB"/>
              </w:rPr>
            </w:pPr>
            <w:r w:rsidRPr="007A5926">
              <w:rPr>
                <w:rFonts w:ascii="Times New Roman" w:hAnsi="Times New Roman"/>
                <w:b/>
                <w:sz w:val="20"/>
                <w:lang w:val="en-GB"/>
              </w:rPr>
              <w:t>Reference</w:t>
            </w:r>
          </w:p>
        </w:tc>
        <w:tc>
          <w:tcPr>
            <w:tcW w:w="1559" w:type="dxa"/>
            <w:shd w:val="clear" w:color="auto" w:fill="auto"/>
          </w:tcPr>
          <w:p w14:paraId="716E55C7" w14:textId="77777777" w:rsidR="00C23C7D" w:rsidRPr="007A5926" w:rsidRDefault="00C23C7D" w:rsidP="007A5926">
            <w:pPr>
              <w:spacing w:after="0" w:line="240" w:lineRule="auto"/>
              <w:jc w:val="center"/>
              <w:rPr>
                <w:rFonts w:ascii="Times New Roman" w:hAnsi="Times New Roman"/>
                <w:b/>
                <w:sz w:val="20"/>
                <w:lang w:val="en-GB"/>
              </w:rPr>
            </w:pPr>
            <w:r w:rsidRPr="007A5926">
              <w:rPr>
                <w:rFonts w:ascii="Times New Roman" w:hAnsi="Times New Roman"/>
                <w:b/>
                <w:sz w:val="20"/>
                <w:lang w:val="en-GB"/>
              </w:rPr>
              <w:t>Indicator focus</w:t>
            </w:r>
          </w:p>
        </w:tc>
        <w:tc>
          <w:tcPr>
            <w:tcW w:w="1418" w:type="dxa"/>
            <w:shd w:val="clear" w:color="auto" w:fill="auto"/>
          </w:tcPr>
          <w:p w14:paraId="30DD9E24" w14:textId="77777777" w:rsidR="00C23C7D" w:rsidRPr="007A5926" w:rsidRDefault="00C23C7D" w:rsidP="007A5926">
            <w:pPr>
              <w:spacing w:after="0" w:line="240" w:lineRule="auto"/>
              <w:jc w:val="center"/>
              <w:rPr>
                <w:rFonts w:ascii="Times New Roman" w:hAnsi="Times New Roman"/>
                <w:b/>
                <w:sz w:val="20"/>
                <w:lang w:val="en-GB"/>
              </w:rPr>
            </w:pPr>
            <w:r w:rsidRPr="007A5926">
              <w:rPr>
                <w:rFonts w:ascii="Times New Roman" w:hAnsi="Times New Roman"/>
                <w:b/>
                <w:sz w:val="20"/>
                <w:lang w:val="en-GB"/>
              </w:rPr>
              <w:t>Forest industry focus</w:t>
            </w:r>
          </w:p>
        </w:tc>
      </w:tr>
      <w:tr w:rsidR="00C23C7D" w:rsidRPr="00FA54A3" w14:paraId="15017F14" w14:textId="77777777" w:rsidTr="007A5926">
        <w:tc>
          <w:tcPr>
            <w:tcW w:w="8330" w:type="dxa"/>
            <w:gridSpan w:val="3"/>
            <w:shd w:val="clear" w:color="auto" w:fill="auto"/>
          </w:tcPr>
          <w:p w14:paraId="03CE1B7F" w14:textId="77777777" w:rsidR="00C23C7D" w:rsidRPr="007A5926" w:rsidRDefault="00C23C7D" w:rsidP="007A5926">
            <w:pPr>
              <w:spacing w:after="0" w:line="240" w:lineRule="auto"/>
              <w:jc w:val="center"/>
              <w:rPr>
                <w:rFonts w:ascii="Times New Roman" w:hAnsi="Times New Roman"/>
                <w:b/>
                <w:sz w:val="20"/>
                <w:lang w:val="en-GB"/>
              </w:rPr>
            </w:pPr>
            <w:r w:rsidRPr="007A5926">
              <w:rPr>
                <w:rFonts w:ascii="Times New Roman" w:hAnsi="Times New Roman"/>
                <w:b/>
                <w:sz w:val="20"/>
                <w:lang w:val="en-GB"/>
              </w:rPr>
              <w:t>Group 4: Content analysis of forest industry reports</w:t>
            </w:r>
          </w:p>
        </w:tc>
      </w:tr>
      <w:tr w:rsidR="00C23C7D" w:rsidRPr="00AA15FE" w14:paraId="42BCF4EB" w14:textId="77777777" w:rsidTr="007A5926">
        <w:tc>
          <w:tcPr>
            <w:tcW w:w="5353" w:type="dxa"/>
            <w:shd w:val="clear" w:color="auto" w:fill="auto"/>
          </w:tcPr>
          <w:p w14:paraId="7574CE9F" w14:textId="77777777" w:rsidR="00C23C7D" w:rsidRPr="007A5926" w:rsidRDefault="00C23C7D" w:rsidP="007A5926">
            <w:pPr>
              <w:spacing w:after="0" w:line="240" w:lineRule="auto"/>
              <w:jc w:val="both"/>
              <w:rPr>
                <w:rFonts w:ascii="Times New Roman" w:hAnsi="Times New Roman"/>
                <w:sz w:val="20"/>
                <w:lang w:val="en-GB"/>
              </w:rPr>
            </w:pPr>
            <w:r w:rsidRPr="007A5926">
              <w:rPr>
                <w:rFonts w:ascii="Times New Roman" w:hAnsi="Times New Roman"/>
                <w:sz w:val="20"/>
                <w:lang w:val="en-GB"/>
              </w:rPr>
              <w:t xml:space="preserve">Koskela and Vehmas </w:t>
            </w:r>
            <w:r w:rsidRPr="007A5926">
              <w:rPr>
                <w:rFonts w:ascii="Times New Roman" w:hAnsi="Times New Roman"/>
                <w:sz w:val="20"/>
                <w:lang w:val="en-GB"/>
              </w:rPr>
              <w:fldChar w:fldCharType="begin"/>
            </w:r>
            <w:r w:rsidRPr="007A5926">
              <w:rPr>
                <w:rFonts w:ascii="Times New Roman" w:hAnsi="Times New Roman"/>
                <w:sz w:val="20"/>
                <w:lang w:val="en-GB"/>
              </w:rPr>
              <w:instrText>ADDIN RW.CITE{{401 Koskela,Marileena 2012 /a}}</w:instrText>
            </w:r>
            <w:r w:rsidRPr="007A5926">
              <w:rPr>
                <w:rFonts w:ascii="Times New Roman" w:hAnsi="Times New Roman"/>
                <w:sz w:val="20"/>
                <w:lang w:val="en-GB"/>
              </w:rPr>
              <w:fldChar w:fldCharType="separate"/>
            </w:r>
            <w:r w:rsidRPr="007A5926">
              <w:rPr>
                <w:rFonts w:ascii="Times New Roman" w:hAnsi="Times New Roman"/>
                <w:sz w:val="20"/>
                <w:lang w:val="en-GB"/>
              </w:rPr>
              <w:t>(2012)</w:t>
            </w:r>
            <w:r w:rsidRPr="007A5926">
              <w:rPr>
                <w:rFonts w:ascii="Times New Roman" w:hAnsi="Times New Roman"/>
                <w:sz w:val="20"/>
                <w:lang w:val="en-GB"/>
              </w:rPr>
              <w:fldChar w:fldCharType="end"/>
            </w:r>
            <w:r w:rsidRPr="007A5926">
              <w:rPr>
                <w:rFonts w:ascii="Times New Roman" w:hAnsi="Times New Roman"/>
                <w:sz w:val="20"/>
                <w:lang w:val="en-GB"/>
              </w:rPr>
              <w:t xml:space="preserve"> </w:t>
            </w:r>
          </w:p>
        </w:tc>
        <w:tc>
          <w:tcPr>
            <w:tcW w:w="1559" w:type="dxa"/>
            <w:shd w:val="clear" w:color="auto" w:fill="auto"/>
          </w:tcPr>
          <w:p w14:paraId="1D2797FC"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P</w:t>
            </w:r>
          </w:p>
        </w:tc>
        <w:tc>
          <w:tcPr>
            <w:tcW w:w="1418" w:type="dxa"/>
            <w:shd w:val="clear" w:color="auto" w:fill="auto"/>
          </w:tcPr>
          <w:p w14:paraId="12FE5985"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r>
      <w:tr w:rsidR="00C23C7D" w:rsidRPr="00AA15FE" w14:paraId="45106F34" w14:textId="77777777" w:rsidTr="007A5926">
        <w:tc>
          <w:tcPr>
            <w:tcW w:w="5353" w:type="dxa"/>
            <w:shd w:val="clear" w:color="auto" w:fill="auto"/>
          </w:tcPr>
          <w:p w14:paraId="660CBEA6" w14:textId="77777777" w:rsidR="00C23C7D" w:rsidRPr="007A5926" w:rsidRDefault="00C23C7D" w:rsidP="007A5926">
            <w:pPr>
              <w:spacing w:after="0" w:line="240" w:lineRule="auto"/>
              <w:jc w:val="both"/>
              <w:rPr>
                <w:rFonts w:ascii="Times New Roman" w:hAnsi="Times New Roman"/>
                <w:sz w:val="20"/>
                <w:lang w:val="en-GB"/>
              </w:rPr>
            </w:pPr>
            <w:r w:rsidRPr="007A5926">
              <w:rPr>
                <w:rFonts w:ascii="Times New Roman" w:hAnsi="Times New Roman"/>
                <w:sz w:val="20"/>
                <w:lang w:val="en-GB"/>
              </w:rPr>
              <w:t xml:space="preserve">Li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RW.CITE{{2749 Li,Ning 2011 /a}}</w:instrText>
            </w:r>
            <w:r w:rsidRPr="007A5926">
              <w:rPr>
                <w:rFonts w:ascii="Times New Roman" w:hAnsi="Times New Roman"/>
                <w:sz w:val="20"/>
                <w:lang w:val="en-GB"/>
              </w:rPr>
              <w:fldChar w:fldCharType="separate"/>
            </w:r>
            <w:r w:rsidRPr="007A5926">
              <w:rPr>
                <w:rFonts w:ascii="Times New Roman" w:hAnsi="Times New Roman"/>
                <w:sz w:val="20"/>
                <w:lang w:val="en-GB"/>
              </w:rPr>
              <w:t>(2011)</w:t>
            </w:r>
            <w:r w:rsidRPr="007A5926">
              <w:rPr>
                <w:rFonts w:ascii="Times New Roman" w:hAnsi="Times New Roman"/>
                <w:sz w:val="20"/>
                <w:lang w:val="en-GB"/>
              </w:rPr>
              <w:fldChar w:fldCharType="end"/>
            </w:r>
          </w:p>
        </w:tc>
        <w:tc>
          <w:tcPr>
            <w:tcW w:w="1559" w:type="dxa"/>
            <w:shd w:val="clear" w:color="auto" w:fill="auto"/>
          </w:tcPr>
          <w:p w14:paraId="11FAD9FF"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1418" w:type="dxa"/>
            <w:shd w:val="clear" w:color="auto" w:fill="auto"/>
          </w:tcPr>
          <w:p w14:paraId="5F89D07F"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r>
      <w:tr w:rsidR="00C23C7D" w:rsidRPr="00AA15FE" w14:paraId="579DD125" w14:textId="77777777" w:rsidTr="007A5926">
        <w:tc>
          <w:tcPr>
            <w:tcW w:w="5353" w:type="dxa"/>
            <w:shd w:val="clear" w:color="auto" w:fill="auto"/>
          </w:tcPr>
          <w:p w14:paraId="2286FA48" w14:textId="77777777" w:rsidR="00C23C7D" w:rsidRPr="007A5926" w:rsidRDefault="00C23C7D" w:rsidP="007A5926">
            <w:pPr>
              <w:spacing w:after="0" w:line="240" w:lineRule="auto"/>
              <w:jc w:val="both"/>
              <w:rPr>
                <w:rFonts w:ascii="Times New Roman" w:hAnsi="Times New Roman"/>
                <w:sz w:val="20"/>
                <w:lang w:val="en-GB"/>
              </w:rPr>
            </w:pPr>
            <w:r w:rsidRPr="007A5926">
              <w:rPr>
                <w:rFonts w:ascii="Times New Roman" w:hAnsi="Times New Roman"/>
                <w:sz w:val="20"/>
                <w:lang w:val="en-GB"/>
              </w:rPr>
              <w:t xml:space="preserve">Mikkilä and Toppinen </w:t>
            </w:r>
            <w:r w:rsidRPr="007A5926">
              <w:rPr>
                <w:rFonts w:ascii="Times New Roman" w:hAnsi="Times New Roman"/>
                <w:sz w:val="20"/>
                <w:lang w:val="en-GB"/>
              </w:rPr>
              <w:fldChar w:fldCharType="begin"/>
            </w:r>
            <w:r w:rsidRPr="007A5926">
              <w:rPr>
                <w:rFonts w:ascii="Times New Roman" w:hAnsi="Times New Roman"/>
                <w:sz w:val="20"/>
                <w:lang w:val="en-GB"/>
              </w:rPr>
              <w:instrText>ADDIN RW.CITE{{308 Mikkilä,Mirja 2008 /a}}</w:instrText>
            </w:r>
            <w:r w:rsidRPr="007A5926">
              <w:rPr>
                <w:rFonts w:ascii="Times New Roman" w:hAnsi="Times New Roman"/>
                <w:sz w:val="20"/>
                <w:lang w:val="en-GB"/>
              </w:rPr>
              <w:fldChar w:fldCharType="separate"/>
            </w:r>
            <w:r w:rsidRPr="007A5926">
              <w:rPr>
                <w:rFonts w:ascii="Times New Roman" w:hAnsi="Times New Roman"/>
                <w:sz w:val="20"/>
                <w:lang w:val="en-GB"/>
              </w:rPr>
              <w:t>(2008)</w:t>
            </w:r>
            <w:r w:rsidRPr="007A5926">
              <w:rPr>
                <w:rFonts w:ascii="Times New Roman" w:hAnsi="Times New Roman"/>
                <w:sz w:val="20"/>
                <w:lang w:val="en-GB"/>
              </w:rPr>
              <w:fldChar w:fldCharType="end"/>
            </w:r>
            <w:r w:rsidRPr="007A5926">
              <w:rPr>
                <w:rFonts w:ascii="Times New Roman" w:hAnsi="Times New Roman"/>
                <w:sz w:val="20"/>
                <w:lang w:val="en-GB"/>
              </w:rPr>
              <w:t xml:space="preserve"> </w:t>
            </w:r>
          </w:p>
        </w:tc>
        <w:tc>
          <w:tcPr>
            <w:tcW w:w="1559" w:type="dxa"/>
            <w:shd w:val="clear" w:color="auto" w:fill="auto"/>
          </w:tcPr>
          <w:p w14:paraId="2F3C4E36"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c>
          <w:tcPr>
            <w:tcW w:w="1418" w:type="dxa"/>
            <w:shd w:val="clear" w:color="auto" w:fill="auto"/>
          </w:tcPr>
          <w:p w14:paraId="37912DFB"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r>
      <w:tr w:rsidR="00C23C7D" w:rsidRPr="00AA15FE" w14:paraId="1E0A2C35" w14:textId="77777777" w:rsidTr="007A5926">
        <w:tc>
          <w:tcPr>
            <w:tcW w:w="5353" w:type="dxa"/>
            <w:shd w:val="clear" w:color="auto" w:fill="auto"/>
          </w:tcPr>
          <w:p w14:paraId="5C6D65E9" w14:textId="77777777" w:rsidR="00C23C7D" w:rsidRPr="007A5926" w:rsidRDefault="00C23C7D" w:rsidP="007A5926">
            <w:pPr>
              <w:spacing w:after="0" w:line="240" w:lineRule="auto"/>
              <w:jc w:val="both"/>
              <w:rPr>
                <w:rFonts w:ascii="Times New Roman" w:hAnsi="Times New Roman"/>
                <w:sz w:val="20"/>
                <w:lang w:val="en-GB"/>
              </w:rPr>
            </w:pPr>
            <w:r w:rsidRPr="007A5926">
              <w:rPr>
                <w:rFonts w:ascii="Times New Roman" w:hAnsi="Times New Roman"/>
                <w:sz w:val="20"/>
                <w:lang w:val="en-GB"/>
              </w:rPr>
              <w:t xml:space="preserve">Sinclair and Walton </w:t>
            </w:r>
            <w:r w:rsidRPr="007A5926">
              <w:rPr>
                <w:rFonts w:ascii="Times New Roman" w:hAnsi="Times New Roman"/>
                <w:sz w:val="20"/>
                <w:lang w:val="en-GB"/>
              </w:rPr>
              <w:fldChar w:fldCharType="begin"/>
            </w:r>
            <w:r w:rsidRPr="007A5926">
              <w:rPr>
                <w:rFonts w:ascii="Times New Roman" w:hAnsi="Times New Roman"/>
                <w:sz w:val="20"/>
                <w:lang w:val="en-GB"/>
              </w:rPr>
              <w:instrText>ADDIN RW.CITE{{288 Sinclair,Penny 2003 /a}}</w:instrText>
            </w:r>
            <w:r w:rsidRPr="007A5926">
              <w:rPr>
                <w:rFonts w:ascii="Times New Roman" w:hAnsi="Times New Roman"/>
                <w:sz w:val="20"/>
                <w:lang w:val="en-GB"/>
              </w:rPr>
              <w:fldChar w:fldCharType="separate"/>
            </w:r>
            <w:r w:rsidRPr="007A5926">
              <w:rPr>
                <w:rFonts w:ascii="Times New Roman" w:hAnsi="Times New Roman"/>
                <w:sz w:val="20"/>
                <w:lang w:val="en-GB"/>
              </w:rPr>
              <w:t>(2003)</w:t>
            </w:r>
            <w:r w:rsidRPr="007A5926">
              <w:rPr>
                <w:rFonts w:ascii="Times New Roman" w:hAnsi="Times New Roman"/>
                <w:sz w:val="20"/>
                <w:lang w:val="en-GB"/>
              </w:rPr>
              <w:fldChar w:fldCharType="end"/>
            </w:r>
          </w:p>
        </w:tc>
        <w:tc>
          <w:tcPr>
            <w:tcW w:w="1559" w:type="dxa"/>
            <w:shd w:val="clear" w:color="auto" w:fill="auto"/>
          </w:tcPr>
          <w:p w14:paraId="6BEB83F1"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P</w:t>
            </w:r>
          </w:p>
        </w:tc>
        <w:tc>
          <w:tcPr>
            <w:tcW w:w="1418" w:type="dxa"/>
            <w:shd w:val="clear" w:color="auto" w:fill="auto"/>
          </w:tcPr>
          <w:p w14:paraId="4531AEC2"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r>
      <w:tr w:rsidR="00C23C7D" w:rsidRPr="00AA15FE" w14:paraId="2FF7F689" w14:textId="77777777" w:rsidTr="007A5926">
        <w:tc>
          <w:tcPr>
            <w:tcW w:w="5353" w:type="dxa"/>
            <w:shd w:val="clear" w:color="auto" w:fill="auto"/>
          </w:tcPr>
          <w:p w14:paraId="074EBE08" w14:textId="77777777" w:rsidR="00C23C7D" w:rsidRPr="007A5926" w:rsidRDefault="00C23C7D" w:rsidP="007A5926">
            <w:pPr>
              <w:spacing w:after="0" w:line="240" w:lineRule="auto"/>
              <w:jc w:val="both"/>
              <w:rPr>
                <w:rFonts w:ascii="Times New Roman" w:hAnsi="Times New Roman"/>
                <w:sz w:val="20"/>
                <w:highlight w:val="yellow"/>
                <w:lang w:val="en-GB"/>
              </w:rPr>
            </w:pPr>
            <w:r w:rsidRPr="007A5926">
              <w:rPr>
                <w:rFonts w:ascii="Times New Roman" w:hAnsi="Times New Roman"/>
                <w:sz w:val="20"/>
                <w:lang w:val="en-GB"/>
              </w:rPr>
              <w:t xml:space="preserve">Toppinen et al. </w:t>
            </w:r>
            <w:r w:rsidRPr="007A5926">
              <w:rPr>
                <w:rFonts w:ascii="Times New Roman" w:hAnsi="Times New Roman"/>
                <w:sz w:val="20"/>
                <w:lang w:val="en-GB"/>
              </w:rPr>
              <w:fldChar w:fldCharType="begin"/>
            </w:r>
            <w:r w:rsidRPr="007A5926">
              <w:rPr>
                <w:rFonts w:ascii="Times New Roman" w:hAnsi="Times New Roman"/>
                <w:sz w:val="20"/>
                <w:lang w:val="en-GB"/>
              </w:rPr>
              <w:instrText>ADDIN RW.CITE{{2748 Toppinen,Anne 2011 /a}}</w:instrText>
            </w:r>
            <w:r w:rsidRPr="007A5926">
              <w:rPr>
                <w:rFonts w:ascii="Times New Roman" w:hAnsi="Times New Roman"/>
                <w:sz w:val="20"/>
                <w:lang w:val="en-GB"/>
              </w:rPr>
              <w:fldChar w:fldCharType="separate"/>
            </w:r>
            <w:r w:rsidRPr="007A5926">
              <w:rPr>
                <w:rFonts w:ascii="Times New Roman" w:hAnsi="Times New Roman"/>
                <w:sz w:val="20"/>
                <w:lang w:val="en-GB"/>
              </w:rPr>
              <w:t>(2011)</w:t>
            </w:r>
            <w:r w:rsidRPr="007A5926">
              <w:rPr>
                <w:rFonts w:ascii="Times New Roman" w:hAnsi="Times New Roman"/>
                <w:sz w:val="20"/>
                <w:lang w:val="en-GB"/>
              </w:rPr>
              <w:fldChar w:fldCharType="end"/>
            </w:r>
          </w:p>
        </w:tc>
        <w:tc>
          <w:tcPr>
            <w:tcW w:w="1559" w:type="dxa"/>
            <w:shd w:val="clear" w:color="auto" w:fill="auto"/>
          </w:tcPr>
          <w:p w14:paraId="72DCE509"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1418" w:type="dxa"/>
            <w:shd w:val="clear" w:color="auto" w:fill="auto"/>
          </w:tcPr>
          <w:p w14:paraId="1F4B89F3"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r>
      <w:tr w:rsidR="00C23C7D" w:rsidRPr="00AA15FE" w14:paraId="2C6E2EAE" w14:textId="77777777" w:rsidTr="007A5926">
        <w:tc>
          <w:tcPr>
            <w:tcW w:w="5353" w:type="dxa"/>
            <w:shd w:val="clear" w:color="auto" w:fill="auto"/>
          </w:tcPr>
          <w:p w14:paraId="56B9B5A4" w14:textId="77777777" w:rsidR="00C23C7D" w:rsidRPr="007A5926" w:rsidRDefault="00C23C7D" w:rsidP="007A5926">
            <w:pPr>
              <w:spacing w:after="0" w:line="240" w:lineRule="auto"/>
              <w:jc w:val="both"/>
              <w:rPr>
                <w:rFonts w:ascii="Times New Roman" w:hAnsi="Times New Roman"/>
                <w:sz w:val="20"/>
                <w:highlight w:val="yellow"/>
                <w:lang w:val="en-GB"/>
              </w:rPr>
            </w:pPr>
            <w:r w:rsidRPr="007A5926">
              <w:rPr>
                <w:rFonts w:ascii="Times New Roman" w:hAnsi="Times New Roman"/>
                <w:sz w:val="20"/>
                <w:lang w:val="en-GB"/>
              </w:rPr>
              <w:t xml:space="preserve">Toppinen and Korhonen-Kurki </w:t>
            </w:r>
            <w:r w:rsidRPr="007A5926">
              <w:rPr>
                <w:rFonts w:ascii="Times New Roman" w:hAnsi="Times New Roman"/>
                <w:sz w:val="20"/>
                <w:lang w:val="en-GB"/>
              </w:rPr>
              <w:fldChar w:fldCharType="begin"/>
            </w:r>
            <w:r w:rsidRPr="007A5926">
              <w:rPr>
                <w:rFonts w:ascii="Times New Roman" w:hAnsi="Times New Roman"/>
                <w:sz w:val="20"/>
                <w:lang w:val="en-GB"/>
              </w:rPr>
              <w:instrText>ADDIN RW.CITE{{2961 Toppinen,Anne 2013 /a}}</w:instrText>
            </w:r>
            <w:r w:rsidRPr="007A5926">
              <w:rPr>
                <w:rFonts w:ascii="Times New Roman" w:hAnsi="Times New Roman"/>
                <w:sz w:val="20"/>
                <w:lang w:val="en-GB"/>
              </w:rPr>
              <w:fldChar w:fldCharType="separate"/>
            </w:r>
            <w:r w:rsidRPr="007A5926">
              <w:rPr>
                <w:rFonts w:ascii="Times New Roman" w:hAnsi="Times New Roman"/>
                <w:sz w:val="20"/>
                <w:lang w:val="en-GB"/>
              </w:rPr>
              <w:t>(2013)</w:t>
            </w:r>
            <w:r w:rsidRPr="007A5926">
              <w:rPr>
                <w:rFonts w:ascii="Times New Roman" w:hAnsi="Times New Roman"/>
                <w:sz w:val="20"/>
                <w:lang w:val="en-GB"/>
              </w:rPr>
              <w:fldChar w:fldCharType="end"/>
            </w:r>
          </w:p>
        </w:tc>
        <w:tc>
          <w:tcPr>
            <w:tcW w:w="1559" w:type="dxa"/>
            <w:shd w:val="clear" w:color="auto" w:fill="auto"/>
          </w:tcPr>
          <w:p w14:paraId="2D7A468C"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P</w:t>
            </w:r>
          </w:p>
        </w:tc>
        <w:tc>
          <w:tcPr>
            <w:tcW w:w="1418" w:type="dxa"/>
            <w:shd w:val="clear" w:color="auto" w:fill="auto"/>
          </w:tcPr>
          <w:p w14:paraId="46F126E6"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r>
      <w:tr w:rsidR="00C23C7D" w:rsidRPr="00AA15FE" w14:paraId="1429326F" w14:textId="77777777" w:rsidTr="007A5926">
        <w:tc>
          <w:tcPr>
            <w:tcW w:w="5353" w:type="dxa"/>
            <w:shd w:val="clear" w:color="auto" w:fill="auto"/>
          </w:tcPr>
          <w:p w14:paraId="1A019CFC" w14:textId="77777777" w:rsidR="00C23C7D" w:rsidRPr="007A5926" w:rsidRDefault="00C23C7D" w:rsidP="007A5926">
            <w:pPr>
              <w:spacing w:after="0" w:line="240" w:lineRule="auto"/>
              <w:jc w:val="both"/>
              <w:rPr>
                <w:rFonts w:ascii="Times New Roman" w:hAnsi="Times New Roman"/>
                <w:sz w:val="20"/>
                <w:lang w:val="en-GB"/>
              </w:rPr>
            </w:pPr>
            <w:r w:rsidRPr="007A5926">
              <w:rPr>
                <w:rFonts w:ascii="Times New Roman" w:hAnsi="Times New Roman"/>
                <w:sz w:val="20"/>
                <w:lang w:val="en-GB"/>
              </w:rPr>
              <w:t xml:space="preserve">Vidal and Kozak </w:t>
            </w:r>
            <w:r w:rsidRPr="007A5926">
              <w:rPr>
                <w:rFonts w:ascii="Times New Roman" w:hAnsi="Times New Roman"/>
                <w:sz w:val="20"/>
                <w:lang w:val="en-GB"/>
              </w:rPr>
              <w:fldChar w:fldCharType="begin"/>
            </w:r>
            <w:r w:rsidRPr="007A5926">
              <w:rPr>
                <w:rFonts w:ascii="Times New Roman" w:hAnsi="Times New Roman"/>
                <w:sz w:val="20"/>
                <w:lang w:val="en-GB"/>
              </w:rPr>
              <w:instrText>ADDIN RW.CITE{{2747 Vidal,N.G. 2008 /a}}</w:instrText>
            </w:r>
            <w:r w:rsidRPr="007A5926">
              <w:rPr>
                <w:rFonts w:ascii="Times New Roman" w:hAnsi="Times New Roman"/>
                <w:sz w:val="20"/>
                <w:lang w:val="en-GB"/>
              </w:rPr>
              <w:fldChar w:fldCharType="separate"/>
            </w:r>
            <w:r w:rsidRPr="007A5926">
              <w:rPr>
                <w:rFonts w:ascii="Times New Roman" w:hAnsi="Times New Roman"/>
                <w:sz w:val="20"/>
                <w:lang w:val="en-GB"/>
              </w:rPr>
              <w:t>(2008a)</w:t>
            </w:r>
            <w:r w:rsidRPr="007A5926">
              <w:rPr>
                <w:rFonts w:ascii="Times New Roman" w:hAnsi="Times New Roman"/>
                <w:sz w:val="20"/>
                <w:lang w:val="en-GB"/>
              </w:rPr>
              <w:fldChar w:fldCharType="end"/>
            </w:r>
          </w:p>
        </w:tc>
        <w:tc>
          <w:tcPr>
            <w:tcW w:w="1559" w:type="dxa"/>
            <w:shd w:val="clear" w:color="auto" w:fill="auto"/>
          </w:tcPr>
          <w:p w14:paraId="4AF025DF"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1418" w:type="dxa"/>
            <w:shd w:val="clear" w:color="auto" w:fill="auto"/>
          </w:tcPr>
          <w:p w14:paraId="79E9A9EF"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r>
      <w:tr w:rsidR="00C23C7D" w:rsidRPr="00AA15FE" w14:paraId="5C3A29E7" w14:textId="77777777" w:rsidTr="007A5926">
        <w:tc>
          <w:tcPr>
            <w:tcW w:w="5353" w:type="dxa"/>
            <w:shd w:val="clear" w:color="auto" w:fill="auto"/>
          </w:tcPr>
          <w:p w14:paraId="0B808280" w14:textId="77777777" w:rsidR="00C23C7D" w:rsidRPr="007A5926" w:rsidRDefault="00C23C7D" w:rsidP="007A5926">
            <w:pPr>
              <w:spacing w:after="0" w:line="240" w:lineRule="auto"/>
              <w:jc w:val="both"/>
              <w:rPr>
                <w:rFonts w:ascii="Times New Roman" w:hAnsi="Times New Roman"/>
                <w:sz w:val="20"/>
                <w:lang w:val="en-GB"/>
              </w:rPr>
            </w:pPr>
            <w:r w:rsidRPr="007A5926">
              <w:rPr>
                <w:rFonts w:ascii="Times New Roman" w:hAnsi="Times New Roman"/>
                <w:sz w:val="20"/>
                <w:lang w:val="en-GB"/>
              </w:rPr>
              <w:t xml:space="preserve">Vidal and Kozak </w:t>
            </w:r>
            <w:r w:rsidRPr="007A5926">
              <w:rPr>
                <w:rFonts w:ascii="Times New Roman" w:hAnsi="Times New Roman"/>
                <w:sz w:val="20"/>
                <w:lang w:val="en-GB"/>
              </w:rPr>
              <w:fldChar w:fldCharType="begin"/>
            </w:r>
            <w:r w:rsidRPr="007A5926">
              <w:rPr>
                <w:rFonts w:ascii="Times New Roman" w:hAnsi="Times New Roman"/>
                <w:sz w:val="20"/>
                <w:lang w:val="en-GB"/>
              </w:rPr>
              <w:instrText>ADDIN RW.CITE{{2792 Vidal,NataliaG. 2008 /a}}</w:instrText>
            </w:r>
            <w:r w:rsidRPr="007A5926">
              <w:rPr>
                <w:rFonts w:ascii="Times New Roman" w:hAnsi="Times New Roman"/>
                <w:sz w:val="20"/>
                <w:lang w:val="en-GB"/>
              </w:rPr>
              <w:fldChar w:fldCharType="separate"/>
            </w:r>
            <w:r w:rsidRPr="007A5926">
              <w:rPr>
                <w:rFonts w:ascii="Times New Roman" w:hAnsi="Times New Roman"/>
                <w:sz w:val="20"/>
                <w:lang w:val="en-GB"/>
              </w:rPr>
              <w:t>(2008b)</w:t>
            </w:r>
            <w:r w:rsidRPr="007A5926">
              <w:rPr>
                <w:rFonts w:ascii="Times New Roman" w:hAnsi="Times New Roman"/>
                <w:sz w:val="20"/>
                <w:lang w:val="en-GB"/>
              </w:rPr>
              <w:fldChar w:fldCharType="end"/>
            </w:r>
          </w:p>
        </w:tc>
        <w:tc>
          <w:tcPr>
            <w:tcW w:w="1559" w:type="dxa"/>
            <w:shd w:val="clear" w:color="auto" w:fill="auto"/>
          </w:tcPr>
          <w:p w14:paraId="5C1B287D"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1418" w:type="dxa"/>
            <w:shd w:val="clear" w:color="auto" w:fill="auto"/>
          </w:tcPr>
          <w:p w14:paraId="18ED21E6"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r>
    </w:tbl>
    <w:p w14:paraId="3E666958" w14:textId="0748B734" w:rsidR="00C23C7D" w:rsidRPr="00C73DC3" w:rsidRDefault="00C23C7D" w:rsidP="00311613">
      <w:pPr>
        <w:rPr>
          <w:rFonts w:ascii="Times New Roman" w:hAnsi="Times New Roman"/>
          <w:sz w:val="24"/>
          <w:lang w:val="en-GB"/>
        </w:rPr>
      </w:pPr>
      <w:r w:rsidRPr="00C73DC3">
        <w:rPr>
          <w:rFonts w:ascii="Times New Roman" w:hAnsi="Times New Roman"/>
          <w:b/>
          <w:sz w:val="24"/>
          <w:lang w:val="en-GB"/>
        </w:rPr>
        <w:br/>
        <w:t xml:space="preserve">Note to Table: </w:t>
      </w:r>
      <w:r w:rsidRPr="00C73DC3">
        <w:rPr>
          <w:rFonts w:ascii="Times New Roman" w:hAnsi="Times New Roman"/>
          <w:b/>
          <w:sz w:val="24"/>
          <w:lang w:val="en-GB"/>
        </w:rPr>
        <w:br/>
      </w:r>
      <w:r w:rsidRPr="00C73DC3">
        <w:rPr>
          <w:rFonts w:ascii="Times New Roman" w:hAnsi="Times New Roman"/>
          <w:sz w:val="24"/>
          <w:lang w:val="en-GB"/>
        </w:rPr>
        <w:t xml:space="preserve">F = The study focused </w:t>
      </w:r>
      <w:r w:rsidRPr="00C73DC3">
        <w:rPr>
          <w:rFonts w:ascii="Times New Roman" w:hAnsi="Times New Roman"/>
          <w:b/>
          <w:sz w:val="24"/>
          <w:lang w:val="en-GB"/>
        </w:rPr>
        <w:t>fully</w:t>
      </w:r>
      <w:r w:rsidRPr="00C73DC3">
        <w:rPr>
          <w:rFonts w:ascii="Times New Roman" w:hAnsi="Times New Roman"/>
          <w:sz w:val="24"/>
          <w:lang w:val="en-GB"/>
        </w:rPr>
        <w:t xml:space="preserve"> on indicators or the forest industry</w:t>
      </w:r>
      <w:r w:rsidR="00AE5214">
        <w:rPr>
          <w:rFonts w:ascii="Times New Roman" w:hAnsi="Times New Roman"/>
          <w:sz w:val="24"/>
          <w:lang w:val="en-GB"/>
        </w:rPr>
        <w:t>.</w:t>
      </w:r>
      <w:r w:rsidRPr="00C73DC3">
        <w:rPr>
          <w:rFonts w:ascii="Times New Roman" w:hAnsi="Times New Roman"/>
          <w:sz w:val="24"/>
          <w:lang w:val="en-GB"/>
        </w:rPr>
        <w:br/>
        <w:t xml:space="preserve">P = </w:t>
      </w:r>
      <w:r w:rsidRPr="00E21C43">
        <w:rPr>
          <w:rFonts w:ascii="Times New Roman" w:hAnsi="Times New Roman"/>
          <w:sz w:val="24"/>
          <w:lang w:val="en-GB"/>
        </w:rPr>
        <w:t>The study partly focused on indicators, i.e. indicators were a part of the analysis framework and the results are presented.</w:t>
      </w:r>
      <w:r w:rsidRPr="00C73DC3">
        <w:rPr>
          <w:rFonts w:ascii="Times New Roman" w:hAnsi="Times New Roman"/>
          <w:sz w:val="24"/>
          <w:lang w:val="en-GB"/>
        </w:rPr>
        <w:br/>
        <w:t xml:space="preserve">N = The study does </w:t>
      </w:r>
      <w:r w:rsidRPr="00C73DC3">
        <w:rPr>
          <w:rFonts w:ascii="Times New Roman" w:hAnsi="Times New Roman"/>
          <w:b/>
          <w:sz w:val="24"/>
          <w:lang w:val="en-GB"/>
        </w:rPr>
        <w:t>not</w:t>
      </w:r>
      <w:r w:rsidRPr="00C73DC3">
        <w:rPr>
          <w:rFonts w:ascii="Times New Roman" w:hAnsi="Times New Roman"/>
          <w:sz w:val="24"/>
          <w:lang w:val="en-GB"/>
        </w:rPr>
        <w:t xml:space="preserve"> deal with indicator analysis.</w:t>
      </w:r>
    </w:p>
    <w:p w14:paraId="79E43A6B" w14:textId="77777777" w:rsidR="00C23C7D" w:rsidRDefault="00C23C7D">
      <w:pPr>
        <w:rPr>
          <w:rFonts w:ascii="Times New Roman" w:hAnsi="Times New Roman"/>
          <w:b/>
          <w:bCs/>
          <w:sz w:val="24"/>
          <w:lang w:val="en-GB"/>
        </w:rPr>
      </w:pPr>
      <w:r>
        <w:rPr>
          <w:lang w:val="en-GB"/>
        </w:rPr>
        <w:br w:type="page"/>
      </w:r>
    </w:p>
    <w:p w14:paraId="43A218D3" w14:textId="77777777" w:rsidR="00C23C7D" w:rsidRPr="00C73DC3" w:rsidRDefault="00C23C7D" w:rsidP="00076327">
      <w:pPr>
        <w:pStyle w:val="Kuvanotsikko"/>
        <w:keepNext/>
        <w:spacing w:line="276" w:lineRule="auto"/>
        <w:rPr>
          <w:lang w:val="en-GB"/>
        </w:rPr>
      </w:pPr>
      <w:r w:rsidRPr="00C73DC3">
        <w:rPr>
          <w:lang w:val="en-GB"/>
        </w:rPr>
        <w:t xml:space="preserve">Table </w:t>
      </w:r>
      <w:r>
        <w:rPr>
          <w:lang w:val="en-GB"/>
        </w:rPr>
        <w:t>4</w:t>
      </w:r>
      <w:r w:rsidRPr="00C73DC3">
        <w:rPr>
          <w:lang w:val="en-GB"/>
        </w:rPr>
        <w:t xml:space="preserve"> </w:t>
      </w:r>
      <w:r>
        <w:rPr>
          <w:lang w:val="en-GB"/>
        </w:rPr>
        <w:t>Summary of the previous longitudinal content analysis research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29"/>
        <w:gridCol w:w="2469"/>
        <w:gridCol w:w="2447"/>
        <w:gridCol w:w="2209"/>
      </w:tblGrid>
      <w:tr w:rsidR="00C23C7D" w:rsidRPr="00AA15FE" w14:paraId="4ADFF9C5" w14:textId="77777777" w:rsidTr="007A5926">
        <w:tc>
          <w:tcPr>
            <w:tcW w:w="2729" w:type="dxa"/>
            <w:shd w:val="clear" w:color="auto" w:fill="auto"/>
          </w:tcPr>
          <w:p w14:paraId="3C9F3D88"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Reference</w:t>
            </w:r>
          </w:p>
        </w:tc>
        <w:tc>
          <w:tcPr>
            <w:tcW w:w="2469" w:type="dxa"/>
            <w:shd w:val="clear" w:color="auto" w:fill="auto"/>
          </w:tcPr>
          <w:p w14:paraId="44084CF1" w14:textId="77777777" w:rsidR="00C23C7D" w:rsidRPr="007A5926" w:rsidRDefault="00C23C7D" w:rsidP="007A5926">
            <w:pPr>
              <w:spacing w:after="0" w:line="240" w:lineRule="auto"/>
              <w:jc w:val="center"/>
              <w:rPr>
                <w:rFonts w:ascii="Times New Roman" w:hAnsi="Times New Roman"/>
                <w:b/>
                <w:sz w:val="20"/>
                <w:lang w:val="en-GB"/>
              </w:rPr>
            </w:pPr>
            <w:r w:rsidRPr="007A5926">
              <w:rPr>
                <w:rFonts w:ascii="Times New Roman" w:hAnsi="Times New Roman"/>
                <w:b/>
                <w:sz w:val="20"/>
                <w:lang w:val="en-GB"/>
              </w:rPr>
              <w:t>Indicator focus</w:t>
            </w:r>
          </w:p>
        </w:tc>
        <w:tc>
          <w:tcPr>
            <w:tcW w:w="2447" w:type="dxa"/>
            <w:shd w:val="clear" w:color="auto" w:fill="auto"/>
          </w:tcPr>
          <w:p w14:paraId="0D7C9EC8" w14:textId="77777777" w:rsidR="00C23C7D" w:rsidRPr="007A5926" w:rsidRDefault="00C23C7D" w:rsidP="007A5926">
            <w:pPr>
              <w:spacing w:after="0" w:line="240" w:lineRule="auto"/>
              <w:jc w:val="center"/>
              <w:rPr>
                <w:rFonts w:ascii="Times New Roman" w:hAnsi="Times New Roman"/>
                <w:b/>
                <w:sz w:val="20"/>
                <w:lang w:val="en-GB"/>
              </w:rPr>
            </w:pPr>
            <w:r w:rsidRPr="007A5926">
              <w:rPr>
                <w:rFonts w:ascii="Times New Roman" w:hAnsi="Times New Roman"/>
                <w:b/>
                <w:sz w:val="20"/>
                <w:lang w:val="en-GB"/>
              </w:rPr>
              <w:t>Forest industry focus</w:t>
            </w:r>
          </w:p>
        </w:tc>
        <w:tc>
          <w:tcPr>
            <w:tcW w:w="2209" w:type="dxa"/>
            <w:shd w:val="clear" w:color="auto" w:fill="auto"/>
          </w:tcPr>
          <w:p w14:paraId="00E42159" w14:textId="77777777" w:rsidR="00C23C7D" w:rsidRPr="007A5926" w:rsidRDefault="00C23C7D" w:rsidP="007A5926">
            <w:pPr>
              <w:spacing w:after="0" w:line="240" w:lineRule="auto"/>
              <w:jc w:val="center"/>
              <w:rPr>
                <w:rFonts w:ascii="Times New Roman" w:hAnsi="Times New Roman"/>
                <w:b/>
                <w:sz w:val="20"/>
                <w:lang w:val="en-GB"/>
              </w:rPr>
            </w:pPr>
            <w:r w:rsidRPr="007A5926">
              <w:rPr>
                <w:rFonts w:ascii="Times New Roman" w:hAnsi="Times New Roman"/>
                <w:b/>
                <w:sz w:val="20"/>
                <w:lang w:val="en-GB"/>
              </w:rPr>
              <w:t>Topic</w:t>
            </w:r>
          </w:p>
        </w:tc>
      </w:tr>
      <w:tr w:rsidR="00C23C7D" w:rsidRPr="00AA15FE" w14:paraId="268EBBF2" w14:textId="77777777" w:rsidTr="007A5926">
        <w:tc>
          <w:tcPr>
            <w:tcW w:w="2729" w:type="dxa"/>
            <w:shd w:val="clear" w:color="auto" w:fill="auto"/>
          </w:tcPr>
          <w:p w14:paraId="0D7DDB6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Adams and Harte (1998)</w:t>
            </w:r>
          </w:p>
        </w:tc>
        <w:tc>
          <w:tcPr>
            <w:tcW w:w="2469" w:type="dxa"/>
            <w:shd w:val="clear" w:color="auto" w:fill="auto"/>
          </w:tcPr>
          <w:p w14:paraId="3055CAE4"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447" w:type="dxa"/>
            <w:shd w:val="clear" w:color="auto" w:fill="auto"/>
          </w:tcPr>
          <w:p w14:paraId="66555E93"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209" w:type="dxa"/>
            <w:shd w:val="clear" w:color="auto" w:fill="auto"/>
          </w:tcPr>
          <w:p w14:paraId="741A0DC2"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SOC</w:t>
            </w:r>
          </w:p>
        </w:tc>
      </w:tr>
      <w:tr w:rsidR="00C23C7D" w:rsidRPr="00AA15FE" w14:paraId="2E2721FB" w14:textId="77777777" w:rsidTr="007A5926">
        <w:tc>
          <w:tcPr>
            <w:tcW w:w="2729" w:type="dxa"/>
            <w:shd w:val="clear" w:color="auto" w:fill="auto"/>
          </w:tcPr>
          <w:p w14:paraId="4CCCFF1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Adams and McPhail (2004)</w:t>
            </w:r>
          </w:p>
        </w:tc>
        <w:tc>
          <w:tcPr>
            <w:tcW w:w="2469" w:type="dxa"/>
            <w:shd w:val="clear" w:color="auto" w:fill="auto"/>
          </w:tcPr>
          <w:p w14:paraId="6F63F152"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447" w:type="dxa"/>
            <w:shd w:val="clear" w:color="auto" w:fill="auto"/>
          </w:tcPr>
          <w:p w14:paraId="682DC54E"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209" w:type="dxa"/>
            <w:shd w:val="clear" w:color="auto" w:fill="auto"/>
          </w:tcPr>
          <w:p w14:paraId="3EF73E8B"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SOC</w:t>
            </w:r>
          </w:p>
        </w:tc>
      </w:tr>
      <w:tr w:rsidR="00C23C7D" w:rsidRPr="00AA15FE" w14:paraId="00AC888C" w14:textId="77777777" w:rsidTr="007A5926">
        <w:tc>
          <w:tcPr>
            <w:tcW w:w="2729" w:type="dxa"/>
            <w:shd w:val="clear" w:color="auto" w:fill="auto"/>
          </w:tcPr>
          <w:p w14:paraId="2E4F589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Buhr (1998)</w:t>
            </w:r>
          </w:p>
        </w:tc>
        <w:tc>
          <w:tcPr>
            <w:tcW w:w="2469" w:type="dxa"/>
            <w:shd w:val="clear" w:color="auto" w:fill="auto"/>
          </w:tcPr>
          <w:p w14:paraId="3506CB30"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447" w:type="dxa"/>
            <w:shd w:val="clear" w:color="auto" w:fill="auto"/>
          </w:tcPr>
          <w:p w14:paraId="60ADAF9A"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209" w:type="dxa"/>
            <w:shd w:val="clear" w:color="auto" w:fill="auto"/>
          </w:tcPr>
          <w:p w14:paraId="02368582"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ENV</w:t>
            </w:r>
          </w:p>
        </w:tc>
      </w:tr>
      <w:tr w:rsidR="00C23C7D" w:rsidRPr="00AA15FE" w14:paraId="08248B9C" w14:textId="77777777" w:rsidTr="007A5926">
        <w:tc>
          <w:tcPr>
            <w:tcW w:w="2729" w:type="dxa"/>
            <w:shd w:val="clear" w:color="auto" w:fill="auto"/>
          </w:tcPr>
          <w:p w14:paraId="75FF1ECD"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Campbell et al. (2006)</w:t>
            </w:r>
          </w:p>
        </w:tc>
        <w:tc>
          <w:tcPr>
            <w:tcW w:w="2469" w:type="dxa"/>
            <w:shd w:val="clear" w:color="auto" w:fill="auto"/>
          </w:tcPr>
          <w:p w14:paraId="574D9B4C"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447" w:type="dxa"/>
            <w:shd w:val="clear" w:color="auto" w:fill="auto"/>
          </w:tcPr>
          <w:p w14:paraId="574B90F1"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209" w:type="dxa"/>
            <w:shd w:val="clear" w:color="auto" w:fill="auto"/>
          </w:tcPr>
          <w:p w14:paraId="090461B1"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SOC</w:t>
            </w:r>
          </w:p>
        </w:tc>
      </w:tr>
      <w:tr w:rsidR="00C23C7D" w:rsidRPr="00AA15FE" w14:paraId="7DED211D" w14:textId="77777777" w:rsidTr="007A5926">
        <w:tc>
          <w:tcPr>
            <w:tcW w:w="2729" w:type="dxa"/>
            <w:shd w:val="clear" w:color="auto" w:fill="auto"/>
          </w:tcPr>
          <w:p w14:paraId="7D0C9E0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Dragomir (2012)</w:t>
            </w:r>
          </w:p>
        </w:tc>
        <w:tc>
          <w:tcPr>
            <w:tcW w:w="2469" w:type="dxa"/>
            <w:shd w:val="clear" w:color="auto" w:fill="auto"/>
          </w:tcPr>
          <w:p w14:paraId="6816B7B9"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c>
          <w:tcPr>
            <w:tcW w:w="2447" w:type="dxa"/>
            <w:shd w:val="clear" w:color="auto" w:fill="auto"/>
          </w:tcPr>
          <w:p w14:paraId="4A931DEE"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209" w:type="dxa"/>
            <w:shd w:val="clear" w:color="auto" w:fill="auto"/>
          </w:tcPr>
          <w:p w14:paraId="08F0189E"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ENV</w:t>
            </w:r>
          </w:p>
        </w:tc>
      </w:tr>
      <w:tr w:rsidR="00C23C7D" w:rsidRPr="00AA15FE" w14:paraId="74513C29" w14:textId="77777777" w:rsidTr="007A5926">
        <w:tc>
          <w:tcPr>
            <w:tcW w:w="2729" w:type="dxa"/>
            <w:shd w:val="clear" w:color="auto" w:fill="auto"/>
          </w:tcPr>
          <w:p w14:paraId="0D1C4CD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Guthrie and Parker (1989)</w:t>
            </w:r>
          </w:p>
        </w:tc>
        <w:tc>
          <w:tcPr>
            <w:tcW w:w="2469" w:type="dxa"/>
            <w:shd w:val="clear" w:color="auto" w:fill="auto"/>
          </w:tcPr>
          <w:p w14:paraId="11BBF4BA"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447" w:type="dxa"/>
            <w:shd w:val="clear" w:color="auto" w:fill="auto"/>
          </w:tcPr>
          <w:p w14:paraId="72A82E47"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209" w:type="dxa"/>
            <w:shd w:val="clear" w:color="auto" w:fill="auto"/>
          </w:tcPr>
          <w:p w14:paraId="3904482A"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SOC</w:t>
            </w:r>
          </w:p>
        </w:tc>
      </w:tr>
      <w:tr w:rsidR="00C23C7D" w:rsidRPr="00AA15FE" w14:paraId="053C0A57" w14:textId="77777777" w:rsidTr="007A5926">
        <w:tc>
          <w:tcPr>
            <w:tcW w:w="2729" w:type="dxa"/>
            <w:shd w:val="clear" w:color="auto" w:fill="auto"/>
          </w:tcPr>
          <w:p w14:paraId="6B7DE6F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Joensuu et al. (2015)</w:t>
            </w:r>
          </w:p>
        </w:tc>
        <w:tc>
          <w:tcPr>
            <w:tcW w:w="2469" w:type="dxa"/>
            <w:shd w:val="clear" w:color="auto" w:fill="auto"/>
          </w:tcPr>
          <w:p w14:paraId="58130F36"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447" w:type="dxa"/>
            <w:shd w:val="clear" w:color="auto" w:fill="auto"/>
          </w:tcPr>
          <w:p w14:paraId="6E3B7756"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209" w:type="dxa"/>
            <w:shd w:val="clear" w:color="auto" w:fill="auto"/>
          </w:tcPr>
          <w:p w14:paraId="7A5E0D95"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ENV</w:t>
            </w:r>
          </w:p>
        </w:tc>
      </w:tr>
      <w:tr w:rsidR="00C23C7D" w:rsidRPr="00AA15FE" w14:paraId="07B7EF98" w14:textId="77777777" w:rsidTr="007A5926">
        <w:tc>
          <w:tcPr>
            <w:tcW w:w="2729" w:type="dxa"/>
            <w:shd w:val="clear" w:color="auto" w:fill="auto"/>
          </w:tcPr>
          <w:p w14:paraId="6B654CC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Koskela and  Vehmas (2012)</w:t>
            </w:r>
          </w:p>
        </w:tc>
        <w:tc>
          <w:tcPr>
            <w:tcW w:w="2469" w:type="dxa"/>
            <w:shd w:val="clear" w:color="auto" w:fill="auto"/>
          </w:tcPr>
          <w:p w14:paraId="284019DC"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P</w:t>
            </w:r>
          </w:p>
        </w:tc>
        <w:tc>
          <w:tcPr>
            <w:tcW w:w="2447" w:type="dxa"/>
            <w:shd w:val="clear" w:color="auto" w:fill="auto"/>
          </w:tcPr>
          <w:p w14:paraId="3E2CC831"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F</w:t>
            </w:r>
          </w:p>
        </w:tc>
        <w:tc>
          <w:tcPr>
            <w:tcW w:w="2209" w:type="dxa"/>
            <w:shd w:val="clear" w:color="auto" w:fill="auto"/>
          </w:tcPr>
          <w:p w14:paraId="5708CD47"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ENV</w:t>
            </w:r>
          </w:p>
        </w:tc>
      </w:tr>
      <w:tr w:rsidR="00C23C7D" w:rsidRPr="00AA15FE" w14:paraId="4A59AFC7" w14:textId="77777777" w:rsidTr="007A5926">
        <w:tc>
          <w:tcPr>
            <w:tcW w:w="2729" w:type="dxa"/>
            <w:shd w:val="clear" w:color="auto" w:fill="auto"/>
          </w:tcPr>
          <w:p w14:paraId="366F42A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Laine (2009)</w:t>
            </w:r>
          </w:p>
        </w:tc>
        <w:tc>
          <w:tcPr>
            <w:tcW w:w="2469" w:type="dxa"/>
            <w:shd w:val="clear" w:color="auto" w:fill="auto"/>
          </w:tcPr>
          <w:p w14:paraId="655DEA58"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P</w:t>
            </w:r>
          </w:p>
        </w:tc>
        <w:tc>
          <w:tcPr>
            <w:tcW w:w="2447" w:type="dxa"/>
            <w:shd w:val="clear" w:color="auto" w:fill="auto"/>
          </w:tcPr>
          <w:p w14:paraId="5EF429B4"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209" w:type="dxa"/>
            <w:shd w:val="clear" w:color="auto" w:fill="auto"/>
          </w:tcPr>
          <w:p w14:paraId="57F0C245"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ENV</w:t>
            </w:r>
          </w:p>
        </w:tc>
      </w:tr>
      <w:tr w:rsidR="00C23C7D" w:rsidRPr="00AA15FE" w14:paraId="5C183E6E" w14:textId="77777777" w:rsidTr="007A5926">
        <w:tc>
          <w:tcPr>
            <w:tcW w:w="2729" w:type="dxa"/>
            <w:shd w:val="clear" w:color="auto" w:fill="auto"/>
          </w:tcPr>
          <w:p w14:paraId="6DB92F8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Tinker and Neimark (1987)</w:t>
            </w:r>
          </w:p>
        </w:tc>
        <w:tc>
          <w:tcPr>
            <w:tcW w:w="2469" w:type="dxa"/>
            <w:shd w:val="clear" w:color="auto" w:fill="auto"/>
          </w:tcPr>
          <w:p w14:paraId="7461E7EC"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447" w:type="dxa"/>
            <w:shd w:val="clear" w:color="auto" w:fill="auto"/>
          </w:tcPr>
          <w:p w14:paraId="6B0B2F75"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N</w:t>
            </w:r>
          </w:p>
        </w:tc>
        <w:tc>
          <w:tcPr>
            <w:tcW w:w="2209" w:type="dxa"/>
            <w:shd w:val="clear" w:color="auto" w:fill="auto"/>
          </w:tcPr>
          <w:p w14:paraId="27289CE8" w14:textId="77777777" w:rsidR="00C23C7D" w:rsidRPr="007A5926" w:rsidRDefault="00C23C7D" w:rsidP="007A5926">
            <w:pPr>
              <w:spacing w:after="0" w:line="240" w:lineRule="auto"/>
              <w:jc w:val="center"/>
              <w:rPr>
                <w:rFonts w:ascii="Times New Roman" w:hAnsi="Times New Roman"/>
                <w:sz w:val="20"/>
                <w:lang w:val="en-GB"/>
              </w:rPr>
            </w:pPr>
            <w:r w:rsidRPr="007A5926">
              <w:rPr>
                <w:rFonts w:ascii="Times New Roman" w:hAnsi="Times New Roman"/>
                <w:sz w:val="20"/>
                <w:lang w:val="en-GB"/>
              </w:rPr>
              <w:t>SOC</w:t>
            </w:r>
          </w:p>
        </w:tc>
      </w:tr>
    </w:tbl>
    <w:p w14:paraId="291FED1C" w14:textId="77777777" w:rsidR="00C23C7D" w:rsidRDefault="00C23C7D" w:rsidP="00076327">
      <w:pPr>
        <w:rPr>
          <w:rFonts w:ascii="Times New Roman" w:hAnsi="Times New Roman"/>
          <w:lang w:val="en-GB"/>
        </w:rPr>
      </w:pPr>
    </w:p>
    <w:p w14:paraId="48D81B45" w14:textId="026332D5" w:rsidR="00C23C7D" w:rsidRPr="000C31C1" w:rsidRDefault="00C23C7D" w:rsidP="00076327">
      <w:pPr>
        <w:rPr>
          <w:rFonts w:ascii="Times New Roman" w:hAnsi="Times New Roman"/>
          <w:sz w:val="24"/>
          <w:lang w:val="en-GB"/>
        </w:rPr>
      </w:pPr>
      <w:r w:rsidRPr="00C73DC3">
        <w:rPr>
          <w:rFonts w:ascii="Times New Roman" w:hAnsi="Times New Roman"/>
          <w:b/>
          <w:sz w:val="24"/>
          <w:lang w:val="en-GB"/>
        </w:rPr>
        <w:t xml:space="preserve">Note to Table: </w:t>
      </w:r>
      <w:r w:rsidRPr="00C73DC3">
        <w:rPr>
          <w:rFonts w:ascii="Times New Roman" w:hAnsi="Times New Roman"/>
          <w:b/>
          <w:sz w:val="24"/>
          <w:lang w:val="en-GB"/>
        </w:rPr>
        <w:br/>
      </w:r>
      <w:r w:rsidRPr="00C73DC3">
        <w:rPr>
          <w:rFonts w:ascii="Times New Roman" w:hAnsi="Times New Roman"/>
          <w:sz w:val="24"/>
          <w:lang w:val="en-GB"/>
        </w:rPr>
        <w:t xml:space="preserve">F = The study focused </w:t>
      </w:r>
      <w:r w:rsidRPr="00C73DC3">
        <w:rPr>
          <w:rFonts w:ascii="Times New Roman" w:hAnsi="Times New Roman"/>
          <w:b/>
          <w:sz w:val="24"/>
          <w:lang w:val="en-GB"/>
        </w:rPr>
        <w:t>fully</w:t>
      </w:r>
      <w:r w:rsidRPr="00C73DC3">
        <w:rPr>
          <w:rFonts w:ascii="Times New Roman" w:hAnsi="Times New Roman"/>
          <w:sz w:val="24"/>
          <w:lang w:val="en-GB"/>
        </w:rPr>
        <w:t xml:space="preserve"> on indicators or the forest industry.</w:t>
      </w:r>
      <w:r w:rsidRPr="00C73DC3">
        <w:rPr>
          <w:rFonts w:ascii="Times New Roman" w:hAnsi="Times New Roman"/>
          <w:sz w:val="24"/>
          <w:lang w:val="en-GB"/>
        </w:rPr>
        <w:br/>
        <w:t xml:space="preserve">P = The study </w:t>
      </w:r>
      <w:r w:rsidRPr="00C73DC3">
        <w:rPr>
          <w:rFonts w:ascii="Times New Roman" w:hAnsi="Times New Roman"/>
          <w:b/>
          <w:sz w:val="24"/>
          <w:lang w:val="en-GB"/>
        </w:rPr>
        <w:t>partly</w:t>
      </w:r>
      <w:r w:rsidRPr="00C73DC3">
        <w:rPr>
          <w:rFonts w:ascii="Times New Roman" w:hAnsi="Times New Roman"/>
          <w:sz w:val="24"/>
          <w:lang w:val="en-GB"/>
        </w:rPr>
        <w:t xml:space="preserve"> focused on indicators</w:t>
      </w:r>
      <w:r>
        <w:rPr>
          <w:rFonts w:ascii="Times New Roman" w:hAnsi="Times New Roman"/>
          <w:sz w:val="24"/>
          <w:lang w:val="en-GB"/>
        </w:rPr>
        <w:t xml:space="preserve">, i.e. </w:t>
      </w:r>
      <w:r w:rsidRPr="00C73DC3">
        <w:rPr>
          <w:rFonts w:ascii="Times New Roman" w:hAnsi="Times New Roman"/>
          <w:sz w:val="24"/>
          <w:lang w:val="en-GB"/>
        </w:rPr>
        <w:t xml:space="preserve">indicators were a part of the analysis framework and the results are presented. </w:t>
      </w:r>
      <w:r w:rsidRPr="00C73DC3">
        <w:rPr>
          <w:rFonts w:ascii="Times New Roman" w:hAnsi="Times New Roman"/>
          <w:sz w:val="24"/>
          <w:lang w:val="en-GB"/>
        </w:rPr>
        <w:br/>
        <w:t xml:space="preserve">N = The study does </w:t>
      </w:r>
      <w:r w:rsidRPr="00C73DC3">
        <w:rPr>
          <w:rFonts w:ascii="Times New Roman" w:hAnsi="Times New Roman"/>
          <w:b/>
          <w:sz w:val="24"/>
          <w:lang w:val="en-GB"/>
        </w:rPr>
        <w:t>not</w:t>
      </w:r>
      <w:r w:rsidRPr="00C73DC3">
        <w:rPr>
          <w:rFonts w:ascii="Times New Roman" w:hAnsi="Times New Roman"/>
          <w:sz w:val="24"/>
          <w:lang w:val="en-GB"/>
        </w:rPr>
        <w:t xml:space="preserve"> deal with indicator analysis or the forest industry.</w:t>
      </w:r>
      <w:r>
        <w:rPr>
          <w:rFonts w:ascii="Times New Roman" w:hAnsi="Times New Roman"/>
          <w:sz w:val="24"/>
          <w:lang w:val="en-GB"/>
        </w:rPr>
        <w:br/>
        <w:t>SOC = social reporting.</w:t>
      </w:r>
      <w:r>
        <w:rPr>
          <w:rFonts w:ascii="Times New Roman" w:hAnsi="Times New Roman"/>
          <w:sz w:val="24"/>
          <w:lang w:val="en-GB"/>
        </w:rPr>
        <w:br/>
        <w:t>ENV = environmental reporting.</w:t>
      </w:r>
    </w:p>
    <w:p w14:paraId="259B0693" w14:textId="77777777" w:rsidR="00C23C7D" w:rsidRDefault="00C23C7D" w:rsidP="007F358D">
      <w:pPr>
        <w:pStyle w:val="Kuvanotsikko"/>
        <w:keepNext/>
        <w:rPr>
          <w:lang w:val="en-GB"/>
        </w:rPr>
      </w:pPr>
      <w:r>
        <w:rPr>
          <w:lang w:val="en-GB"/>
        </w:rPr>
        <w:br w:type="page"/>
      </w:r>
    </w:p>
    <w:p w14:paraId="47580D71" w14:textId="77777777" w:rsidR="00C23C7D" w:rsidRPr="00C73DC3" w:rsidRDefault="00C23C7D" w:rsidP="007F358D">
      <w:pPr>
        <w:pStyle w:val="Kuvanotsikko"/>
        <w:keepNext/>
        <w:rPr>
          <w:lang w:val="en-GB"/>
        </w:rPr>
      </w:pPr>
      <w:r w:rsidRPr="00C73DC3">
        <w:rPr>
          <w:lang w:val="en-GB"/>
        </w:rPr>
        <w:t xml:space="preserve">Table </w:t>
      </w:r>
      <w:r>
        <w:rPr>
          <w:lang w:val="en-GB"/>
        </w:rPr>
        <w:t>5</w:t>
      </w:r>
      <w:r w:rsidRPr="00C73DC3">
        <w:rPr>
          <w:lang w:val="en-GB"/>
        </w:rPr>
        <w:t xml:space="preserve"> The frequency of indicator reporting </w:t>
      </w:r>
      <w:r>
        <w:rPr>
          <w:lang w:val="en-GB"/>
        </w:rPr>
        <w:t>by</w:t>
      </w:r>
      <w:r w:rsidRPr="00C73DC3">
        <w:rPr>
          <w:lang w:val="en-GB"/>
        </w:rPr>
        <w:t xml:space="preserve"> each company and in total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2"/>
        <w:gridCol w:w="2302"/>
        <w:gridCol w:w="2303"/>
        <w:gridCol w:w="2303"/>
      </w:tblGrid>
      <w:tr w:rsidR="007A5926" w:rsidRPr="00FA54A3" w14:paraId="65A153A6" w14:textId="77777777" w:rsidTr="007A5926">
        <w:tc>
          <w:tcPr>
            <w:tcW w:w="2302" w:type="dxa"/>
            <w:shd w:val="clear" w:color="auto" w:fill="auto"/>
          </w:tcPr>
          <w:p w14:paraId="1808924D"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Company</w:t>
            </w:r>
          </w:p>
        </w:tc>
        <w:tc>
          <w:tcPr>
            <w:tcW w:w="2302" w:type="dxa"/>
            <w:shd w:val="clear" w:color="auto" w:fill="auto"/>
          </w:tcPr>
          <w:p w14:paraId="1BE15D2E" w14:textId="77777777" w:rsidR="00C23C7D" w:rsidRPr="007A5926" w:rsidRDefault="00C23C7D" w:rsidP="007A5926">
            <w:pPr>
              <w:autoSpaceDE w:val="0"/>
              <w:autoSpaceDN w:val="0"/>
              <w:adjustRightInd w:val="0"/>
              <w:spacing w:after="0" w:line="240" w:lineRule="auto"/>
              <w:rPr>
                <w:rFonts w:ascii="Times New Roman" w:hAnsi="Times New Roman"/>
                <w:b/>
                <w:sz w:val="20"/>
                <w:lang w:val="en-GB"/>
              </w:rPr>
            </w:pPr>
            <w:r w:rsidRPr="007A5926">
              <w:rPr>
                <w:rFonts w:ascii="Times New Roman" w:hAnsi="Times New Roman"/>
                <w:b/>
                <w:sz w:val="20"/>
                <w:lang w:val="en-GB"/>
              </w:rPr>
              <w:t>Most often reported (in 11–15 reports)</w:t>
            </w:r>
          </w:p>
        </w:tc>
        <w:tc>
          <w:tcPr>
            <w:tcW w:w="2303" w:type="dxa"/>
            <w:shd w:val="clear" w:color="auto" w:fill="auto"/>
          </w:tcPr>
          <w:p w14:paraId="2FC072F2" w14:textId="77777777" w:rsidR="00C23C7D" w:rsidRPr="007A5926" w:rsidRDefault="00C23C7D" w:rsidP="007A5926">
            <w:pPr>
              <w:autoSpaceDE w:val="0"/>
              <w:autoSpaceDN w:val="0"/>
              <w:adjustRightInd w:val="0"/>
              <w:spacing w:after="0" w:line="240" w:lineRule="auto"/>
              <w:rPr>
                <w:rFonts w:ascii="Times New Roman" w:hAnsi="Times New Roman"/>
                <w:b/>
                <w:sz w:val="20"/>
                <w:lang w:val="en-GB"/>
              </w:rPr>
            </w:pPr>
            <w:r w:rsidRPr="007A5926">
              <w:rPr>
                <w:rFonts w:ascii="Times New Roman" w:hAnsi="Times New Roman"/>
                <w:b/>
                <w:sz w:val="20"/>
                <w:lang w:val="en-GB"/>
              </w:rPr>
              <w:t>In between (in 6–10 reports)</w:t>
            </w:r>
          </w:p>
        </w:tc>
        <w:tc>
          <w:tcPr>
            <w:tcW w:w="2303" w:type="dxa"/>
            <w:shd w:val="clear" w:color="auto" w:fill="auto"/>
          </w:tcPr>
          <w:p w14:paraId="05068177" w14:textId="77777777" w:rsidR="00C23C7D" w:rsidRPr="007A5926" w:rsidRDefault="00C23C7D" w:rsidP="007A5926">
            <w:pPr>
              <w:autoSpaceDE w:val="0"/>
              <w:autoSpaceDN w:val="0"/>
              <w:adjustRightInd w:val="0"/>
              <w:spacing w:after="0" w:line="240" w:lineRule="auto"/>
              <w:rPr>
                <w:rFonts w:ascii="Times New Roman" w:hAnsi="Times New Roman"/>
                <w:b/>
                <w:sz w:val="20"/>
                <w:lang w:val="en-GB"/>
              </w:rPr>
            </w:pPr>
            <w:r w:rsidRPr="007A5926">
              <w:rPr>
                <w:rFonts w:ascii="Times New Roman" w:hAnsi="Times New Roman"/>
                <w:b/>
                <w:sz w:val="20"/>
                <w:lang w:val="en-GB"/>
              </w:rPr>
              <w:t>Least often reported (in 1–5 reports)</w:t>
            </w:r>
          </w:p>
        </w:tc>
      </w:tr>
      <w:tr w:rsidR="00C23C7D" w:rsidRPr="00AA15FE" w14:paraId="6AF05BB9" w14:textId="77777777" w:rsidTr="007A5926">
        <w:tc>
          <w:tcPr>
            <w:tcW w:w="2302" w:type="dxa"/>
            <w:shd w:val="clear" w:color="auto" w:fill="auto"/>
          </w:tcPr>
          <w:p w14:paraId="7912E197"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Metsä Board</w:t>
            </w:r>
          </w:p>
        </w:tc>
        <w:tc>
          <w:tcPr>
            <w:tcW w:w="2302" w:type="dxa"/>
            <w:shd w:val="clear" w:color="auto" w:fill="auto"/>
          </w:tcPr>
          <w:p w14:paraId="64655956"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Environmental impacts</w:t>
            </w:r>
          </w:p>
          <w:p w14:paraId="1F211F45"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Inputs</w:t>
            </w:r>
          </w:p>
          <w:p w14:paraId="54B96A8A"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Management</w:t>
            </w:r>
          </w:p>
          <w:p w14:paraId="68390D1E"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Outputs</w:t>
            </w:r>
          </w:p>
          <w:p w14:paraId="6FB921B2" w14:textId="77777777" w:rsidR="00C23C7D" w:rsidRPr="007A5926" w:rsidRDefault="00C23C7D" w:rsidP="007A5926">
            <w:pPr>
              <w:spacing w:after="0" w:line="240" w:lineRule="auto"/>
              <w:rPr>
                <w:rFonts w:ascii="Times New Roman" w:hAnsi="Times New Roman"/>
                <w:sz w:val="20"/>
                <w:lang w:val="en-GB"/>
              </w:rPr>
            </w:pPr>
          </w:p>
          <w:p w14:paraId="2C4E95C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Acidification</w:t>
            </w:r>
          </w:p>
          <w:p w14:paraId="5DD51E0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Climate change</w:t>
            </w:r>
          </w:p>
          <w:p w14:paraId="53EED75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Eutrophication</w:t>
            </w:r>
          </w:p>
          <w:p w14:paraId="0CC8707D"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Energy</w:t>
            </w:r>
          </w:p>
          <w:p w14:paraId="0090284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Fibre</w:t>
            </w:r>
          </w:p>
          <w:p w14:paraId="35650BF9"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Raw materials</w:t>
            </w:r>
          </w:p>
          <w:p w14:paraId="0089187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Wood</w:t>
            </w:r>
          </w:p>
          <w:p w14:paraId="267B62D8"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Costs</w:t>
            </w:r>
          </w:p>
          <w:p w14:paraId="668BD05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Air emissions</w:t>
            </w:r>
          </w:p>
          <w:p w14:paraId="1CC5413D"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w:t>
            </w:r>
          </w:p>
          <w:p w14:paraId="56647AD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 emissions</w:t>
            </w:r>
          </w:p>
        </w:tc>
        <w:tc>
          <w:tcPr>
            <w:tcW w:w="2303" w:type="dxa"/>
            <w:shd w:val="clear" w:color="auto" w:fill="auto"/>
          </w:tcPr>
          <w:p w14:paraId="67C9F827"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Background</w:t>
            </w:r>
          </w:p>
          <w:p w14:paraId="4A41CCC7" w14:textId="77777777" w:rsidR="00C23C7D" w:rsidRPr="007A5926" w:rsidRDefault="00C23C7D" w:rsidP="007A5926">
            <w:pPr>
              <w:spacing w:after="0" w:line="240" w:lineRule="auto"/>
              <w:rPr>
                <w:rFonts w:ascii="Times New Roman" w:hAnsi="Times New Roman"/>
                <w:sz w:val="20"/>
                <w:lang w:val="en-GB"/>
              </w:rPr>
            </w:pPr>
          </w:p>
          <w:p w14:paraId="5959DB9D"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Transportation</w:t>
            </w:r>
          </w:p>
          <w:p w14:paraId="674AF066"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w:t>
            </w:r>
          </w:p>
          <w:p w14:paraId="40F5552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Total emissions</w:t>
            </w:r>
          </w:p>
        </w:tc>
        <w:tc>
          <w:tcPr>
            <w:tcW w:w="2303" w:type="dxa"/>
            <w:shd w:val="clear" w:color="auto" w:fill="auto"/>
          </w:tcPr>
          <w:p w14:paraId="1ED028F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Forests</w:t>
            </w:r>
          </w:p>
          <w:p w14:paraId="32C11C65"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 water</w:t>
            </w:r>
          </w:p>
          <w:p w14:paraId="356B2828" w14:textId="77777777" w:rsidR="00C23C7D" w:rsidRPr="007A5926" w:rsidRDefault="00C23C7D" w:rsidP="007A5926">
            <w:pPr>
              <w:spacing w:after="0" w:line="240" w:lineRule="auto"/>
              <w:rPr>
                <w:rFonts w:ascii="Times New Roman" w:hAnsi="Times New Roman"/>
                <w:sz w:val="20"/>
                <w:lang w:val="en-GB"/>
              </w:rPr>
            </w:pPr>
          </w:p>
        </w:tc>
      </w:tr>
      <w:tr w:rsidR="00C23C7D" w:rsidRPr="00AA15FE" w14:paraId="0856B3F6" w14:textId="77777777" w:rsidTr="007A5926">
        <w:trPr>
          <w:trHeight w:val="2408"/>
        </w:trPr>
        <w:tc>
          <w:tcPr>
            <w:tcW w:w="2302" w:type="dxa"/>
            <w:shd w:val="clear" w:color="auto" w:fill="auto"/>
          </w:tcPr>
          <w:p w14:paraId="21FBB634"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Stora Enso</w:t>
            </w:r>
          </w:p>
        </w:tc>
        <w:tc>
          <w:tcPr>
            <w:tcW w:w="2302" w:type="dxa"/>
            <w:shd w:val="clear" w:color="auto" w:fill="auto"/>
          </w:tcPr>
          <w:p w14:paraId="5089B53E"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Background</w:t>
            </w:r>
          </w:p>
          <w:p w14:paraId="4DFAE8E2"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Inputs</w:t>
            </w:r>
          </w:p>
          <w:p w14:paraId="2DC50C61"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Outputs</w:t>
            </w:r>
          </w:p>
          <w:p w14:paraId="7B78BCC0" w14:textId="77777777" w:rsidR="00C23C7D" w:rsidRPr="007A5926" w:rsidRDefault="00C23C7D" w:rsidP="007A5926">
            <w:pPr>
              <w:spacing w:after="0" w:line="240" w:lineRule="auto"/>
              <w:rPr>
                <w:rFonts w:ascii="Times New Roman" w:hAnsi="Times New Roman"/>
                <w:sz w:val="20"/>
                <w:lang w:val="en-GB"/>
              </w:rPr>
            </w:pPr>
          </w:p>
          <w:p w14:paraId="61EE17F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Air emissions</w:t>
            </w:r>
          </w:p>
          <w:p w14:paraId="0619850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Energy</w:t>
            </w:r>
          </w:p>
          <w:p w14:paraId="1C11C09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Fibre</w:t>
            </w:r>
          </w:p>
          <w:p w14:paraId="7015AF7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Raw material</w:t>
            </w:r>
          </w:p>
          <w:p w14:paraId="0AF9C0A0"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w:t>
            </w:r>
          </w:p>
          <w:p w14:paraId="2A5F83C8"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w:t>
            </w:r>
          </w:p>
          <w:p w14:paraId="2D4F5857"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 emissions</w:t>
            </w:r>
          </w:p>
          <w:p w14:paraId="57FCBC6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Wood</w:t>
            </w:r>
          </w:p>
        </w:tc>
        <w:tc>
          <w:tcPr>
            <w:tcW w:w="2303" w:type="dxa"/>
            <w:shd w:val="clear" w:color="auto" w:fill="auto"/>
          </w:tcPr>
          <w:p w14:paraId="15D56BA1"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Environmental impacts</w:t>
            </w:r>
          </w:p>
          <w:p w14:paraId="378EC4A6" w14:textId="77777777" w:rsidR="00C23C7D" w:rsidRPr="007A5926" w:rsidRDefault="00C23C7D" w:rsidP="007A5926">
            <w:pPr>
              <w:spacing w:after="0" w:line="240" w:lineRule="auto"/>
              <w:rPr>
                <w:rFonts w:ascii="Times New Roman" w:hAnsi="Times New Roman"/>
                <w:sz w:val="20"/>
                <w:lang w:val="en-GB"/>
              </w:rPr>
            </w:pPr>
          </w:p>
          <w:p w14:paraId="7B1AE0E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Climate change</w:t>
            </w:r>
          </w:p>
          <w:p w14:paraId="51320A0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Forests</w:t>
            </w:r>
          </w:p>
          <w:p w14:paraId="07B6A25B"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 water</w:t>
            </w:r>
          </w:p>
          <w:p w14:paraId="047F364F" w14:textId="77777777" w:rsidR="00C23C7D" w:rsidRPr="007A5926" w:rsidRDefault="00C23C7D" w:rsidP="007A5926">
            <w:pPr>
              <w:spacing w:after="0" w:line="240" w:lineRule="auto"/>
              <w:rPr>
                <w:rFonts w:ascii="Times New Roman" w:hAnsi="Times New Roman"/>
                <w:sz w:val="20"/>
                <w:lang w:val="en-GB"/>
              </w:rPr>
            </w:pPr>
          </w:p>
        </w:tc>
        <w:tc>
          <w:tcPr>
            <w:tcW w:w="2303" w:type="dxa"/>
            <w:shd w:val="clear" w:color="auto" w:fill="auto"/>
          </w:tcPr>
          <w:p w14:paraId="1F531F7C"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Management</w:t>
            </w:r>
          </w:p>
          <w:p w14:paraId="52EBA705" w14:textId="77777777" w:rsidR="00C23C7D" w:rsidRPr="007A5926" w:rsidRDefault="00C23C7D" w:rsidP="007A5926">
            <w:pPr>
              <w:spacing w:after="0" w:line="240" w:lineRule="auto"/>
              <w:rPr>
                <w:rFonts w:ascii="Times New Roman" w:hAnsi="Times New Roman"/>
                <w:sz w:val="20"/>
                <w:lang w:val="en-GB"/>
              </w:rPr>
            </w:pPr>
          </w:p>
          <w:p w14:paraId="357355E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Costs</w:t>
            </w:r>
          </w:p>
          <w:p w14:paraId="24B2D4F6"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Land issues</w:t>
            </w:r>
          </w:p>
          <w:p w14:paraId="7BA09FA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Management</w:t>
            </w:r>
          </w:p>
          <w:p w14:paraId="5C18E18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Suppliers</w:t>
            </w:r>
          </w:p>
          <w:p w14:paraId="419072E0"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Transportation</w:t>
            </w:r>
          </w:p>
          <w:p w14:paraId="5D93C0C2" w14:textId="77777777" w:rsidR="00C23C7D" w:rsidRPr="007A5926" w:rsidRDefault="00C23C7D" w:rsidP="007A5926">
            <w:pPr>
              <w:spacing w:after="0" w:line="240" w:lineRule="auto"/>
              <w:rPr>
                <w:rFonts w:ascii="Times New Roman" w:hAnsi="Times New Roman"/>
                <w:sz w:val="20"/>
                <w:lang w:val="en-GB"/>
              </w:rPr>
            </w:pPr>
          </w:p>
        </w:tc>
      </w:tr>
      <w:tr w:rsidR="00C23C7D" w:rsidRPr="00AA15FE" w14:paraId="6FD796CA" w14:textId="77777777" w:rsidTr="007A5926">
        <w:tc>
          <w:tcPr>
            <w:tcW w:w="2302" w:type="dxa"/>
            <w:shd w:val="clear" w:color="auto" w:fill="auto"/>
          </w:tcPr>
          <w:p w14:paraId="0142A3E9"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UPM-Kymmene</w:t>
            </w:r>
          </w:p>
        </w:tc>
        <w:tc>
          <w:tcPr>
            <w:tcW w:w="2302" w:type="dxa"/>
            <w:shd w:val="clear" w:color="auto" w:fill="auto"/>
          </w:tcPr>
          <w:p w14:paraId="7496D651"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Background</w:t>
            </w:r>
          </w:p>
          <w:p w14:paraId="59A8D5DD"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Environmental impacts</w:t>
            </w:r>
          </w:p>
          <w:p w14:paraId="3D216F01"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Inputs</w:t>
            </w:r>
          </w:p>
          <w:p w14:paraId="46AC4C89"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 xml:space="preserve">Outputs </w:t>
            </w:r>
          </w:p>
          <w:p w14:paraId="5B00EF12" w14:textId="77777777" w:rsidR="00C23C7D" w:rsidRPr="007A5926" w:rsidRDefault="00C23C7D" w:rsidP="007A5926">
            <w:pPr>
              <w:spacing w:after="0" w:line="240" w:lineRule="auto"/>
              <w:rPr>
                <w:rFonts w:ascii="Times New Roman" w:hAnsi="Times New Roman"/>
                <w:sz w:val="20"/>
                <w:lang w:val="en-GB"/>
              </w:rPr>
            </w:pPr>
          </w:p>
          <w:p w14:paraId="4DE0746F"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Acidification</w:t>
            </w:r>
          </w:p>
          <w:p w14:paraId="36DF999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Air emissions</w:t>
            </w:r>
          </w:p>
          <w:p w14:paraId="3B134850"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Energy</w:t>
            </w:r>
          </w:p>
          <w:p w14:paraId="6DC9E978"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Fibre</w:t>
            </w:r>
          </w:p>
          <w:p w14:paraId="760E9A9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Forests</w:t>
            </w:r>
          </w:p>
          <w:p w14:paraId="294CEE8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 xml:space="preserve">Raw material </w:t>
            </w:r>
          </w:p>
          <w:p w14:paraId="0767143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w:t>
            </w:r>
          </w:p>
          <w:p w14:paraId="187E9EA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 water</w:t>
            </w:r>
          </w:p>
          <w:p w14:paraId="4C983F8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 emissions</w:t>
            </w:r>
          </w:p>
        </w:tc>
        <w:tc>
          <w:tcPr>
            <w:tcW w:w="2303" w:type="dxa"/>
            <w:shd w:val="clear" w:color="auto" w:fill="auto"/>
          </w:tcPr>
          <w:p w14:paraId="07C940D6"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Management</w:t>
            </w:r>
          </w:p>
          <w:p w14:paraId="4EC906B7" w14:textId="77777777" w:rsidR="00C23C7D" w:rsidRPr="007A5926" w:rsidRDefault="00C23C7D" w:rsidP="007A5926">
            <w:pPr>
              <w:spacing w:after="0" w:line="240" w:lineRule="auto"/>
              <w:rPr>
                <w:rFonts w:ascii="Times New Roman" w:hAnsi="Times New Roman"/>
                <w:sz w:val="20"/>
                <w:lang w:val="en-GB"/>
              </w:rPr>
            </w:pPr>
          </w:p>
          <w:p w14:paraId="1113846F"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Paper</w:t>
            </w:r>
          </w:p>
          <w:p w14:paraId="34CC43A8"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Transportation</w:t>
            </w:r>
          </w:p>
          <w:p w14:paraId="1B4C59C0" w14:textId="77777777" w:rsidR="00C23C7D" w:rsidRPr="007A5926" w:rsidRDefault="00C23C7D" w:rsidP="007A5926">
            <w:pPr>
              <w:spacing w:after="0" w:line="240" w:lineRule="auto"/>
              <w:rPr>
                <w:rFonts w:ascii="Times New Roman" w:hAnsi="Times New Roman"/>
                <w:sz w:val="20"/>
                <w:lang w:val="en-GB"/>
              </w:rPr>
            </w:pPr>
          </w:p>
        </w:tc>
        <w:tc>
          <w:tcPr>
            <w:tcW w:w="2303" w:type="dxa"/>
            <w:shd w:val="clear" w:color="auto" w:fill="auto"/>
          </w:tcPr>
          <w:p w14:paraId="5B1BECCC"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Climate change</w:t>
            </w:r>
          </w:p>
          <w:p w14:paraId="595823F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Costs</w:t>
            </w:r>
          </w:p>
          <w:p w14:paraId="25690DC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Management</w:t>
            </w:r>
          </w:p>
          <w:p w14:paraId="4A436576"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Suppliers</w:t>
            </w:r>
          </w:p>
          <w:p w14:paraId="1698409A"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w:t>
            </w:r>
          </w:p>
          <w:p w14:paraId="69F31A87"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Wood</w:t>
            </w:r>
          </w:p>
          <w:p w14:paraId="2E4D8AEE" w14:textId="77777777" w:rsidR="00C23C7D" w:rsidRPr="007A5926" w:rsidRDefault="00C23C7D" w:rsidP="007A5926">
            <w:pPr>
              <w:spacing w:after="0" w:line="240" w:lineRule="auto"/>
              <w:rPr>
                <w:rFonts w:ascii="Times New Roman" w:hAnsi="Times New Roman"/>
                <w:sz w:val="20"/>
                <w:lang w:val="en-GB"/>
              </w:rPr>
            </w:pPr>
          </w:p>
        </w:tc>
      </w:tr>
      <w:tr w:rsidR="00C23C7D" w:rsidRPr="00AA15FE" w14:paraId="3500381D" w14:textId="77777777" w:rsidTr="007A5926">
        <w:tc>
          <w:tcPr>
            <w:tcW w:w="2302" w:type="dxa"/>
            <w:shd w:val="clear" w:color="auto" w:fill="auto"/>
          </w:tcPr>
          <w:p w14:paraId="3CC0A46A"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 xml:space="preserve">Total </w:t>
            </w:r>
          </w:p>
        </w:tc>
        <w:tc>
          <w:tcPr>
            <w:tcW w:w="2302" w:type="dxa"/>
            <w:shd w:val="clear" w:color="auto" w:fill="auto"/>
          </w:tcPr>
          <w:p w14:paraId="4570590A"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Background</w:t>
            </w:r>
          </w:p>
          <w:p w14:paraId="0214A902"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Inputs</w:t>
            </w:r>
          </w:p>
          <w:p w14:paraId="6DA45311"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Environmental impacts</w:t>
            </w:r>
          </w:p>
          <w:p w14:paraId="5413ACDC"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Outputs</w:t>
            </w:r>
          </w:p>
          <w:p w14:paraId="11DB643E" w14:textId="77777777" w:rsidR="00C23C7D" w:rsidRPr="007A5926" w:rsidRDefault="00C23C7D" w:rsidP="007A5926">
            <w:pPr>
              <w:spacing w:after="0" w:line="240" w:lineRule="auto"/>
              <w:rPr>
                <w:rFonts w:ascii="Times New Roman" w:hAnsi="Times New Roman"/>
                <w:b/>
                <w:sz w:val="20"/>
                <w:lang w:val="en-GB"/>
              </w:rPr>
            </w:pPr>
            <w:r w:rsidRPr="007A5926">
              <w:rPr>
                <w:rFonts w:ascii="Times New Roman" w:hAnsi="Times New Roman"/>
                <w:b/>
                <w:sz w:val="20"/>
                <w:lang w:val="en-GB"/>
              </w:rPr>
              <w:t>Management</w:t>
            </w:r>
          </w:p>
          <w:p w14:paraId="28A15CB7" w14:textId="77777777" w:rsidR="00C23C7D" w:rsidRPr="007A5926" w:rsidRDefault="00C23C7D" w:rsidP="007A5926">
            <w:pPr>
              <w:spacing w:after="0" w:line="240" w:lineRule="auto"/>
              <w:rPr>
                <w:rFonts w:ascii="Times New Roman" w:hAnsi="Times New Roman"/>
                <w:sz w:val="20"/>
                <w:lang w:val="en-GB"/>
              </w:rPr>
            </w:pPr>
          </w:p>
          <w:p w14:paraId="516EA92D"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Forests</w:t>
            </w:r>
          </w:p>
          <w:p w14:paraId="1D5D153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Acidification</w:t>
            </w:r>
          </w:p>
          <w:p w14:paraId="1704A299"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Climate change</w:t>
            </w:r>
          </w:p>
          <w:p w14:paraId="27DE8E77"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Eutrophication</w:t>
            </w:r>
          </w:p>
          <w:p w14:paraId="200C3EA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Energy</w:t>
            </w:r>
          </w:p>
          <w:p w14:paraId="10CB6056"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Fibre</w:t>
            </w:r>
          </w:p>
          <w:p w14:paraId="653B7F68"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Raw materials</w:t>
            </w:r>
          </w:p>
          <w:p w14:paraId="3693B384"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w:t>
            </w:r>
          </w:p>
          <w:p w14:paraId="5B5A96A8"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Wood</w:t>
            </w:r>
          </w:p>
          <w:p w14:paraId="3D52A4B7"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Costs</w:t>
            </w:r>
          </w:p>
          <w:p w14:paraId="2685D9B9"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Air emissions</w:t>
            </w:r>
          </w:p>
          <w:p w14:paraId="77FE4E7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w:t>
            </w:r>
          </w:p>
          <w:p w14:paraId="72163221"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Waste water</w:t>
            </w:r>
          </w:p>
          <w:p w14:paraId="588E0DA7"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Water emissions</w:t>
            </w:r>
          </w:p>
        </w:tc>
        <w:tc>
          <w:tcPr>
            <w:tcW w:w="2303" w:type="dxa"/>
            <w:shd w:val="clear" w:color="auto" w:fill="auto"/>
          </w:tcPr>
          <w:p w14:paraId="5CAEAEA3"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Suppliers</w:t>
            </w:r>
          </w:p>
          <w:p w14:paraId="346E7D6E"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Transportation</w:t>
            </w:r>
          </w:p>
          <w:p w14:paraId="0DCEB31D"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Paper</w:t>
            </w:r>
          </w:p>
          <w:p w14:paraId="4DBA2452"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Total emissions</w:t>
            </w:r>
          </w:p>
          <w:p w14:paraId="79102DE2" w14:textId="77777777" w:rsidR="00C23C7D" w:rsidRPr="007A5926" w:rsidRDefault="00C23C7D" w:rsidP="007A5926">
            <w:pPr>
              <w:spacing w:after="0" w:line="240" w:lineRule="auto"/>
              <w:rPr>
                <w:rFonts w:ascii="Times New Roman" w:hAnsi="Times New Roman"/>
                <w:sz w:val="20"/>
                <w:lang w:val="en-GB"/>
              </w:rPr>
            </w:pPr>
          </w:p>
          <w:p w14:paraId="7CBD3DF8" w14:textId="77777777" w:rsidR="00C23C7D" w:rsidRPr="007A5926" w:rsidRDefault="00C23C7D" w:rsidP="007A5926">
            <w:pPr>
              <w:spacing w:after="0" w:line="240" w:lineRule="auto"/>
              <w:rPr>
                <w:rFonts w:ascii="Times New Roman" w:hAnsi="Times New Roman"/>
                <w:sz w:val="20"/>
                <w:lang w:val="en-GB"/>
              </w:rPr>
            </w:pPr>
          </w:p>
        </w:tc>
        <w:tc>
          <w:tcPr>
            <w:tcW w:w="2303" w:type="dxa"/>
            <w:shd w:val="clear" w:color="auto" w:fill="auto"/>
          </w:tcPr>
          <w:p w14:paraId="02FF5180"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Land issues</w:t>
            </w:r>
          </w:p>
          <w:p w14:paraId="17E65F76" w14:textId="77777777" w:rsidR="00C23C7D" w:rsidRPr="007A5926" w:rsidRDefault="00C23C7D" w:rsidP="007A5926">
            <w:pPr>
              <w:spacing w:after="0" w:line="240" w:lineRule="auto"/>
              <w:rPr>
                <w:rFonts w:ascii="Times New Roman" w:hAnsi="Times New Roman"/>
                <w:sz w:val="20"/>
                <w:lang w:val="en-GB"/>
              </w:rPr>
            </w:pPr>
            <w:r w:rsidRPr="007A5926">
              <w:rPr>
                <w:rFonts w:ascii="Times New Roman" w:hAnsi="Times New Roman"/>
                <w:sz w:val="20"/>
                <w:lang w:val="en-GB"/>
              </w:rPr>
              <w:t>Management</w:t>
            </w:r>
          </w:p>
          <w:p w14:paraId="7BE9020A" w14:textId="77777777" w:rsidR="00C23C7D" w:rsidRPr="007A5926" w:rsidRDefault="00C23C7D" w:rsidP="007A5926">
            <w:pPr>
              <w:spacing w:after="0" w:line="240" w:lineRule="auto"/>
              <w:rPr>
                <w:rFonts w:ascii="Times New Roman" w:hAnsi="Times New Roman"/>
                <w:sz w:val="20"/>
                <w:lang w:val="en-GB"/>
              </w:rPr>
            </w:pPr>
          </w:p>
        </w:tc>
      </w:tr>
    </w:tbl>
    <w:p w14:paraId="64757B63" w14:textId="6D33F427" w:rsidR="00C23C7D" w:rsidRPr="00C73DC3" w:rsidRDefault="00C23C7D" w:rsidP="007F358D">
      <w:pPr>
        <w:rPr>
          <w:rFonts w:ascii="Times New Roman" w:hAnsi="Times New Roman"/>
          <w:sz w:val="24"/>
          <w:lang w:val="en-GB"/>
        </w:rPr>
      </w:pPr>
      <w:r w:rsidRPr="00C73DC3">
        <w:rPr>
          <w:rFonts w:ascii="Times New Roman" w:hAnsi="Times New Roman"/>
          <w:sz w:val="24"/>
          <w:lang w:val="en-GB"/>
        </w:rPr>
        <w:br/>
      </w:r>
      <w:r w:rsidRPr="00C73DC3">
        <w:rPr>
          <w:rFonts w:ascii="Times New Roman" w:hAnsi="Times New Roman"/>
          <w:b/>
          <w:sz w:val="24"/>
          <w:lang w:val="en-GB"/>
        </w:rPr>
        <w:t>Note to Table:</w:t>
      </w:r>
      <w:r w:rsidRPr="00C73DC3">
        <w:rPr>
          <w:rFonts w:ascii="Times New Roman" w:hAnsi="Times New Roman"/>
          <w:b/>
          <w:sz w:val="24"/>
          <w:lang w:val="en-GB"/>
        </w:rPr>
        <w:br/>
      </w:r>
      <w:r w:rsidRPr="00C73DC3">
        <w:rPr>
          <w:rFonts w:ascii="Times New Roman" w:hAnsi="Times New Roman"/>
          <w:sz w:val="24"/>
          <w:lang w:val="en-GB"/>
        </w:rPr>
        <w:t>Bolded text refers to the indicator groups</w:t>
      </w:r>
      <w:r w:rsidR="00AE5214">
        <w:rPr>
          <w:rFonts w:ascii="Times New Roman" w:hAnsi="Times New Roman"/>
          <w:sz w:val="24"/>
          <w:lang w:val="en-GB"/>
        </w:rPr>
        <w:t>.</w:t>
      </w:r>
      <w:r w:rsidRPr="00C73DC3">
        <w:rPr>
          <w:rFonts w:ascii="Times New Roman" w:hAnsi="Times New Roman"/>
          <w:sz w:val="24"/>
          <w:lang w:val="en-GB"/>
        </w:rPr>
        <w:br/>
        <w:t>Normal text refers to the indicator themes</w:t>
      </w:r>
      <w:r w:rsidR="00AE5214">
        <w:rPr>
          <w:rFonts w:ascii="Times New Roman" w:hAnsi="Times New Roman"/>
          <w:sz w:val="24"/>
          <w:lang w:val="en-GB"/>
        </w:rPr>
        <w:t>.</w:t>
      </w:r>
    </w:p>
    <w:p w14:paraId="0A0B706A" w14:textId="77777777" w:rsidR="00C23C7D" w:rsidRPr="00C73DC3" w:rsidRDefault="00C23C7D" w:rsidP="00B52B88">
      <w:pPr>
        <w:rPr>
          <w:rFonts w:ascii="Times New Roman" w:hAnsi="Times New Roman"/>
          <w:color w:val="92D050"/>
          <w:sz w:val="24"/>
          <w:lang w:val="en-GB"/>
        </w:rPr>
      </w:pPr>
    </w:p>
    <w:sectPr w:rsidR="00C23C7D" w:rsidRPr="00C73DC3" w:rsidSect="007F358D">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3521F5" w14:textId="77777777" w:rsidR="00A279D1" w:rsidRDefault="00A279D1" w:rsidP="00EB7D81">
      <w:pPr>
        <w:spacing w:after="0" w:line="240" w:lineRule="auto"/>
      </w:pPr>
      <w:r>
        <w:separator/>
      </w:r>
    </w:p>
  </w:endnote>
  <w:endnote w:type="continuationSeparator" w:id="0">
    <w:p w14:paraId="76741430" w14:textId="77777777" w:rsidR="00A279D1" w:rsidRDefault="00A279D1" w:rsidP="00EB7D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CC07D7" w14:textId="77777777" w:rsidR="00FA54A3" w:rsidRPr="00505F02" w:rsidRDefault="00FA54A3">
    <w:pPr>
      <w:pStyle w:val="Alatunniste"/>
      <w:jc w:val="right"/>
      <w:rPr>
        <w:rFonts w:ascii="Times New Roman" w:hAnsi="Times New Roman"/>
        <w:sz w:val="24"/>
      </w:rPr>
    </w:pPr>
    <w:r>
      <w:fldChar w:fldCharType="begin"/>
    </w:r>
    <w:r>
      <w:instrText xml:space="preserve"> PAGE   \* MERGEFORMAT </w:instrText>
    </w:r>
    <w:r>
      <w:fldChar w:fldCharType="separate"/>
    </w:r>
    <w:r w:rsidR="001C32DA" w:rsidRPr="001C32DA">
      <w:rPr>
        <w:rFonts w:ascii="Times New Roman" w:hAnsi="Times New Roman"/>
        <w:noProof/>
        <w:sz w:val="24"/>
      </w:rPr>
      <w:t>2</w:t>
    </w:r>
    <w:r>
      <w:rPr>
        <w:rFonts w:ascii="Times New Roman" w:hAnsi="Times New Roman"/>
        <w:noProof/>
        <w:sz w:val="24"/>
      </w:rPr>
      <w:fldChar w:fldCharType="end"/>
    </w:r>
  </w:p>
  <w:p w14:paraId="1755BB25" w14:textId="77777777" w:rsidR="00FA54A3" w:rsidRDefault="00FA54A3">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D61129" w14:textId="77777777" w:rsidR="00A279D1" w:rsidRDefault="00A279D1" w:rsidP="00EB7D81">
      <w:pPr>
        <w:spacing w:after="0" w:line="240" w:lineRule="auto"/>
      </w:pPr>
      <w:r>
        <w:separator/>
      </w:r>
    </w:p>
  </w:footnote>
  <w:footnote w:type="continuationSeparator" w:id="0">
    <w:p w14:paraId="667DFE55" w14:textId="77777777" w:rsidR="00A279D1" w:rsidRDefault="00A279D1" w:rsidP="00EB7D81">
      <w:pPr>
        <w:spacing w:after="0" w:line="240" w:lineRule="auto"/>
      </w:pPr>
      <w:r>
        <w:continuationSeparator/>
      </w:r>
    </w:p>
  </w:footnote>
  <w:footnote w:id="1">
    <w:p w14:paraId="6E9B71D2" w14:textId="53162A99" w:rsidR="00FA54A3" w:rsidRDefault="00FA54A3">
      <w:pPr>
        <w:pStyle w:val="Alaviitteenteksti"/>
      </w:pPr>
      <w:r w:rsidRPr="00F628F4">
        <w:rPr>
          <w:rStyle w:val="Alaviitteenviite"/>
          <w:rFonts w:ascii="Times New Roman" w:hAnsi="Times New Roman"/>
        </w:rPr>
        <w:footnoteRef/>
      </w:r>
      <w:r w:rsidRPr="00F628F4">
        <w:rPr>
          <w:rFonts w:ascii="Times New Roman" w:hAnsi="Times New Roman"/>
        </w:rPr>
        <w:t xml:space="preserve"> </w:t>
      </w:r>
      <w:r>
        <w:rPr>
          <w:rFonts w:ascii="Times New Roman" w:hAnsi="Times New Roman"/>
        </w:rPr>
        <w:t>Recently</w:t>
      </w:r>
      <w:r w:rsidRPr="00A17776">
        <w:rPr>
          <w:rFonts w:ascii="Times New Roman" w:hAnsi="Times New Roman"/>
        </w:rPr>
        <w:t xml:space="preserve">, various indicator frameworks have been developed for the needs of management and reporting: </w:t>
      </w:r>
      <w:r w:rsidRPr="00A17776" w:rsidDel="00057959">
        <w:rPr>
          <w:rFonts w:ascii="Times New Roman" w:hAnsi="Times New Roman"/>
        </w:rPr>
        <w:t>f</w:t>
      </w:r>
      <w:r w:rsidRPr="00A17776">
        <w:rPr>
          <w:rFonts w:ascii="Times New Roman" w:hAnsi="Times New Roman"/>
        </w:rPr>
        <w:t xml:space="preserve">or example, O’Connor and Spangenberg (2008) developed a sustainability indicator framework of reporting based on stakeholder requirements; Mintcheva (2005) created </w:t>
      </w:r>
      <w:r>
        <w:rPr>
          <w:rFonts w:ascii="Times New Roman" w:hAnsi="Times New Roman"/>
        </w:rPr>
        <w:t xml:space="preserve">an </w:t>
      </w:r>
      <w:r w:rsidRPr="00A17776">
        <w:rPr>
          <w:rFonts w:ascii="Times New Roman" w:hAnsi="Times New Roman"/>
        </w:rPr>
        <w:t>environmental indicator framework for</w:t>
      </w:r>
      <w:r>
        <w:rPr>
          <w:rFonts w:ascii="Times New Roman" w:hAnsi="Times New Roman"/>
        </w:rPr>
        <w:t xml:space="preserve"> the</w:t>
      </w:r>
      <w:r w:rsidRPr="00A17776">
        <w:rPr>
          <w:rFonts w:ascii="Times New Roman" w:hAnsi="Times New Roman"/>
        </w:rPr>
        <w:t xml:space="preserve"> food supply chain; and Lundberg et al. (2009) structured an environmental indicator model for the public sector.</w:t>
      </w:r>
      <w:r w:rsidRPr="00F628F4">
        <w:rPr>
          <w:rFonts w:ascii="Times New Roman" w:hAnsi="Times New Roman"/>
        </w:rPr>
        <w:t xml:space="preserve"> </w:t>
      </w:r>
    </w:p>
  </w:footnote>
  <w:footnote w:id="2">
    <w:p w14:paraId="5C6A7861" w14:textId="405479B4" w:rsidR="00FA54A3" w:rsidRDefault="00FA54A3" w:rsidP="00073AFB">
      <w:pPr>
        <w:pStyle w:val="Alaviitteenteksti"/>
      </w:pPr>
      <w:r w:rsidRPr="006062F5">
        <w:rPr>
          <w:rStyle w:val="Alaviitteenviite"/>
          <w:rFonts w:ascii="Times New Roman" w:hAnsi="Times New Roman"/>
        </w:rPr>
        <w:footnoteRef/>
      </w:r>
      <w:r w:rsidRPr="006062F5">
        <w:rPr>
          <w:rFonts w:ascii="Times New Roman" w:hAnsi="Times New Roman"/>
        </w:rPr>
        <w:t xml:space="preserve"> </w:t>
      </w:r>
      <w:r w:rsidRPr="006062F5">
        <w:rPr>
          <w:rFonts w:ascii="Times New Roman" w:hAnsi="Times New Roman"/>
          <w:lang w:val="en-US"/>
        </w:rPr>
        <w:t>In the GRI version 3.1, the aspect groups of environmental performance indicators were materials; energy; water; biodiversity; emissions, effluents and waste; products and services; compliance; transport and overall</w:t>
      </w:r>
      <w:r>
        <w:rPr>
          <w:rFonts w:ascii="Times New Roman" w:hAnsi="Times New Roman"/>
          <w:lang w:val="en-US"/>
        </w:rPr>
        <w:t xml:space="preserve"> (GRI, 2011)</w:t>
      </w:r>
      <w:r w:rsidRPr="006062F5">
        <w:rPr>
          <w:rFonts w:ascii="Times New Roman" w:hAnsi="Times New Roman"/>
          <w:lang w:val="en-US"/>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96675"/>
    <w:multiLevelType w:val="hybridMultilevel"/>
    <w:tmpl w:val="836C519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08CE7A97"/>
    <w:multiLevelType w:val="hybridMultilevel"/>
    <w:tmpl w:val="8BD285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0BDE6473"/>
    <w:multiLevelType w:val="multilevel"/>
    <w:tmpl w:val="9F201E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2475E3B"/>
    <w:multiLevelType w:val="hybridMultilevel"/>
    <w:tmpl w:val="7F32262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nsid w:val="171241C8"/>
    <w:multiLevelType w:val="hybridMultilevel"/>
    <w:tmpl w:val="9284801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1A683641"/>
    <w:multiLevelType w:val="hybridMultilevel"/>
    <w:tmpl w:val="4FEC9CD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nsid w:val="1E9030E9"/>
    <w:multiLevelType w:val="hybridMultilevel"/>
    <w:tmpl w:val="95D0B66C"/>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nsid w:val="23867790"/>
    <w:multiLevelType w:val="hybridMultilevel"/>
    <w:tmpl w:val="9FCA8CD6"/>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nsid w:val="292F36FB"/>
    <w:multiLevelType w:val="hybridMultilevel"/>
    <w:tmpl w:val="B69AC446"/>
    <w:lvl w:ilvl="0" w:tplc="08B0905C">
      <w:start w:val="8"/>
      <w:numFmt w:val="bullet"/>
      <w:lvlText w:val="-"/>
      <w:lvlJc w:val="left"/>
      <w:pPr>
        <w:ind w:left="720" w:hanging="360"/>
      </w:pPr>
      <w:rPr>
        <w:rFonts w:ascii="Times New Roman" w:eastAsia="SimSun" w:hAnsi="Times New Roman" w:hint="default"/>
      </w:rPr>
    </w:lvl>
    <w:lvl w:ilvl="1" w:tplc="3F76DBEA">
      <w:numFmt w:val="bullet"/>
      <w:lvlText w:val=""/>
      <w:lvlJc w:val="left"/>
      <w:pPr>
        <w:ind w:left="1440" w:hanging="360"/>
      </w:pPr>
      <w:rPr>
        <w:rFonts w:ascii="Wingdings" w:eastAsia="Times New Roman" w:hAnsi="Wingdings"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nsid w:val="2B9C2F9C"/>
    <w:multiLevelType w:val="hybridMultilevel"/>
    <w:tmpl w:val="6C72CE00"/>
    <w:lvl w:ilvl="0" w:tplc="85708F5A">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nsid w:val="33BD20DD"/>
    <w:multiLevelType w:val="hybridMultilevel"/>
    <w:tmpl w:val="110E9452"/>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nsid w:val="34A4293B"/>
    <w:multiLevelType w:val="hybridMultilevel"/>
    <w:tmpl w:val="E594D9F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nsid w:val="376B4495"/>
    <w:multiLevelType w:val="hybridMultilevel"/>
    <w:tmpl w:val="E0CEFD38"/>
    <w:lvl w:ilvl="0" w:tplc="62BE9386">
      <w:start w:val="2"/>
      <w:numFmt w:val="bullet"/>
      <w:lvlText w:val="-"/>
      <w:lvlJc w:val="left"/>
      <w:pPr>
        <w:ind w:left="720" w:hanging="360"/>
      </w:pPr>
      <w:rPr>
        <w:rFonts w:ascii="Times New Roman" w:eastAsia="Times New Roman" w:hAnsi="Times New Roman"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nsid w:val="3931486D"/>
    <w:multiLevelType w:val="hybridMultilevel"/>
    <w:tmpl w:val="87F078A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nsid w:val="3B655207"/>
    <w:multiLevelType w:val="hybridMultilevel"/>
    <w:tmpl w:val="337EF97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nsid w:val="3DFC28F9"/>
    <w:multiLevelType w:val="hybridMultilevel"/>
    <w:tmpl w:val="1228F746"/>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nsid w:val="40220DDD"/>
    <w:multiLevelType w:val="hybridMultilevel"/>
    <w:tmpl w:val="CCCEA68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nsid w:val="4222563B"/>
    <w:multiLevelType w:val="hybridMultilevel"/>
    <w:tmpl w:val="110E9452"/>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
    <w:nsid w:val="423C4A0F"/>
    <w:multiLevelType w:val="hybridMultilevel"/>
    <w:tmpl w:val="BA420FF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nsid w:val="4A380D5D"/>
    <w:multiLevelType w:val="hybridMultilevel"/>
    <w:tmpl w:val="FC7007F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nsid w:val="4D8354C5"/>
    <w:multiLevelType w:val="hybridMultilevel"/>
    <w:tmpl w:val="A35C7058"/>
    <w:lvl w:ilvl="0" w:tplc="040B0001">
      <w:start w:val="1"/>
      <w:numFmt w:val="bullet"/>
      <w:lvlText w:val=""/>
      <w:lvlJc w:val="left"/>
      <w:pPr>
        <w:ind w:left="771" w:hanging="360"/>
      </w:pPr>
      <w:rPr>
        <w:rFonts w:ascii="Symbol" w:hAnsi="Symbol" w:hint="default"/>
      </w:rPr>
    </w:lvl>
    <w:lvl w:ilvl="1" w:tplc="040B0003" w:tentative="1">
      <w:start w:val="1"/>
      <w:numFmt w:val="bullet"/>
      <w:lvlText w:val="o"/>
      <w:lvlJc w:val="left"/>
      <w:pPr>
        <w:ind w:left="1491" w:hanging="360"/>
      </w:pPr>
      <w:rPr>
        <w:rFonts w:ascii="Courier New" w:hAnsi="Courier New" w:hint="default"/>
      </w:rPr>
    </w:lvl>
    <w:lvl w:ilvl="2" w:tplc="040B0005" w:tentative="1">
      <w:start w:val="1"/>
      <w:numFmt w:val="bullet"/>
      <w:lvlText w:val=""/>
      <w:lvlJc w:val="left"/>
      <w:pPr>
        <w:ind w:left="2211" w:hanging="360"/>
      </w:pPr>
      <w:rPr>
        <w:rFonts w:ascii="Wingdings" w:hAnsi="Wingdings" w:hint="default"/>
      </w:rPr>
    </w:lvl>
    <w:lvl w:ilvl="3" w:tplc="040B0001" w:tentative="1">
      <w:start w:val="1"/>
      <w:numFmt w:val="bullet"/>
      <w:lvlText w:val=""/>
      <w:lvlJc w:val="left"/>
      <w:pPr>
        <w:ind w:left="2931" w:hanging="360"/>
      </w:pPr>
      <w:rPr>
        <w:rFonts w:ascii="Symbol" w:hAnsi="Symbol" w:hint="default"/>
      </w:rPr>
    </w:lvl>
    <w:lvl w:ilvl="4" w:tplc="040B0003" w:tentative="1">
      <w:start w:val="1"/>
      <w:numFmt w:val="bullet"/>
      <w:lvlText w:val="o"/>
      <w:lvlJc w:val="left"/>
      <w:pPr>
        <w:ind w:left="3651" w:hanging="360"/>
      </w:pPr>
      <w:rPr>
        <w:rFonts w:ascii="Courier New" w:hAnsi="Courier New" w:hint="default"/>
      </w:rPr>
    </w:lvl>
    <w:lvl w:ilvl="5" w:tplc="040B0005" w:tentative="1">
      <w:start w:val="1"/>
      <w:numFmt w:val="bullet"/>
      <w:lvlText w:val=""/>
      <w:lvlJc w:val="left"/>
      <w:pPr>
        <w:ind w:left="4371" w:hanging="360"/>
      </w:pPr>
      <w:rPr>
        <w:rFonts w:ascii="Wingdings" w:hAnsi="Wingdings" w:hint="default"/>
      </w:rPr>
    </w:lvl>
    <w:lvl w:ilvl="6" w:tplc="040B0001" w:tentative="1">
      <w:start w:val="1"/>
      <w:numFmt w:val="bullet"/>
      <w:lvlText w:val=""/>
      <w:lvlJc w:val="left"/>
      <w:pPr>
        <w:ind w:left="5091" w:hanging="360"/>
      </w:pPr>
      <w:rPr>
        <w:rFonts w:ascii="Symbol" w:hAnsi="Symbol" w:hint="default"/>
      </w:rPr>
    </w:lvl>
    <w:lvl w:ilvl="7" w:tplc="040B0003" w:tentative="1">
      <w:start w:val="1"/>
      <w:numFmt w:val="bullet"/>
      <w:lvlText w:val="o"/>
      <w:lvlJc w:val="left"/>
      <w:pPr>
        <w:ind w:left="5811" w:hanging="360"/>
      </w:pPr>
      <w:rPr>
        <w:rFonts w:ascii="Courier New" w:hAnsi="Courier New" w:hint="default"/>
      </w:rPr>
    </w:lvl>
    <w:lvl w:ilvl="8" w:tplc="040B0005" w:tentative="1">
      <w:start w:val="1"/>
      <w:numFmt w:val="bullet"/>
      <w:lvlText w:val=""/>
      <w:lvlJc w:val="left"/>
      <w:pPr>
        <w:ind w:left="6531" w:hanging="360"/>
      </w:pPr>
      <w:rPr>
        <w:rFonts w:ascii="Wingdings" w:hAnsi="Wingdings" w:hint="default"/>
      </w:rPr>
    </w:lvl>
  </w:abstractNum>
  <w:abstractNum w:abstractNumId="21">
    <w:nsid w:val="519E5996"/>
    <w:multiLevelType w:val="hybridMultilevel"/>
    <w:tmpl w:val="17EAA9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2">
    <w:nsid w:val="51C70327"/>
    <w:multiLevelType w:val="hybridMultilevel"/>
    <w:tmpl w:val="2B00F26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nsid w:val="56E67668"/>
    <w:multiLevelType w:val="hybridMultilevel"/>
    <w:tmpl w:val="65025E1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4">
    <w:nsid w:val="5A925A98"/>
    <w:multiLevelType w:val="hybridMultilevel"/>
    <w:tmpl w:val="636A416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nsid w:val="5B8F4C87"/>
    <w:multiLevelType w:val="hybridMultilevel"/>
    <w:tmpl w:val="3B440B1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6">
    <w:nsid w:val="5E4A1333"/>
    <w:multiLevelType w:val="hybridMultilevel"/>
    <w:tmpl w:val="66B6C2C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7">
    <w:nsid w:val="5E4F391E"/>
    <w:multiLevelType w:val="hybridMultilevel"/>
    <w:tmpl w:val="E2A442C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8">
    <w:nsid w:val="60F152B2"/>
    <w:multiLevelType w:val="hybridMultilevel"/>
    <w:tmpl w:val="E642FD60"/>
    <w:lvl w:ilvl="0" w:tplc="28F46E54">
      <w:start w:val="1"/>
      <w:numFmt w:val="bullet"/>
      <w:lvlText w:val="-"/>
      <w:lvlJc w:val="left"/>
      <w:pPr>
        <w:ind w:left="720" w:hanging="360"/>
      </w:pPr>
      <w:rPr>
        <w:rFonts w:ascii="Times New Roman" w:eastAsia="Times New Roman" w:hAnsi="Times New Roman"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
    <w:nsid w:val="633F26EF"/>
    <w:multiLevelType w:val="hybridMultilevel"/>
    <w:tmpl w:val="21ECDE5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0">
    <w:nsid w:val="6D5349A8"/>
    <w:multiLevelType w:val="hybridMultilevel"/>
    <w:tmpl w:val="C652C87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1">
    <w:nsid w:val="6F1F3D4F"/>
    <w:multiLevelType w:val="hybridMultilevel"/>
    <w:tmpl w:val="5E98843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2">
    <w:nsid w:val="6F2C465E"/>
    <w:multiLevelType w:val="hybridMultilevel"/>
    <w:tmpl w:val="DB80611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3">
    <w:nsid w:val="71760F49"/>
    <w:multiLevelType w:val="hybridMultilevel"/>
    <w:tmpl w:val="49CC759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4">
    <w:nsid w:val="71A46FBD"/>
    <w:multiLevelType w:val="hybridMultilevel"/>
    <w:tmpl w:val="2AD0B9E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5">
    <w:nsid w:val="72CF3357"/>
    <w:multiLevelType w:val="hybridMultilevel"/>
    <w:tmpl w:val="799026D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6">
    <w:nsid w:val="72E4585C"/>
    <w:multiLevelType w:val="hybridMultilevel"/>
    <w:tmpl w:val="F2E62346"/>
    <w:lvl w:ilvl="0" w:tplc="040B000F">
      <w:start w:val="1"/>
      <w:numFmt w:val="decimal"/>
      <w:lvlText w:val="%1."/>
      <w:lvlJc w:val="left"/>
      <w:pPr>
        <w:ind w:left="720" w:hanging="360"/>
      </w:pPr>
      <w:rPr>
        <w:rFonts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7">
    <w:nsid w:val="791C66C9"/>
    <w:multiLevelType w:val="hybridMultilevel"/>
    <w:tmpl w:val="18C6C7E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9"/>
  </w:num>
  <w:num w:numId="2">
    <w:abstractNumId w:val="24"/>
  </w:num>
  <w:num w:numId="3">
    <w:abstractNumId w:val="33"/>
  </w:num>
  <w:num w:numId="4">
    <w:abstractNumId w:val="10"/>
  </w:num>
  <w:num w:numId="5">
    <w:abstractNumId w:val="2"/>
  </w:num>
  <w:num w:numId="6">
    <w:abstractNumId w:val="26"/>
  </w:num>
  <w:num w:numId="7">
    <w:abstractNumId w:val="8"/>
  </w:num>
  <w:num w:numId="8">
    <w:abstractNumId w:val="31"/>
  </w:num>
  <w:num w:numId="9">
    <w:abstractNumId w:val="37"/>
  </w:num>
  <w:num w:numId="10">
    <w:abstractNumId w:val="15"/>
  </w:num>
  <w:num w:numId="11">
    <w:abstractNumId w:val="35"/>
  </w:num>
  <w:num w:numId="12">
    <w:abstractNumId w:val="13"/>
  </w:num>
  <w:num w:numId="13">
    <w:abstractNumId w:val="25"/>
  </w:num>
  <w:num w:numId="14">
    <w:abstractNumId w:val="14"/>
  </w:num>
  <w:num w:numId="15">
    <w:abstractNumId w:val="18"/>
  </w:num>
  <w:num w:numId="16">
    <w:abstractNumId w:val="17"/>
  </w:num>
  <w:num w:numId="17">
    <w:abstractNumId w:val="4"/>
  </w:num>
  <w:num w:numId="18">
    <w:abstractNumId w:val="29"/>
  </w:num>
  <w:num w:numId="19">
    <w:abstractNumId w:val="7"/>
  </w:num>
  <w:num w:numId="20">
    <w:abstractNumId w:val="28"/>
  </w:num>
  <w:num w:numId="21">
    <w:abstractNumId w:val="30"/>
  </w:num>
  <w:num w:numId="22">
    <w:abstractNumId w:val="36"/>
  </w:num>
  <w:num w:numId="23">
    <w:abstractNumId w:val="22"/>
  </w:num>
  <w:num w:numId="24">
    <w:abstractNumId w:val="19"/>
  </w:num>
  <w:num w:numId="25">
    <w:abstractNumId w:val="32"/>
  </w:num>
  <w:num w:numId="26">
    <w:abstractNumId w:val="0"/>
  </w:num>
  <w:num w:numId="27">
    <w:abstractNumId w:val="3"/>
  </w:num>
  <w:num w:numId="28">
    <w:abstractNumId w:val="16"/>
  </w:num>
  <w:num w:numId="29">
    <w:abstractNumId w:val="12"/>
  </w:num>
  <w:num w:numId="30">
    <w:abstractNumId w:val="5"/>
  </w:num>
  <w:num w:numId="31">
    <w:abstractNumId w:val="20"/>
  </w:num>
  <w:num w:numId="32">
    <w:abstractNumId w:val="1"/>
  </w:num>
  <w:num w:numId="33">
    <w:abstractNumId w:val="11"/>
  </w:num>
  <w:num w:numId="34">
    <w:abstractNumId w:val="23"/>
  </w:num>
  <w:num w:numId="35">
    <w:abstractNumId w:val="6"/>
  </w:num>
  <w:num w:numId="36">
    <w:abstractNumId w:val="21"/>
  </w:num>
  <w:num w:numId="37">
    <w:abstractNumId w:val="27"/>
  </w:num>
  <w:num w:numId="3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304"/>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043E"/>
    <w:rsid w:val="000050EC"/>
    <w:rsid w:val="0000566B"/>
    <w:rsid w:val="00007CDD"/>
    <w:rsid w:val="00011581"/>
    <w:rsid w:val="0001172D"/>
    <w:rsid w:val="000123B3"/>
    <w:rsid w:val="000144F7"/>
    <w:rsid w:val="00015590"/>
    <w:rsid w:val="0001669F"/>
    <w:rsid w:val="0002069F"/>
    <w:rsid w:val="000206BA"/>
    <w:rsid w:val="00022DF3"/>
    <w:rsid w:val="0002668D"/>
    <w:rsid w:val="00027282"/>
    <w:rsid w:val="00030316"/>
    <w:rsid w:val="00030AEA"/>
    <w:rsid w:val="00030C80"/>
    <w:rsid w:val="0003125E"/>
    <w:rsid w:val="00031B93"/>
    <w:rsid w:val="00031FAD"/>
    <w:rsid w:val="00032B58"/>
    <w:rsid w:val="00037292"/>
    <w:rsid w:val="000373A1"/>
    <w:rsid w:val="000375AC"/>
    <w:rsid w:val="00037BC4"/>
    <w:rsid w:val="00042169"/>
    <w:rsid w:val="00042B8E"/>
    <w:rsid w:val="00045313"/>
    <w:rsid w:val="0004792D"/>
    <w:rsid w:val="000508BF"/>
    <w:rsid w:val="000515D4"/>
    <w:rsid w:val="00051914"/>
    <w:rsid w:val="00051BFE"/>
    <w:rsid w:val="0005271E"/>
    <w:rsid w:val="00052A36"/>
    <w:rsid w:val="000535CE"/>
    <w:rsid w:val="00053708"/>
    <w:rsid w:val="00054718"/>
    <w:rsid w:val="00056599"/>
    <w:rsid w:val="000565F2"/>
    <w:rsid w:val="000566F1"/>
    <w:rsid w:val="00057959"/>
    <w:rsid w:val="00057D50"/>
    <w:rsid w:val="00061F45"/>
    <w:rsid w:val="00063A55"/>
    <w:rsid w:val="00063ADB"/>
    <w:rsid w:val="000640DA"/>
    <w:rsid w:val="000672FF"/>
    <w:rsid w:val="000717A2"/>
    <w:rsid w:val="00071997"/>
    <w:rsid w:val="0007364D"/>
    <w:rsid w:val="00073724"/>
    <w:rsid w:val="00073AFB"/>
    <w:rsid w:val="00076327"/>
    <w:rsid w:val="000819AA"/>
    <w:rsid w:val="00084F6B"/>
    <w:rsid w:val="000868A3"/>
    <w:rsid w:val="00086FFF"/>
    <w:rsid w:val="00095A4A"/>
    <w:rsid w:val="000975FA"/>
    <w:rsid w:val="00097628"/>
    <w:rsid w:val="000978B3"/>
    <w:rsid w:val="000A0151"/>
    <w:rsid w:val="000A0D1A"/>
    <w:rsid w:val="000A1DA7"/>
    <w:rsid w:val="000A1FC7"/>
    <w:rsid w:val="000A4859"/>
    <w:rsid w:val="000A54DB"/>
    <w:rsid w:val="000A7CC9"/>
    <w:rsid w:val="000B29E5"/>
    <w:rsid w:val="000B2FBB"/>
    <w:rsid w:val="000B60A0"/>
    <w:rsid w:val="000B64E6"/>
    <w:rsid w:val="000B6A5A"/>
    <w:rsid w:val="000B6E00"/>
    <w:rsid w:val="000B7260"/>
    <w:rsid w:val="000C068B"/>
    <w:rsid w:val="000C0F1E"/>
    <w:rsid w:val="000C28D5"/>
    <w:rsid w:val="000C31C1"/>
    <w:rsid w:val="000C4385"/>
    <w:rsid w:val="000C5447"/>
    <w:rsid w:val="000C5990"/>
    <w:rsid w:val="000D1DE3"/>
    <w:rsid w:val="000D47BD"/>
    <w:rsid w:val="000D55AE"/>
    <w:rsid w:val="000D5B72"/>
    <w:rsid w:val="000D5C87"/>
    <w:rsid w:val="000D5CB1"/>
    <w:rsid w:val="000D6606"/>
    <w:rsid w:val="000D7052"/>
    <w:rsid w:val="000D7A37"/>
    <w:rsid w:val="000E23DB"/>
    <w:rsid w:val="000E47DD"/>
    <w:rsid w:val="000E4A80"/>
    <w:rsid w:val="000F0764"/>
    <w:rsid w:val="000F32D6"/>
    <w:rsid w:val="000F43CD"/>
    <w:rsid w:val="000F57AF"/>
    <w:rsid w:val="000F6986"/>
    <w:rsid w:val="001000DC"/>
    <w:rsid w:val="001022CD"/>
    <w:rsid w:val="00102E0F"/>
    <w:rsid w:val="001048B9"/>
    <w:rsid w:val="001052DF"/>
    <w:rsid w:val="0010581C"/>
    <w:rsid w:val="00105B0A"/>
    <w:rsid w:val="00107196"/>
    <w:rsid w:val="00107B30"/>
    <w:rsid w:val="001100A2"/>
    <w:rsid w:val="00112042"/>
    <w:rsid w:val="0011448F"/>
    <w:rsid w:val="00114C1C"/>
    <w:rsid w:val="001170AF"/>
    <w:rsid w:val="001215F5"/>
    <w:rsid w:val="00121E0D"/>
    <w:rsid w:val="0012371F"/>
    <w:rsid w:val="0012665D"/>
    <w:rsid w:val="001269BF"/>
    <w:rsid w:val="001272C2"/>
    <w:rsid w:val="001304E6"/>
    <w:rsid w:val="001318AA"/>
    <w:rsid w:val="001340CF"/>
    <w:rsid w:val="001345B6"/>
    <w:rsid w:val="00136B6D"/>
    <w:rsid w:val="00140BD1"/>
    <w:rsid w:val="001416A9"/>
    <w:rsid w:val="00141CBF"/>
    <w:rsid w:val="00144B9B"/>
    <w:rsid w:val="00145975"/>
    <w:rsid w:val="0014654D"/>
    <w:rsid w:val="00147FBF"/>
    <w:rsid w:val="0015047F"/>
    <w:rsid w:val="0015362B"/>
    <w:rsid w:val="001541A9"/>
    <w:rsid w:val="001541FE"/>
    <w:rsid w:val="001548D2"/>
    <w:rsid w:val="00155B84"/>
    <w:rsid w:val="001566F2"/>
    <w:rsid w:val="00156EBE"/>
    <w:rsid w:val="0016179A"/>
    <w:rsid w:val="00161DF9"/>
    <w:rsid w:val="001631C1"/>
    <w:rsid w:val="00163D93"/>
    <w:rsid w:val="001645F9"/>
    <w:rsid w:val="00165A44"/>
    <w:rsid w:val="00167ADC"/>
    <w:rsid w:val="001712B2"/>
    <w:rsid w:val="00174717"/>
    <w:rsid w:val="00174D86"/>
    <w:rsid w:val="001753BA"/>
    <w:rsid w:val="00175E92"/>
    <w:rsid w:val="00176DBD"/>
    <w:rsid w:val="0017703B"/>
    <w:rsid w:val="00177331"/>
    <w:rsid w:val="00180BB4"/>
    <w:rsid w:val="00181F79"/>
    <w:rsid w:val="00182E22"/>
    <w:rsid w:val="001842D4"/>
    <w:rsid w:val="00184620"/>
    <w:rsid w:val="001846A0"/>
    <w:rsid w:val="001902EE"/>
    <w:rsid w:val="00190B60"/>
    <w:rsid w:val="00191613"/>
    <w:rsid w:val="00191661"/>
    <w:rsid w:val="00195218"/>
    <w:rsid w:val="001960D2"/>
    <w:rsid w:val="00197C37"/>
    <w:rsid w:val="001A023C"/>
    <w:rsid w:val="001A27AC"/>
    <w:rsid w:val="001A6673"/>
    <w:rsid w:val="001A7125"/>
    <w:rsid w:val="001B032C"/>
    <w:rsid w:val="001B2830"/>
    <w:rsid w:val="001B285A"/>
    <w:rsid w:val="001B28A6"/>
    <w:rsid w:val="001B35A3"/>
    <w:rsid w:val="001B3BE6"/>
    <w:rsid w:val="001B44C7"/>
    <w:rsid w:val="001B7806"/>
    <w:rsid w:val="001C003B"/>
    <w:rsid w:val="001C036E"/>
    <w:rsid w:val="001C119C"/>
    <w:rsid w:val="001C32DA"/>
    <w:rsid w:val="001C507B"/>
    <w:rsid w:val="001C7821"/>
    <w:rsid w:val="001D0A25"/>
    <w:rsid w:val="001E00B0"/>
    <w:rsid w:val="001E0D19"/>
    <w:rsid w:val="001E23E0"/>
    <w:rsid w:val="001E4C32"/>
    <w:rsid w:val="001E5127"/>
    <w:rsid w:val="001E5CC8"/>
    <w:rsid w:val="001E5DD4"/>
    <w:rsid w:val="001E72DF"/>
    <w:rsid w:val="001E7C9E"/>
    <w:rsid w:val="001F0F88"/>
    <w:rsid w:val="001F1A6C"/>
    <w:rsid w:val="001F37CB"/>
    <w:rsid w:val="001F46F5"/>
    <w:rsid w:val="001F664D"/>
    <w:rsid w:val="001F72DF"/>
    <w:rsid w:val="002013DF"/>
    <w:rsid w:val="00201782"/>
    <w:rsid w:val="00201805"/>
    <w:rsid w:val="00201B7D"/>
    <w:rsid w:val="00202571"/>
    <w:rsid w:val="00202B8D"/>
    <w:rsid w:val="00203900"/>
    <w:rsid w:val="0020732E"/>
    <w:rsid w:val="002075E0"/>
    <w:rsid w:val="002077A7"/>
    <w:rsid w:val="00207C49"/>
    <w:rsid w:val="0021000C"/>
    <w:rsid w:val="00210C76"/>
    <w:rsid w:val="0021256B"/>
    <w:rsid w:val="00217DB7"/>
    <w:rsid w:val="0022023E"/>
    <w:rsid w:val="002212EE"/>
    <w:rsid w:val="00221586"/>
    <w:rsid w:val="00223130"/>
    <w:rsid w:val="00230220"/>
    <w:rsid w:val="00230B9C"/>
    <w:rsid w:val="00233D9D"/>
    <w:rsid w:val="00234FEE"/>
    <w:rsid w:val="00235933"/>
    <w:rsid w:val="00236D58"/>
    <w:rsid w:val="00240532"/>
    <w:rsid w:val="00240BC1"/>
    <w:rsid w:val="00240DDF"/>
    <w:rsid w:val="00241449"/>
    <w:rsid w:val="00242436"/>
    <w:rsid w:val="002428A6"/>
    <w:rsid w:val="00243D53"/>
    <w:rsid w:val="00244047"/>
    <w:rsid w:val="00245B12"/>
    <w:rsid w:val="00246628"/>
    <w:rsid w:val="00247E30"/>
    <w:rsid w:val="00250818"/>
    <w:rsid w:val="00252277"/>
    <w:rsid w:val="002531A3"/>
    <w:rsid w:val="00255172"/>
    <w:rsid w:val="002557E1"/>
    <w:rsid w:val="002571E1"/>
    <w:rsid w:val="00257A48"/>
    <w:rsid w:val="00260097"/>
    <w:rsid w:val="0026043A"/>
    <w:rsid w:val="00260CE2"/>
    <w:rsid w:val="002622EE"/>
    <w:rsid w:val="002628E5"/>
    <w:rsid w:val="002649DA"/>
    <w:rsid w:val="00270829"/>
    <w:rsid w:val="0027291C"/>
    <w:rsid w:val="00272EFA"/>
    <w:rsid w:val="00275079"/>
    <w:rsid w:val="00280A94"/>
    <w:rsid w:val="0028302F"/>
    <w:rsid w:val="00283A26"/>
    <w:rsid w:val="00285491"/>
    <w:rsid w:val="002864A1"/>
    <w:rsid w:val="002869A6"/>
    <w:rsid w:val="00286F34"/>
    <w:rsid w:val="002872AB"/>
    <w:rsid w:val="00290DF1"/>
    <w:rsid w:val="00291864"/>
    <w:rsid w:val="00292089"/>
    <w:rsid w:val="00292D8A"/>
    <w:rsid w:val="002947AF"/>
    <w:rsid w:val="00294E1A"/>
    <w:rsid w:val="002962FB"/>
    <w:rsid w:val="002965FD"/>
    <w:rsid w:val="00297362"/>
    <w:rsid w:val="0029743D"/>
    <w:rsid w:val="002975BF"/>
    <w:rsid w:val="00297CCF"/>
    <w:rsid w:val="002A005E"/>
    <w:rsid w:val="002A4635"/>
    <w:rsid w:val="002A49D4"/>
    <w:rsid w:val="002B06E8"/>
    <w:rsid w:val="002B107E"/>
    <w:rsid w:val="002B17C0"/>
    <w:rsid w:val="002B2064"/>
    <w:rsid w:val="002B39E6"/>
    <w:rsid w:val="002B5B4D"/>
    <w:rsid w:val="002B73A8"/>
    <w:rsid w:val="002B73FE"/>
    <w:rsid w:val="002C045F"/>
    <w:rsid w:val="002C220D"/>
    <w:rsid w:val="002C3AD8"/>
    <w:rsid w:val="002C48C4"/>
    <w:rsid w:val="002C4CD3"/>
    <w:rsid w:val="002C4DF2"/>
    <w:rsid w:val="002C4FC7"/>
    <w:rsid w:val="002C5465"/>
    <w:rsid w:val="002D04F4"/>
    <w:rsid w:val="002D1D4D"/>
    <w:rsid w:val="002D3A23"/>
    <w:rsid w:val="002D4CF0"/>
    <w:rsid w:val="002D7650"/>
    <w:rsid w:val="002D7BE7"/>
    <w:rsid w:val="002F3895"/>
    <w:rsid w:val="002F774B"/>
    <w:rsid w:val="00301CDF"/>
    <w:rsid w:val="00303039"/>
    <w:rsid w:val="00303433"/>
    <w:rsid w:val="00303B19"/>
    <w:rsid w:val="003040FA"/>
    <w:rsid w:val="0030460C"/>
    <w:rsid w:val="00305CBD"/>
    <w:rsid w:val="00311613"/>
    <w:rsid w:val="00311BC8"/>
    <w:rsid w:val="00312676"/>
    <w:rsid w:val="003137BA"/>
    <w:rsid w:val="00314F30"/>
    <w:rsid w:val="003166F8"/>
    <w:rsid w:val="00317A8E"/>
    <w:rsid w:val="00320431"/>
    <w:rsid w:val="00321224"/>
    <w:rsid w:val="00323DC6"/>
    <w:rsid w:val="00323DD5"/>
    <w:rsid w:val="00325B9D"/>
    <w:rsid w:val="00327D20"/>
    <w:rsid w:val="0033029D"/>
    <w:rsid w:val="00330EB1"/>
    <w:rsid w:val="003339C7"/>
    <w:rsid w:val="00334AA6"/>
    <w:rsid w:val="00337952"/>
    <w:rsid w:val="00340C8F"/>
    <w:rsid w:val="0034190C"/>
    <w:rsid w:val="00342CE2"/>
    <w:rsid w:val="00343DC6"/>
    <w:rsid w:val="00347388"/>
    <w:rsid w:val="003502AD"/>
    <w:rsid w:val="003509E5"/>
    <w:rsid w:val="003512B8"/>
    <w:rsid w:val="003512FF"/>
    <w:rsid w:val="0035284F"/>
    <w:rsid w:val="00355276"/>
    <w:rsid w:val="0036014C"/>
    <w:rsid w:val="0036069A"/>
    <w:rsid w:val="003614EE"/>
    <w:rsid w:val="00361830"/>
    <w:rsid w:val="00362361"/>
    <w:rsid w:val="003652EC"/>
    <w:rsid w:val="003704D3"/>
    <w:rsid w:val="00371F8B"/>
    <w:rsid w:val="0037288B"/>
    <w:rsid w:val="00372972"/>
    <w:rsid w:val="00373E9F"/>
    <w:rsid w:val="003740DE"/>
    <w:rsid w:val="00374753"/>
    <w:rsid w:val="00376D07"/>
    <w:rsid w:val="00377ADD"/>
    <w:rsid w:val="00380440"/>
    <w:rsid w:val="00380835"/>
    <w:rsid w:val="00382C5C"/>
    <w:rsid w:val="003868D0"/>
    <w:rsid w:val="00386C64"/>
    <w:rsid w:val="0038700E"/>
    <w:rsid w:val="00392DDE"/>
    <w:rsid w:val="0039382A"/>
    <w:rsid w:val="00395D69"/>
    <w:rsid w:val="003A0B8E"/>
    <w:rsid w:val="003A28EF"/>
    <w:rsid w:val="003A323D"/>
    <w:rsid w:val="003A785D"/>
    <w:rsid w:val="003B27B8"/>
    <w:rsid w:val="003B2EDE"/>
    <w:rsid w:val="003B3108"/>
    <w:rsid w:val="003B3DFF"/>
    <w:rsid w:val="003B72EF"/>
    <w:rsid w:val="003C0147"/>
    <w:rsid w:val="003C0F71"/>
    <w:rsid w:val="003C13ED"/>
    <w:rsid w:val="003C26B8"/>
    <w:rsid w:val="003C2E2E"/>
    <w:rsid w:val="003C3D03"/>
    <w:rsid w:val="003C609C"/>
    <w:rsid w:val="003C738C"/>
    <w:rsid w:val="003D17FD"/>
    <w:rsid w:val="003D2067"/>
    <w:rsid w:val="003D46DC"/>
    <w:rsid w:val="003D7CA6"/>
    <w:rsid w:val="003D7F0E"/>
    <w:rsid w:val="003E045E"/>
    <w:rsid w:val="003E0BA0"/>
    <w:rsid w:val="003E1944"/>
    <w:rsid w:val="003E3AF9"/>
    <w:rsid w:val="003E4150"/>
    <w:rsid w:val="003E466D"/>
    <w:rsid w:val="003E5AE5"/>
    <w:rsid w:val="003E675A"/>
    <w:rsid w:val="003F114D"/>
    <w:rsid w:val="003F558A"/>
    <w:rsid w:val="003F678F"/>
    <w:rsid w:val="003F7272"/>
    <w:rsid w:val="003F78D6"/>
    <w:rsid w:val="003F7AC9"/>
    <w:rsid w:val="00400711"/>
    <w:rsid w:val="0040085F"/>
    <w:rsid w:val="00401390"/>
    <w:rsid w:val="00404AE0"/>
    <w:rsid w:val="00405908"/>
    <w:rsid w:val="004104AF"/>
    <w:rsid w:val="00412F73"/>
    <w:rsid w:val="00412FD6"/>
    <w:rsid w:val="004134E7"/>
    <w:rsid w:val="004153DF"/>
    <w:rsid w:val="00420817"/>
    <w:rsid w:val="00421117"/>
    <w:rsid w:val="004242F5"/>
    <w:rsid w:val="00425457"/>
    <w:rsid w:val="004259D4"/>
    <w:rsid w:val="00427EDC"/>
    <w:rsid w:val="00430E58"/>
    <w:rsid w:val="00432430"/>
    <w:rsid w:val="00432D5D"/>
    <w:rsid w:val="0043350F"/>
    <w:rsid w:val="004415E8"/>
    <w:rsid w:val="00442D56"/>
    <w:rsid w:val="0044369F"/>
    <w:rsid w:val="0044444C"/>
    <w:rsid w:val="00445638"/>
    <w:rsid w:val="004460C8"/>
    <w:rsid w:val="004465E0"/>
    <w:rsid w:val="0044758D"/>
    <w:rsid w:val="00447CC9"/>
    <w:rsid w:val="00447D86"/>
    <w:rsid w:val="00451210"/>
    <w:rsid w:val="004524D0"/>
    <w:rsid w:val="00453528"/>
    <w:rsid w:val="00453F5B"/>
    <w:rsid w:val="00457DC0"/>
    <w:rsid w:val="00462FAC"/>
    <w:rsid w:val="0046316E"/>
    <w:rsid w:val="00463D40"/>
    <w:rsid w:val="00466E1B"/>
    <w:rsid w:val="00467983"/>
    <w:rsid w:val="00467B80"/>
    <w:rsid w:val="00471CA1"/>
    <w:rsid w:val="004747AF"/>
    <w:rsid w:val="00475560"/>
    <w:rsid w:val="00475907"/>
    <w:rsid w:val="00477167"/>
    <w:rsid w:val="00480A45"/>
    <w:rsid w:val="0048217E"/>
    <w:rsid w:val="0048285E"/>
    <w:rsid w:val="00483172"/>
    <w:rsid w:val="00486606"/>
    <w:rsid w:val="004866F6"/>
    <w:rsid w:val="004869DD"/>
    <w:rsid w:val="00490632"/>
    <w:rsid w:val="004911D6"/>
    <w:rsid w:val="00491CC5"/>
    <w:rsid w:val="00494A61"/>
    <w:rsid w:val="00496292"/>
    <w:rsid w:val="00496579"/>
    <w:rsid w:val="004971A4"/>
    <w:rsid w:val="004A0F7E"/>
    <w:rsid w:val="004A424D"/>
    <w:rsid w:val="004A442F"/>
    <w:rsid w:val="004A7AE9"/>
    <w:rsid w:val="004B0C17"/>
    <w:rsid w:val="004B20B1"/>
    <w:rsid w:val="004B3557"/>
    <w:rsid w:val="004B4879"/>
    <w:rsid w:val="004B6C14"/>
    <w:rsid w:val="004B7525"/>
    <w:rsid w:val="004B79EC"/>
    <w:rsid w:val="004C1224"/>
    <w:rsid w:val="004C2327"/>
    <w:rsid w:val="004C2CCE"/>
    <w:rsid w:val="004C4C55"/>
    <w:rsid w:val="004D24DD"/>
    <w:rsid w:val="004D747A"/>
    <w:rsid w:val="004D7E91"/>
    <w:rsid w:val="004E09F0"/>
    <w:rsid w:val="004E1588"/>
    <w:rsid w:val="004E2F06"/>
    <w:rsid w:val="004E68B4"/>
    <w:rsid w:val="004E77DF"/>
    <w:rsid w:val="004F162F"/>
    <w:rsid w:val="004F25C8"/>
    <w:rsid w:val="004F33B3"/>
    <w:rsid w:val="004F5B93"/>
    <w:rsid w:val="004F751A"/>
    <w:rsid w:val="004F7C35"/>
    <w:rsid w:val="004F7F8F"/>
    <w:rsid w:val="00500680"/>
    <w:rsid w:val="00500D0F"/>
    <w:rsid w:val="00501491"/>
    <w:rsid w:val="0050353B"/>
    <w:rsid w:val="0050420E"/>
    <w:rsid w:val="00504277"/>
    <w:rsid w:val="00505F02"/>
    <w:rsid w:val="0051272F"/>
    <w:rsid w:val="005152D2"/>
    <w:rsid w:val="00516344"/>
    <w:rsid w:val="00517E70"/>
    <w:rsid w:val="00520799"/>
    <w:rsid w:val="005213AF"/>
    <w:rsid w:val="00523519"/>
    <w:rsid w:val="005243A6"/>
    <w:rsid w:val="00524BC3"/>
    <w:rsid w:val="00524ED3"/>
    <w:rsid w:val="005279FE"/>
    <w:rsid w:val="0053068A"/>
    <w:rsid w:val="00531A64"/>
    <w:rsid w:val="00531FF3"/>
    <w:rsid w:val="005332E5"/>
    <w:rsid w:val="00533B63"/>
    <w:rsid w:val="005341BC"/>
    <w:rsid w:val="005348B2"/>
    <w:rsid w:val="00535E4A"/>
    <w:rsid w:val="005402D4"/>
    <w:rsid w:val="00544939"/>
    <w:rsid w:val="005455E4"/>
    <w:rsid w:val="00546FEF"/>
    <w:rsid w:val="00547B72"/>
    <w:rsid w:val="00551518"/>
    <w:rsid w:val="0055217C"/>
    <w:rsid w:val="00553A54"/>
    <w:rsid w:val="00555512"/>
    <w:rsid w:val="005559AD"/>
    <w:rsid w:val="005560B6"/>
    <w:rsid w:val="00556A19"/>
    <w:rsid w:val="00557E50"/>
    <w:rsid w:val="00564184"/>
    <w:rsid w:val="00564B1B"/>
    <w:rsid w:val="005651A6"/>
    <w:rsid w:val="00567777"/>
    <w:rsid w:val="00570924"/>
    <w:rsid w:val="00570E12"/>
    <w:rsid w:val="00572657"/>
    <w:rsid w:val="005732FA"/>
    <w:rsid w:val="005761AF"/>
    <w:rsid w:val="00576247"/>
    <w:rsid w:val="00577BBD"/>
    <w:rsid w:val="00580520"/>
    <w:rsid w:val="005807DC"/>
    <w:rsid w:val="00580977"/>
    <w:rsid w:val="00581EC4"/>
    <w:rsid w:val="00584113"/>
    <w:rsid w:val="00584532"/>
    <w:rsid w:val="005847AC"/>
    <w:rsid w:val="00587001"/>
    <w:rsid w:val="005872E3"/>
    <w:rsid w:val="00587DA2"/>
    <w:rsid w:val="00591A56"/>
    <w:rsid w:val="00593F43"/>
    <w:rsid w:val="005940CC"/>
    <w:rsid w:val="005947B2"/>
    <w:rsid w:val="005953BF"/>
    <w:rsid w:val="0059552D"/>
    <w:rsid w:val="00595591"/>
    <w:rsid w:val="005956F1"/>
    <w:rsid w:val="00595DF5"/>
    <w:rsid w:val="005A009D"/>
    <w:rsid w:val="005A1080"/>
    <w:rsid w:val="005A1F95"/>
    <w:rsid w:val="005A205D"/>
    <w:rsid w:val="005A2CE4"/>
    <w:rsid w:val="005A45B0"/>
    <w:rsid w:val="005A5C4E"/>
    <w:rsid w:val="005A65B6"/>
    <w:rsid w:val="005A6DB2"/>
    <w:rsid w:val="005B079C"/>
    <w:rsid w:val="005B14BF"/>
    <w:rsid w:val="005B2314"/>
    <w:rsid w:val="005B2BC8"/>
    <w:rsid w:val="005B5640"/>
    <w:rsid w:val="005C2D77"/>
    <w:rsid w:val="005C2F3E"/>
    <w:rsid w:val="005C334E"/>
    <w:rsid w:val="005C3A4B"/>
    <w:rsid w:val="005C51D4"/>
    <w:rsid w:val="005C5349"/>
    <w:rsid w:val="005C5678"/>
    <w:rsid w:val="005C62A5"/>
    <w:rsid w:val="005C63BD"/>
    <w:rsid w:val="005C72ED"/>
    <w:rsid w:val="005D0A2D"/>
    <w:rsid w:val="005D5557"/>
    <w:rsid w:val="005D57EE"/>
    <w:rsid w:val="005E0A4A"/>
    <w:rsid w:val="005E1DB7"/>
    <w:rsid w:val="005E2319"/>
    <w:rsid w:val="005E24EF"/>
    <w:rsid w:val="005E36FB"/>
    <w:rsid w:val="005E5C09"/>
    <w:rsid w:val="005E7474"/>
    <w:rsid w:val="005E780B"/>
    <w:rsid w:val="005E7DB9"/>
    <w:rsid w:val="005F04B1"/>
    <w:rsid w:val="005F1FB9"/>
    <w:rsid w:val="005F4275"/>
    <w:rsid w:val="005F73A2"/>
    <w:rsid w:val="00600706"/>
    <w:rsid w:val="00600C15"/>
    <w:rsid w:val="00602372"/>
    <w:rsid w:val="006028C6"/>
    <w:rsid w:val="00605104"/>
    <w:rsid w:val="006062F5"/>
    <w:rsid w:val="00610CF3"/>
    <w:rsid w:val="0061414D"/>
    <w:rsid w:val="00615164"/>
    <w:rsid w:val="00615A77"/>
    <w:rsid w:val="0061630A"/>
    <w:rsid w:val="00617DDF"/>
    <w:rsid w:val="00621885"/>
    <w:rsid w:val="0062587F"/>
    <w:rsid w:val="00625ED9"/>
    <w:rsid w:val="00625F9A"/>
    <w:rsid w:val="00627131"/>
    <w:rsid w:val="00631D8A"/>
    <w:rsid w:val="006321A0"/>
    <w:rsid w:val="006352EE"/>
    <w:rsid w:val="0063557E"/>
    <w:rsid w:val="006421A4"/>
    <w:rsid w:val="00642781"/>
    <w:rsid w:val="0064359A"/>
    <w:rsid w:val="00645397"/>
    <w:rsid w:val="0064689A"/>
    <w:rsid w:val="00650CE3"/>
    <w:rsid w:val="0065119C"/>
    <w:rsid w:val="0065158E"/>
    <w:rsid w:val="00652143"/>
    <w:rsid w:val="0065340B"/>
    <w:rsid w:val="0065426B"/>
    <w:rsid w:val="00655A54"/>
    <w:rsid w:val="00655EF4"/>
    <w:rsid w:val="006577B4"/>
    <w:rsid w:val="00660EED"/>
    <w:rsid w:val="00661A1B"/>
    <w:rsid w:val="00664E7A"/>
    <w:rsid w:val="006658AE"/>
    <w:rsid w:val="006661B0"/>
    <w:rsid w:val="006661DB"/>
    <w:rsid w:val="006662DE"/>
    <w:rsid w:val="006677AD"/>
    <w:rsid w:val="00667D26"/>
    <w:rsid w:val="00670F21"/>
    <w:rsid w:val="00672761"/>
    <w:rsid w:val="006756CA"/>
    <w:rsid w:val="00675C57"/>
    <w:rsid w:val="00675E16"/>
    <w:rsid w:val="006764C4"/>
    <w:rsid w:val="00676511"/>
    <w:rsid w:val="006828ED"/>
    <w:rsid w:val="0068295A"/>
    <w:rsid w:val="006856D2"/>
    <w:rsid w:val="00685B91"/>
    <w:rsid w:val="00687D70"/>
    <w:rsid w:val="006905AD"/>
    <w:rsid w:val="00692793"/>
    <w:rsid w:val="00693627"/>
    <w:rsid w:val="00697C3D"/>
    <w:rsid w:val="006A00AF"/>
    <w:rsid w:val="006A2CE2"/>
    <w:rsid w:val="006A3031"/>
    <w:rsid w:val="006A37AC"/>
    <w:rsid w:val="006A3AF0"/>
    <w:rsid w:val="006A4324"/>
    <w:rsid w:val="006A6EB5"/>
    <w:rsid w:val="006A7307"/>
    <w:rsid w:val="006A76DA"/>
    <w:rsid w:val="006A7DE9"/>
    <w:rsid w:val="006B08FB"/>
    <w:rsid w:val="006B3892"/>
    <w:rsid w:val="006B38DE"/>
    <w:rsid w:val="006B4C28"/>
    <w:rsid w:val="006B62ED"/>
    <w:rsid w:val="006B71E1"/>
    <w:rsid w:val="006B7380"/>
    <w:rsid w:val="006B7A98"/>
    <w:rsid w:val="006C058A"/>
    <w:rsid w:val="006C08BD"/>
    <w:rsid w:val="006C09FE"/>
    <w:rsid w:val="006C10AF"/>
    <w:rsid w:val="006C287A"/>
    <w:rsid w:val="006C3838"/>
    <w:rsid w:val="006C5486"/>
    <w:rsid w:val="006C5E19"/>
    <w:rsid w:val="006D04FA"/>
    <w:rsid w:val="006D1C77"/>
    <w:rsid w:val="006D3E6D"/>
    <w:rsid w:val="006D419F"/>
    <w:rsid w:val="006D4491"/>
    <w:rsid w:val="006D4872"/>
    <w:rsid w:val="006D5967"/>
    <w:rsid w:val="006D79F2"/>
    <w:rsid w:val="006E0F9C"/>
    <w:rsid w:val="006E183A"/>
    <w:rsid w:val="006E1BC9"/>
    <w:rsid w:val="006E2798"/>
    <w:rsid w:val="006E381C"/>
    <w:rsid w:val="006E3982"/>
    <w:rsid w:val="006E4879"/>
    <w:rsid w:val="006E5255"/>
    <w:rsid w:val="006E56EA"/>
    <w:rsid w:val="006E6C19"/>
    <w:rsid w:val="006F1E48"/>
    <w:rsid w:val="006F5136"/>
    <w:rsid w:val="006F54FD"/>
    <w:rsid w:val="006F6D97"/>
    <w:rsid w:val="006F74BA"/>
    <w:rsid w:val="00700739"/>
    <w:rsid w:val="00700A83"/>
    <w:rsid w:val="00700D3A"/>
    <w:rsid w:val="007014FE"/>
    <w:rsid w:val="00703F48"/>
    <w:rsid w:val="007071B5"/>
    <w:rsid w:val="00707873"/>
    <w:rsid w:val="007100EC"/>
    <w:rsid w:val="00710B3E"/>
    <w:rsid w:val="0071369C"/>
    <w:rsid w:val="00714445"/>
    <w:rsid w:val="00714646"/>
    <w:rsid w:val="00714DDC"/>
    <w:rsid w:val="00716D23"/>
    <w:rsid w:val="00720CE3"/>
    <w:rsid w:val="00724A45"/>
    <w:rsid w:val="007256D1"/>
    <w:rsid w:val="00725CE7"/>
    <w:rsid w:val="007275F3"/>
    <w:rsid w:val="0073037F"/>
    <w:rsid w:val="00734C4E"/>
    <w:rsid w:val="007361E5"/>
    <w:rsid w:val="00741C53"/>
    <w:rsid w:val="00743F75"/>
    <w:rsid w:val="00745838"/>
    <w:rsid w:val="0074782B"/>
    <w:rsid w:val="007553E9"/>
    <w:rsid w:val="00757585"/>
    <w:rsid w:val="00757EE1"/>
    <w:rsid w:val="00762C57"/>
    <w:rsid w:val="007646C2"/>
    <w:rsid w:val="00767080"/>
    <w:rsid w:val="007679BE"/>
    <w:rsid w:val="00767E68"/>
    <w:rsid w:val="00772B27"/>
    <w:rsid w:val="00776857"/>
    <w:rsid w:val="00776A89"/>
    <w:rsid w:val="00780195"/>
    <w:rsid w:val="00780E0B"/>
    <w:rsid w:val="00781EF7"/>
    <w:rsid w:val="00782260"/>
    <w:rsid w:val="00783839"/>
    <w:rsid w:val="00784FF1"/>
    <w:rsid w:val="0078605B"/>
    <w:rsid w:val="00786CCE"/>
    <w:rsid w:val="0079346F"/>
    <w:rsid w:val="007944E7"/>
    <w:rsid w:val="00795B36"/>
    <w:rsid w:val="0079627A"/>
    <w:rsid w:val="007A19E4"/>
    <w:rsid w:val="007A1A99"/>
    <w:rsid w:val="007A2DE3"/>
    <w:rsid w:val="007A3399"/>
    <w:rsid w:val="007A53DE"/>
    <w:rsid w:val="007A5926"/>
    <w:rsid w:val="007A5BA3"/>
    <w:rsid w:val="007A5DD2"/>
    <w:rsid w:val="007A783B"/>
    <w:rsid w:val="007B41BD"/>
    <w:rsid w:val="007B5F18"/>
    <w:rsid w:val="007C3FD5"/>
    <w:rsid w:val="007C5E67"/>
    <w:rsid w:val="007C6014"/>
    <w:rsid w:val="007C7FAB"/>
    <w:rsid w:val="007D03FD"/>
    <w:rsid w:val="007D0634"/>
    <w:rsid w:val="007D0EFB"/>
    <w:rsid w:val="007D1083"/>
    <w:rsid w:val="007D1ED0"/>
    <w:rsid w:val="007D2E96"/>
    <w:rsid w:val="007D30A8"/>
    <w:rsid w:val="007D6AA3"/>
    <w:rsid w:val="007D7084"/>
    <w:rsid w:val="007D77C9"/>
    <w:rsid w:val="007E12F2"/>
    <w:rsid w:val="007E30B9"/>
    <w:rsid w:val="007E44B0"/>
    <w:rsid w:val="007E49EA"/>
    <w:rsid w:val="007E4B72"/>
    <w:rsid w:val="007E54C7"/>
    <w:rsid w:val="007F1732"/>
    <w:rsid w:val="007F22B6"/>
    <w:rsid w:val="007F358D"/>
    <w:rsid w:val="007F49D0"/>
    <w:rsid w:val="007F4D88"/>
    <w:rsid w:val="007F4FDB"/>
    <w:rsid w:val="007F5C0B"/>
    <w:rsid w:val="007F71C5"/>
    <w:rsid w:val="00804659"/>
    <w:rsid w:val="00806A74"/>
    <w:rsid w:val="00811D8D"/>
    <w:rsid w:val="00813714"/>
    <w:rsid w:val="008149CA"/>
    <w:rsid w:val="00815986"/>
    <w:rsid w:val="00816EEE"/>
    <w:rsid w:val="008176A4"/>
    <w:rsid w:val="0082052E"/>
    <w:rsid w:val="008215C9"/>
    <w:rsid w:val="0082372D"/>
    <w:rsid w:val="008264C6"/>
    <w:rsid w:val="0083390E"/>
    <w:rsid w:val="00834280"/>
    <w:rsid w:val="00834A6C"/>
    <w:rsid w:val="008372C9"/>
    <w:rsid w:val="00837374"/>
    <w:rsid w:val="00837633"/>
    <w:rsid w:val="00842ACD"/>
    <w:rsid w:val="00843D0D"/>
    <w:rsid w:val="00845103"/>
    <w:rsid w:val="008457A0"/>
    <w:rsid w:val="00850EB9"/>
    <w:rsid w:val="008510D9"/>
    <w:rsid w:val="00852613"/>
    <w:rsid w:val="00852AD2"/>
    <w:rsid w:val="00853B93"/>
    <w:rsid w:val="00853D61"/>
    <w:rsid w:val="008548D9"/>
    <w:rsid w:val="00854D61"/>
    <w:rsid w:val="00856B72"/>
    <w:rsid w:val="00860437"/>
    <w:rsid w:val="00860693"/>
    <w:rsid w:val="008623F8"/>
    <w:rsid w:val="00863293"/>
    <w:rsid w:val="008652A5"/>
    <w:rsid w:val="0087088B"/>
    <w:rsid w:val="00870CEA"/>
    <w:rsid w:val="008729A1"/>
    <w:rsid w:val="0087322D"/>
    <w:rsid w:val="008761D3"/>
    <w:rsid w:val="0088077B"/>
    <w:rsid w:val="00880985"/>
    <w:rsid w:val="00881050"/>
    <w:rsid w:val="00883F8A"/>
    <w:rsid w:val="0088417A"/>
    <w:rsid w:val="00884A6B"/>
    <w:rsid w:val="00884ACD"/>
    <w:rsid w:val="00890696"/>
    <w:rsid w:val="00893BA1"/>
    <w:rsid w:val="00894F9A"/>
    <w:rsid w:val="008962A6"/>
    <w:rsid w:val="0089704D"/>
    <w:rsid w:val="0089770E"/>
    <w:rsid w:val="00897C48"/>
    <w:rsid w:val="00897CA9"/>
    <w:rsid w:val="008A2231"/>
    <w:rsid w:val="008A28DF"/>
    <w:rsid w:val="008A4A35"/>
    <w:rsid w:val="008A5A97"/>
    <w:rsid w:val="008A62C7"/>
    <w:rsid w:val="008A6CCB"/>
    <w:rsid w:val="008B0387"/>
    <w:rsid w:val="008B08F6"/>
    <w:rsid w:val="008B0909"/>
    <w:rsid w:val="008B2188"/>
    <w:rsid w:val="008B2F10"/>
    <w:rsid w:val="008B3962"/>
    <w:rsid w:val="008B4C4A"/>
    <w:rsid w:val="008B5401"/>
    <w:rsid w:val="008B6ABA"/>
    <w:rsid w:val="008C07A1"/>
    <w:rsid w:val="008C2E5F"/>
    <w:rsid w:val="008C6F5C"/>
    <w:rsid w:val="008C7A88"/>
    <w:rsid w:val="008D00DA"/>
    <w:rsid w:val="008D0651"/>
    <w:rsid w:val="008D2107"/>
    <w:rsid w:val="008E1064"/>
    <w:rsid w:val="008E1859"/>
    <w:rsid w:val="008E1C86"/>
    <w:rsid w:val="008E26BA"/>
    <w:rsid w:val="008E3322"/>
    <w:rsid w:val="008E36E5"/>
    <w:rsid w:val="008E5A2E"/>
    <w:rsid w:val="008E6A6C"/>
    <w:rsid w:val="008F3395"/>
    <w:rsid w:val="008F3B14"/>
    <w:rsid w:val="008F5D1A"/>
    <w:rsid w:val="008F63CD"/>
    <w:rsid w:val="008F6860"/>
    <w:rsid w:val="00900288"/>
    <w:rsid w:val="009010DD"/>
    <w:rsid w:val="009019FD"/>
    <w:rsid w:val="00901A77"/>
    <w:rsid w:val="0090400D"/>
    <w:rsid w:val="00904A98"/>
    <w:rsid w:val="00905AC5"/>
    <w:rsid w:val="00906F77"/>
    <w:rsid w:val="00907D9B"/>
    <w:rsid w:val="00907E83"/>
    <w:rsid w:val="00911254"/>
    <w:rsid w:val="009147BD"/>
    <w:rsid w:val="00915C74"/>
    <w:rsid w:val="00916635"/>
    <w:rsid w:val="00916DAB"/>
    <w:rsid w:val="00922294"/>
    <w:rsid w:val="0092533F"/>
    <w:rsid w:val="00925B38"/>
    <w:rsid w:val="00926F53"/>
    <w:rsid w:val="00927397"/>
    <w:rsid w:val="00927FF0"/>
    <w:rsid w:val="009306D7"/>
    <w:rsid w:val="00932BBC"/>
    <w:rsid w:val="0093312D"/>
    <w:rsid w:val="00933758"/>
    <w:rsid w:val="0093377C"/>
    <w:rsid w:val="00935586"/>
    <w:rsid w:val="0093563E"/>
    <w:rsid w:val="009371B5"/>
    <w:rsid w:val="00940278"/>
    <w:rsid w:val="00942E18"/>
    <w:rsid w:val="00943D16"/>
    <w:rsid w:val="009449B2"/>
    <w:rsid w:val="00946F6B"/>
    <w:rsid w:val="009478A2"/>
    <w:rsid w:val="00953042"/>
    <w:rsid w:val="0095662E"/>
    <w:rsid w:val="00961AA7"/>
    <w:rsid w:val="00963D86"/>
    <w:rsid w:val="009647B9"/>
    <w:rsid w:val="009648CF"/>
    <w:rsid w:val="009658B2"/>
    <w:rsid w:val="009665D5"/>
    <w:rsid w:val="0097035E"/>
    <w:rsid w:val="00970786"/>
    <w:rsid w:val="009716E1"/>
    <w:rsid w:val="00974866"/>
    <w:rsid w:val="00976CC1"/>
    <w:rsid w:val="0097745C"/>
    <w:rsid w:val="009777F6"/>
    <w:rsid w:val="009840D2"/>
    <w:rsid w:val="00984786"/>
    <w:rsid w:val="0098490E"/>
    <w:rsid w:val="00984B49"/>
    <w:rsid w:val="00984E88"/>
    <w:rsid w:val="00986566"/>
    <w:rsid w:val="00986FF5"/>
    <w:rsid w:val="009879F0"/>
    <w:rsid w:val="00991D56"/>
    <w:rsid w:val="00992770"/>
    <w:rsid w:val="00992BDC"/>
    <w:rsid w:val="00994472"/>
    <w:rsid w:val="0099468D"/>
    <w:rsid w:val="0099520A"/>
    <w:rsid w:val="009952A5"/>
    <w:rsid w:val="00995FB9"/>
    <w:rsid w:val="009A0911"/>
    <w:rsid w:val="009A0A29"/>
    <w:rsid w:val="009A1FA4"/>
    <w:rsid w:val="009A2AAF"/>
    <w:rsid w:val="009A3E01"/>
    <w:rsid w:val="009A3E3E"/>
    <w:rsid w:val="009A3FB6"/>
    <w:rsid w:val="009A4EF9"/>
    <w:rsid w:val="009A69F6"/>
    <w:rsid w:val="009A7EAF"/>
    <w:rsid w:val="009B3B13"/>
    <w:rsid w:val="009B7F7A"/>
    <w:rsid w:val="009C06EE"/>
    <w:rsid w:val="009C1515"/>
    <w:rsid w:val="009C1C28"/>
    <w:rsid w:val="009C26BC"/>
    <w:rsid w:val="009C4AE4"/>
    <w:rsid w:val="009C4E81"/>
    <w:rsid w:val="009C4ED4"/>
    <w:rsid w:val="009C6E73"/>
    <w:rsid w:val="009C7D67"/>
    <w:rsid w:val="009D61E3"/>
    <w:rsid w:val="009D63A9"/>
    <w:rsid w:val="009D7EE0"/>
    <w:rsid w:val="009E035E"/>
    <w:rsid w:val="009E0ADB"/>
    <w:rsid w:val="009E1A86"/>
    <w:rsid w:val="009E2587"/>
    <w:rsid w:val="009F2214"/>
    <w:rsid w:val="009F28C1"/>
    <w:rsid w:val="009F31E7"/>
    <w:rsid w:val="009F4B69"/>
    <w:rsid w:val="009F63CA"/>
    <w:rsid w:val="009F78C8"/>
    <w:rsid w:val="00A00C32"/>
    <w:rsid w:val="00A021A2"/>
    <w:rsid w:val="00A033CE"/>
    <w:rsid w:val="00A04C63"/>
    <w:rsid w:val="00A054FC"/>
    <w:rsid w:val="00A06EA4"/>
    <w:rsid w:val="00A07872"/>
    <w:rsid w:val="00A07D6E"/>
    <w:rsid w:val="00A121C3"/>
    <w:rsid w:val="00A129D2"/>
    <w:rsid w:val="00A139C3"/>
    <w:rsid w:val="00A14667"/>
    <w:rsid w:val="00A15D07"/>
    <w:rsid w:val="00A174CE"/>
    <w:rsid w:val="00A17643"/>
    <w:rsid w:val="00A17776"/>
    <w:rsid w:val="00A20B32"/>
    <w:rsid w:val="00A22434"/>
    <w:rsid w:val="00A2253C"/>
    <w:rsid w:val="00A253E2"/>
    <w:rsid w:val="00A26898"/>
    <w:rsid w:val="00A279D1"/>
    <w:rsid w:val="00A27A01"/>
    <w:rsid w:val="00A30AB4"/>
    <w:rsid w:val="00A31170"/>
    <w:rsid w:val="00A31EFD"/>
    <w:rsid w:val="00A322FF"/>
    <w:rsid w:val="00A3384F"/>
    <w:rsid w:val="00A352D1"/>
    <w:rsid w:val="00A359D5"/>
    <w:rsid w:val="00A3799D"/>
    <w:rsid w:val="00A37ACC"/>
    <w:rsid w:val="00A41E0A"/>
    <w:rsid w:val="00A428AB"/>
    <w:rsid w:val="00A42C50"/>
    <w:rsid w:val="00A42F70"/>
    <w:rsid w:val="00A44590"/>
    <w:rsid w:val="00A44980"/>
    <w:rsid w:val="00A45807"/>
    <w:rsid w:val="00A45A03"/>
    <w:rsid w:val="00A46A40"/>
    <w:rsid w:val="00A4787E"/>
    <w:rsid w:val="00A52298"/>
    <w:rsid w:val="00A558F4"/>
    <w:rsid w:val="00A55A9D"/>
    <w:rsid w:val="00A600EC"/>
    <w:rsid w:val="00A60A67"/>
    <w:rsid w:val="00A63707"/>
    <w:rsid w:val="00A64A9D"/>
    <w:rsid w:val="00A6556A"/>
    <w:rsid w:val="00A659D7"/>
    <w:rsid w:val="00A65A62"/>
    <w:rsid w:val="00A66BE9"/>
    <w:rsid w:val="00A72CA3"/>
    <w:rsid w:val="00A75842"/>
    <w:rsid w:val="00A80651"/>
    <w:rsid w:val="00A80D2E"/>
    <w:rsid w:val="00A83C17"/>
    <w:rsid w:val="00A85DCC"/>
    <w:rsid w:val="00A86A6F"/>
    <w:rsid w:val="00A87101"/>
    <w:rsid w:val="00A87421"/>
    <w:rsid w:val="00A90024"/>
    <w:rsid w:val="00A91085"/>
    <w:rsid w:val="00A915C9"/>
    <w:rsid w:val="00A91F20"/>
    <w:rsid w:val="00A91FD5"/>
    <w:rsid w:val="00A960CF"/>
    <w:rsid w:val="00A964BF"/>
    <w:rsid w:val="00A96935"/>
    <w:rsid w:val="00A976DF"/>
    <w:rsid w:val="00AA15FE"/>
    <w:rsid w:val="00AA2240"/>
    <w:rsid w:val="00AA28F8"/>
    <w:rsid w:val="00AA7FCC"/>
    <w:rsid w:val="00AB149C"/>
    <w:rsid w:val="00AB1BD8"/>
    <w:rsid w:val="00AB653A"/>
    <w:rsid w:val="00AC1D2A"/>
    <w:rsid w:val="00AC410D"/>
    <w:rsid w:val="00AC5643"/>
    <w:rsid w:val="00AC5801"/>
    <w:rsid w:val="00AC62AA"/>
    <w:rsid w:val="00AC65F6"/>
    <w:rsid w:val="00AC6FDC"/>
    <w:rsid w:val="00AC769A"/>
    <w:rsid w:val="00AD21E0"/>
    <w:rsid w:val="00AD2BA9"/>
    <w:rsid w:val="00AD2D3F"/>
    <w:rsid w:val="00AD3A4E"/>
    <w:rsid w:val="00AD3DFD"/>
    <w:rsid w:val="00AD483F"/>
    <w:rsid w:val="00AD4933"/>
    <w:rsid w:val="00AD49F9"/>
    <w:rsid w:val="00AD4AC3"/>
    <w:rsid w:val="00AD67BF"/>
    <w:rsid w:val="00AD73E9"/>
    <w:rsid w:val="00AE1D0C"/>
    <w:rsid w:val="00AE228D"/>
    <w:rsid w:val="00AE4A66"/>
    <w:rsid w:val="00AE5214"/>
    <w:rsid w:val="00AF038C"/>
    <w:rsid w:val="00AF0F97"/>
    <w:rsid w:val="00AF32DF"/>
    <w:rsid w:val="00AF3E94"/>
    <w:rsid w:val="00AF647C"/>
    <w:rsid w:val="00AF66DC"/>
    <w:rsid w:val="00AF7158"/>
    <w:rsid w:val="00AF7394"/>
    <w:rsid w:val="00B0145E"/>
    <w:rsid w:val="00B01DA6"/>
    <w:rsid w:val="00B02306"/>
    <w:rsid w:val="00B041DC"/>
    <w:rsid w:val="00B04AAD"/>
    <w:rsid w:val="00B05997"/>
    <w:rsid w:val="00B06029"/>
    <w:rsid w:val="00B12BC7"/>
    <w:rsid w:val="00B1450C"/>
    <w:rsid w:val="00B1651E"/>
    <w:rsid w:val="00B16E04"/>
    <w:rsid w:val="00B20B3E"/>
    <w:rsid w:val="00B21AA4"/>
    <w:rsid w:val="00B244EE"/>
    <w:rsid w:val="00B24BAC"/>
    <w:rsid w:val="00B274C3"/>
    <w:rsid w:val="00B31782"/>
    <w:rsid w:val="00B34021"/>
    <w:rsid w:val="00B356FA"/>
    <w:rsid w:val="00B35A66"/>
    <w:rsid w:val="00B35C6F"/>
    <w:rsid w:val="00B361C3"/>
    <w:rsid w:val="00B36A65"/>
    <w:rsid w:val="00B373F6"/>
    <w:rsid w:val="00B37846"/>
    <w:rsid w:val="00B37F6D"/>
    <w:rsid w:val="00B404C5"/>
    <w:rsid w:val="00B4085A"/>
    <w:rsid w:val="00B413BE"/>
    <w:rsid w:val="00B41625"/>
    <w:rsid w:val="00B41958"/>
    <w:rsid w:val="00B41C12"/>
    <w:rsid w:val="00B42CD5"/>
    <w:rsid w:val="00B44EB8"/>
    <w:rsid w:val="00B4651A"/>
    <w:rsid w:val="00B46818"/>
    <w:rsid w:val="00B52B88"/>
    <w:rsid w:val="00B5345B"/>
    <w:rsid w:val="00B53863"/>
    <w:rsid w:val="00B54F56"/>
    <w:rsid w:val="00B57957"/>
    <w:rsid w:val="00B57EF0"/>
    <w:rsid w:val="00B60621"/>
    <w:rsid w:val="00B62E43"/>
    <w:rsid w:val="00B64F71"/>
    <w:rsid w:val="00B655EC"/>
    <w:rsid w:val="00B6591C"/>
    <w:rsid w:val="00B65C8F"/>
    <w:rsid w:val="00B669F4"/>
    <w:rsid w:val="00B67C2C"/>
    <w:rsid w:val="00B70753"/>
    <w:rsid w:val="00B7218F"/>
    <w:rsid w:val="00B722CC"/>
    <w:rsid w:val="00B7458B"/>
    <w:rsid w:val="00B75F97"/>
    <w:rsid w:val="00B76522"/>
    <w:rsid w:val="00B76C47"/>
    <w:rsid w:val="00B80F51"/>
    <w:rsid w:val="00B81AB6"/>
    <w:rsid w:val="00B826BF"/>
    <w:rsid w:val="00B82D48"/>
    <w:rsid w:val="00B82D77"/>
    <w:rsid w:val="00B82E2B"/>
    <w:rsid w:val="00B83214"/>
    <w:rsid w:val="00B90B4E"/>
    <w:rsid w:val="00B91932"/>
    <w:rsid w:val="00B91A7F"/>
    <w:rsid w:val="00B93FB7"/>
    <w:rsid w:val="00B945A7"/>
    <w:rsid w:val="00B95FE5"/>
    <w:rsid w:val="00B967FD"/>
    <w:rsid w:val="00BA2F78"/>
    <w:rsid w:val="00BA49C2"/>
    <w:rsid w:val="00BA4F77"/>
    <w:rsid w:val="00BA62A8"/>
    <w:rsid w:val="00BA7D42"/>
    <w:rsid w:val="00BB31F2"/>
    <w:rsid w:val="00BB5E6B"/>
    <w:rsid w:val="00BB5FCB"/>
    <w:rsid w:val="00BB6B02"/>
    <w:rsid w:val="00BB7FF4"/>
    <w:rsid w:val="00BC4D72"/>
    <w:rsid w:val="00BC7659"/>
    <w:rsid w:val="00BD0504"/>
    <w:rsid w:val="00BD110D"/>
    <w:rsid w:val="00BD3896"/>
    <w:rsid w:val="00BD485D"/>
    <w:rsid w:val="00BD6F01"/>
    <w:rsid w:val="00BD70D4"/>
    <w:rsid w:val="00BD7619"/>
    <w:rsid w:val="00BD7AC0"/>
    <w:rsid w:val="00BE06A5"/>
    <w:rsid w:val="00BE0719"/>
    <w:rsid w:val="00BE18EB"/>
    <w:rsid w:val="00BE5A60"/>
    <w:rsid w:val="00BE68C7"/>
    <w:rsid w:val="00BE692B"/>
    <w:rsid w:val="00BE6CB0"/>
    <w:rsid w:val="00BF0B6C"/>
    <w:rsid w:val="00BF21F3"/>
    <w:rsid w:val="00BF230B"/>
    <w:rsid w:val="00BF297E"/>
    <w:rsid w:val="00BF4485"/>
    <w:rsid w:val="00BF4AEB"/>
    <w:rsid w:val="00BF5538"/>
    <w:rsid w:val="00BF66F0"/>
    <w:rsid w:val="00C006F2"/>
    <w:rsid w:val="00C013C5"/>
    <w:rsid w:val="00C0373F"/>
    <w:rsid w:val="00C0375C"/>
    <w:rsid w:val="00C0404C"/>
    <w:rsid w:val="00C0420F"/>
    <w:rsid w:val="00C04C0F"/>
    <w:rsid w:val="00C071FB"/>
    <w:rsid w:val="00C100C7"/>
    <w:rsid w:val="00C1246A"/>
    <w:rsid w:val="00C13F04"/>
    <w:rsid w:val="00C14D00"/>
    <w:rsid w:val="00C1627B"/>
    <w:rsid w:val="00C16DD7"/>
    <w:rsid w:val="00C2095B"/>
    <w:rsid w:val="00C22679"/>
    <w:rsid w:val="00C23A19"/>
    <w:rsid w:val="00C23C7D"/>
    <w:rsid w:val="00C32DA1"/>
    <w:rsid w:val="00C37074"/>
    <w:rsid w:val="00C4069F"/>
    <w:rsid w:val="00C408E6"/>
    <w:rsid w:val="00C40EF5"/>
    <w:rsid w:val="00C43292"/>
    <w:rsid w:val="00C451B6"/>
    <w:rsid w:val="00C45702"/>
    <w:rsid w:val="00C5010E"/>
    <w:rsid w:val="00C53003"/>
    <w:rsid w:val="00C5442C"/>
    <w:rsid w:val="00C55EFA"/>
    <w:rsid w:val="00C603CB"/>
    <w:rsid w:val="00C60E7A"/>
    <w:rsid w:val="00C6176B"/>
    <w:rsid w:val="00C620E8"/>
    <w:rsid w:val="00C6293A"/>
    <w:rsid w:val="00C62B80"/>
    <w:rsid w:val="00C637FF"/>
    <w:rsid w:val="00C63884"/>
    <w:rsid w:val="00C63B0D"/>
    <w:rsid w:val="00C647D1"/>
    <w:rsid w:val="00C73B8C"/>
    <w:rsid w:val="00C73DC3"/>
    <w:rsid w:val="00C74D7F"/>
    <w:rsid w:val="00C76B9C"/>
    <w:rsid w:val="00C77070"/>
    <w:rsid w:val="00C77297"/>
    <w:rsid w:val="00C77F76"/>
    <w:rsid w:val="00C83267"/>
    <w:rsid w:val="00C8385B"/>
    <w:rsid w:val="00C848EA"/>
    <w:rsid w:val="00C85847"/>
    <w:rsid w:val="00C85A94"/>
    <w:rsid w:val="00C86541"/>
    <w:rsid w:val="00C86FD4"/>
    <w:rsid w:val="00C90E87"/>
    <w:rsid w:val="00C915EA"/>
    <w:rsid w:val="00C91920"/>
    <w:rsid w:val="00C91E78"/>
    <w:rsid w:val="00C92250"/>
    <w:rsid w:val="00C92287"/>
    <w:rsid w:val="00C92553"/>
    <w:rsid w:val="00C93553"/>
    <w:rsid w:val="00C93D0A"/>
    <w:rsid w:val="00C93F6A"/>
    <w:rsid w:val="00C94E9B"/>
    <w:rsid w:val="00C95D8A"/>
    <w:rsid w:val="00C968A6"/>
    <w:rsid w:val="00C97494"/>
    <w:rsid w:val="00CA09D9"/>
    <w:rsid w:val="00CA16DB"/>
    <w:rsid w:val="00CA21AB"/>
    <w:rsid w:val="00CA2CC7"/>
    <w:rsid w:val="00CA3095"/>
    <w:rsid w:val="00CA30F1"/>
    <w:rsid w:val="00CA5113"/>
    <w:rsid w:val="00CB14E7"/>
    <w:rsid w:val="00CB1510"/>
    <w:rsid w:val="00CB2C00"/>
    <w:rsid w:val="00CB31E6"/>
    <w:rsid w:val="00CB32F9"/>
    <w:rsid w:val="00CB645D"/>
    <w:rsid w:val="00CB6D6C"/>
    <w:rsid w:val="00CB7590"/>
    <w:rsid w:val="00CC0E9D"/>
    <w:rsid w:val="00CC2F00"/>
    <w:rsid w:val="00CC3194"/>
    <w:rsid w:val="00CC3296"/>
    <w:rsid w:val="00CC4615"/>
    <w:rsid w:val="00CC5655"/>
    <w:rsid w:val="00CC59BB"/>
    <w:rsid w:val="00CC7354"/>
    <w:rsid w:val="00CC7DD6"/>
    <w:rsid w:val="00CD0F9D"/>
    <w:rsid w:val="00CD12A4"/>
    <w:rsid w:val="00CD1326"/>
    <w:rsid w:val="00CD3C7B"/>
    <w:rsid w:val="00CD53D3"/>
    <w:rsid w:val="00CD53FB"/>
    <w:rsid w:val="00CD6144"/>
    <w:rsid w:val="00CD748A"/>
    <w:rsid w:val="00CD788F"/>
    <w:rsid w:val="00CE0450"/>
    <w:rsid w:val="00CE19E2"/>
    <w:rsid w:val="00CE2775"/>
    <w:rsid w:val="00CE2831"/>
    <w:rsid w:val="00CE28F3"/>
    <w:rsid w:val="00CE5F9D"/>
    <w:rsid w:val="00CF1775"/>
    <w:rsid w:val="00CF195E"/>
    <w:rsid w:val="00CF3560"/>
    <w:rsid w:val="00CF3D00"/>
    <w:rsid w:val="00CF420A"/>
    <w:rsid w:val="00CF43A2"/>
    <w:rsid w:val="00CF6622"/>
    <w:rsid w:val="00D00B24"/>
    <w:rsid w:val="00D010E3"/>
    <w:rsid w:val="00D012B2"/>
    <w:rsid w:val="00D042C7"/>
    <w:rsid w:val="00D057FD"/>
    <w:rsid w:val="00D06C93"/>
    <w:rsid w:val="00D10FB3"/>
    <w:rsid w:val="00D16A29"/>
    <w:rsid w:val="00D22E05"/>
    <w:rsid w:val="00D238C2"/>
    <w:rsid w:val="00D249BE"/>
    <w:rsid w:val="00D25C59"/>
    <w:rsid w:val="00D25D74"/>
    <w:rsid w:val="00D26992"/>
    <w:rsid w:val="00D275B2"/>
    <w:rsid w:val="00D27919"/>
    <w:rsid w:val="00D3187F"/>
    <w:rsid w:val="00D3245B"/>
    <w:rsid w:val="00D32D01"/>
    <w:rsid w:val="00D34352"/>
    <w:rsid w:val="00D345FB"/>
    <w:rsid w:val="00D35E66"/>
    <w:rsid w:val="00D3773A"/>
    <w:rsid w:val="00D422FA"/>
    <w:rsid w:val="00D44BB9"/>
    <w:rsid w:val="00D45B53"/>
    <w:rsid w:val="00D46292"/>
    <w:rsid w:val="00D46CCF"/>
    <w:rsid w:val="00D47E28"/>
    <w:rsid w:val="00D5043E"/>
    <w:rsid w:val="00D511E9"/>
    <w:rsid w:val="00D531EC"/>
    <w:rsid w:val="00D54990"/>
    <w:rsid w:val="00D55489"/>
    <w:rsid w:val="00D55C2F"/>
    <w:rsid w:val="00D5641F"/>
    <w:rsid w:val="00D56C9C"/>
    <w:rsid w:val="00D57C27"/>
    <w:rsid w:val="00D61F3F"/>
    <w:rsid w:val="00D62F9F"/>
    <w:rsid w:val="00D6419F"/>
    <w:rsid w:val="00D64AA9"/>
    <w:rsid w:val="00D65E5F"/>
    <w:rsid w:val="00D6714F"/>
    <w:rsid w:val="00D677A6"/>
    <w:rsid w:val="00D70581"/>
    <w:rsid w:val="00D7076F"/>
    <w:rsid w:val="00D72DCD"/>
    <w:rsid w:val="00D75E9D"/>
    <w:rsid w:val="00D771A5"/>
    <w:rsid w:val="00D7763C"/>
    <w:rsid w:val="00D80386"/>
    <w:rsid w:val="00D813CD"/>
    <w:rsid w:val="00D829A2"/>
    <w:rsid w:val="00D82FC2"/>
    <w:rsid w:val="00D840E1"/>
    <w:rsid w:val="00D84C7A"/>
    <w:rsid w:val="00D85B18"/>
    <w:rsid w:val="00D86866"/>
    <w:rsid w:val="00D86F35"/>
    <w:rsid w:val="00D91F22"/>
    <w:rsid w:val="00D935D5"/>
    <w:rsid w:val="00D94AE6"/>
    <w:rsid w:val="00D94FC6"/>
    <w:rsid w:val="00D950F6"/>
    <w:rsid w:val="00D96097"/>
    <w:rsid w:val="00D97918"/>
    <w:rsid w:val="00D97FE6"/>
    <w:rsid w:val="00DA06A5"/>
    <w:rsid w:val="00DA36F4"/>
    <w:rsid w:val="00DA3CFD"/>
    <w:rsid w:val="00DA7479"/>
    <w:rsid w:val="00DB01D1"/>
    <w:rsid w:val="00DB244B"/>
    <w:rsid w:val="00DB394C"/>
    <w:rsid w:val="00DB778E"/>
    <w:rsid w:val="00DC1663"/>
    <w:rsid w:val="00DC2024"/>
    <w:rsid w:val="00DC44DC"/>
    <w:rsid w:val="00DC5AEA"/>
    <w:rsid w:val="00DC5DA4"/>
    <w:rsid w:val="00DD19B4"/>
    <w:rsid w:val="00DD79D5"/>
    <w:rsid w:val="00DE057D"/>
    <w:rsid w:val="00DE0CAC"/>
    <w:rsid w:val="00DE10BC"/>
    <w:rsid w:val="00DE301C"/>
    <w:rsid w:val="00DE7218"/>
    <w:rsid w:val="00DF03D8"/>
    <w:rsid w:val="00DF06C0"/>
    <w:rsid w:val="00DF23F2"/>
    <w:rsid w:val="00DF4021"/>
    <w:rsid w:val="00DF42BF"/>
    <w:rsid w:val="00DF5358"/>
    <w:rsid w:val="00DF609A"/>
    <w:rsid w:val="00DF618C"/>
    <w:rsid w:val="00DF6250"/>
    <w:rsid w:val="00DF6EE9"/>
    <w:rsid w:val="00DF6FA1"/>
    <w:rsid w:val="00DF76C7"/>
    <w:rsid w:val="00DF79BE"/>
    <w:rsid w:val="00DF7B0D"/>
    <w:rsid w:val="00E0036F"/>
    <w:rsid w:val="00E018C5"/>
    <w:rsid w:val="00E025F1"/>
    <w:rsid w:val="00E05558"/>
    <w:rsid w:val="00E07E5E"/>
    <w:rsid w:val="00E10294"/>
    <w:rsid w:val="00E1033F"/>
    <w:rsid w:val="00E11F9F"/>
    <w:rsid w:val="00E13038"/>
    <w:rsid w:val="00E13BE6"/>
    <w:rsid w:val="00E148F3"/>
    <w:rsid w:val="00E14CFB"/>
    <w:rsid w:val="00E17ED2"/>
    <w:rsid w:val="00E21C43"/>
    <w:rsid w:val="00E24498"/>
    <w:rsid w:val="00E24829"/>
    <w:rsid w:val="00E26AF8"/>
    <w:rsid w:val="00E26BC0"/>
    <w:rsid w:val="00E30B44"/>
    <w:rsid w:val="00E3130A"/>
    <w:rsid w:val="00E31A63"/>
    <w:rsid w:val="00E32AB9"/>
    <w:rsid w:val="00E35A86"/>
    <w:rsid w:val="00E403D2"/>
    <w:rsid w:val="00E43D5C"/>
    <w:rsid w:val="00E45A61"/>
    <w:rsid w:val="00E46060"/>
    <w:rsid w:val="00E51C2A"/>
    <w:rsid w:val="00E51D34"/>
    <w:rsid w:val="00E52C78"/>
    <w:rsid w:val="00E52FF4"/>
    <w:rsid w:val="00E5393A"/>
    <w:rsid w:val="00E53EC6"/>
    <w:rsid w:val="00E557F5"/>
    <w:rsid w:val="00E572E9"/>
    <w:rsid w:val="00E6170F"/>
    <w:rsid w:val="00E63E5F"/>
    <w:rsid w:val="00E6583A"/>
    <w:rsid w:val="00E66BF9"/>
    <w:rsid w:val="00E6726D"/>
    <w:rsid w:val="00E67BCE"/>
    <w:rsid w:val="00E71E43"/>
    <w:rsid w:val="00E726E1"/>
    <w:rsid w:val="00E757C8"/>
    <w:rsid w:val="00E80278"/>
    <w:rsid w:val="00E80EF3"/>
    <w:rsid w:val="00E858A2"/>
    <w:rsid w:val="00E85B7E"/>
    <w:rsid w:val="00E87A42"/>
    <w:rsid w:val="00E9135E"/>
    <w:rsid w:val="00E93789"/>
    <w:rsid w:val="00E955E8"/>
    <w:rsid w:val="00E97331"/>
    <w:rsid w:val="00EA106F"/>
    <w:rsid w:val="00EA3AA6"/>
    <w:rsid w:val="00EA4FC6"/>
    <w:rsid w:val="00EA504E"/>
    <w:rsid w:val="00EA6485"/>
    <w:rsid w:val="00EA64E9"/>
    <w:rsid w:val="00EA7A7A"/>
    <w:rsid w:val="00EB0C0B"/>
    <w:rsid w:val="00EB39CA"/>
    <w:rsid w:val="00EB7D81"/>
    <w:rsid w:val="00EC2858"/>
    <w:rsid w:val="00EC3B01"/>
    <w:rsid w:val="00EC653C"/>
    <w:rsid w:val="00EC6DB3"/>
    <w:rsid w:val="00ED5CD1"/>
    <w:rsid w:val="00EE2892"/>
    <w:rsid w:val="00EE36AC"/>
    <w:rsid w:val="00EE3899"/>
    <w:rsid w:val="00EE3F26"/>
    <w:rsid w:val="00EE4EA0"/>
    <w:rsid w:val="00EE6B59"/>
    <w:rsid w:val="00EF1A86"/>
    <w:rsid w:val="00EF4023"/>
    <w:rsid w:val="00EF53CB"/>
    <w:rsid w:val="00EF6452"/>
    <w:rsid w:val="00EF7A6F"/>
    <w:rsid w:val="00F054AD"/>
    <w:rsid w:val="00F05F07"/>
    <w:rsid w:val="00F076A4"/>
    <w:rsid w:val="00F10220"/>
    <w:rsid w:val="00F10FB7"/>
    <w:rsid w:val="00F14321"/>
    <w:rsid w:val="00F14EA1"/>
    <w:rsid w:val="00F15392"/>
    <w:rsid w:val="00F15567"/>
    <w:rsid w:val="00F164C2"/>
    <w:rsid w:val="00F16CCB"/>
    <w:rsid w:val="00F17222"/>
    <w:rsid w:val="00F1781C"/>
    <w:rsid w:val="00F20656"/>
    <w:rsid w:val="00F208EC"/>
    <w:rsid w:val="00F22060"/>
    <w:rsid w:val="00F220B3"/>
    <w:rsid w:val="00F23C31"/>
    <w:rsid w:val="00F25473"/>
    <w:rsid w:val="00F269A5"/>
    <w:rsid w:val="00F32BBA"/>
    <w:rsid w:val="00F32CBE"/>
    <w:rsid w:val="00F33068"/>
    <w:rsid w:val="00F34C03"/>
    <w:rsid w:val="00F358DB"/>
    <w:rsid w:val="00F36366"/>
    <w:rsid w:val="00F36F30"/>
    <w:rsid w:val="00F37A1A"/>
    <w:rsid w:val="00F4076C"/>
    <w:rsid w:val="00F41576"/>
    <w:rsid w:val="00F4174E"/>
    <w:rsid w:val="00F47C71"/>
    <w:rsid w:val="00F52A30"/>
    <w:rsid w:val="00F53BFC"/>
    <w:rsid w:val="00F54FC6"/>
    <w:rsid w:val="00F562C1"/>
    <w:rsid w:val="00F57503"/>
    <w:rsid w:val="00F6012D"/>
    <w:rsid w:val="00F61E39"/>
    <w:rsid w:val="00F623FD"/>
    <w:rsid w:val="00F624E5"/>
    <w:rsid w:val="00F628F4"/>
    <w:rsid w:val="00F63551"/>
    <w:rsid w:val="00F65BF1"/>
    <w:rsid w:val="00F65D0F"/>
    <w:rsid w:val="00F67F06"/>
    <w:rsid w:val="00F71237"/>
    <w:rsid w:val="00F724EE"/>
    <w:rsid w:val="00F750A1"/>
    <w:rsid w:val="00F75504"/>
    <w:rsid w:val="00F76910"/>
    <w:rsid w:val="00F76A52"/>
    <w:rsid w:val="00F76B2B"/>
    <w:rsid w:val="00F80CFB"/>
    <w:rsid w:val="00F81524"/>
    <w:rsid w:val="00F858AF"/>
    <w:rsid w:val="00F86095"/>
    <w:rsid w:val="00F863A6"/>
    <w:rsid w:val="00F867AA"/>
    <w:rsid w:val="00F93140"/>
    <w:rsid w:val="00F935B4"/>
    <w:rsid w:val="00F93839"/>
    <w:rsid w:val="00F952C9"/>
    <w:rsid w:val="00F95544"/>
    <w:rsid w:val="00F979BF"/>
    <w:rsid w:val="00FA08D5"/>
    <w:rsid w:val="00FA1EB1"/>
    <w:rsid w:val="00FA23F6"/>
    <w:rsid w:val="00FA2ACB"/>
    <w:rsid w:val="00FA4D4B"/>
    <w:rsid w:val="00FA4EA9"/>
    <w:rsid w:val="00FA541D"/>
    <w:rsid w:val="00FA54A3"/>
    <w:rsid w:val="00FA6085"/>
    <w:rsid w:val="00FB010A"/>
    <w:rsid w:val="00FB011E"/>
    <w:rsid w:val="00FB06C5"/>
    <w:rsid w:val="00FB203E"/>
    <w:rsid w:val="00FB28DF"/>
    <w:rsid w:val="00FB52A9"/>
    <w:rsid w:val="00FB5EE2"/>
    <w:rsid w:val="00FC0C6E"/>
    <w:rsid w:val="00FC0FCD"/>
    <w:rsid w:val="00FC19D2"/>
    <w:rsid w:val="00FC1D8D"/>
    <w:rsid w:val="00FC359D"/>
    <w:rsid w:val="00FC5D39"/>
    <w:rsid w:val="00FC6072"/>
    <w:rsid w:val="00FC78C0"/>
    <w:rsid w:val="00FC7D69"/>
    <w:rsid w:val="00FD249D"/>
    <w:rsid w:val="00FD250A"/>
    <w:rsid w:val="00FD29A0"/>
    <w:rsid w:val="00FD3A62"/>
    <w:rsid w:val="00FD3B86"/>
    <w:rsid w:val="00FD40EE"/>
    <w:rsid w:val="00FD5BFE"/>
    <w:rsid w:val="00FD5ED3"/>
    <w:rsid w:val="00FD6E41"/>
    <w:rsid w:val="00FD7974"/>
    <w:rsid w:val="00FE1294"/>
    <w:rsid w:val="00FE2F1A"/>
    <w:rsid w:val="00FE740F"/>
    <w:rsid w:val="00FF0CC9"/>
    <w:rsid w:val="00FF0DF7"/>
    <w:rsid w:val="00FF2C63"/>
    <w:rsid w:val="00FF66C6"/>
  </w:rsids>
  <m:mathPr>
    <m:mathFont m:val="Cambria Math"/>
    <m:brkBin m:val="before"/>
    <m:brkBinSub m:val="--"/>
    <m:smallFrac m:val="0"/>
    <m:dispDef m:val="0"/>
    <m:lMargin m:val="0"/>
    <m:rMargin m:val="0"/>
    <m:defJc m:val="centerGroup"/>
    <m:wrapRight/>
    <m:intLim m:val="subSup"/>
    <m:naryLim m:val="subSup"/>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5E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annotation text" w:unhideWhenUsed="0"/>
    <w:lsdException w:name="header" w:unhideWhenUsed="0"/>
    <w:lsdException w:name="footer" w:unhideWhenUsed="0"/>
    <w:lsdException w:name="caption" w:semiHidden="0" w:unhideWhenUsed="0" w:qFormat="1"/>
    <w:lsdException w:name="footnote reference" w:unhideWhenUsed="0"/>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Normal (Web)" w:unhideWhenUsed="0"/>
    <w:lsdException w:name="annotation subject" w:unhideWhenUsed="0"/>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C55EFA"/>
    <w:pPr>
      <w:spacing w:after="200" w:line="276" w:lineRule="auto"/>
    </w:pPr>
    <w:rPr>
      <w:sz w:val="22"/>
      <w:szCs w:val="22"/>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uiPriority w:val="99"/>
    <w:rsid w:val="00D5043E"/>
    <w:rPr>
      <w:rFonts w:cs="Times New Roman"/>
      <w:color w:val="0000FF"/>
      <w:u w:val="single"/>
    </w:rPr>
  </w:style>
  <w:style w:type="table" w:styleId="TaulukkoRuudukko">
    <w:name w:val="Table Grid"/>
    <w:basedOn w:val="Normaalitaulukko"/>
    <w:uiPriority w:val="99"/>
    <w:rsid w:val="00EB7D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laviitteenteksti">
    <w:name w:val="footnote text"/>
    <w:basedOn w:val="Normaali"/>
    <w:link w:val="AlaviitteentekstiChar"/>
    <w:uiPriority w:val="99"/>
    <w:semiHidden/>
    <w:rsid w:val="00EB7D81"/>
    <w:pPr>
      <w:spacing w:after="0" w:line="240" w:lineRule="auto"/>
    </w:pPr>
    <w:rPr>
      <w:sz w:val="20"/>
      <w:szCs w:val="20"/>
      <w:lang w:val="en-GB"/>
    </w:rPr>
  </w:style>
  <w:style w:type="character" w:customStyle="1" w:styleId="AlaviitteentekstiChar">
    <w:name w:val="Alaviitteen teksti Char"/>
    <w:link w:val="Alaviitteenteksti"/>
    <w:uiPriority w:val="99"/>
    <w:semiHidden/>
    <w:rsid w:val="00EB7D81"/>
    <w:rPr>
      <w:rFonts w:ascii="Calibri" w:eastAsia="Times New Roman" w:hAnsi="Calibri" w:cs="Times New Roman"/>
      <w:sz w:val="20"/>
      <w:lang w:val="en-GB"/>
    </w:rPr>
  </w:style>
  <w:style w:type="character" w:styleId="Alaviitteenviite">
    <w:name w:val="footnote reference"/>
    <w:uiPriority w:val="99"/>
    <w:semiHidden/>
    <w:rsid w:val="00EB7D81"/>
    <w:rPr>
      <w:rFonts w:cs="Times New Roman"/>
      <w:vertAlign w:val="superscript"/>
    </w:rPr>
  </w:style>
  <w:style w:type="paragraph" w:styleId="Kuvanotsikko">
    <w:name w:val="caption"/>
    <w:basedOn w:val="Normaali"/>
    <w:next w:val="Normaali"/>
    <w:uiPriority w:val="99"/>
    <w:qFormat/>
    <w:rsid w:val="000515D4"/>
    <w:pPr>
      <w:spacing w:line="240" w:lineRule="auto"/>
    </w:pPr>
    <w:rPr>
      <w:rFonts w:ascii="Times New Roman" w:hAnsi="Times New Roman"/>
      <w:b/>
      <w:bCs/>
      <w:sz w:val="24"/>
      <w:szCs w:val="18"/>
      <w:lang w:val="en-US"/>
    </w:rPr>
  </w:style>
  <w:style w:type="paragraph" w:customStyle="1" w:styleId="bodyofthetext">
    <w:name w:val="body_of_the_text"/>
    <w:basedOn w:val="Normaali"/>
    <w:uiPriority w:val="99"/>
    <w:rsid w:val="00EB7D81"/>
    <w:pPr>
      <w:autoSpaceDE w:val="0"/>
      <w:autoSpaceDN w:val="0"/>
      <w:jc w:val="both"/>
    </w:pPr>
    <w:rPr>
      <w:rFonts w:ascii="Times New Roman" w:hAnsi="Times New Roman"/>
      <w:sz w:val="24"/>
      <w:szCs w:val="24"/>
      <w:lang w:val="en-GB"/>
    </w:rPr>
  </w:style>
  <w:style w:type="character" w:styleId="Kommentinviite">
    <w:name w:val="annotation reference"/>
    <w:uiPriority w:val="99"/>
    <w:semiHidden/>
    <w:rsid w:val="00EB7D81"/>
    <w:rPr>
      <w:rFonts w:cs="Times New Roman"/>
      <w:sz w:val="16"/>
    </w:rPr>
  </w:style>
  <w:style w:type="paragraph" w:styleId="Kommentinteksti">
    <w:name w:val="annotation text"/>
    <w:basedOn w:val="Normaali"/>
    <w:link w:val="KommentintekstiChar"/>
    <w:uiPriority w:val="99"/>
    <w:semiHidden/>
    <w:rsid w:val="00EB7D81"/>
    <w:rPr>
      <w:sz w:val="20"/>
      <w:szCs w:val="20"/>
      <w:lang w:val="en-GB"/>
    </w:rPr>
  </w:style>
  <w:style w:type="character" w:customStyle="1" w:styleId="KommentintekstiChar">
    <w:name w:val="Kommentin teksti Char"/>
    <w:link w:val="Kommentinteksti"/>
    <w:uiPriority w:val="99"/>
    <w:semiHidden/>
    <w:rsid w:val="00EB7D81"/>
    <w:rPr>
      <w:rFonts w:ascii="Calibri" w:eastAsia="Times New Roman" w:hAnsi="Calibri" w:cs="Times New Roman"/>
      <w:sz w:val="20"/>
      <w:lang w:val="en-GB"/>
    </w:rPr>
  </w:style>
  <w:style w:type="paragraph" w:styleId="Seliteteksti">
    <w:name w:val="Balloon Text"/>
    <w:basedOn w:val="Normaali"/>
    <w:link w:val="SelitetekstiChar"/>
    <w:uiPriority w:val="99"/>
    <w:semiHidden/>
    <w:rsid w:val="00EB7D81"/>
    <w:pPr>
      <w:spacing w:after="0" w:line="240" w:lineRule="auto"/>
    </w:pPr>
    <w:rPr>
      <w:rFonts w:ascii="Tahoma" w:hAnsi="Tahoma" w:cs="Tahoma"/>
      <w:sz w:val="16"/>
      <w:szCs w:val="16"/>
    </w:rPr>
  </w:style>
  <w:style w:type="character" w:customStyle="1" w:styleId="SelitetekstiChar">
    <w:name w:val="Seliteteksti Char"/>
    <w:link w:val="Seliteteksti"/>
    <w:uiPriority w:val="99"/>
    <w:semiHidden/>
    <w:rsid w:val="00EB7D81"/>
    <w:rPr>
      <w:rFonts w:ascii="Tahoma" w:hAnsi="Tahoma" w:cs="Tahoma"/>
      <w:sz w:val="16"/>
    </w:rPr>
  </w:style>
  <w:style w:type="paragraph" w:styleId="Luettelokappale">
    <w:name w:val="List Paragraph"/>
    <w:basedOn w:val="Normaali"/>
    <w:uiPriority w:val="99"/>
    <w:qFormat/>
    <w:rsid w:val="00670F21"/>
    <w:pPr>
      <w:ind w:left="720"/>
      <w:contextualSpacing/>
    </w:pPr>
  </w:style>
  <w:style w:type="paragraph" w:styleId="Kommentinotsikko">
    <w:name w:val="annotation subject"/>
    <w:basedOn w:val="Kommentinteksti"/>
    <w:next w:val="Kommentinteksti"/>
    <w:link w:val="KommentinotsikkoChar"/>
    <w:uiPriority w:val="99"/>
    <w:semiHidden/>
    <w:rsid w:val="00F16CCB"/>
    <w:pPr>
      <w:spacing w:line="240" w:lineRule="auto"/>
    </w:pPr>
    <w:rPr>
      <w:b/>
      <w:bCs/>
      <w:lang w:val="fi-FI"/>
    </w:rPr>
  </w:style>
  <w:style w:type="character" w:customStyle="1" w:styleId="KommentinotsikkoChar">
    <w:name w:val="Kommentin otsikko Char"/>
    <w:link w:val="Kommentinotsikko"/>
    <w:uiPriority w:val="99"/>
    <w:semiHidden/>
    <w:rsid w:val="00F16CCB"/>
    <w:rPr>
      <w:rFonts w:ascii="Calibri" w:eastAsia="Times New Roman" w:hAnsi="Calibri" w:cs="Times New Roman"/>
      <w:b/>
      <w:bCs/>
      <w:sz w:val="20"/>
      <w:lang w:val="en-GB"/>
    </w:rPr>
  </w:style>
  <w:style w:type="paragraph" w:styleId="NormaaliWWW">
    <w:name w:val="Normal (Web)"/>
    <w:basedOn w:val="Normaali"/>
    <w:uiPriority w:val="99"/>
    <w:semiHidden/>
    <w:rsid w:val="005A5C4E"/>
    <w:pPr>
      <w:spacing w:before="100" w:beforeAutospacing="1" w:after="100" w:afterAutospacing="1" w:line="240" w:lineRule="auto"/>
    </w:pPr>
    <w:rPr>
      <w:rFonts w:ascii="Times New Roman" w:hAnsi="Times New Roman"/>
      <w:sz w:val="24"/>
      <w:szCs w:val="24"/>
    </w:rPr>
  </w:style>
  <w:style w:type="paragraph" w:styleId="Yltunniste">
    <w:name w:val="header"/>
    <w:basedOn w:val="Normaali"/>
    <w:link w:val="YltunnisteChar"/>
    <w:uiPriority w:val="99"/>
    <w:rsid w:val="00505F02"/>
    <w:pPr>
      <w:tabs>
        <w:tab w:val="center" w:pos="4819"/>
        <w:tab w:val="right" w:pos="9638"/>
      </w:tabs>
      <w:spacing w:after="0" w:line="240" w:lineRule="auto"/>
    </w:pPr>
  </w:style>
  <w:style w:type="character" w:customStyle="1" w:styleId="YltunnisteChar">
    <w:name w:val="Ylätunniste Char"/>
    <w:link w:val="Yltunniste"/>
    <w:uiPriority w:val="99"/>
    <w:rsid w:val="00505F02"/>
    <w:rPr>
      <w:rFonts w:cs="Times New Roman"/>
    </w:rPr>
  </w:style>
  <w:style w:type="paragraph" w:styleId="Alatunniste">
    <w:name w:val="footer"/>
    <w:basedOn w:val="Normaali"/>
    <w:link w:val="AlatunnisteChar"/>
    <w:uiPriority w:val="99"/>
    <w:semiHidden/>
    <w:rsid w:val="00505F02"/>
    <w:pPr>
      <w:tabs>
        <w:tab w:val="center" w:pos="4819"/>
        <w:tab w:val="right" w:pos="9638"/>
      </w:tabs>
      <w:spacing w:after="0" w:line="240" w:lineRule="auto"/>
    </w:pPr>
  </w:style>
  <w:style w:type="character" w:customStyle="1" w:styleId="AlatunnisteChar">
    <w:name w:val="Alatunniste Char"/>
    <w:link w:val="Alatunniste"/>
    <w:uiPriority w:val="99"/>
    <w:rsid w:val="00505F02"/>
    <w:rPr>
      <w:rFonts w:cs="Times New Roman"/>
    </w:rPr>
  </w:style>
  <w:style w:type="paragraph" w:styleId="Muutos">
    <w:name w:val="Revision"/>
    <w:hidden/>
    <w:uiPriority w:val="99"/>
    <w:semiHidden/>
    <w:rsid w:val="00D86866"/>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annotation text" w:unhideWhenUsed="0"/>
    <w:lsdException w:name="header" w:unhideWhenUsed="0"/>
    <w:lsdException w:name="footer" w:unhideWhenUsed="0"/>
    <w:lsdException w:name="caption" w:semiHidden="0" w:unhideWhenUsed="0" w:qFormat="1"/>
    <w:lsdException w:name="footnote reference" w:unhideWhenUsed="0"/>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Normal (Web)" w:unhideWhenUsed="0"/>
    <w:lsdException w:name="annotation subject" w:unhideWhenUsed="0"/>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C55EFA"/>
    <w:pPr>
      <w:spacing w:after="200" w:line="276" w:lineRule="auto"/>
    </w:pPr>
    <w:rPr>
      <w:sz w:val="22"/>
      <w:szCs w:val="22"/>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uiPriority w:val="99"/>
    <w:rsid w:val="00D5043E"/>
    <w:rPr>
      <w:rFonts w:cs="Times New Roman"/>
      <w:color w:val="0000FF"/>
      <w:u w:val="single"/>
    </w:rPr>
  </w:style>
  <w:style w:type="table" w:styleId="TaulukkoRuudukko">
    <w:name w:val="Table Grid"/>
    <w:basedOn w:val="Normaalitaulukko"/>
    <w:uiPriority w:val="99"/>
    <w:rsid w:val="00EB7D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laviitteenteksti">
    <w:name w:val="footnote text"/>
    <w:basedOn w:val="Normaali"/>
    <w:link w:val="AlaviitteentekstiChar"/>
    <w:uiPriority w:val="99"/>
    <w:semiHidden/>
    <w:rsid w:val="00EB7D81"/>
    <w:pPr>
      <w:spacing w:after="0" w:line="240" w:lineRule="auto"/>
    </w:pPr>
    <w:rPr>
      <w:sz w:val="20"/>
      <w:szCs w:val="20"/>
      <w:lang w:val="en-GB"/>
    </w:rPr>
  </w:style>
  <w:style w:type="character" w:customStyle="1" w:styleId="AlaviitteentekstiChar">
    <w:name w:val="Alaviitteen teksti Char"/>
    <w:link w:val="Alaviitteenteksti"/>
    <w:uiPriority w:val="99"/>
    <w:semiHidden/>
    <w:rsid w:val="00EB7D81"/>
    <w:rPr>
      <w:rFonts w:ascii="Calibri" w:eastAsia="Times New Roman" w:hAnsi="Calibri" w:cs="Times New Roman"/>
      <w:sz w:val="20"/>
      <w:lang w:val="en-GB"/>
    </w:rPr>
  </w:style>
  <w:style w:type="character" w:styleId="Alaviitteenviite">
    <w:name w:val="footnote reference"/>
    <w:uiPriority w:val="99"/>
    <w:semiHidden/>
    <w:rsid w:val="00EB7D81"/>
    <w:rPr>
      <w:rFonts w:cs="Times New Roman"/>
      <w:vertAlign w:val="superscript"/>
    </w:rPr>
  </w:style>
  <w:style w:type="paragraph" w:styleId="Kuvanotsikko">
    <w:name w:val="caption"/>
    <w:basedOn w:val="Normaali"/>
    <w:next w:val="Normaali"/>
    <w:uiPriority w:val="99"/>
    <w:qFormat/>
    <w:rsid w:val="000515D4"/>
    <w:pPr>
      <w:spacing w:line="240" w:lineRule="auto"/>
    </w:pPr>
    <w:rPr>
      <w:rFonts w:ascii="Times New Roman" w:hAnsi="Times New Roman"/>
      <w:b/>
      <w:bCs/>
      <w:sz w:val="24"/>
      <w:szCs w:val="18"/>
      <w:lang w:val="en-US"/>
    </w:rPr>
  </w:style>
  <w:style w:type="paragraph" w:customStyle="1" w:styleId="bodyofthetext">
    <w:name w:val="body_of_the_text"/>
    <w:basedOn w:val="Normaali"/>
    <w:uiPriority w:val="99"/>
    <w:rsid w:val="00EB7D81"/>
    <w:pPr>
      <w:autoSpaceDE w:val="0"/>
      <w:autoSpaceDN w:val="0"/>
      <w:jc w:val="both"/>
    </w:pPr>
    <w:rPr>
      <w:rFonts w:ascii="Times New Roman" w:hAnsi="Times New Roman"/>
      <w:sz w:val="24"/>
      <w:szCs w:val="24"/>
      <w:lang w:val="en-GB"/>
    </w:rPr>
  </w:style>
  <w:style w:type="character" w:styleId="Kommentinviite">
    <w:name w:val="annotation reference"/>
    <w:uiPriority w:val="99"/>
    <w:semiHidden/>
    <w:rsid w:val="00EB7D81"/>
    <w:rPr>
      <w:rFonts w:cs="Times New Roman"/>
      <w:sz w:val="16"/>
    </w:rPr>
  </w:style>
  <w:style w:type="paragraph" w:styleId="Kommentinteksti">
    <w:name w:val="annotation text"/>
    <w:basedOn w:val="Normaali"/>
    <w:link w:val="KommentintekstiChar"/>
    <w:uiPriority w:val="99"/>
    <w:semiHidden/>
    <w:rsid w:val="00EB7D81"/>
    <w:rPr>
      <w:sz w:val="20"/>
      <w:szCs w:val="20"/>
      <w:lang w:val="en-GB"/>
    </w:rPr>
  </w:style>
  <w:style w:type="character" w:customStyle="1" w:styleId="KommentintekstiChar">
    <w:name w:val="Kommentin teksti Char"/>
    <w:link w:val="Kommentinteksti"/>
    <w:uiPriority w:val="99"/>
    <w:semiHidden/>
    <w:rsid w:val="00EB7D81"/>
    <w:rPr>
      <w:rFonts w:ascii="Calibri" w:eastAsia="Times New Roman" w:hAnsi="Calibri" w:cs="Times New Roman"/>
      <w:sz w:val="20"/>
      <w:lang w:val="en-GB"/>
    </w:rPr>
  </w:style>
  <w:style w:type="paragraph" w:styleId="Seliteteksti">
    <w:name w:val="Balloon Text"/>
    <w:basedOn w:val="Normaali"/>
    <w:link w:val="SelitetekstiChar"/>
    <w:uiPriority w:val="99"/>
    <w:semiHidden/>
    <w:rsid w:val="00EB7D81"/>
    <w:pPr>
      <w:spacing w:after="0" w:line="240" w:lineRule="auto"/>
    </w:pPr>
    <w:rPr>
      <w:rFonts w:ascii="Tahoma" w:hAnsi="Tahoma" w:cs="Tahoma"/>
      <w:sz w:val="16"/>
      <w:szCs w:val="16"/>
    </w:rPr>
  </w:style>
  <w:style w:type="character" w:customStyle="1" w:styleId="SelitetekstiChar">
    <w:name w:val="Seliteteksti Char"/>
    <w:link w:val="Seliteteksti"/>
    <w:uiPriority w:val="99"/>
    <w:semiHidden/>
    <w:rsid w:val="00EB7D81"/>
    <w:rPr>
      <w:rFonts w:ascii="Tahoma" w:hAnsi="Tahoma" w:cs="Tahoma"/>
      <w:sz w:val="16"/>
    </w:rPr>
  </w:style>
  <w:style w:type="paragraph" w:styleId="Luettelokappale">
    <w:name w:val="List Paragraph"/>
    <w:basedOn w:val="Normaali"/>
    <w:uiPriority w:val="99"/>
    <w:qFormat/>
    <w:rsid w:val="00670F21"/>
    <w:pPr>
      <w:ind w:left="720"/>
      <w:contextualSpacing/>
    </w:pPr>
  </w:style>
  <w:style w:type="paragraph" w:styleId="Kommentinotsikko">
    <w:name w:val="annotation subject"/>
    <w:basedOn w:val="Kommentinteksti"/>
    <w:next w:val="Kommentinteksti"/>
    <w:link w:val="KommentinotsikkoChar"/>
    <w:uiPriority w:val="99"/>
    <w:semiHidden/>
    <w:rsid w:val="00F16CCB"/>
    <w:pPr>
      <w:spacing w:line="240" w:lineRule="auto"/>
    </w:pPr>
    <w:rPr>
      <w:b/>
      <w:bCs/>
      <w:lang w:val="fi-FI"/>
    </w:rPr>
  </w:style>
  <w:style w:type="character" w:customStyle="1" w:styleId="KommentinotsikkoChar">
    <w:name w:val="Kommentin otsikko Char"/>
    <w:link w:val="Kommentinotsikko"/>
    <w:uiPriority w:val="99"/>
    <w:semiHidden/>
    <w:rsid w:val="00F16CCB"/>
    <w:rPr>
      <w:rFonts w:ascii="Calibri" w:eastAsia="Times New Roman" w:hAnsi="Calibri" w:cs="Times New Roman"/>
      <w:b/>
      <w:bCs/>
      <w:sz w:val="20"/>
      <w:lang w:val="en-GB"/>
    </w:rPr>
  </w:style>
  <w:style w:type="paragraph" w:styleId="NormaaliWWW">
    <w:name w:val="Normal (Web)"/>
    <w:basedOn w:val="Normaali"/>
    <w:uiPriority w:val="99"/>
    <w:semiHidden/>
    <w:rsid w:val="005A5C4E"/>
    <w:pPr>
      <w:spacing w:before="100" w:beforeAutospacing="1" w:after="100" w:afterAutospacing="1" w:line="240" w:lineRule="auto"/>
    </w:pPr>
    <w:rPr>
      <w:rFonts w:ascii="Times New Roman" w:hAnsi="Times New Roman"/>
      <w:sz w:val="24"/>
      <w:szCs w:val="24"/>
    </w:rPr>
  </w:style>
  <w:style w:type="paragraph" w:styleId="Yltunniste">
    <w:name w:val="header"/>
    <w:basedOn w:val="Normaali"/>
    <w:link w:val="YltunnisteChar"/>
    <w:uiPriority w:val="99"/>
    <w:rsid w:val="00505F02"/>
    <w:pPr>
      <w:tabs>
        <w:tab w:val="center" w:pos="4819"/>
        <w:tab w:val="right" w:pos="9638"/>
      </w:tabs>
      <w:spacing w:after="0" w:line="240" w:lineRule="auto"/>
    </w:pPr>
  </w:style>
  <w:style w:type="character" w:customStyle="1" w:styleId="YltunnisteChar">
    <w:name w:val="Ylätunniste Char"/>
    <w:link w:val="Yltunniste"/>
    <w:uiPriority w:val="99"/>
    <w:rsid w:val="00505F02"/>
    <w:rPr>
      <w:rFonts w:cs="Times New Roman"/>
    </w:rPr>
  </w:style>
  <w:style w:type="paragraph" w:styleId="Alatunniste">
    <w:name w:val="footer"/>
    <w:basedOn w:val="Normaali"/>
    <w:link w:val="AlatunnisteChar"/>
    <w:uiPriority w:val="99"/>
    <w:semiHidden/>
    <w:rsid w:val="00505F02"/>
    <w:pPr>
      <w:tabs>
        <w:tab w:val="center" w:pos="4819"/>
        <w:tab w:val="right" w:pos="9638"/>
      </w:tabs>
      <w:spacing w:after="0" w:line="240" w:lineRule="auto"/>
    </w:pPr>
  </w:style>
  <w:style w:type="character" w:customStyle="1" w:styleId="AlatunnisteChar">
    <w:name w:val="Alatunniste Char"/>
    <w:link w:val="Alatunniste"/>
    <w:uiPriority w:val="99"/>
    <w:rsid w:val="00505F02"/>
    <w:rPr>
      <w:rFonts w:cs="Times New Roman"/>
    </w:rPr>
  </w:style>
  <w:style w:type="paragraph" w:styleId="Muutos">
    <w:name w:val="Revision"/>
    <w:hidden/>
    <w:uiPriority w:val="99"/>
    <w:semiHidden/>
    <w:rsid w:val="00D86866"/>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marileena.t.makela@utu.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31C29B-AABF-42DE-9E3A-C1485490B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8487</Words>
  <Characters>68748</Characters>
  <Application>Microsoft Office Word</Application>
  <DocSecurity>4</DocSecurity>
  <Lines>572</Lines>
  <Paragraphs>154</Paragraphs>
  <ScaleCrop>false</ScaleCrop>
  <HeadingPairs>
    <vt:vector size="2" baseType="variant">
      <vt:variant>
        <vt:lpstr>Otsikko</vt:lpstr>
      </vt:variant>
      <vt:variant>
        <vt:i4>1</vt:i4>
      </vt:variant>
    </vt:vector>
  </HeadingPairs>
  <TitlesOfParts>
    <vt:vector size="1" baseType="lpstr">
      <vt:lpstr>_</vt:lpstr>
    </vt:vector>
  </TitlesOfParts>
  <Company>University of Turku</Company>
  <LinksUpToDate>false</LinksUpToDate>
  <CharactersWithSpaces>77081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Marileena Koskela</dc:creator>
  <cp:lastModifiedBy>Jouko Miettinen</cp:lastModifiedBy>
  <cp:revision>2</cp:revision>
  <dcterms:created xsi:type="dcterms:W3CDTF">2017-03-20T10:25:00Z</dcterms:created>
  <dcterms:modified xsi:type="dcterms:W3CDTF">2017-03-20T10:25:00Z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1591</vt:lpwstr>
  </property>
  <property fmtid="{D5CDD505-2E9C-101B-9397-08002B2CF9AE}" pid="3" name="WnCSubscriberId">
    <vt:lpwstr>1606</vt:lpwstr>
  </property>
  <property fmtid="{D5CDD505-2E9C-101B-9397-08002B2CF9AE}" pid="4" name="WnCOutputStyleId">
    <vt:lpwstr>11843</vt:lpwstr>
  </property>
  <property fmtid="{D5CDD505-2E9C-101B-9397-08002B2CF9AE}" pid="5" name="RWProductId">
    <vt:lpwstr>WnC</vt:lpwstr>
  </property>
  <property fmtid="{D5CDD505-2E9C-101B-9397-08002B2CF9AE}" pid="6" name="WnC4Folder">
    <vt:lpwstr>Documents///II trends - final</vt:lpwstr>
  </property>
</Properties>
</file>