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6296" w:rsidRPr="003100D3" w:rsidRDefault="00EC2ED3">
      <w:pPr>
        <w:rPr>
          <w:b/>
        </w:rPr>
      </w:pPr>
      <w:r w:rsidRPr="003100D3">
        <w:rPr>
          <w:b/>
        </w:rPr>
        <w:t>The Union at 60</w:t>
      </w:r>
    </w:p>
    <w:p w:rsidR="00EC2ED3" w:rsidRDefault="00EC2ED3">
      <w:r w:rsidRPr="00EC2ED3">
        <w:t xml:space="preserve">The Treaty of Rome has turned 60. </w:t>
      </w:r>
      <w:r>
        <w:t xml:space="preserve">It is time for reflection </w:t>
      </w:r>
      <w:r w:rsidR="000E3C0B">
        <w:t xml:space="preserve">and debate </w:t>
      </w:r>
      <w:r>
        <w:t xml:space="preserve">in the Union, again. The Commission has published a White Paper calling for </w:t>
      </w:r>
      <w:r w:rsidR="003C4BE1">
        <w:t xml:space="preserve">a </w:t>
      </w:r>
      <w:r>
        <w:t>broad d</w:t>
      </w:r>
      <w:r w:rsidR="00E70169">
        <w:t>iscussion</w:t>
      </w:r>
      <w:r>
        <w:t xml:space="preserve"> </w:t>
      </w:r>
      <w:r w:rsidR="003C4BE1">
        <w:t>of</w:t>
      </w:r>
      <w:r w:rsidR="00E70169">
        <w:t xml:space="preserve"> the future of Europe </w:t>
      </w:r>
      <w:r>
        <w:t>across the continent, including the European Parliament, national parliaments and the civil society.</w:t>
      </w:r>
      <w:r w:rsidR="003C4BE1">
        <w:rPr>
          <w:rStyle w:val="FootnoteReference"/>
        </w:rPr>
        <w:footnoteReference w:id="1"/>
      </w:r>
      <w:r w:rsidR="00E70169">
        <w:t xml:space="preserve"> </w:t>
      </w:r>
      <w:r w:rsidR="00310B81">
        <w:t>It is easy to feel jaded and cynical about this exercise. Yet the birth</w:t>
      </w:r>
      <w:r w:rsidR="008E6239">
        <w:t xml:space="preserve"> process</w:t>
      </w:r>
      <w:r w:rsidR="00310B81">
        <w:t xml:space="preserve"> of the Treat</w:t>
      </w:r>
      <w:r w:rsidR="00293ECE">
        <w:t>y of Rome itself suggests this c</w:t>
      </w:r>
      <w:r w:rsidR="00310B81">
        <w:t xml:space="preserve">ould </w:t>
      </w:r>
      <w:r w:rsidR="008F605E">
        <w:t>prove</w:t>
      </w:r>
      <w:r w:rsidR="00310B81">
        <w:t xml:space="preserve"> </w:t>
      </w:r>
      <w:r w:rsidR="00293ECE">
        <w:t xml:space="preserve">a </w:t>
      </w:r>
      <w:r w:rsidR="00310B81">
        <w:t>wrong</w:t>
      </w:r>
      <w:r w:rsidR="00293ECE">
        <w:t xml:space="preserve"> reaction</w:t>
      </w:r>
      <w:r w:rsidR="00471094">
        <w:t>:</w:t>
      </w:r>
      <w:r w:rsidR="00D573CC">
        <w:t xml:space="preserve"> </w:t>
      </w:r>
      <w:r w:rsidR="00894A29">
        <w:t xml:space="preserve">60 years ago </w:t>
      </w:r>
      <w:r w:rsidR="00471094">
        <w:t>a</w:t>
      </w:r>
      <w:r w:rsidR="00D573CC">
        <w:t xml:space="preserve"> sudden opening of a politica</w:t>
      </w:r>
      <w:r w:rsidR="00471094">
        <w:t>l window of opportunity allowed integration</w:t>
      </w:r>
      <w:r w:rsidR="003D14EF">
        <w:t xml:space="preserve"> that had been in crisis</w:t>
      </w:r>
      <w:r w:rsidR="00471094">
        <w:t xml:space="preserve"> to proceed</w:t>
      </w:r>
      <w:r w:rsidR="005A1ABC">
        <w:t>.</w:t>
      </w:r>
    </w:p>
    <w:p w:rsidR="00D43136" w:rsidRDefault="00293ECE" w:rsidP="000E3C0B">
      <w:r>
        <w:t>It is true that t</w:t>
      </w:r>
      <w:r w:rsidR="00EC2ED3">
        <w:t>his is not the first time</w:t>
      </w:r>
      <w:r w:rsidR="0032194C">
        <w:t xml:space="preserve"> we have engaged in debate and reflection</w:t>
      </w:r>
      <w:r w:rsidR="00E70169">
        <w:t xml:space="preserve"> </w:t>
      </w:r>
      <w:r w:rsidR="00D573CC">
        <w:t>on the</w:t>
      </w:r>
      <w:r w:rsidR="00255BD3">
        <w:t xml:space="preserve"> future of Europe</w:t>
      </w:r>
      <w:r>
        <w:t>. In fact, much of this</w:t>
      </w:r>
      <w:r w:rsidR="00EC2ED3">
        <w:t xml:space="preserve"> millennium has been spent</w:t>
      </w:r>
      <w:r w:rsidR="00533241">
        <w:t xml:space="preserve"> on</w:t>
      </w:r>
      <w:r w:rsidR="00EC2ED3">
        <w:t xml:space="preserve"> </w:t>
      </w:r>
      <w:r w:rsidR="0032194C">
        <w:t>it</w:t>
      </w:r>
      <w:r w:rsidR="00EC2ED3">
        <w:t xml:space="preserve">. </w:t>
      </w:r>
      <w:r w:rsidR="0032194C">
        <w:t>Following an early</w:t>
      </w:r>
      <w:r w:rsidR="000E3C0B">
        <w:t xml:space="preserve"> re</w:t>
      </w:r>
      <w:r w:rsidR="0032194C">
        <w:t>cognition that</w:t>
      </w:r>
      <w:r w:rsidR="000E3C0B">
        <w:t xml:space="preserve"> </w:t>
      </w:r>
      <w:r w:rsidR="00EC2ED3">
        <w:t>the Nice Treaty</w:t>
      </w:r>
      <w:r w:rsidR="000E3C0B">
        <w:t xml:space="preserve"> of 2001 had</w:t>
      </w:r>
      <w:r w:rsidR="00EC2ED3">
        <w:t xml:space="preserve"> failed to achieve ambitious breakthroughs, a Declar</w:t>
      </w:r>
      <w:r w:rsidR="000E3C0B">
        <w:t>ation was annexed to it</w:t>
      </w:r>
      <w:r w:rsidR="00EC2ED3">
        <w:t xml:space="preserve"> where </w:t>
      </w:r>
      <w:r w:rsidR="00EC2ED3" w:rsidRPr="00EC2ED3">
        <w:t>the Member States called for a deeper and wider debate about the future of the Union</w:t>
      </w:r>
      <w:r w:rsidR="000E3C0B">
        <w:t>.</w:t>
      </w:r>
      <w:r w:rsidR="000E3C0B">
        <w:rPr>
          <w:rStyle w:val="FootnoteReference"/>
        </w:rPr>
        <w:footnoteReference w:id="2"/>
      </w:r>
      <w:r w:rsidR="000E3C0B">
        <w:t xml:space="preserve"> This led to the </w:t>
      </w:r>
      <w:proofErr w:type="spellStart"/>
      <w:r w:rsidR="000E3C0B">
        <w:t>Laeken</w:t>
      </w:r>
      <w:proofErr w:type="spellEnd"/>
      <w:r w:rsidR="000E3C0B">
        <w:t xml:space="preserve"> Declaration,</w:t>
      </w:r>
      <w:r w:rsidR="000E3C0B">
        <w:rPr>
          <w:rStyle w:val="FootnoteReference"/>
        </w:rPr>
        <w:footnoteReference w:id="3"/>
      </w:r>
      <w:r w:rsidR="000E3C0B">
        <w:t xml:space="preserve"> which identified that the ‘</w:t>
      </w:r>
      <w:r w:rsidR="000E3C0B" w:rsidRPr="000E3C0B">
        <w:t>Union stands at a crossroads</w:t>
      </w:r>
      <w:r w:rsidR="000E3C0B">
        <w:t>’</w:t>
      </w:r>
      <w:r w:rsidR="000E3C0B" w:rsidRPr="000E3C0B">
        <w:t>,</w:t>
      </w:r>
      <w:r w:rsidR="000E3C0B">
        <w:t xml:space="preserve"> and convened a Convention to ‘consider the key issues arising for the Union’s future development</w:t>
      </w:r>
      <w:r w:rsidR="00D573CC">
        <w:t>’</w:t>
      </w:r>
      <w:r w:rsidR="000E3C0B">
        <w:t xml:space="preserve">. </w:t>
      </w:r>
      <w:r>
        <w:t xml:space="preserve">After </w:t>
      </w:r>
      <w:r w:rsidR="00D573CC">
        <w:t xml:space="preserve">more </w:t>
      </w:r>
      <w:r>
        <w:t xml:space="preserve">debate and reflection the Convention </w:t>
      </w:r>
      <w:r w:rsidR="000E3C0B">
        <w:t xml:space="preserve">produced a Draft Constitutional Treaty, the final form of which was rejected in </w:t>
      </w:r>
      <w:r w:rsidR="00E70169">
        <w:t xml:space="preserve">referendums </w:t>
      </w:r>
      <w:r w:rsidR="00D22387">
        <w:t xml:space="preserve">in </w:t>
      </w:r>
      <w:r w:rsidR="000E3C0B">
        <w:t xml:space="preserve">France and the Netherlands. </w:t>
      </w:r>
      <w:r>
        <w:t>The</w:t>
      </w:r>
      <w:r w:rsidR="000E3C0B">
        <w:t xml:space="preserve"> European </w:t>
      </w:r>
      <w:r w:rsidR="00B81796">
        <w:t xml:space="preserve">Council </w:t>
      </w:r>
      <w:r>
        <w:t xml:space="preserve">responded </w:t>
      </w:r>
      <w:r w:rsidR="008E6239">
        <w:t>with</w:t>
      </w:r>
      <w:r w:rsidR="00B81796">
        <w:t xml:space="preserve"> </w:t>
      </w:r>
      <w:r w:rsidR="00D22387">
        <w:t xml:space="preserve">yet </w:t>
      </w:r>
      <w:r w:rsidR="00B81796">
        <w:t xml:space="preserve">another period of reflection, which ultimately </w:t>
      </w:r>
      <w:r w:rsidR="005B5F8F">
        <w:t>resulted</w:t>
      </w:r>
      <w:r w:rsidR="00B81796">
        <w:t xml:space="preserve"> in </w:t>
      </w:r>
      <w:r w:rsidR="008E6239">
        <w:t>the</w:t>
      </w:r>
      <w:r w:rsidR="00B81796">
        <w:t xml:space="preserve"> agreement on the Lisbon Treaty. Not long after i</w:t>
      </w:r>
      <w:r w:rsidR="002864A8">
        <w:t>t</w:t>
      </w:r>
      <w:r w:rsidR="00B81796">
        <w:t xml:space="preserve">s entry into force, the financial crisis hit Europe. In response important reports were produced by the presidents of </w:t>
      </w:r>
      <w:r w:rsidR="008E6239">
        <w:t xml:space="preserve">the </w:t>
      </w:r>
      <w:r w:rsidR="00B81796">
        <w:t>EU institutions in 2012 and 2015</w:t>
      </w:r>
      <w:r w:rsidR="00D43136">
        <w:t xml:space="preserve"> on the future of Europe’s EMU</w:t>
      </w:r>
      <w:r w:rsidR="00B81796">
        <w:t>.</w:t>
      </w:r>
      <w:r w:rsidR="003C4BE1">
        <w:rPr>
          <w:rStyle w:val="FootnoteReference"/>
        </w:rPr>
        <w:footnoteReference w:id="4"/>
      </w:r>
      <w:r w:rsidR="00B81796">
        <w:t xml:space="preserve"> Many of the short term </w:t>
      </w:r>
      <w:r w:rsidR="00E70169">
        <w:t>proposals</w:t>
      </w:r>
      <w:r w:rsidR="00D43136">
        <w:t xml:space="preserve"> in those reports</w:t>
      </w:r>
      <w:r w:rsidR="00B81796">
        <w:t xml:space="preserve"> have been </w:t>
      </w:r>
      <w:r w:rsidR="00D43136">
        <w:t xml:space="preserve">acted on, but their long term visions </w:t>
      </w:r>
      <w:r w:rsidR="00D573CC">
        <w:t xml:space="preserve">still </w:t>
      </w:r>
      <w:r w:rsidR="00D43136">
        <w:t xml:space="preserve">remain </w:t>
      </w:r>
      <w:r w:rsidR="003C4BE1">
        <w:t xml:space="preserve">the </w:t>
      </w:r>
      <w:r w:rsidR="00D43136">
        <w:t>object of study, debate and reflection.</w:t>
      </w:r>
    </w:p>
    <w:p w:rsidR="008C4B74" w:rsidRDefault="00D43136" w:rsidP="000E3C0B">
      <w:r>
        <w:t>While the theme of reflection is constant, its direction is now more open ended</w:t>
      </w:r>
      <w:r w:rsidR="00533241">
        <w:t xml:space="preserve"> than before</w:t>
      </w:r>
      <w:r>
        <w:t xml:space="preserve">. Previous contributions from the Commission to </w:t>
      </w:r>
      <w:r w:rsidR="005B5F8F">
        <w:t xml:space="preserve">the </w:t>
      </w:r>
      <w:r>
        <w:t xml:space="preserve">debates have been detailed and have pushed </w:t>
      </w:r>
      <w:r w:rsidR="00D22387">
        <w:t>for</w:t>
      </w:r>
      <w:r>
        <w:t xml:space="preserve"> further integration.</w:t>
      </w:r>
      <w:r w:rsidR="00AC52E0">
        <w:rPr>
          <w:rStyle w:val="FootnoteReference"/>
        </w:rPr>
        <w:footnoteReference w:id="5"/>
      </w:r>
      <w:r>
        <w:t xml:space="preserve"> The 2017 White Paper is very different. </w:t>
      </w:r>
      <w:r w:rsidR="008C4B74">
        <w:t xml:space="preserve">Instead of making a proposal, it sets out five possible scenarios: carrying on, nothing but the single market, those who want more do more, doing less more efficiently, and doing much more together. There is no worked out plan. Further, some of the scenarios contemplate a looser union among the peoples of the Member States. This is remarkable, </w:t>
      </w:r>
      <w:r w:rsidR="00E70169">
        <w:t>given that</w:t>
      </w:r>
      <w:r w:rsidR="008C4B74">
        <w:t xml:space="preserve"> it comes from the</w:t>
      </w:r>
      <w:r w:rsidR="00E70169">
        <w:t xml:space="preserve"> guardian of the Treaties which aim</w:t>
      </w:r>
      <w:r w:rsidR="008C4B74">
        <w:t xml:space="preserve"> at an ever cl</w:t>
      </w:r>
      <w:r w:rsidR="00E70169">
        <w:t>oser union, and an institution that</w:t>
      </w:r>
      <w:r w:rsidR="008C4B74">
        <w:t xml:space="preserve"> has been a constant champion of </w:t>
      </w:r>
      <w:r w:rsidR="00D163E9">
        <w:t xml:space="preserve">deeper </w:t>
      </w:r>
      <w:r w:rsidR="008C4B74">
        <w:t>integration</w:t>
      </w:r>
      <w:r w:rsidR="00E70169">
        <w:t>. Perhaps this is just tactical:</w:t>
      </w:r>
      <w:r w:rsidR="008C4B74">
        <w:t xml:space="preserve"> the Commission is planning to make further contributions later on. Nevertheless, the fact that </w:t>
      </w:r>
      <w:r w:rsidR="00DD2596">
        <w:t xml:space="preserve">even </w:t>
      </w:r>
      <w:r w:rsidR="00E70169">
        <w:t>the Commission</w:t>
      </w:r>
      <w:r w:rsidR="00D573CC">
        <w:t xml:space="preserve"> now</w:t>
      </w:r>
      <w:r w:rsidR="00E70169">
        <w:t xml:space="preserve"> refrains from </w:t>
      </w:r>
      <w:r w:rsidR="008C4B74">
        <w:t xml:space="preserve">immediately putting forward a positive detailed case for a deeper EU suggests that there is a new level of anxiety and uncertainty about the European project that has </w:t>
      </w:r>
      <w:r w:rsidR="00713047">
        <w:t>affected</w:t>
      </w:r>
      <w:r w:rsidR="00D163E9">
        <w:t xml:space="preserve"> the institution</w:t>
      </w:r>
      <w:r w:rsidR="008C4B74">
        <w:t xml:space="preserve">. </w:t>
      </w:r>
    </w:p>
    <w:p w:rsidR="003E3297" w:rsidRDefault="0032194C" w:rsidP="000E3C0B">
      <w:r>
        <w:t xml:space="preserve">‘Those who want more do more’ has been the scenario that has attracted the most attention so far. A number of important </w:t>
      </w:r>
      <w:r w:rsidR="00E70169">
        <w:t xml:space="preserve">national </w:t>
      </w:r>
      <w:r>
        <w:t>leaders have recently called for a multi-speed Europe.</w:t>
      </w:r>
      <w:r w:rsidR="00891DC5">
        <w:rPr>
          <w:rStyle w:val="FootnoteReference"/>
        </w:rPr>
        <w:footnoteReference w:id="6"/>
      </w:r>
      <w:r>
        <w:t xml:space="preserve"> Again, there</w:t>
      </w:r>
      <w:r w:rsidR="00D22387">
        <w:t xml:space="preserve"> is nothing new about this. The</w:t>
      </w:r>
      <w:r>
        <w:t xml:space="preserve"> discussion has been going on ever since the Maastricht opt-outs and the introduction of enhanced cooperation at Amsterdam. Some </w:t>
      </w:r>
      <w:r w:rsidR="00891DC5">
        <w:t>differentiated integration</w:t>
      </w:r>
      <w:r>
        <w:t xml:space="preserve"> has indeed taken place: not all Member States participate in the single currency or Schengen, and there are a number of laws </w:t>
      </w:r>
      <w:r>
        <w:lastRenderedPageBreak/>
        <w:t xml:space="preserve">or initiatives adopted under enhanced cooperation. Further developments are </w:t>
      </w:r>
      <w:r w:rsidR="00D163E9">
        <w:t>likely</w:t>
      </w:r>
      <w:r>
        <w:t xml:space="preserve"> </w:t>
      </w:r>
      <w:r w:rsidR="008E6239">
        <w:t>for</w:t>
      </w:r>
      <w:r>
        <w:t xml:space="preserve"> the European Public Prosecutor’s Office and in the field of defence </w:t>
      </w:r>
      <w:r w:rsidR="00891DC5">
        <w:t>cooperation</w:t>
      </w:r>
      <w:r>
        <w:t xml:space="preserve">. Yet </w:t>
      </w:r>
      <w:r w:rsidR="003E3297">
        <w:t>a number of</w:t>
      </w:r>
      <w:r>
        <w:t xml:space="preserve"> questions continue to hang over </w:t>
      </w:r>
      <w:r w:rsidR="00DD2596">
        <w:t>this scenario.</w:t>
      </w:r>
      <w:r w:rsidR="00891DC5">
        <w:rPr>
          <w:rStyle w:val="FootnoteReference"/>
        </w:rPr>
        <w:footnoteReference w:id="7"/>
      </w:r>
      <w:r w:rsidR="00DD2596">
        <w:t xml:space="preserve"> First, a natural assumption </w:t>
      </w:r>
      <w:r w:rsidR="002864A8">
        <w:t>is</w:t>
      </w:r>
      <w:r w:rsidR="00DD2596">
        <w:t xml:space="preserve"> that the euro area </w:t>
      </w:r>
      <w:r w:rsidR="00D163E9">
        <w:t xml:space="preserve">Member States </w:t>
      </w:r>
      <w:r w:rsidR="00DD2596">
        <w:t>would form the vanguard group. They have shown the greatest willingness</w:t>
      </w:r>
      <w:r w:rsidR="00E70169">
        <w:t xml:space="preserve"> and ability</w:t>
      </w:r>
      <w:r w:rsidR="00DD2596">
        <w:t xml:space="preserve"> to integrate so far, and their fates are closely bound together by the single currency. Yet there is no sign of the euro countries agreeing on the direction that </w:t>
      </w:r>
      <w:r w:rsidR="005B5F8F">
        <w:t xml:space="preserve">the </w:t>
      </w:r>
      <w:r w:rsidR="00DD2596">
        <w:t xml:space="preserve">further integration should take. Some call for mutualisation of obligations, for others a transfer union is unthinkable. Second, it is by no means certain that there would be a coherent group of countries </w:t>
      </w:r>
      <w:r w:rsidR="005B5F8F">
        <w:t>spear</w:t>
      </w:r>
      <w:r w:rsidR="00DD2596">
        <w:t xml:space="preserve">heading the Union. Slovakia is a part of the </w:t>
      </w:r>
      <w:r w:rsidR="00810C68">
        <w:t>Eurozone,</w:t>
      </w:r>
      <w:r w:rsidR="00DD2596">
        <w:t xml:space="preserve"> but might have little wish to see faster integration in the field of asylum</w:t>
      </w:r>
      <w:r w:rsidR="00E70169">
        <w:t xml:space="preserve"> policies</w:t>
      </w:r>
      <w:r w:rsidR="00DD2596">
        <w:t>; Ireland might not be keen on permanent structured cooperation in the field of defence. If there is no core vanguard but instead a number of diverging groups</w:t>
      </w:r>
      <w:r w:rsidR="00E70169">
        <w:t>,</w:t>
      </w:r>
      <w:r w:rsidR="00DD2596">
        <w:t xml:space="preserve"> the </w:t>
      </w:r>
      <w:r w:rsidR="00310B81">
        <w:t xml:space="preserve">coherence, </w:t>
      </w:r>
      <w:r w:rsidR="00DD2596">
        <w:t>complexity and accountability problems that already plague the Union would multiply</w:t>
      </w:r>
      <w:r w:rsidR="003E3297">
        <w:t>. Third, what would happen in th</w:t>
      </w:r>
      <w:r w:rsidR="005B5F8F">
        <w:t>ose</w:t>
      </w:r>
      <w:r w:rsidR="003E3297">
        <w:t xml:space="preserve"> countries </w:t>
      </w:r>
      <w:r w:rsidR="00810C68">
        <w:t>of</w:t>
      </w:r>
      <w:r w:rsidR="003E3297">
        <w:t xml:space="preserve"> the periphery that </w:t>
      </w:r>
      <w:r w:rsidR="008E6239">
        <w:t xml:space="preserve">already today </w:t>
      </w:r>
      <w:r w:rsidR="00810C68">
        <w:t>are</w:t>
      </w:r>
      <w:r w:rsidR="003E3297">
        <w:t xml:space="preserve"> </w:t>
      </w:r>
      <w:r w:rsidR="00810C68">
        <w:t xml:space="preserve">unwilling to </w:t>
      </w:r>
      <w:r w:rsidR="003E3297">
        <w:t>abid</w:t>
      </w:r>
      <w:r w:rsidR="00810C68">
        <w:t>e</w:t>
      </w:r>
      <w:r w:rsidR="003E3297">
        <w:t xml:space="preserve"> by </w:t>
      </w:r>
      <w:r w:rsidR="008E6239">
        <w:t xml:space="preserve">the </w:t>
      </w:r>
      <w:r w:rsidR="003E3297">
        <w:t xml:space="preserve">Union’s common values? Might they see this as a licence to do as they </w:t>
      </w:r>
      <w:proofErr w:type="gramStart"/>
      <w:r w:rsidR="003E3297">
        <w:t>please,</w:t>
      </w:r>
      <w:proofErr w:type="gramEnd"/>
      <w:r w:rsidR="003E3297">
        <w:t xml:space="preserve"> a tacit acquiescence </w:t>
      </w:r>
      <w:r w:rsidR="00292C63">
        <w:t>of</w:t>
      </w:r>
      <w:r w:rsidR="003E3297">
        <w:t xml:space="preserve"> </w:t>
      </w:r>
      <w:r w:rsidR="00292C63">
        <w:t>other</w:t>
      </w:r>
      <w:r w:rsidR="003E3297">
        <w:t xml:space="preserve">s to violations of the principles the EU is supposed to be built on? </w:t>
      </w:r>
    </w:p>
    <w:p w:rsidR="0032194C" w:rsidRDefault="003E3297" w:rsidP="000E3C0B">
      <w:r>
        <w:t xml:space="preserve">In short, it is possible to dismiss the call for debate and reflection as more of the same, and view the proposals for </w:t>
      </w:r>
      <w:r w:rsidR="00810C68">
        <w:t xml:space="preserve">a </w:t>
      </w:r>
      <w:r>
        <w:t>multi</w:t>
      </w:r>
      <w:r w:rsidR="00810C68">
        <w:t>-</w:t>
      </w:r>
      <w:r>
        <w:t xml:space="preserve">speed Europe as a rehashing of old ideas that </w:t>
      </w:r>
      <w:r w:rsidR="00D163E9">
        <w:t>are unlikely to work</w:t>
      </w:r>
      <w:r>
        <w:t xml:space="preserve">. </w:t>
      </w:r>
      <w:r w:rsidR="003466C9">
        <w:t>Yet there is a</w:t>
      </w:r>
      <w:r w:rsidR="00310B81">
        <w:t>nother possible reaction</w:t>
      </w:r>
      <w:r w:rsidR="003466C9">
        <w:t xml:space="preserve"> as well. The history of European integration has been driven by economic and geopolitical imperatives for deeper cooperation among European countries. Those imperatives have not vanished. But the pressures </w:t>
      </w:r>
      <w:r w:rsidR="00292C63">
        <w:t>do</w:t>
      </w:r>
      <w:r w:rsidR="003466C9">
        <w:t xml:space="preserve"> not result in actual integration </w:t>
      </w:r>
      <w:r w:rsidR="00533241">
        <w:t>by</w:t>
      </w:r>
      <w:r w:rsidR="003466C9">
        <w:t xml:space="preserve"> themselves. The political stars </w:t>
      </w:r>
      <w:r w:rsidR="00292C63">
        <w:t xml:space="preserve">also need </w:t>
      </w:r>
      <w:r w:rsidR="003466C9">
        <w:t xml:space="preserve">to align, as they did for the European Coal and Steel Community and for </w:t>
      </w:r>
      <w:r w:rsidR="00810C68">
        <w:t xml:space="preserve">the </w:t>
      </w:r>
      <w:r w:rsidR="003466C9">
        <w:t>European Economic Community, but not for</w:t>
      </w:r>
      <w:r w:rsidR="00E70169">
        <w:t xml:space="preserve"> the European Defence Community;</w:t>
      </w:r>
      <w:r w:rsidR="003466C9">
        <w:t xml:space="preserve"> for the single market and EMU, but not for the Constitutional Treaty. </w:t>
      </w:r>
      <w:r w:rsidR="005D4F4F">
        <w:t xml:space="preserve">Keeping the debate alive, presenting scenarios and proposals, ensures that </w:t>
      </w:r>
      <w:r w:rsidR="00533241">
        <w:t>such</w:t>
      </w:r>
      <w:r w:rsidR="005D4F4F">
        <w:t xml:space="preserve"> </w:t>
      </w:r>
      <w:r w:rsidR="00533241">
        <w:t xml:space="preserve">unpredictable </w:t>
      </w:r>
      <w:r w:rsidR="005D4F4F">
        <w:t xml:space="preserve">political windows of opportunity </w:t>
      </w:r>
      <w:r w:rsidR="00533241">
        <w:t>as</w:t>
      </w:r>
      <w:r w:rsidR="005D4F4F">
        <w:t xml:space="preserve"> may suddenly open </w:t>
      </w:r>
      <w:r w:rsidR="00E70169">
        <w:t xml:space="preserve">after key national elections </w:t>
      </w:r>
      <w:r w:rsidR="005D4F4F">
        <w:t xml:space="preserve">can be taken advantage of. </w:t>
      </w:r>
      <w:r w:rsidR="00310B81">
        <w:t>T</w:t>
      </w:r>
      <w:r w:rsidR="005D4F4F">
        <w:t>he</w:t>
      </w:r>
      <w:r w:rsidR="003100D3">
        <w:t xml:space="preserve"> </w:t>
      </w:r>
      <w:r w:rsidR="00310B81">
        <w:t xml:space="preserve">birth of the </w:t>
      </w:r>
      <w:r w:rsidR="003100D3">
        <w:t>Treaty of Rome</w:t>
      </w:r>
      <w:r w:rsidR="005D4F4F">
        <w:t xml:space="preserve"> itself </w:t>
      </w:r>
      <w:r w:rsidR="00310B81">
        <w:t>demonstrates this.</w:t>
      </w:r>
      <w:r w:rsidR="00713047">
        <w:rPr>
          <w:rStyle w:val="FootnoteReference"/>
        </w:rPr>
        <w:footnoteReference w:id="8"/>
      </w:r>
      <w:r w:rsidR="00713047">
        <w:t xml:space="preserve"> </w:t>
      </w:r>
      <w:r w:rsidR="00310B81">
        <w:t xml:space="preserve">The Treaty was </w:t>
      </w:r>
      <w:r w:rsidR="00D22387">
        <w:t xml:space="preserve">a plan B, </w:t>
      </w:r>
      <w:r w:rsidR="00713047">
        <w:t xml:space="preserve">a </w:t>
      </w:r>
      <w:r w:rsidR="00310B81">
        <w:t xml:space="preserve">response to the </w:t>
      </w:r>
      <w:r w:rsidR="00713047">
        <w:t xml:space="preserve">devastating </w:t>
      </w:r>
      <w:r w:rsidR="00310B81">
        <w:t xml:space="preserve">rejection of the EDC in France. The </w:t>
      </w:r>
      <w:r w:rsidR="009554BA">
        <w:t>main purpose of the Messina meeting of 1955 that pushed it into motion was to select a new president for the High Authority</w:t>
      </w:r>
      <w:r w:rsidR="00292C63">
        <w:t xml:space="preserve"> of the ECSC, not the launch</w:t>
      </w:r>
      <w:r w:rsidR="009554BA">
        <w:t xml:space="preserve"> of </w:t>
      </w:r>
      <w:r w:rsidR="006C2865">
        <w:t xml:space="preserve">an economic community; in fact, the </w:t>
      </w:r>
      <w:r w:rsidR="00D22387">
        <w:t>discussion of a common market</w:t>
      </w:r>
      <w:r w:rsidR="00E3057B">
        <w:t xml:space="preserve"> went against the French foreign minister’s instructions, which he </w:t>
      </w:r>
      <w:r w:rsidR="00321B55">
        <w:t xml:space="preserve">fortunately </w:t>
      </w:r>
      <w:r w:rsidR="00E3057B">
        <w:t>ignored</w:t>
      </w:r>
      <w:r w:rsidR="006C2865">
        <w:t>.</w:t>
      </w:r>
      <w:r w:rsidR="00310B81">
        <w:t xml:space="preserve"> </w:t>
      </w:r>
      <w:r w:rsidR="006C2865">
        <w:t xml:space="preserve">Initially, the Spaak Committee </w:t>
      </w:r>
      <w:r w:rsidR="00E3057B">
        <w:t xml:space="preserve">that drafted the blueprint for the Treaty </w:t>
      </w:r>
      <w:r w:rsidR="006C2865">
        <w:t xml:space="preserve">was dismissed </w:t>
      </w:r>
      <w:r w:rsidR="00321B55">
        <w:t xml:space="preserve">by many </w:t>
      </w:r>
      <w:r w:rsidR="006C2865">
        <w:t xml:space="preserve">as </w:t>
      </w:r>
      <w:r w:rsidR="00E3057B">
        <w:t>just</w:t>
      </w:r>
      <w:r w:rsidR="006C2865">
        <w:t xml:space="preserve"> another </w:t>
      </w:r>
      <w:r w:rsidR="008543D5">
        <w:t>pointless</w:t>
      </w:r>
      <w:r w:rsidR="006C2865">
        <w:t xml:space="preserve"> committee of experts. In essence, </w:t>
      </w:r>
      <w:r w:rsidR="00BA7CA0">
        <w:t xml:space="preserve">there was nothing inevitable about the </w:t>
      </w:r>
      <w:r w:rsidR="00310B81">
        <w:t>Treaty</w:t>
      </w:r>
      <w:r w:rsidR="00BA7CA0">
        <w:t>. It</w:t>
      </w:r>
      <w:r w:rsidR="00310B81">
        <w:t xml:space="preserve"> </w:t>
      </w:r>
      <w:r w:rsidR="005D4F4F">
        <w:t xml:space="preserve">only </w:t>
      </w:r>
      <w:r w:rsidR="00EC64A2">
        <w:t>emerged</w:t>
      </w:r>
      <w:r w:rsidR="005D4F4F">
        <w:t xml:space="preserve"> when </w:t>
      </w:r>
      <w:r w:rsidR="00533241">
        <w:t xml:space="preserve">the </w:t>
      </w:r>
      <w:r w:rsidR="005D4F4F">
        <w:t xml:space="preserve">Member States, trying to find a </w:t>
      </w:r>
      <w:r w:rsidR="00310B81">
        <w:t>way to keep the European project going</w:t>
      </w:r>
      <w:r w:rsidR="00785961">
        <w:t xml:space="preserve">, latched on to </w:t>
      </w:r>
      <w:r w:rsidR="00292C63">
        <w:t>the</w:t>
      </w:r>
      <w:r w:rsidR="00785961">
        <w:t xml:space="preserve"> convenient</w:t>
      </w:r>
      <w:r w:rsidR="009554BA">
        <w:t xml:space="preserve">ly </w:t>
      </w:r>
      <w:r w:rsidR="007A69E7">
        <w:t xml:space="preserve">revived and </w:t>
      </w:r>
      <w:r w:rsidR="009554BA">
        <w:t>re</w:t>
      </w:r>
      <w:r w:rsidR="007A69E7">
        <w:t xml:space="preserve">packaged </w:t>
      </w:r>
      <w:proofErr w:type="spellStart"/>
      <w:r w:rsidR="007A69E7">
        <w:t>Beyen</w:t>
      </w:r>
      <w:proofErr w:type="spellEnd"/>
      <w:r w:rsidR="007A69E7">
        <w:t xml:space="preserve"> Plan </w:t>
      </w:r>
      <w:r w:rsidR="005D4F4F">
        <w:t xml:space="preserve">for </w:t>
      </w:r>
      <w:r w:rsidR="00321B55">
        <w:t xml:space="preserve">a </w:t>
      </w:r>
      <w:r w:rsidR="005D4F4F">
        <w:t>customs union</w:t>
      </w:r>
      <w:r w:rsidR="00D22387">
        <w:t xml:space="preserve">. </w:t>
      </w:r>
      <w:r w:rsidR="00674498">
        <w:t>Most importantly,</w:t>
      </w:r>
      <w:r w:rsidR="00785961">
        <w:t xml:space="preserve"> it </w:t>
      </w:r>
      <w:r w:rsidR="00E3057B">
        <w:t xml:space="preserve">happened to </w:t>
      </w:r>
      <w:r w:rsidR="00785961">
        <w:t>c</w:t>
      </w:r>
      <w:r w:rsidR="00E3057B">
        <w:t>o</w:t>
      </w:r>
      <w:r w:rsidR="00785961">
        <w:t xml:space="preserve">me </w:t>
      </w:r>
      <w:r w:rsidR="00EC64A2">
        <w:t xml:space="preserve">about </w:t>
      </w:r>
      <w:r w:rsidR="005D4F4F">
        <w:t xml:space="preserve">just at </w:t>
      </w:r>
      <w:r w:rsidR="00785961">
        <w:t>a moment</w:t>
      </w:r>
      <w:r w:rsidR="005D4F4F">
        <w:t xml:space="preserve"> when the French </w:t>
      </w:r>
      <w:r w:rsidR="00533241">
        <w:t>P</w:t>
      </w:r>
      <w:r w:rsidR="005D4F4F">
        <w:t xml:space="preserve">rime </w:t>
      </w:r>
      <w:r w:rsidR="00533241">
        <w:t>M</w:t>
      </w:r>
      <w:r w:rsidR="005D4F4F">
        <w:t xml:space="preserve">inister </w:t>
      </w:r>
      <w:proofErr w:type="spellStart"/>
      <w:r w:rsidR="005D4F4F">
        <w:t>Mollet</w:t>
      </w:r>
      <w:proofErr w:type="spellEnd"/>
      <w:r w:rsidR="007E7BD4">
        <w:t>, in the words of Parsons,</w:t>
      </w:r>
      <w:r w:rsidR="005D4F4F">
        <w:t xml:space="preserve"> </w:t>
      </w:r>
      <w:r w:rsidR="00533241">
        <w:t>was</w:t>
      </w:r>
      <w:r w:rsidR="00EC5083">
        <w:t xml:space="preserve"> able to open and leap through</w:t>
      </w:r>
      <w:r w:rsidR="00533241">
        <w:t xml:space="preserve"> a narrow window of opportunity</w:t>
      </w:r>
      <w:r w:rsidR="00894A29">
        <w:t>,</w:t>
      </w:r>
      <w:r w:rsidR="00EC5083">
        <w:rPr>
          <w:rStyle w:val="FootnoteReference"/>
        </w:rPr>
        <w:footnoteReference w:id="9"/>
      </w:r>
      <w:r w:rsidR="00D573CC">
        <w:t xml:space="preserve"> </w:t>
      </w:r>
      <w:r w:rsidR="00894A29">
        <w:t>which would most likely have closed in May 1958 following de Gaulle’s return to power.</w:t>
      </w:r>
    </w:p>
    <w:p w:rsidR="00234E2C" w:rsidRPr="00EC2ED3" w:rsidRDefault="00234E2C" w:rsidP="000E3C0B">
      <w:r>
        <w:t>Jukka Snell</w:t>
      </w:r>
      <w:bookmarkStart w:id="0" w:name="_GoBack"/>
      <w:bookmarkEnd w:id="0"/>
    </w:p>
    <w:sectPr w:rsidR="00234E2C" w:rsidRPr="00EC2ED3">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394A" w:rsidRDefault="0025394A" w:rsidP="000E3C0B">
      <w:pPr>
        <w:spacing w:after="0" w:line="240" w:lineRule="auto"/>
      </w:pPr>
      <w:r>
        <w:separator/>
      </w:r>
    </w:p>
  </w:endnote>
  <w:endnote w:type="continuationSeparator" w:id="0">
    <w:p w:rsidR="0025394A" w:rsidRDefault="0025394A" w:rsidP="000E3C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394A" w:rsidRDefault="0025394A" w:rsidP="000E3C0B">
      <w:pPr>
        <w:spacing w:after="0" w:line="240" w:lineRule="auto"/>
      </w:pPr>
      <w:r>
        <w:separator/>
      </w:r>
    </w:p>
  </w:footnote>
  <w:footnote w:type="continuationSeparator" w:id="0">
    <w:p w:rsidR="0025394A" w:rsidRDefault="0025394A" w:rsidP="000E3C0B">
      <w:pPr>
        <w:spacing w:after="0" w:line="240" w:lineRule="auto"/>
      </w:pPr>
      <w:r>
        <w:continuationSeparator/>
      </w:r>
    </w:p>
  </w:footnote>
  <w:footnote w:id="1">
    <w:p w:rsidR="003C4BE1" w:rsidRPr="003C4BE1" w:rsidRDefault="003C4BE1">
      <w:pPr>
        <w:pStyle w:val="FootnoteText"/>
      </w:pPr>
      <w:r>
        <w:rPr>
          <w:rStyle w:val="FootnoteReference"/>
        </w:rPr>
        <w:footnoteRef/>
      </w:r>
      <w:r>
        <w:t xml:space="preserve"> </w:t>
      </w:r>
      <w:hyperlink r:id="rId1" w:history="1">
        <w:r w:rsidRPr="00E6404D">
          <w:rPr>
            <w:rStyle w:val="Hyperlink"/>
          </w:rPr>
          <w:t>https://ec.europa.eu/commission/sites/beta-political/files/white_paper_on_the_future_of_europe_en.pdf</w:t>
        </w:r>
      </w:hyperlink>
      <w:r>
        <w:t xml:space="preserve">. </w:t>
      </w:r>
    </w:p>
  </w:footnote>
  <w:footnote w:id="2">
    <w:p w:rsidR="000E3C0B" w:rsidRPr="000E3C0B" w:rsidRDefault="000E3C0B">
      <w:pPr>
        <w:pStyle w:val="FootnoteText"/>
      </w:pPr>
      <w:r>
        <w:rPr>
          <w:rStyle w:val="FootnoteReference"/>
        </w:rPr>
        <w:footnoteRef/>
      </w:r>
      <w:r>
        <w:t xml:space="preserve"> </w:t>
      </w:r>
      <w:r w:rsidRPr="000E3C0B">
        <w:t>Declaration No 23 annexed to the Treaty of Nice</w:t>
      </w:r>
      <w:r>
        <w:t xml:space="preserve">. </w:t>
      </w:r>
    </w:p>
  </w:footnote>
  <w:footnote w:id="3">
    <w:p w:rsidR="000E3C0B" w:rsidRPr="000E3C0B" w:rsidRDefault="000E3C0B">
      <w:pPr>
        <w:pStyle w:val="FootnoteText"/>
      </w:pPr>
      <w:r>
        <w:rPr>
          <w:rStyle w:val="FootnoteReference"/>
        </w:rPr>
        <w:footnoteRef/>
      </w:r>
      <w:r>
        <w:t xml:space="preserve"> </w:t>
      </w:r>
      <w:hyperlink r:id="rId2" w:history="1">
        <w:r w:rsidRPr="00960021">
          <w:rPr>
            <w:rStyle w:val="Hyperlink"/>
          </w:rPr>
          <w:t>https://www.consilium.europa.eu/uedocs/cms_data/docs/pressdata/en/ec/68827.pdf</w:t>
        </w:r>
      </w:hyperlink>
      <w:r w:rsidR="008E6239">
        <w:t>.</w:t>
      </w:r>
    </w:p>
  </w:footnote>
  <w:footnote w:id="4">
    <w:p w:rsidR="003C4BE1" w:rsidRPr="003C4BE1" w:rsidRDefault="003C4BE1">
      <w:pPr>
        <w:pStyle w:val="FootnoteText"/>
      </w:pPr>
      <w:r>
        <w:rPr>
          <w:rStyle w:val="FootnoteReference"/>
        </w:rPr>
        <w:footnoteRef/>
      </w:r>
      <w:r>
        <w:t xml:space="preserve"> </w:t>
      </w:r>
      <w:hyperlink r:id="rId3" w:history="1">
        <w:proofErr w:type="gramStart"/>
        <w:r w:rsidRPr="00E6404D">
          <w:rPr>
            <w:rStyle w:val="Hyperlink"/>
          </w:rPr>
          <w:t>http://www.consilium.europa.eu/uedocs/cms_Data/docs/pressdata/en/ec/134069.pdf</w:t>
        </w:r>
      </w:hyperlink>
      <w:r>
        <w:t xml:space="preserve"> and </w:t>
      </w:r>
      <w:hyperlink r:id="rId4" w:history="1">
        <w:r w:rsidRPr="00E6404D">
          <w:rPr>
            <w:rStyle w:val="Hyperlink"/>
          </w:rPr>
          <w:t>https://ec.europa.eu/commission/sites/beta-political/files/5-presidents-report_en.pdf</w:t>
        </w:r>
      </w:hyperlink>
      <w:r>
        <w:t>.</w:t>
      </w:r>
      <w:proofErr w:type="gramEnd"/>
      <w:r>
        <w:t xml:space="preserve"> </w:t>
      </w:r>
    </w:p>
  </w:footnote>
  <w:footnote w:id="5">
    <w:p w:rsidR="00AC52E0" w:rsidRPr="00AC52E0" w:rsidRDefault="00AC52E0">
      <w:pPr>
        <w:pStyle w:val="FootnoteText"/>
      </w:pPr>
      <w:r>
        <w:rPr>
          <w:rStyle w:val="FootnoteReference"/>
        </w:rPr>
        <w:footnoteRef/>
      </w:r>
      <w:r>
        <w:t xml:space="preserve"> </w:t>
      </w:r>
      <w:r w:rsidRPr="00AC52E0">
        <w:t xml:space="preserve">See </w:t>
      </w:r>
      <w:proofErr w:type="spellStart"/>
      <w:r w:rsidR="008E6239">
        <w:t>eg</w:t>
      </w:r>
      <w:proofErr w:type="spellEnd"/>
      <w:r w:rsidRPr="00AC52E0">
        <w:t xml:space="preserve"> </w:t>
      </w:r>
      <w:hyperlink r:id="rId5" w:history="1">
        <w:r w:rsidRPr="00E6404D">
          <w:rPr>
            <w:rStyle w:val="Hyperlink"/>
          </w:rPr>
          <w:t>http://ec.europa.eu/archives/commission_2010-2014/president/news/archives/2012/11/pdf/blueprint_en.pdf</w:t>
        </w:r>
      </w:hyperlink>
      <w:r>
        <w:t xml:space="preserve">. </w:t>
      </w:r>
    </w:p>
  </w:footnote>
  <w:footnote w:id="6">
    <w:p w:rsidR="00891DC5" w:rsidRPr="00891DC5" w:rsidRDefault="00891DC5">
      <w:pPr>
        <w:pStyle w:val="FootnoteText"/>
      </w:pPr>
      <w:r>
        <w:rPr>
          <w:rStyle w:val="FootnoteReference"/>
        </w:rPr>
        <w:footnoteRef/>
      </w:r>
      <w:r>
        <w:t xml:space="preserve"> </w:t>
      </w:r>
      <w:proofErr w:type="gramStart"/>
      <w:r>
        <w:t xml:space="preserve">W </w:t>
      </w:r>
      <w:proofErr w:type="spellStart"/>
      <w:r w:rsidRPr="00891DC5">
        <w:t>Münchau</w:t>
      </w:r>
      <w:proofErr w:type="spellEnd"/>
      <w:r>
        <w:t>, ‘</w:t>
      </w:r>
      <w:r w:rsidRPr="00891DC5">
        <w:t>A multi-speed formula will shape Europe’s future</w:t>
      </w:r>
      <w:r>
        <w:t>’ Financial Times, 12 March 2017.</w:t>
      </w:r>
      <w:proofErr w:type="gramEnd"/>
    </w:p>
  </w:footnote>
  <w:footnote w:id="7">
    <w:p w:rsidR="00891DC5" w:rsidRPr="00810C68" w:rsidRDefault="00891DC5">
      <w:pPr>
        <w:pStyle w:val="FootnoteText"/>
      </w:pPr>
      <w:r>
        <w:rPr>
          <w:rStyle w:val="FootnoteReference"/>
        </w:rPr>
        <w:footnoteRef/>
      </w:r>
      <w:r>
        <w:t xml:space="preserve"> </w:t>
      </w:r>
      <w:r w:rsidRPr="00810C68">
        <w:t xml:space="preserve">See </w:t>
      </w:r>
      <w:r w:rsidR="00810C68" w:rsidRPr="00810C68">
        <w:t>P Craig,</w:t>
      </w:r>
      <w:r w:rsidR="00810C68">
        <w:t xml:space="preserve"> </w:t>
      </w:r>
      <w:r w:rsidR="00810C68" w:rsidRPr="00810C68">
        <w:t>’Two-Speed, Multi-Speed an</w:t>
      </w:r>
      <w:r w:rsidR="00810C68">
        <w:t xml:space="preserve">d Europe’s Future: A Review of Jean-Claude </w:t>
      </w:r>
      <w:proofErr w:type="spellStart"/>
      <w:r w:rsidR="00810C68">
        <w:t>Piris</w:t>
      </w:r>
      <w:proofErr w:type="spellEnd"/>
      <w:r w:rsidR="00810C68">
        <w:t xml:space="preserve"> on </w:t>
      </w:r>
      <w:r w:rsidR="00810C68">
        <w:rPr>
          <w:i/>
        </w:rPr>
        <w:t>The Future of Europe</w:t>
      </w:r>
      <w:r w:rsidR="00810C68">
        <w:t xml:space="preserve">’ (2012) 37 </w:t>
      </w:r>
      <w:proofErr w:type="spellStart"/>
      <w:r w:rsidR="00810C68">
        <w:t>ELRev</w:t>
      </w:r>
      <w:proofErr w:type="spellEnd"/>
      <w:r w:rsidR="00810C68">
        <w:t xml:space="preserve"> 800 for a </w:t>
      </w:r>
      <w:r w:rsidR="008543D5">
        <w:t>critical</w:t>
      </w:r>
      <w:r w:rsidR="00810C68">
        <w:t xml:space="preserve"> discussion.</w:t>
      </w:r>
    </w:p>
  </w:footnote>
  <w:footnote w:id="8">
    <w:p w:rsidR="00713047" w:rsidRPr="00EC5083" w:rsidRDefault="00713047" w:rsidP="00713047">
      <w:pPr>
        <w:pStyle w:val="FootnoteText"/>
      </w:pPr>
      <w:r>
        <w:rPr>
          <w:rStyle w:val="FootnoteReference"/>
        </w:rPr>
        <w:footnoteRef/>
      </w:r>
      <w:r>
        <w:t xml:space="preserve"> </w:t>
      </w:r>
      <w:r w:rsidRPr="00EC5083">
        <w:t xml:space="preserve">See </w:t>
      </w:r>
      <w:r w:rsidR="00E3057B">
        <w:t xml:space="preserve">generally </w:t>
      </w:r>
      <w:proofErr w:type="spellStart"/>
      <w:r w:rsidRPr="00EC5083">
        <w:t>eg</w:t>
      </w:r>
      <w:proofErr w:type="spellEnd"/>
      <w:r w:rsidRPr="00EC5083">
        <w:t xml:space="preserve"> D </w:t>
      </w:r>
      <w:proofErr w:type="spellStart"/>
      <w:r w:rsidRPr="00EC5083">
        <w:t>Dinian</w:t>
      </w:r>
      <w:proofErr w:type="spellEnd"/>
      <w:r w:rsidRPr="00EC5083">
        <w:t xml:space="preserve">, </w:t>
      </w:r>
      <w:r w:rsidRPr="00EC5083">
        <w:rPr>
          <w:i/>
        </w:rPr>
        <w:t>Europe Recast</w:t>
      </w:r>
      <w:r>
        <w:t xml:space="preserve"> (Palgrave Macmillan, 2004) 66-69</w:t>
      </w:r>
      <w:r w:rsidR="00E3057B">
        <w:t>.</w:t>
      </w:r>
      <w:r>
        <w:t xml:space="preserve"> </w:t>
      </w:r>
    </w:p>
  </w:footnote>
  <w:footnote w:id="9">
    <w:p w:rsidR="00EC5083" w:rsidRPr="00EC5083" w:rsidRDefault="00EC5083">
      <w:pPr>
        <w:pStyle w:val="FootnoteText"/>
      </w:pPr>
      <w:r>
        <w:rPr>
          <w:rStyle w:val="FootnoteReference"/>
        </w:rPr>
        <w:footnoteRef/>
      </w:r>
      <w:r>
        <w:t xml:space="preserve"> </w:t>
      </w:r>
      <w:proofErr w:type="gramStart"/>
      <w:r w:rsidRPr="00EC5083">
        <w:t xml:space="preserve">C Parsons, </w:t>
      </w:r>
      <w:r w:rsidRPr="00EC5083">
        <w:rPr>
          <w:i/>
        </w:rPr>
        <w:t>A Certain Idea of Europe</w:t>
      </w:r>
      <w:r>
        <w:t xml:space="preserve"> (Cornell University Press, 2003) 92.</w:t>
      </w:r>
      <w:proofErr w:type="gramEnd"/>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2ED3"/>
    <w:rsid w:val="000E3C0B"/>
    <w:rsid w:val="00176120"/>
    <w:rsid w:val="00234E2C"/>
    <w:rsid w:val="0025394A"/>
    <w:rsid w:val="00255BD3"/>
    <w:rsid w:val="002864A8"/>
    <w:rsid w:val="00292C63"/>
    <w:rsid w:val="00293ECE"/>
    <w:rsid w:val="003100D3"/>
    <w:rsid w:val="00310B81"/>
    <w:rsid w:val="0032194C"/>
    <w:rsid w:val="00321B55"/>
    <w:rsid w:val="003466C9"/>
    <w:rsid w:val="003710C8"/>
    <w:rsid w:val="003C4BE1"/>
    <w:rsid w:val="003D14EF"/>
    <w:rsid w:val="003E3297"/>
    <w:rsid w:val="00427368"/>
    <w:rsid w:val="00471094"/>
    <w:rsid w:val="00533241"/>
    <w:rsid w:val="005A1ABC"/>
    <w:rsid w:val="005B5F8F"/>
    <w:rsid w:val="005D4F4F"/>
    <w:rsid w:val="00674498"/>
    <w:rsid w:val="006C2865"/>
    <w:rsid w:val="00713047"/>
    <w:rsid w:val="00785961"/>
    <w:rsid w:val="007A69E7"/>
    <w:rsid w:val="007E7BD4"/>
    <w:rsid w:val="00810C68"/>
    <w:rsid w:val="008543D5"/>
    <w:rsid w:val="00891DC5"/>
    <w:rsid w:val="00894A29"/>
    <w:rsid w:val="008C4B74"/>
    <w:rsid w:val="008E6239"/>
    <w:rsid w:val="008F605E"/>
    <w:rsid w:val="009554BA"/>
    <w:rsid w:val="00AC52E0"/>
    <w:rsid w:val="00B154EA"/>
    <w:rsid w:val="00B81796"/>
    <w:rsid w:val="00BA7CA0"/>
    <w:rsid w:val="00BC41AE"/>
    <w:rsid w:val="00C40C78"/>
    <w:rsid w:val="00D163E9"/>
    <w:rsid w:val="00D22387"/>
    <w:rsid w:val="00D43136"/>
    <w:rsid w:val="00D573CC"/>
    <w:rsid w:val="00DD2596"/>
    <w:rsid w:val="00DF4165"/>
    <w:rsid w:val="00E3057B"/>
    <w:rsid w:val="00E42CC5"/>
    <w:rsid w:val="00E70169"/>
    <w:rsid w:val="00EC2ED3"/>
    <w:rsid w:val="00EC5083"/>
    <w:rsid w:val="00EC64A2"/>
    <w:rsid w:val="00F332E1"/>
    <w:rsid w:val="00F93F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0E3C0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E3C0B"/>
    <w:rPr>
      <w:sz w:val="20"/>
      <w:szCs w:val="20"/>
    </w:rPr>
  </w:style>
  <w:style w:type="character" w:styleId="FootnoteReference">
    <w:name w:val="footnote reference"/>
    <w:basedOn w:val="DefaultParagraphFont"/>
    <w:uiPriority w:val="99"/>
    <w:semiHidden/>
    <w:unhideWhenUsed/>
    <w:rsid w:val="000E3C0B"/>
    <w:rPr>
      <w:vertAlign w:val="superscript"/>
    </w:rPr>
  </w:style>
  <w:style w:type="character" w:styleId="Hyperlink">
    <w:name w:val="Hyperlink"/>
    <w:basedOn w:val="DefaultParagraphFont"/>
    <w:uiPriority w:val="99"/>
    <w:unhideWhenUsed/>
    <w:rsid w:val="000E3C0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0E3C0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E3C0B"/>
    <w:rPr>
      <w:sz w:val="20"/>
      <w:szCs w:val="20"/>
    </w:rPr>
  </w:style>
  <w:style w:type="character" w:styleId="FootnoteReference">
    <w:name w:val="footnote reference"/>
    <w:basedOn w:val="DefaultParagraphFont"/>
    <w:uiPriority w:val="99"/>
    <w:semiHidden/>
    <w:unhideWhenUsed/>
    <w:rsid w:val="000E3C0B"/>
    <w:rPr>
      <w:vertAlign w:val="superscript"/>
    </w:rPr>
  </w:style>
  <w:style w:type="character" w:styleId="Hyperlink">
    <w:name w:val="Hyperlink"/>
    <w:basedOn w:val="DefaultParagraphFont"/>
    <w:uiPriority w:val="99"/>
    <w:unhideWhenUsed/>
    <w:rsid w:val="000E3C0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footnotes.xml.rels><?xml version="1.0" encoding="UTF-8" standalone="yes"?>
<Relationships xmlns="http://schemas.openxmlformats.org/package/2006/relationships"><Relationship Id="rId3" Type="http://schemas.openxmlformats.org/officeDocument/2006/relationships/hyperlink" Target="http://www.consilium.europa.eu/uedocs/cms_Data/docs/pressdata/en/ec/134069.pdf" TargetMode="External"/><Relationship Id="rId2" Type="http://schemas.openxmlformats.org/officeDocument/2006/relationships/hyperlink" Target="https://www.consilium.europa.eu/uedocs/cms_data/docs/pressdata/en/ec/68827.pdf" TargetMode="External"/><Relationship Id="rId1" Type="http://schemas.openxmlformats.org/officeDocument/2006/relationships/hyperlink" Target="https://ec.europa.eu/commission/sites/beta-political/files/white_paper_on_the_future_of_europe_en.pdf" TargetMode="External"/><Relationship Id="rId5" Type="http://schemas.openxmlformats.org/officeDocument/2006/relationships/hyperlink" Target="http://ec.europa.eu/archives/commission_2010-2014/president/news/archives/2012/11/pdf/blueprint_en.pdf" TargetMode="External"/><Relationship Id="rId4" Type="http://schemas.openxmlformats.org/officeDocument/2006/relationships/hyperlink" Target="https://ec.europa.eu/commission/sites/beta-political/files/5-presidents-report_en.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506</TotalTime>
  <Pages>2</Pages>
  <Words>1043</Words>
  <Characters>5946</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6976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Jukka Snell</dc:creator>
  <cp:lastModifiedBy>Jukka Snell</cp:lastModifiedBy>
  <cp:revision>14</cp:revision>
  <cp:lastPrinted>2017-03-21T14:39:00Z</cp:lastPrinted>
  <dcterms:created xsi:type="dcterms:W3CDTF">2017-03-16T11:23:00Z</dcterms:created>
  <dcterms:modified xsi:type="dcterms:W3CDTF">2017-03-22T12:18:00Z</dcterms:modified>
</cp:coreProperties>
</file>