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618A9" w:rsidRPr="003252DA" w:rsidRDefault="005618A9" w:rsidP="00726FC8">
      <w:pPr>
        <w:spacing w:line="480" w:lineRule="auto"/>
        <w:rPr>
          <w:b/>
          <w:sz w:val="28"/>
          <w:lang w:val="en-US"/>
        </w:rPr>
      </w:pPr>
      <w:bookmarkStart w:id="0" w:name="_GoBack"/>
      <w:bookmarkEnd w:id="0"/>
      <w:r w:rsidRPr="003252DA">
        <w:rPr>
          <w:b/>
          <w:sz w:val="28"/>
          <w:lang w:val="en-US"/>
        </w:rPr>
        <w:t xml:space="preserve">Excessive </w:t>
      </w:r>
      <w:r w:rsidR="00FE6D0C">
        <w:rPr>
          <w:b/>
          <w:sz w:val="28"/>
          <w:lang w:val="en-US"/>
        </w:rPr>
        <w:t>i</w:t>
      </w:r>
      <w:r w:rsidRPr="003252DA">
        <w:rPr>
          <w:b/>
          <w:sz w:val="28"/>
          <w:lang w:val="en-US"/>
        </w:rPr>
        <w:t xml:space="preserve">ntravenous </w:t>
      </w:r>
      <w:r w:rsidR="00FE6D0C">
        <w:rPr>
          <w:b/>
          <w:sz w:val="28"/>
          <w:lang w:val="en-US"/>
        </w:rPr>
        <w:t>f</w:t>
      </w:r>
      <w:r w:rsidRPr="003252DA">
        <w:rPr>
          <w:b/>
          <w:sz w:val="28"/>
          <w:lang w:val="en-US"/>
        </w:rPr>
        <w:t xml:space="preserve">luid </w:t>
      </w:r>
      <w:r w:rsidR="00FE6D0C">
        <w:rPr>
          <w:b/>
          <w:sz w:val="28"/>
          <w:lang w:val="en-US"/>
        </w:rPr>
        <w:t>t</w:t>
      </w:r>
      <w:r w:rsidRPr="003252DA">
        <w:rPr>
          <w:b/>
          <w:sz w:val="28"/>
          <w:lang w:val="en-US"/>
        </w:rPr>
        <w:t xml:space="preserve">herapy in </w:t>
      </w:r>
      <w:r w:rsidR="00FE6D0C">
        <w:rPr>
          <w:b/>
          <w:sz w:val="28"/>
          <w:lang w:val="en-US"/>
        </w:rPr>
        <w:t>h</w:t>
      </w:r>
      <w:r w:rsidRPr="003252DA">
        <w:rPr>
          <w:b/>
          <w:sz w:val="28"/>
          <w:lang w:val="en-US"/>
        </w:rPr>
        <w:t xml:space="preserve">ead and </w:t>
      </w:r>
      <w:r w:rsidR="00FE6D0C">
        <w:rPr>
          <w:b/>
          <w:sz w:val="28"/>
          <w:lang w:val="en-US"/>
        </w:rPr>
        <w:t>n</w:t>
      </w:r>
      <w:r w:rsidRPr="003252DA">
        <w:rPr>
          <w:b/>
          <w:sz w:val="28"/>
          <w:lang w:val="en-US"/>
        </w:rPr>
        <w:t xml:space="preserve">eck </w:t>
      </w:r>
      <w:r w:rsidR="00FE6D0C">
        <w:rPr>
          <w:b/>
          <w:sz w:val="28"/>
          <w:lang w:val="en-US"/>
        </w:rPr>
        <w:t>c</w:t>
      </w:r>
      <w:r w:rsidRPr="003252DA">
        <w:rPr>
          <w:b/>
          <w:sz w:val="28"/>
          <w:lang w:val="en-US"/>
        </w:rPr>
        <w:t xml:space="preserve">ancer </w:t>
      </w:r>
      <w:r w:rsidR="00FE6D0C">
        <w:rPr>
          <w:b/>
          <w:sz w:val="28"/>
          <w:lang w:val="en-US"/>
        </w:rPr>
        <w:t>s</w:t>
      </w:r>
      <w:r w:rsidRPr="003252DA">
        <w:rPr>
          <w:b/>
          <w:sz w:val="28"/>
          <w:lang w:val="en-US"/>
        </w:rPr>
        <w:t>urgery</w:t>
      </w:r>
    </w:p>
    <w:p w:rsidR="005618A9" w:rsidRPr="00EC143E" w:rsidRDefault="00A27DAF">
      <w:pPr>
        <w:spacing w:after="0" w:line="480" w:lineRule="auto"/>
      </w:pPr>
      <w:r w:rsidRPr="00EC143E">
        <w:t>Haapio E</w:t>
      </w:r>
      <w:r w:rsidR="00FE6D0C">
        <w:t>eva</w:t>
      </w:r>
      <w:r w:rsidRPr="00EC143E">
        <w:t xml:space="preserve"> MD 1,</w:t>
      </w:r>
      <w:r w:rsidR="00EC143E" w:rsidRPr="00EC143E">
        <w:t xml:space="preserve"> Kinnunen I</w:t>
      </w:r>
      <w:r w:rsidR="00FE6D0C">
        <w:t>lpo</w:t>
      </w:r>
      <w:r w:rsidR="00EC143E" w:rsidRPr="00EC143E">
        <w:t xml:space="preserve"> MD, PhD 1,</w:t>
      </w:r>
      <w:r w:rsidR="00DF1852" w:rsidRPr="00DF1852">
        <w:t xml:space="preserve"> Airaksinen J</w:t>
      </w:r>
      <w:r w:rsidR="00FE6D0C">
        <w:t xml:space="preserve">uhani </w:t>
      </w:r>
      <w:r w:rsidR="00DF1852" w:rsidRPr="00DF1852">
        <w:t xml:space="preserve">K.E. </w:t>
      </w:r>
      <w:r w:rsidR="00DF1852">
        <w:t>MD</w:t>
      </w:r>
      <w:r w:rsidR="00DF1852" w:rsidRPr="00DF1852">
        <w:t>, PhD 2</w:t>
      </w:r>
      <w:r w:rsidR="007F13D7">
        <w:t>,</w:t>
      </w:r>
      <w:r w:rsidRPr="00EC143E">
        <w:t xml:space="preserve"> </w:t>
      </w:r>
      <w:r w:rsidR="00EC143E">
        <w:t>Irjala H</w:t>
      </w:r>
      <w:r w:rsidR="00FE6D0C">
        <w:t>eikki</w:t>
      </w:r>
      <w:r w:rsidR="00EC143E">
        <w:t xml:space="preserve"> MD, PhD 1</w:t>
      </w:r>
      <w:r w:rsidR="007F13D7">
        <w:t xml:space="preserve">, </w:t>
      </w:r>
      <w:r w:rsidR="00EC143E">
        <w:t>Kiviniemi T</w:t>
      </w:r>
      <w:r w:rsidR="00FE6D0C">
        <w:t>uomas</w:t>
      </w:r>
      <w:r w:rsidR="00EC143E">
        <w:t xml:space="preserve"> MD, PhD 2</w:t>
      </w:r>
    </w:p>
    <w:p w:rsidR="005618A9" w:rsidRPr="00EC143E" w:rsidRDefault="005618A9">
      <w:pPr>
        <w:spacing w:after="0" w:line="480" w:lineRule="auto"/>
      </w:pPr>
    </w:p>
    <w:p w:rsidR="005618A9" w:rsidRPr="00E13109" w:rsidRDefault="005618A9">
      <w:pPr>
        <w:spacing w:after="0" w:line="480" w:lineRule="auto"/>
        <w:rPr>
          <w:lang w:val="en-US"/>
        </w:rPr>
      </w:pPr>
      <w:r w:rsidRPr="00E13109">
        <w:rPr>
          <w:lang w:val="en-US"/>
        </w:rPr>
        <w:t>1 Department of Otorhinolaryngology, Turku University Hospital and University of Turku, Turku, Finland.</w:t>
      </w:r>
    </w:p>
    <w:p w:rsidR="005618A9" w:rsidRDefault="005618A9">
      <w:pPr>
        <w:spacing w:after="0" w:line="480" w:lineRule="auto"/>
        <w:rPr>
          <w:lang w:val="en-US"/>
        </w:rPr>
      </w:pPr>
      <w:r w:rsidRPr="00E13109">
        <w:rPr>
          <w:lang w:val="en-US"/>
        </w:rPr>
        <w:t>2 Heart Center, Turku University Hospital and University of Turku, Turku, Finland.</w:t>
      </w:r>
    </w:p>
    <w:p w:rsidR="00275FB8" w:rsidRPr="00E13109" w:rsidRDefault="00275FB8">
      <w:pPr>
        <w:spacing w:after="0" w:line="480" w:lineRule="auto"/>
        <w:rPr>
          <w:lang w:val="en-US"/>
        </w:rPr>
      </w:pPr>
    </w:p>
    <w:p w:rsidR="00353519" w:rsidRDefault="00353519">
      <w:pPr>
        <w:spacing w:after="0" w:line="480" w:lineRule="auto"/>
        <w:rPr>
          <w:lang w:val="en-GB" w:eastAsia="de-DE"/>
        </w:rPr>
      </w:pPr>
      <w:r w:rsidRPr="00353519">
        <w:rPr>
          <w:b/>
          <w:lang w:val="en-GB" w:eastAsia="de-DE"/>
        </w:rPr>
        <w:t xml:space="preserve">Grant support: </w:t>
      </w:r>
      <w:r w:rsidRPr="00353519">
        <w:rPr>
          <w:lang w:val="en-GB" w:eastAsia="de-DE"/>
        </w:rPr>
        <w:t>This study was supported by the Finnish Foundation for Cardiovascular Research, Helsinki, Finland; by State Research Founding (EVO); Kirsti and Tor Johansson Cancer and Heart Foundation, Raasepori, Finland.</w:t>
      </w:r>
    </w:p>
    <w:p w:rsidR="005618A9" w:rsidRDefault="005618A9">
      <w:pPr>
        <w:spacing w:after="0" w:line="480" w:lineRule="auto"/>
        <w:rPr>
          <w:b/>
          <w:lang w:val="en-GB" w:eastAsia="de-DE"/>
        </w:rPr>
      </w:pPr>
      <w:r w:rsidRPr="00E13109">
        <w:rPr>
          <w:b/>
          <w:lang w:val="en-GB" w:eastAsia="de-DE"/>
        </w:rPr>
        <w:t>Corresponding author</w:t>
      </w:r>
      <w:r w:rsidR="00353519">
        <w:rPr>
          <w:b/>
          <w:lang w:val="en-GB" w:eastAsia="de-DE"/>
        </w:rPr>
        <w:t>:</w:t>
      </w:r>
    </w:p>
    <w:p w:rsidR="009C538E" w:rsidRPr="007F13D7" w:rsidRDefault="009C538E" w:rsidP="009C538E">
      <w:pPr>
        <w:spacing w:after="0" w:line="480" w:lineRule="auto"/>
        <w:rPr>
          <w:lang w:val="en-US" w:eastAsia="de-DE"/>
        </w:rPr>
      </w:pPr>
      <w:r w:rsidRPr="007F13D7">
        <w:rPr>
          <w:lang w:val="en-US" w:eastAsia="de-DE"/>
        </w:rPr>
        <w:t>Ilpo Kinnunen, MD, PhD</w:t>
      </w:r>
    </w:p>
    <w:p w:rsidR="009C538E" w:rsidRPr="007F13D7" w:rsidRDefault="009C538E" w:rsidP="009C538E">
      <w:pPr>
        <w:spacing w:after="0" w:line="480" w:lineRule="auto"/>
        <w:rPr>
          <w:lang w:val="en-US" w:eastAsia="de-DE"/>
        </w:rPr>
      </w:pPr>
      <w:r w:rsidRPr="007F13D7">
        <w:rPr>
          <w:lang w:val="en-US" w:eastAsia="de-DE"/>
        </w:rPr>
        <w:t>Turku University Hospital, Kiinamyllynkatu 4-8</w:t>
      </w:r>
    </w:p>
    <w:p w:rsidR="009C538E" w:rsidRPr="009C538E" w:rsidRDefault="009C538E" w:rsidP="009C538E">
      <w:pPr>
        <w:spacing w:after="0" w:line="480" w:lineRule="auto"/>
        <w:rPr>
          <w:lang w:val="en-GB" w:eastAsia="de-DE"/>
        </w:rPr>
      </w:pPr>
      <w:r w:rsidRPr="009C538E">
        <w:rPr>
          <w:lang w:val="en-GB" w:eastAsia="de-DE"/>
        </w:rPr>
        <w:t>FIN-20521, Turku, Finland, Tel: +, fax: +358 2 3132030</w:t>
      </w:r>
    </w:p>
    <w:p w:rsidR="005618A9" w:rsidRPr="00E13109" w:rsidRDefault="009C538E">
      <w:pPr>
        <w:spacing w:after="0" w:line="480" w:lineRule="auto"/>
        <w:rPr>
          <w:b/>
          <w:lang w:val="en-GB" w:eastAsia="de-DE"/>
        </w:rPr>
      </w:pPr>
      <w:r w:rsidRPr="009C538E">
        <w:rPr>
          <w:lang w:val="en-GB" w:eastAsia="de-DE"/>
        </w:rPr>
        <w:t>E-mail: ilpo.kinnunen@tyks.fi</w:t>
      </w:r>
    </w:p>
    <w:p w:rsidR="005618A9" w:rsidRPr="00353519" w:rsidRDefault="005618A9" w:rsidP="00726FC8">
      <w:pPr>
        <w:spacing w:line="480" w:lineRule="auto"/>
        <w:rPr>
          <w:rFonts w:cs="Arial"/>
          <w:b/>
          <w:lang w:val="en-US"/>
        </w:rPr>
      </w:pPr>
      <w:r>
        <w:rPr>
          <w:b/>
          <w:lang w:val="en-US"/>
        </w:rPr>
        <w:t xml:space="preserve">Key words: </w:t>
      </w:r>
      <w:r>
        <w:rPr>
          <w:lang w:val="en-US"/>
        </w:rPr>
        <w:t>perioperative fluid management; red blood cell; transfusion; cardiovascular complication; head and neck cancer</w:t>
      </w:r>
      <w:r>
        <w:rPr>
          <w:b/>
          <w:sz w:val="28"/>
          <w:u w:val="single"/>
          <w:lang w:val="en-US"/>
        </w:rPr>
        <w:br w:type="page"/>
      </w:r>
    </w:p>
    <w:p w:rsidR="005618A9" w:rsidRPr="0069078A" w:rsidRDefault="005618A9" w:rsidP="00E64BE7">
      <w:pPr>
        <w:spacing w:after="0" w:line="480" w:lineRule="auto"/>
        <w:rPr>
          <w:lang w:val="en-US"/>
        </w:rPr>
      </w:pPr>
      <w:r>
        <w:rPr>
          <w:b/>
          <w:lang w:val="en-US"/>
        </w:rPr>
        <w:lastRenderedPageBreak/>
        <w:t>Abstract</w:t>
      </w:r>
      <w:r w:rsidR="0069078A">
        <w:rPr>
          <w:b/>
          <w:lang w:val="en-US"/>
        </w:rPr>
        <w:t xml:space="preserve">  </w:t>
      </w:r>
    </w:p>
    <w:p w:rsidR="00A61889" w:rsidRPr="00285FD7" w:rsidRDefault="009C538E" w:rsidP="00E64BE7">
      <w:pPr>
        <w:spacing w:after="0" w:line="480" w:lineRule="auto"/>
        <w:rPr>
          <w:lang w:val="en-US"/>
        </w:rPr>
      </w:pPr>
      <w:r>
        <w:rPr>
          <w:b/>
          <w:lang w:val="en-US"/>
        </w:rPr>
        <w:t>Background</w:t>
      </w:r>
      <w:r w:rsidR="005618A9" w:rsidRPr="00285FD7">
        <w:rPr>
          <w:lang w:val="en-US"/>
        </w:rPr>
        <w:t xml:space="preserve">: </w:t>
      </w:r>
      <w:r w:rsidR="005618A9">
        <w:rPr>
          <w:lang w:val="en-US"/>
        </w:rPr>
        <w:t xml:space="preserve">In this retrospective study we sought to assess modifiable perioperative factors for </w:t>
      </w:r>
      <w:r w:rsidR="003D7D22">
        <w:rPr>
          <w:lang w:val="en-US"/>
        </w:rPr>
        <w:t>major cardiac and cerebrovascular events (</w:t>
      </w:r>
      <w:r w:rsidR="005618A9">
        <w:rPr>
          <w:lang w:val="en-US"/>
        </w:rPr>
        <w:t>MACCE</w:t>
      </w:r>
      <w:r w:rsidR="003D7D22">
        <w:rPr>
          <w:lang w:val="en-US"/>
        </w:rPr>
        <w:t>)</w:t>
      </w:r>
      <w:r w:rsidR="005618A9">
        <w:rPr>
          <w:lang w:val="en-US"/>
        </w:rPr>
        <w:t xml:space="preserve">.  </w:t>
      </w:r>
    </w:p>
    <w:p w:rsidR="005618A9" w:rsidRPr="00875235" w:rsidRDefault="009C538E" w:rsidP="00E64BE7">
      <w:pPr>
        <w:spacing w:after="0" w:line="480" w:lineRule="auto"/>
        <w:rPr>
          <w:lang w:val="en-US"/>
        </w:rPr>
      </w:pPr>
      <w:r>
        <w:rPr>
          <w:b/>
          <w:lang w:val="en-US"/>
        </w:rPr>
        <w:t>M</w:t>
      </w:r>
      <w:r w:rsidR="005618A9">
        <w:rPr>
          <w:b/>
          <w:lang w:val="en-US"/>
        </w:rPr>
        <w:t>ethods:</w:t>
      </w:r>
      <w:r w:rsidR="005618A9">
        <w:rPr>
          <w:lang w:val="en-US"/>
        </w:rPr>
        <w:t xml:space="preserve"> This</w:t>
      </w:r>
      <w:r>
        <w:rPr>
          <w:lang w:val="en-US"/>
        </w:rPr>
        <w:t xml:space="preserve"> </w:t>
      </w:r>
      <w:r w:rsidR="005618A9">
        <w:rPr>
          <w:lang w:val="en-US"/>
        </w:rPr>
        <w:t>study included</w:t>
      </w:r>
      <w:r w:rsidR="003D7D22">
        <w:rPr>
          <w:lang w:val="en-US"/>
        </w:rPr>
        <w:t xml:space="preserve"> unselected</w:t>
      </w:r>
      <w:r w:rsidR="005618A9">
        <w:rPr>
          <w:lang w:val="en-US"/>
        </w:rPr>
        <w:t xml:space="preserve"> cohort of head and neck patients</w:t>
      </w:r>
      <w:r w:rsidR="00A61889">
        <w:rPr>
          <w:lang w:val="en-US"/>
        </w:rPr>
        <w:t xml:space="preserve"> (n=456)</w:t>
      </w:r>
      <w:r w:rsidR="005618A9">
        <w:rPr>
          <w:lang w:val="en-US"/>
        </w:rPr>
        <w:t xml:space="preserve"> </w:t>
      </w:r>
      <w:r w:rsidR="00A61889">
        <w:rPr>
          <w:lang w:val="en-US"/>
        </w:rPr>
        <w:t>treated in Turku University Hospital between 1999-2008</w:t>
      </w:r>
      <w:r w:rsidR="00E361F7">
        <w:rPr>
          <w:lang w:val="en-US"/>
        </w:rPr>
        <w:t>.</w:t>
      </w:r>
      <w:r w:rsidR="005618A9" w:rsidRPr="00875235">
        <w:rPr>
          <w:lang w:val="en-US"/>
        </w:rPr>
        <w:t xml:space="preserve"> </w:t>
      </w:r>
    </w:p>
    <w:p w:rsidR="005A6C9F" w:rsidRPr="00726FC8" w:rsidRDefault="005618A9" w:rsidP="00E64BE7">
      <w:pPr>
        <w:spacing w:after="0" w:line="480" w:lineRule="auto"/>
        <w:rPr>
          <w:lang w:val="en-US"/>
        </w:rPr>
      </w:pPr>
      <w:r>
        <w:rPr>
          <w:b/>
          <w:lang w:val="en-US"/>
        </w:rPr>
        <w:t xml:space="preserve">Results: </w:t>
      </w:r>
      <w:r w:rsidRPr="00875235">
        <w:rPr>
          <w:lang w:val="en-US"/>
        </w:rPr>
        <w:t>Peri</w:t>
      </w:r>
      <w:r w:rsidR="00040214">
        <w:rPr>
          <w:lang w:val="en-US"/>
        </w:rPr>
        <w:t>-</w:t>
      </w:r>
      <w:r>
        <w:rPr>
          <w:lang w:val="en-US"/>
        </w:rPr>
        <w:t xml:space="preserve"> and </w:t>
      </w:r>
      <w:r w:rsidRPr="00875235">
        <w:rPr>
          <w:lang w:val="en-US"/>
        </w:rPr>
        <w:t>postoperative univariate predictors of MACCE at 30 days follow-up were total amount of fluids (24h) over 4000ml</w:t>
      </w:r>
      <w:r>
        <w:rPr>
          <w:lang w:val="en-US"/>
        </w:rPr>
        <w:t>,</w:t>
      </w:r>
      <w:r w:rsidRPr="00875235">
        <w:rPr>
          <w:lang w:val="en-US"/>
        </w:rPr>
        <w:t xml:space="preserve"> any </w:t>
      </w:r>
      <w:r>
        <w:rPr>
          <w:lang w:val="en-US"/>
        </w:rPr>
        <w:t xml:space="preserve">red blood cell infusion, </w:t>
      </w:r>
      <w:r w:rsidRPr="00875235">
        <w:rPr>
          <w:lang w:val="en-US"/>
        </w:rPr>
        <w:t>treatment in the intensive care unit</w:t>
      </w:r>
      <w:r>
        <w:rPr>
          <w:lang w:val="en-US"/>
        </w:rPr>
        <w:t>,</w:t>
      </w:r>
      <w:r w:rsidRPr="00875235">
        <w:rPr>
          <w:lang w:val="en-US"/>
        </w:rPr>
        <w:t xml:space="preserve"> tracheostomy</w:t>
      </w:r>
      <w:r>
        <w:rPr>
          <w:lang w:val="en-US"/>
        </w:rPr>
        <w:t xml:space="preserve"> and</w:t>
      </w:r>
      <w:r w:rsidRPr="00875235">
        <w:rPr>
          <w:lang w:val="en-US"/>
        </w:rPr>
        <w:t xml:space="preserve"> micro</w:t>
      </w:r>
      <w:r>
        <w:rPr>
          <w:lang w:val="en-US"/>
        </w:rPr>
        <w:t>vascular reconstruction surgery.</w:t>
      </w:r>
      <w:r w:rsidR="00E361F7" w:rsidRPr="00E361F7">
        <w:rPr>
          <w:lang w:val="en-US"/>
        </w:rPr>
        <w:t xml:space="preserve"> Median time from operation to MACCE was 3 days. </w:t>
      </w:r>
      <w:r w:rsidRPr="00AE5A8D">
        <w:rPr>
          <w:lang w:val="en-US"/>
        </w:rPr>
        <w:t xml:space="preserve"> </w:t>
      </w:r>
      <w:r w:rsidR="006D07AE">
        <w:rPr>
          <w:lang w:val="en-US"/>
        </w:rPr>
        <w:t xml:space="preserve">Patients receiving </w:t>
      </w:r>
      <w:r w:rsidR="00C27926">
        <w:rPr>
          <w:lang w:val="en-US"/>
        </w:rPr>
        <w:t>&gt;</w:t>
      </w:r>
      <w:r w:rsidR="006D07AE">
        <w:rPr>
          <w:lang w:val="en-US"/>
        </w:rPr>
        <w:t xml:space="preserve">4000ml fluids had more often </w:t>
      </w:r>
      <w:r w:rsidR="00966BFC">
        <w:rPr>
          <w:lang w:val="en-US"/>
        </w:rPr>
        <w:t>MACCE</w:t>
      </w:r>
      <w:r w:rsidR="006D07AE">
        <w:rPr>
          <w:lang w:val="en-US"/>
        </w:rPr>
        <w:t xml:space="preserve"> compared to those receiving &lt;4000ml (</w:t>
      </w:r>
      <w:r w:rsidR="00966BFC">
        <w:rPr>
          <w:lang w:val="en-US"/>
        </w:rPr>
        <w:t xml:space="preserve">10.8% vs. 2.4%, p=&lt;0.001, </w:t>
      </w:r>
      <w:r w:rsidR="006D07AE">
        <w:rPr>
          <w:lang w:val="en-US"/>
        </w:rPr>
        <w:t xml:space="preserve">respectively). </w:t>
      </w:r>
      <w:r w:rsidRPr="00AE5A8D">
        <w:rPr>
          <w:lang w:val="en-US"/>
        </w:rPr>
        <w:t>Moreover, every red blood cell</w:t>
      </w:r>
      <w:r w:rsidR="00223E9A">
        <w:rPr>
          <w:lang w:val="en-US"/>
        </w:rPr>
        <w:t xml:space="preserve"> unit</w:t>
      </w:r>
      <w:r w:rsidRPr="00AE5A8D">
        <w:rPr>
          <w:lang w:val="en-US"/>
        </w:rPr>
        <w:t xml:space="preserve"> transfused</w:t>
      </w:r>
      <w:r w:rsidR="00223E9A">
        <w:rPr>
          <w:lang w:val="en-US"/>
        </w:rPr>
        <w:t>;</w:t>
      </w:r>
      <w:r w:rsidRPr="00AE5A8D">
        <w:rPr>
          <w:lang w:val="en-US"/>
        </w:rPr>
        <w:t xml:space="preserve"> or every liter of fluid administered over </w:t>
      </w:r>
      <w:r w:rsidR="004C4F79">
        <w:rPr>
          <w:lang w:val="en-US"/>
        </w:rPr>
        <w:t>4</w:t>
      </w:r>
      <w:r w:rsidRPr="00AE5A8D">
        <w:rPr>
          <w:lang w:val="en-US"/>
        </w:rPr>
        <w:t>000ml/24h increased the risk of MACCE 18% per unit/liter</w:t>
      </w:r>
      <w:r w:rsidR="00223E9A">
        <w:rPr>
          <w:lang w:val="en-US"/>
        </w:rPr>
        <w:t>, respectively</w:t>
      </w:r>
      <w:r>
        <w:rPr>
          <w:lang w:val="en-US"/>
        </w:rPr>
        <w:t xml:space="preserve">. </w:t>
      </w:r>
    </w:p>
    <w:p w:rsidR="005618A9" w:rsidRPr="00AE5A8D" w:rsidRDefault="005618A9" w:rsidP="00E64BE7">
      <w:pPr>
        <w:spacing w:after="0" w:line="480" w:lineRule="auto"/>
        <w:rPr>
          <w:lang w:val="en-US"/>
        </w:rPr>
      </w:pPr>
      <w:r>
        <w:rPr>
          <w:b/>
          <w:lang w:val="en-US"/>
        </w:rPr>
        <w:t xml:space="preserve">Conclusion: </w:t>
      </w:r>
      <w:r w:rsidRPr="00AE5A8D">
        <w:rPr>
          <w:lang w:val="en-US"/>
        </w:rPr>
        <w:t>Head and neck cancer patients receiving excessive intravenous fluid administration peri</w:t>
      </w:r>
      <w:r w:rsidR="00040214">
        <w:rPr>
          <w:lang w:val="en-US"/>
        </w:rPr>
        <w:t>-</w:t>
      </w:r>
      <w:r w:rsidRPr="00AE5A8D">
        <w:rPr>
          <w:lang w:val="en-US"/>
        </w:rPr>
        <w:t xml:space="preserve"> and postoperatively </w:t>
      </w:r>
      <w:r w:rsidR="000100A8">
        <w:rPr>
          <w:lang w:val="en-US"/>
        </w:rPr>
        <w:t>a</w:t>
      </w:r>
      <w:r w:rsidRPr="00AE5A8D">
        <w:rPr>
          <w:lang w:val="en-US"/>
        </w:rPr>
        <w:t>re at high risk for cardiac complications, especially</w:t>
      </w:r>
      <w:r w:rsidR="00A5676D">
        <w:rPr>
          <w:lang w:val="en-US"/>
        </w:rPr>
        <w:t xml:space="preserve"> heart failure</w:t>
      </w:r>
      <w:r w:rsidRPr="00AE5A8D">
        <w:rPr>
          <w:lang w:val="en-US"/>
        </w:rPr>
        <w:t xml:space="preserve">. </w:t>
      </w:r>
    </w:p>
    <w:p w:rsidR="005618A9" w:rsidRDefault="005618A9" w:rsidP="005A6C9F">
      <w:pPr>
        <w:spacing w:after="0" w:line="480" w:lineRule="auto"/>
        <w:rPr>
          <w:b/>
          <w:lang w:val="en-US"/>
        </w:rPr>
      </w:pPr>
      <w:r>
        <w:rPr>
          <w:b/>
          <w:lang w:val="en-US"/>
        </w:rPr>
        <w:br w:type="page"/>
      </w:r>
      <w:r>
        <w:rPr>
          <w:b/>
          <w:lang w:val="en-US"/>
        </w:rPr>
        <w:lastRenderedPageBreak/>
        <w:t>Introduction</w:t>
      </w:r>
    </w:p>
    <w:p w:rsidR="00540E7F" w:rsidRPr="000F1B5D" w:rsidRDefault="005618A9" w:rsidP="00540E7F">
      <w:pPr>
        <w:spacing w:line="480" w:lineRule="auto"/>
        <w:divId w:val="596641571"/>
        <w:rPr>
          <w:lang w:val="en-US"/>
        </w:rPr>
      </w:pPr>
      <w:r>
        <w:rPr>
          <w:lang w:val="en-US"/>
        </w:rPr>
        <w:t xml:space="preserve">Patients </w:t>
      </w:r>
      <w:r w:rsidRPr="000F1B5D">
        <w:rPr>
          <w:lang w:val="en-US"/>
        </w:rPr>
        <w:t xml:space="preserve">undergoing head and neck cancer surgery are at high risk (&gt;5%) to get cardiovascular complications </w:t>
      </w:r>
      <w:r w:rsidRPr="000F1B5D">
        <w:rPr>
          <w:lang w:val="en-US"/>
        </w:rPr>
        <w:fldChar w:fldCharType="begin"/>
      </w:r>
      <w:r w:rsidRPr="000F1B5D">
        <w:rPr>
          <w:lang w:val="en-US"/>
        </w:rPr>
        <w:instrText>ADDIN RW.CITE{{7 Datema,Frank R. 2010}}</w:instrText>
      </w:r>
      <w:r w:rsidRPr="000F1B5D">
        <w:rPr>
          <w:lang w:val="en-US"/>
        </w:rPr>
        <w:fldChar w:fldCharType="separate"/>
      </w:r>
      <w:r w:rsidR="00540E7F" w:rsidRPr="000F1B5D">
        <w:rPr>
          <w:rFonts w:eastAsia="Times New Roman"/>
          <w:vertAlign w:val="superscript"/>
          <w:lang w:val="en-US"/>
        </w:rPr>
        <w:t>1</w:t>
      </w:r>
      <w:r w:rsidR="00540E7F" w:rsidRPr="000F1B5D">
        <w:rPr>
          <w:lang w:val="en-US"/>
        </w:rPr>
        <w:t xml:space="preserve"> . Comorbidities such as pre-operative coronary artery disease or congestive heart failure are known independent predictors of survival in this patient group </w:t>
      </w:r>
      <w:r w:rsidR="00540E7F" w:rsidRPr="000F1B5D">
        <w:rPr>
          <w:lang w:val="en-US"/>
        </w:rPr>
        <w:fldChar w:fldCharType="begin"/>
      </w:r>
      <w:r w:rsidR="00540E7F" w:rsidRPr="000F1B5D">
        <w:rPr>
          <w:lang w:val="en-US"/>
        </w:rPr>
        <w:instrText>ADDIN RW.CITE{{16 Piccirillo,Jay F. 2000}}</w:instrText>
      </w:r>
      <w:r w:rsidR="00540E7F" w:rsidRPr="000F1B5D">
        <w:rPr>
          <w:lang w:val="en-US"/>
        </w:rPr>
        <w:fldChar w:fldCharType="separate"/>
      </w:r>
      <w:r w:rsidR="00540E7F" w:rsidRPr="000F1B5D">
        <w:rPr>
          <w:rFonts w:eastAsia="Times New Roman"/>
          <w:vertAlign w:val="superscript"/>
          <w:lang w:val="en-US"/>
        </w:rPr>
        <w:t>2</w:t>
      </w:r>
      <w:r w:rsidR="00540E7F" w:rsidRPr="000F1B5D">
        <w:rPr>
          <w:lang w:val="en-US"/>
        </w:rPr>
        <w:fldChar w:fldCharType="end"/>
      </w:r>
      <w:r w:rsidR="00540E7F" w:rsidRPr="000F1B5D">
        <w:rPr>
          <w:lang w:val="en-US"/>
        </w:rPr>
        <w:t xml:space="preserve"> </w:t>
      </w:r>
      <w:r w:rsidR="00540E7F" w:rsidRPr="000F1B5D">
        <w:rPr>
          <w:lang w:val="en-US"/>
        </w:rPr>
        <w:fldChar w:fldCharType="begin"/>
      </w:r>
      <w:r w:rsidR="00540E7F" w:rsidRPr="000F1B5D">
        <w:rPr>
          <w:lang w:val="en-US"/>
        </w:rPr>
        <w:instrText>ADDIN RW.CITE{{54 Sanabria, A. 2007}}</w:instrText>
      </w:r>
      <w:r w:rsidR="00540E7F" w:rsidRPr="000F1B5D">
        <w:rPr>
          <w:lang w:val="en-US"/>
        </w:rPr>
        <w:fldChar w:fldCharType="separate"/>
      </w:r>
      <w:r w:rsidR="00540E7F" w:rsidRPr="000F1B5D">
        <w:rPr>
          <w:rFonts w:eastAsia="Times New Roman"/>
          <w:vertAlign w:val="superscript"/>
          <w:lang w:val="en-US"/>
        </w:rPr>
        <w:t>3</w:t>
      </w:r>
      <w:r w:rsidR="00540E7F" w:rsidRPr="000F1B5D">
        <w:rPr>
          <w:lang w:val="en-US"/>
        </w:rPr>
        <w:t xml:space="preserve"> But less evidence exists about perioperative and postoperative factors that could be modified to prevent cardiac complications in head and neck surgery. </w:t>
      </w:r>
    </w:p>
    <w:p w:rsidR="00540E7F" w:rsidRPr="000F1B5D" w:rsidRDefault="00540E7F" w:rsidP="00540E7F">
      <w:pPr>
        <w:spacing w:line="480" w:lineRule="auto"/>
        <w:divId w:val="596641571"/>
        <w:rPr>
          <w:lang w:val="en-US"/>
        </w:rPr>
      </w:pPr>
      <w:r w:rsidRPr="000F1B5D">
        <w:rPr>
          <w:lang w:val="en-US"/>
        </w:rPr>
        <w:fldChar w:fldCharType="end"/>
      </w:r>
      <w:r w:rsidRPr="000F1B5D">
        <w:rPr>
          <w:lang w:val="en-US"/>
        </w:rPr>
        <w:t xml:space="preserve"> </w:t>
      </w:r>
      <w:r w:rsidRPr="000F1B5D">
        <w:rPr>
          <w:lang w:val="en-US"/>
        </w:rPr>
        <w:tab/>
        <w:t xml:space="preserve">Peri- and postoperative care of patients undergoing surgery includes intravenous fluid administration and – in case of anemia or major bleeding red blood cell (RBC) transfusion; - or care in intensive care unit (ICU) and many other measures to insure the best possible outcome. The goal of perioperative fluid administration is often maintenance of euvolemia </w:t>
      </w:r>
      <w:r w:rsidRPr="000F1B5D">
        <w:rPr>
          <w:lang w:val="en-US"/>
        </w:rPr>
        <w:fldChar w:fldCharType="begin"/>
      </w:r>
      <w:r w:rsidRPr="000F1B5D">
        <w:rPr>
          <w:lang w:val="en-US"/>
        </w:rPr>
        <w:instrText>ADDIN RW.CITE{{58 Miller,Timothy E. 2014; 57 Chappell, D. 2008; 56 Brandstrup, B. 2003}}</w:instrText>
      </w:r>
      <w:r w:rsidRPr="000F1B5D">
        <w:rPr>
          <w:lang w:val="en-US"/>
        </w:rPr>
        <w:fldChar w:fldCharType="separate"/>
      </w:r>
      <w:r w:rsidRPr="000F1B5D">
        <w:rPr>
          <w:rFonts w:eastAsia="Times New Roman"/>
          <w:vertAlign w:val="superscript"/>
          <w:lang w:val="en-US"/>
        </w:rPr>
        <w:t>4-6</w:t>
      </w:r>
      <w:r w:rsidRPr="000F1B5D">
        <w:rPr>
          <w:lang w:val="en-US"/>
        </w:rPr>
        <w:fldChar w:fldCharType="end"/>
      </w:r>
      <w:r w:rsidRPr="000F1B5D">
        <w:rPr>
          <w:lang w:val="en-US"/>
        </w:rPr>
        <w:t xml:space="preserve"> and adequate perfusion pressure to the heart and kidneys. The influence of perioperative fluid administration and red blood cell transfusion on cardiac and cerebrovascular complications, however, is not well documented in this patient group.</w:t>
      </w:r>
    </w:p>
    <w:p w:rsidR="00540E7F" w:rsidRPr="000F1B5D" w:rsidRDefault="00540E7F" w:rsidP="00540E7F">
      <w:pPr>
        <w:spacing w:after="0" w:line="480" w:lineRule="auto"/>
        <w:ind w:firstLine="1304"/>
        <w:divId w:val="596641571"/>
        <w:rPr>
          <w:lang w:val="en-US"/>
        </w:rPr>
      </w:pPr>
      <w:r w:rsidRPr="000F1B5D">
        <w:rPr>
          <w:lang w:val="en-US"/>
        </w:rPr>
        <w:t>In this study we sought to assess modifiable perioperative and postoperative factors for major cardiac and cerebrovascular complications (MACCE) in consecutive series of patients undergoing head and neck cancer surgery.</w:t>
      </w:r>
    </w:p>
    <w:p w:rsidR="000F1B5D" w:rsidRPr="000F1B5D" w:rsidRDefault="000F1B5D" w:rsidP="00540E7F">
      <w:pPr>
        <w:spacing w:after="0" w:line="480" w:lineRule="auto"/>
        <w:ind w:firstLine="1304"/>
        <w:divId w:val="596641571"/>
        <w:rPr>
          <w:lang w:val="en-US"/>
        </w:rPr>
      </w:pPr>
    </w:p>
    <w:p w:rsidR="005618A9" w:rsidRPr="008F0657" w:rsidRDefault="005618A9" w:rsidP="00540E7F">
      <w:pPr>
        <w:spacing w:after="0" w:line="480" w:lineRule="auto"/>
        <w:rPr>
          <w:b/>
          <w:lang w:val="en-US"/>
        </w:rPr>
      </w:pPr>
      <w:r w:rsidRPr="000F1B5D">
        <w:rPr>
          <w:lang w:val="en-US"/>
        </w:rPr>
        <w:fldChar w:fldCharType="end"/>
      </w:r>
      <w:r w:rsidRPr="008F0657">
        <w:rPr>
          <w:b/>
          <w:lang w:val="en-US"/>
        </w:rPr>
        <w:t>Methods</w:t>
      </w:r>
    </w:p>
    <w:p w:rsidR="005618A9" w:rsidRDefault="005618A9" w:rsidP="00540E7F">
      <w:pPr>
        <w:spacing w:line="480" w:lineRule="auto"/>
        <w:divId w:val="971402789"/>
        <w:rPr>
          <w:lang w:val="en-US"/>
        </w:rPr>
      </w:pPr>
      <w:r>
        <w:rPr>
          <w:lang w:val="en-US"/>
        </w:rPr>
        <w:lastRenderedPageBreak/>
        <w:t xml:space="preserve">The present </w:t>
      </w:r>
      <w:r w:rsidR="00BF77F6">
        <w:rPr>
          <w:lang w:val="en-US"/>
        </w:rPr>
        <w:t xml:space="preserve">single-center </w:t>
      </w:r>
      <w:r>
        <w:rPr>
          <w:lang w:val="en-US"/>
        </w:rPr>
        <w:t>retrospective study was performed at the tertiary care center at Department of Otorhinolaryngology-head and neck surgery at Turku University Hospital, Finland. The catchments are</w:t>
      </w:r>
      <w:r w:rsidR="00EC57C5">
        <w:rPr>
          <w:lang w:val="en-US"/>
        </w:rPr>
        <w:t>a</w:t>
      </w:r>
      <w:r>
        <w:rPr>
          <w:lang w:val="en-US"/>
        </w:rPr>
        <w:t xml:space="preserve"> of the hospital is about 1 million residents and the center takes care of all head and neck cancer patients </w:t>
      </w:r>
      <w:r w:rsidR="00BF77F6">
        <w:rPr>
          <w:lang w:val="en-US"/>
        </w:rPr>
        <w:t xml:space="preserve">irrespective </w:t>
      </w:r>
      <w:r>
        <w:rPr>
          <w:lang w:val="en-US"/>
        </w:rPr>
        <w:t xml:space="preserve">of ages and </w:t>
      </w:r>
      <w:r w:rsidR="00BF77F6">
        <w:rPr>
          <w:lang w:val="en-US"/>
        </w:rPr>
        <w:t>comorbidities</w:t>
      </w:r>
      <w:r>
        <w:rPr>
          <w:lang w:val="en-US"/>
        </w:rPr>
        <w:t>. This study was conducted in accordance with the Helsinki declaration as revised in 2002. The study protocol was reviewed and approved by the Ethics Committee of the Hospital District of Southwest Finland.</w:t>
      </w:r>
      <w:r w:rsidR="00B42935" w:rsidRPr="001A7439">
        <w:rPr>
          <w:lang w:val="en-US"/>
        </w:rPr>
        <w:t xml:space="preserve"> </w:t>
      </w:r>
      <w:r w:rsidR="00B42935" w:rsidRPr="00B42935">
        <w:rPr>
          <w:lang w:val="en-US"/>
        </w:rPr>
        <w:t>Informed consent was not required because of th</w:t>
      </w:r>
      <w:r w:rsidR="00B42935">
        <w:rPr>
          <w:lang w:val="en-US"/>
        </w:rPr>
        <w:t>e registry nature of the study.</w:t>
      </w:r>
      <w:r>
        <w:rPr>
          <w:lang w:val="en-US"/>
        </w:rPr>
        <w:t xml:space="preserve"> This registry is part of wider protocol assessing thrombotic and bleeding events in patients undergoing surgery</w:t>
      </w:r>
      <w:r w:rsidRPr="005A6C9F">
        <w:rPr>
          <w:lang w:val="en-US"/>
        </w:rPr>
        <w:t xml:space="preserve"> </w:t>
      </w:r>
      <w:r w:rsidR="005A6C9F">
        <w:rPr>
          <w:lang w:val="en-US"/>
        </w:rPr>
        <w:fldChar w:fldCharType="begin"/>
      </w:r>
      <w:r w:rsidR="005A6C9F">
        <w:rPr>
          <w:lang w:val="en-US"/>
        </w:rPr>
        <w:instrText>ADDIN RW.CITE{{78 Lehto,Joonas 2015; 79 Lautamäki, A. 2015}}</w:instrText>
      </w:r>
      <w:r w:rsidR="005A6C9F">
        <w:rPr>
          <w:lang w:val="en-US"/>
        </w:rPr>
        <w:fldChar w:fldCharType="separate"/>
      </w:r>
      <w:r w:rsidR="00540E7F" w:rsidRPr="00540E7F">
        <w:rPr>
          <w:rFonts w:eastAsia="Times New Roman"/>
          <w:vertAlign w:val="superscript"/>
          <w:lang w:val="en-US"/>
        </w:rPr>
        <w:t>7, 8</w:t>
      </w:r>
      <w:r w:rsidR="005A6C9F">
        <w:rPr>
          <w:lang w:val="en-US"/>
        </w:rPr>
        <w:fldChar w:fldCharType="end"/>
      </w:r>
      <w:r w:rsidR="0069078A">
        <w:rPr>
          <w:lang w:val="en-US"/>
        </w:rPr>
        <w:t xml:space="preserve"> </w:t>
      </w:r>
      <w:r>
        <w:rPr>
          <w:lang w:val="en-US"/>
        </w:rPr>
        <w:t xml:space="preserve">Study is registered in Clinical Trials.gov (identifier </w:t>
      </w:r>
      <w:r w:rsidRPr="00FD0E81">
        <w:rPr>
          <w:rFonts w:ascii="Segoe UI" w:hAnsi="Segoe UI" w:cs="Segoe UI"/>
          <w:sz w:val="20"/>
          <w:lang w:val="en-US"/>
        </w:rPr>
        <w:t>NCT02563470</w:t>
      </w:r>
      <w:r>
        <w:rPr>
          <w:lang w:val="en-US"/>
        </w:rPr>
        <w:t>).</w:t>
      </w:r>
    </w:p>
    <w:p w:rsidR="005618A9" w:rsidRPr="007D5D87" w:rsidRDefault="005618A9" w:rsidP="00540E7F">
      <w:pPr>
        <w:spacing w:line="480" w:lineRule="auto"/>
        <w:rPr>
          <w:i/>
          <w:lang w:val="en-US"/>
        </w:rPr>
      </w:pPr>
    </w:p>
    <w:p w:rsidR="005618A9" w:rsidRPr="008F0657" w:rsidRDefault="005618A9" w:rsidP="00E64BE7">
      <w:pPr>
        <w:spacing w:after="0" w:line="480" w:lineRule="auto"/>
        <w:rPr>
          <w:i/>
          <w:lang w:val="en-US"/>
        </w:rPr>
      </w:pPr>
      <w:r w:rsidRPr="008F0657">
        <w:rPr>
          <w:i/>
          <w:lang w:val="en-US"/>
        </w:rPr>
        <w:t>Patients and source of data</w:t>
      </w:r>
    </w:p>
    <w:p w:rsidR="005618A9" w:rsidRDefault="005618A9" w:rsidP="00E64BE7">
      <w:pPr>
        <w:spacing w:after="0" w:line="480" w:lineRule="auto"/>
        <w:rPr>
          <w:lang w:val="en-US"/>
        </w:rPr>
      </w:pPr>
      <w:r w:rsidRPr="008F0657">
        <w:rPr>
          <w:lang w:val="en-US"/>
        </w:rPr>
        <w:t>Inclusion criteria consisted of all</w:t>
      </w:r>
      <w:r>
        <w:rPr>
          <w:lang w:val="en-US"/>
        </w:rPr>
        <w:t xml:space="preserve"> the consecutive patients (n=456</w:t>
      </w:r>
      <w:r w:rsidRPr="008F0657">
        <w:rPr>
          <w:lang w:val="en-US"/>
        </w:rPr>
        <w:t>) diagnosed with head and neck cancer at Turku University Hospital between 1999 and 2008. Patients receiving</w:t>
      </w:r>
      <w:r>
        <w:rPr>
          <w:lang w:val="en-US"/>
        </w:rPr>
        <w:t xml:space="preserve"> palliative procedures were</w:t>
      </w:r>
      <w:r w:rsidRPr="008F0657">
        <w:rPr>
          <w:lang w:val="en-US"/>
        </w:rPr>
        <w:t xml:space="preserve"> </w:t>
      </w:r>
      <w:r w:rsidR="0001612F">
        <w:rPr>
          <w:lang w:val="en-US"/>
        </w:rPr>
        <w:t>included</w:t>
      </w:r>
      <w:r w:rsidRPr="008F0657">
        <w:rPr>
          <w:lang w:val="en-US"/>
        </w:rPr>
        <w:t xml:space="preserve">. </w:t>
      </w:r>
      <w:r w:rsidRPr="00BF77F6">
        <w:rPr>
          <w:lang w:val="en-US"/>
        </w:rPr>
        <w:t>Patients whose treatment had started in</w:t>
      </w:r>
      <w:r w:rsidRPr="00D3307E">
        <w:rPr>
          <w:lang w:val="en-US"/>
        </w:rPr>
        <w:t xml:space="preserve"> another institute or whose treatment was not finished in our institute were </w:t>
      </w:r>
      <w:r w:rsidR="00040214" w:rsidRPr="00D3307E">
        <w:rPr>
          <w:lang w:val="en-US"/>
        </w:rPr>
        <w:t>excluded from</w:t>
      </w:r>
      <w:r w:rsidRPr="00D3307E">
        <w:rPr>
          <w:lang w:val="en-US"/>
        </w:rPr>
        <w:t xml:space="preserve"> this study</w:t>
      </w:r>
      <w:r w:rsidRPr="008F0657">
        <w:rPr>
          <w:lang w:val="en-US"/>
        </w:rPr>
        <w:t xml:space="preserve">. </w:t>
      </w:r>
      <w:r>
        <w:rPr>
          <w:lang w:val="en-US"/>
        </w:rPr>
        <w:t xml:space="preserve">All </w:t>
      </w:r>
      <w:r w:rsidRPr="008F0657">
        <w:rPr>
          <w:lang w:val="en-US"/>
        </w:rPr>
        <w:t>head an</w:t>
      </w:r>
      <w:r>
        <w:rPr>
          <w:lang w:val="en-US"/>
        </w:rPr>
        <w:t>d neck cancer operations (n=591</w:t>
      </w:r>
      <w:r w:rsidRPr="008F0657">
        <w:rPr>
          <w:lang w:val="en-US"/>
        </w:rPr>
        <w:t xml:space="preserve">) </w:t>
      </w:r>
      <w:r>
        <w:rPr>
          <w:lang w:val="en-US"/>
        </w:rPr>
        <w:t>were evaluated</w:t>
      </w:r>
      <w:r w:rsidRPr="008F0657">
        <w:rPr>
          <w:lang w:val="en-US"/>
        </w:rPr>
        <w:t xml:space="preserve">. Information was collected by the first author of this article from referral letters, patient files, anesthesiology reports, intensive care unit reports, laboratory database, radiology database, electrocardiograms and pathology reports. </w:t>
      </w:r>
    </w:p>
    <w:p w:rsidR="005618A9" w:rsidRPr="008F0657" w:rsidRDefault="005618A9" w:rsidP="00E64BE7">
      <w:pPr>
        <w:spacing w:after="0" w:line="480" w:lineRule="auto"/>
        <w:rPr>
          <w:lang w:val="en-US"/>
        </w:rPr>
      </w:pPr>
    </w:p>
    <w:p w:rsidR="005618A9" w:rsidRPr="008F0657" w:rsidRDefault="005618A9" w:rsidP="00E64BE7">
      <w:pPr>
        <w:spacing w:after="0" w:line="480" w:lineRule="auto"/>
        <w:rPr>
          <w:i/>
          <w:lang w:val="en-US"/>
        </w:rPr>
      </w:pPr>
      <w:r w:rsidRPr="008F0657">
        <w:rPr>
          <w:i/>
          <w:lang w:val="en-US"/>
        </w:rPr>
        <w:t xml:space="preserve">Endpoints </w:t>
      </w:r>
    </w:p>
    <w:p w:rsidR="00683494" w:rsidRPr="00A61889" w:rsidRDefault="005618A9" w:rsidP="00E64BE7">
      <w:pPr>
        <w:spacing w:line="480" w:lineRule="auto"/>
        <w:rPr>
          <w:lang w:val="en-US"/>
        </w:rPr>
      </w:pPr>
      <w:r w:rsidRPr="00F7497C">
        <w:rPr>
          <w:lang w:val="en-US"/>
        </w:rPr>
        <w:t xml:space="preserve">The primary endpoints was a composite of major adverse cardiac and cerebrovascular events (MACCE) including </w:t>
      </w:r>
      <w:r w:rsidR="008A2CAB">
        <w:rPr>
          <w:lang w:val="en-US"/>
        </w:rPr>
        <w:t>acute coronary syndrome ACS)</w:t>
      </w:r>
      <w:r w:rsidRPr="00F7497C">
        <w:rPr>
          <w:lang w:val="en-US"/>
        </w:rPr>
        <w:t xml:space="preserve">, decompensated heart failure, new-onset </w:t>
      </w:r>
      <w:r>
        <w:rPr>
          <w:lang w:val="en-US"/>
        </w:rPr>
        <w:t xml:space="preserve">of </w:t>
      </w:r>
      <w:r w:rsidRPr="00F7497C">
        <w:rPr>
          <w:lang w:val="en-US"/>
        </w:rPr>
        <w:t>atrial fibrillation, transient ischemic attack (TIA), stroke,</w:t>
      </w:r>
      <w:r w:rsidR="00D3307E">
        <w:rPr>
          <w:lang w:val="en-US"/>
        </w:rPr>
        <w:t xml:space="preserve"> </w:t>
      </w:r>
      <w:r w:rsidRPr="00F7497C">
        <w:rPr>
          <w:lang w:val="en-US"/>
        </w:rPr>
        <w:t>pulmonary embolism and venous embolism</w:t>
      </w:r>
      <w:r w:rsidR="009C5B83">
        <w:rPr>
          <w:lang w:val="en-US"/>
        </w:rPr>
        <w:t>, and all-cause mortality</w:t>
      </w:r>
      <w:r w:rsidRPr="00F7497C">
        <w:rPr>
          <w:lang w:val="en-US"/>
        </w:rPr>
        <w:t xml:space="preserve">; during 30 days follow-up period. Perioperative myocardial infarction was </w:t>
      </w:r>
      <w:r w:rsidR="0001612F">
        <w:rPr>
          <w:lang w:val="en-US"/>
        </w:rPr>
        <w:t>screened with normal anesthesia monitoring</w:t>
      </w:r>
      <w:r w:rsidRPr="00F7497C">
        <w:rPr>
          <w:lang w:val="en-US"/>
        </w:rPr>
        <w:t xml:space="preserve">, </w:t>
      </w:r>
      <w:r w:rsidR="0001612F">
        <w:rPr>
          <w:lang w:val="en-US"/>
        </w:rPr>
        <w:t>and</w:t>
      </w:r>
      <w:r w:rsidRPr="00F7497C">
        <w:rPr>
          <w:lang w:val="en-US"/>
        </w:rPr>
        <w:t xml:space="preserve"> if suspected, a troponin level &gt; 3x normal 99th percentile level was required for the diagnosis. ST elevations, ST depressions and T wave inversions were classified according to the guidelines of the European society of Cardiology. Transient ischemic attack (TIA) was defined as a focal transient (&lt;24h) neurological deficit adjudicated by a neurologist; and stroke as a permanent focal neurological deficit adjudicated by a neurologist and confirmed by computed tomography or magnetic resonance imaging. Systemic embolism was defined as signs/symptoms of peripheral ischemia associated with a positive imaging test. Decompensated heart failure was documented in case of clinical evidence of dyspnea and positive findings in chest X-ray and/or diagnosis confirmed by a cardiologist. Atrial fibrillation was documented using ECG if clinically indicated. The adjudication of endpoints was performed case by case by an adjudication committee consisting of a cardiologist and an otorhinolaryngologist. </w:t>
      </w:r>
      <w:r>
        <w:rPr>
          <w:lang w:val="en-US"/>
        </w:rPr>
        <w:t xml:space="preserve">Major bleeding was defined when patient received 4 or more </w:t>
      </w:r>
      <w:r w:rsidR="00A0154A">
        <w:rPr>
          <w:lang w:val="en-US"/>
        </w:rPr>
        <w:t>red blood cell (</w:t>
      </w:r>
      <w:r>
        <w:rPr>
          <w:lang w:val="en-US"/>
        </w:rPr>
        <w:t>RBC</w:t>
      </w:r>
      <w:r w:rsidR="00A0154A">
        <w:rPr>
          <w:lang w:val="en-US"/>
        </w:rPr>
        <w:t>)</w:t>
      </w:r>
      <w:r>
        <w:rPr>
          <w:lang w:val="en-US"/>
        </w:rPr>
        <w:t xml:space="preserve"> units or </w:t>
      </w:r>
      <w:r w:rsidR="00A0154A">
        <w:rPr>
          <w:lang w:val="en-US"/>
        </w:rPr>
        <w:t xml:space="preserve">had </w:t>
      </w:r>
      <w:r w:rsidR="009F64AD">
        <w:rPr>
          <w:lang w:val="en-US"/>
        </w:rPr>
        <w:t xml:space="preserve">a </w:t>
      </w:r>
      <w:r w:rsidR="00A0154A">
        <w:rPr>
          <w:lang w:val="en-US"/>
        </w:rPr>
        <w:t>fatal bleeding</w:t>
      </w:r>
      <w:r w:rsidR="009F64AD">
        <w:rPr>
          <w:lang w:val="en-US"/>
        </w:rPr>
        <w:t xml:space="preserve"> event</w:t>
      </w:r>
      <w:r>
        <w:rPr>
          <w:lang w:val="en-US"/>
        </w:rPr>
        <w:t>.</w:t>
      </w:r>
      <w:r w:rsidR="00EC57C5">
        <w:rPr>
          <w:lang w:val="en-US"/>
        </w:rPr>
        <w:t xml:space="preserve"> </w:t>
      </w:r>
      <w:r w:rsidR="00D67D89">
        <w:rPr>
          <w:lang w:val="en-US"/>
        </w:rPr>
        <w:t>The limit of blood transfusion was hemoglobin value ≤9.0g/dL.</w:t>
      </w:r>
      <w:r w:rsidR="00683494">
        <w:rPr>
          <w:lang w:val="en-US"/>
        </w:rPr>
        <w:t xml:space="preserve">Patients were divided into two groups based on the </w:t>
      </w:r>
      <w:r w:rsidR="00683494">
        <w:rPr>
          <w:lang w:val="en-US"/>
        </w:rPr>
        <w:lastRenderedPageBreak/>
        <w:t>amount of intravenous fluids that they received within the operation day</w:t>
      </w:r>
      <w:r w:rsidR="000A3EF0">
        <w:rPr>
          <w:lang w:val="en-US"/>
        </w:rPr>
        <w:t xml:space="preserve"> (≥4000mL vs. &lt;4000mL)</w:t>
      </w:r>
      <w:r w:rsidR="00683494">
        <w:rPr>
          <w:lang w:val="en-US"/>
        </w:rPr>
        <w:t xml:space="preserve">. </w:t>
      </w:r>
      <w:r w:rsidR="0054723B" w:rsidRPr="00311727">
        <w:rPr>
          <w:lang w:val="en-US"/>
        </w:rPr>
        <w:t>Normal daily fluid demand for a healthy adult is 25-35mL/kg</w:t>
      </w:r>
      <w:r w:rsidR="0054723B">
        <w:rPr>
          <w:lang w:val="en-US"/>
        </w:rPr>
        <w:t xml:space="preserve"> (f.e. </w:t>
      </w:r>
      <w:r w:rsidR="0054723B" w:rsidRPr="00311727">
        <w:rPr>
          <w:lang w:val="en-US"/>
        </w:rPr>
        <w:t xml:space="preserve">for </w:t>
      </w:r>
      <w:r w:rsidR="0054723B">
        <w:rPr>
          <w:lang w:val="en-US"/>
        </w:rPr>
        <w:t xml:space="preserve">a </w:t>
      </w:r>
      <w:r w:rsidR="0054723B" w:rsidRPr="00311727">
        <w:rPr>
          <w:lang w:val="en-US"/>
        </w:rPr>
        <w:t>70kg patient 2450mL</w:t>
      </w:r>
      <w:r w:rsidR="0054723B">
        <w:rPr>
          <w:lang w:val="en-US"/>
        </w:rPr>
        <w:t>)</w:t>
      </w:r>
      <w:r w:rsidR="000A3EF0">
        <w:rPr>
          <w:lang w:val="en-US"/>
        </w:rPr>
        <w:t xml:space="preserve"> and</w:t>
      </w:r>
      <w:r w:rsidR="0054723B" w:rsidRPr="00311727">
        <w:rPr>
          <w:lang w:val="en-US"/>
        </w:rPr>
        <w:t xml:space="preserve"> </w:t>
      </w:r>
      <w:r w:rsidR="000A3EF0">
        <w:rPr>
          <w:lang w:val="en-US"/>
        </w:rPr>
        <w:t>i</w:t>
      </w:r>
      <w:r w:rsidR="0054723B" w:rsidRPr="00311727">
        <w:rPr>
          <w:lang w:val="en-US"/>
        </w:rPr>
        <w:t xml:space="preserve">f </w:t>
      </w:r>
      <w:r w:rsidR="000A3EF0" w:rsidRPr="00311727">
        <w:rPr>
          <w:lang w:val="en-US"/>
        </w:rPr>
        <w:t xml:space="preserve">the 8h fasting before operation </w:t>
      </w:r>
      <w:r w:rsidR="000A3EF0">
        <w:rPr>
          <w:lang w:val="en-US"/>
        </w:rPr>
        <w:t>is</w:t>
      </w:r>
      <w:r w:rsidR="0054723B" w:rsidRPr="00311727">
        <w:rPr>
          <w:lang w:val="en-US"/>
        </w:rPr>
        <w:t xml:space="preserve"> take</w:t>
      </w:r>
      <w:r w:rsidR="000A3EF0">
        <w:rPr>
          <w:lang w:val="en-US"/>
        </w:rPr>
        <w:t>n</w:t>
      </w:r>
      <w:r w:rsidR="0054723B" w:rsidRPr="00311727">
        <w:rPr>
          <w:lang w:val="en-US"/>
        </w:rPr>
        <w:t xml:space="preserve"> into consideration the need is ~3300mL. </w:t>
      </w:r>
      <w:r w:rsidR="000A3EF0">
        <w:rPr>
          <w:lang w:val="en-US"/>
        </w:rPr>
        <w:t>A l</w:t>
      </w:r>
      <w:r w:rsidR="0054723B" w:rsidRPr="00311727">
        <w:rPr>
          <w:lang w:val="en-US"/>
        </w:rPr>
        <w:t>imit of 4000ml takes into consideration the possible tissue vaporization and normal bleeding during operation.</w:t>
      </w:r>
    </w:p>
    <w:p w:rsidR="005618A9" w:rsidRPr="00A76C8F" w:rsidRDefault="005618A9" w:rsidP="008F0657">
      <w:pPr>
        <w:spacing w:after="0" w:line="480" w:lineRule="auto"/>
        <w:rPr>
          <w:lang w:val="en-US"/>
        </w:rPr>
      </w:pPr>
    </w:p>
    <w:p w:rsidR="005618A9" w:rsidRPr="008F0657" w:rsidRDefault="005618A9" w:rsidP="008F0657">
      <w:pPr>
        <w:spacing w:after="0" w:line="480" w:lineRule="auto"/>
        <w:rPr>
          <w:i/>
          <w:lang w:val="en-US"/>
        </w:rPr>
      </w:pPr>
      <w:r w:rsidRPr="008F0657">
        <w:rPr>
          <w:i/>
          <w:lang w:val="en-US"/>
        </w:rPr>
        <w:t>Statistical analysis</w:t>
      </w:r>
    </w:p>
    <w:p w:rsidR="005618A9" w:rsidRPr="008F0657" w:rsidRDefault="005618A9" w:rsidP="008F0657">
      <w:pPr>
        <w:spacing w:after="0" w:line="480" w:lineRule="auto"/>
        <w:rPr>
          <w:lang w:val="en-US"/>
        </w:rPr>
      </w:pPr>
      <w:r w:rsidRPr="008F0657">
        <w:rPr>
          <w:lang w:val="en-US"/>
        </w:rPr>
        <w:t xml:space="preserve">Data are presented as means ± standard deviations, median [interquartile range] and frequencies (%) where appropriate. Continuous variables were analyzed using independent samples t-test. Categorical variables were analyzed using chi-square test. Univariate and multivariate analysis were used to evaluate possible predicting factors for ACS, decompensated heart failure, atrial fibrillation, stroke, pulmonary embolism and venous thrombosis. Adjusted </w:t>
      </w:r>
      <w:r w:rsidR="005D065C">
        <w:rPr>
          <w:lang w:val="en-US"/>
        </w:rPr>
        <w:t>odds</w:t>
      </w:r>
      <w:r w:rsidRPr="008F0657">
        <w:rPr>
          <w:lang w:val="en-US"/>
        </w:rPr>
        <w:t xml:space="preserve"> rations (</w:t>
      </w:r>
      <w:r w:rsidR="005D065C">
        <w:rPr>
          <w:lang w:val="en-US"/>
        </w:rPr>
        <w:t>OR</w:t>
      </w:r>
      <w:r w:rsidRPr="008F0657">
        <w:rPr>
          <w:lang w:val="en-US"/>
        </w:rPr>
        <w:t xml:space="preserve">), 95% confidence intervals (CI) and P-values were calculated for each predictor. Significance was set at p value &lt;0.05. Analysis was performed with SPSS-statistics 22.0 software for MAC (SPSS Inc., Chicago, IL). </w:t>
      </w:r>
    </w:p>
    <w:p w:rsidR="005618A9" w:rsidRDefault="005618A9" w:rsidP="000F5AEC">
      <w:pPr>
        <w:rPr>
          <w:lang w:val="en-US"/>
        </w:rPr>
      </w:pPr>
    </w:p>
    <w:p w:rsidR="005618A9" w:rsidRDefault="005618A9" w:rsidP="000F5AEC">
      <w:pPr>
        <w:rPr>
          <w:b/>
          <w:lang w:val="en-US"/>
        </w:rPr>
      </w:pPr>
      <w:r w:rsidRPr="008F0657">
        <w:rPr>
          <w:b/>
          <w:lang w:val="en-US"/>
        </w:rPr>
        <w:t>Results</w:t>
      </w:r>
    </w:p>
    <w:p w:rsidR="005618A9" w:rsidRDefault="005618A9" w:rsidP="00C930AF">
      <w:pPr>
        <w:spacing w:line="480" w:lineRule="auto"/>
        <w:ind w:firstLine="1304"/>
        <w:rPr>
          <w:lang w:val="en-US"/>
        </w:rPr>
      </w:pPr>
      <w:r w:rsidRPr="007C7C19">
        <w:rPr>
          <w:lang w:val="en-US"/>
        </w:rPr>
        <w:t>Median volume of intravenous fluid administration in operation day (24h) was 3000ml</w:t>
      </w:r>
      <w:r w:rsidR="009B3738">
        <w:rPr>
          <w:lang w:val="en-US"/>
        </w:rPr>
        <w:t xml:space="preserve"> [IQR</w:t>
      </w:r>
      <w:r w:rsidR="005133F9">
        <w:rPr>
          <w:lang w:val="en-US"/>
        </w:rPr>
        <w:t>=</w:t>
      </w:r>
      <w:r w:rsidR="004401E1">
        <w:rPr>
          <w:lang w:val="en-US"/>
        </w:rPr>
        <w:t>4000</w:t>
      </w:r>
      <w:r w:rsidR="009B3738">
        <w:rPr>
          <w:lang w:val="en-US"/>
        </w:rPr>
        <w:t>]</w:t>
      </w:r>
      <w:r w:rsidRPr="007C7C19">
        <w:rPr>
          <w:lang w:val="en-US"/>
        </w:rPr>
        <w:t xml:space="preserve">. </w:t>
      </w:r>
      <w:r w:rsidRPr="00FD0E81">
        <w:rPr>
          <w:lang w:val="en-US"/>
        </w:rPr>
        <w:t>Baseline chara</w:t>
      </w:r>
      <w:r w:rsidR="00CC2809">
        <w:rPr>
          <w:lang w:val="en-US"/>
        </w:rPr>
        <w:t>c</w:t>
      </w:r>
      <w:r w:rsidRPr="00FD0E81">
        <w:rPr>
          <w:lang w:val="en-US"/>
        </w:rPr>
        <w:t>terist</w:t>
      </w:r>
      <w:r w:rsidR="00C27926">
        <w:rPr>
          <w:lang w:val="en-US"/>
        </w:rPr>
        <w:t>ics of patients with moderate (≤</w:t>
      </w:r>
      <w:r w:rsidRPr="00FD0E81">
        <w:rPr>
          <w:lang w:val="en-US"/>
        </w:rPr>
        <w:t>4000ml/24h) vs. liberal (</w:t>
      </w:r>
      <w:r w:rsidR="00C27926">
        <w:rPr>
          <w:lang w:val="en-US"/>
        </w:rPr>
        <w:t>&gt;</w:t>
      </w:r>
      <w:r w:rsidRPr="00FD0E81">
        <w:rPr>
          <w:lang w:val="en-US"/>
        </w:rPr>
        <w:t xml:space="preserve">4000ml/24h) </w:t>
      </w:r>
      <w:r w:rsidR="009B3738">
        <w:rPr>
          <w:lang w:val="en-US"/>
        </w:rPr>
        <w:t>intravenous</w:t>
      </w:r>
      <w:r w:rsidRPr="00FD0E81">
        <w:rPr>
          <w:lang w:val="en-US"/>
        </w:rPr>
        <w:t xml:space="preserve"> fluid administration are presented in Table 1.</w:t>
      </w:r>
      <w:r w:rsidR="00DF7363">
        <w:rPr>
          <w:lang w:val="en-US"/>
        </w:rPr>
        <w:t xml:space="preserve"> </w:t>
      </w:r>
      <w:r w:rsidR="00E45792">
        <w:rPr>
          <w:lang w:val="en-US"/>
        </w:rPr>
        <w:t>P</w:t>
      </w:r>
      <w:r w:rsidR="00DF7363">
        <w:rPr>
          <w:lang w:val="en-US"/>
        </w:rPr>
        <w:t xml:space="preserve">atients </w:t>
      </w:r>
      <w:r w:rsidR="00E45792">
        <w:rPr>
          <w:lang w:val="en-US"/>
        </w:rPr>
        <w:t xml:space="preserve">receiving </w:t>
      </w:r>
      <w:r w:rsidR="00DF7363" w:rsidRPr="00DF7363">
        <w:rPr>
          <w:lang w:val="en-US"/>
        </w:rPr>
        <w:t xml:space="preserve">fluids </w:t>
      </w:r>
      <w:r w:rsidR="00DF7363" w:rsidRPr="00DF7363">
        <w:rPr>
          <w:lang w:val="en-US"/>
        </w:rPr>
        <w:lastRenderedPageBreak/>
        <w:t>libera</w:t>
      </w:r>
      <w:r w:rsidR="00DF7363" w:rsidRPr="00726FC8">
        <w:rPr>
          <w:lang w:val="en-US"/>
        </w:rPr>
        <w:t>l</w:t>
      </w:r>
      <w:r w:rsidR="00DF7363">
        <w:rPr>
          <w:lang w:val="en-US"/>
        </w:rPr>
        <w:t>l</w:t>
      </w:r>
      <w:r w:rsidR="00DF7363" w:rsidRPr="00DF7363">
        <w:rPr>
          <w:lang w:val="en-US"/>
        </w:rPr>
        <w:t xml:space="preserve">y </w:t>
      </w:r>
      <w:r w:rsidR="00DF7363">
        <w:rPr>
          <w:lang w:val="en-US"/>
        </w:rPr>
        <w:t>had</w:t>
      </w:r>
      <w:r w:rsidR="004C4F79">
        <w:rPr>
          <w:lang w:val="en-US"/>
        </w:rPr>
        <w:t xml:space="preserve"> </w:t>
      </w:r>
      <w:r w:rsidR="00DF7363">
        <w:rPr>
          <w:lang w:val="en-US"/>
        </w:rPr>
        <w:t>lower</w:t>
      </w:r>
      <w:r w:rsidR="00DF7363" w:rsidRPr="00726FC8">
        <w:rPr>
          <w:lang w:val="en-US"/>
        </w:rPr>
        <w:t xml:space="preserve"> preoperat</w:t>
      </w:r>
      <w:r w:rsidR="00DF7363" w:rsidRPr="00DF7363">
        <w:rPr>
          <w:lang w:val="en-US"/>
        </w:rPr>
        <w:t>ive</w:t>
      </w:r>
      <w:r w:rsidR="00DF7363" w:rsidRPr="00726FC8">
        <w:rPr>
          <w:lang w:val="en-US"/>
        </w:rPr>
        <w:t xml:space="preserve"> </w:t>
      </w:r>
      <w:r w:rsidR="00E45792">
        <w:rPr>
          <w:lang w:val="en-US"/>
        </w:rPr>
        <w:t xml:space="preserve">hemoglobin </w:t>
      </w:r>
      <w:r w:rsidR="004C4F79">
        <w:rPr>
          <w:lang w:val="en-US"/>
        </w:rPr>
        <w:t>values</w:t>
      </w:r>
      <w:r w:rsidR="00DF7363" w:rsidRPr="00DF7363">
        <w:rPr>
          <w:lang w:val="en-US"/>
        </w:rPr>
        <w:t xml:space="preserve"> than patients </w:t>
      </w:r>
      <w:r w:rsidR="00DF7363">
        <w:rPr>
          <w:lang w:val="en-US"/>
        </w:rPr>
        <w:t>who had</w:t>
      </w:r>
      <w:r w:rsidR="00DF7363" w:rsidRPr="00726FC8">
        <w:rPr>
          <w:lang w:val="en-US"/>
        </w:rPr>
        <w:t xml:space="preserve"> moderate fluid administration (</w:t>
      </w:r>
      <w:r w:rsidR="00DF7363">
        <w:rPr>
          <w:lang w:val="en-US"/>
        </w:rPr>
        <w:t xml:space="preserve">Median </w:t>
      </w:r>
      <w:r w:rsidR="00DF7363" w:rsidRPr="00726FC8">
        <w:rPr>
          <w:lang w:val="en-US"/>
        </w:rPr>
        <w:t>12</w:t>
      </w:r>
      <w:r w:rsidR="00E45792">
        <w:rPr>
          <w:lang w:val="en-US"/>
        </w:rPr>
        <w:t>.</w:t>
      </w:r>
      <w:r w:rsidR="00DF7363" w:rsidRPr="00726FC8">
        <w:rPr>
          <w:lang w:val="en-US"/>
        </w:rPr>
        <w:t>3 vs.</w:t>
      </w:r>
      <w:r w:rsidR="00DF7363">
        <w:rPr>
          <w:lang w:val="en-US"/>
        </w:rPr>
        <w:t xml:space="preserve"> 13</w:t>
      </w:r>
      <w:r w:rsidR="00E45792">
        <w:rPr>
          <w:lang w:val="en-US"/>
        </w:rPr>
        <w:t>.</w:t>
      </w:r>
      <w:r w:rsidR="00DF7363">
        <w:rPr>
          <w:lang w:val="en-US"/>
        </w:rPr>
        <w:t>3</w:t>
      </w:r>
      <w:r w:rsidR="00E45792">
        <w:rPr>
          <w:lang w:val="en-US"/>
        </w:rPr>
        <w:t xml:space="preserve"> g/</w:t>
      </w:r>
      <w:r w:rsidR="00EB1671">
        <w:rPr>
          <w:lang w:val="en-US"/>
        </w:rPr>
        <w:t>d</w:t>
      </w:r>
      <w:r w:rsidR="00E45792">
        <w:rPr>
          <w:lang w:val="en-US"/>
        </w:rPr>
        <w:t>L</w:t>
      </w:r>
      <w:r w:rsidR="00CA574F">
        <w:rPr>
          <w:lang w:val="en-US"/>
        </w:rPr>
        <w:t>,</w:t>
      </w:r>
      <w:r w:rsidR="00051DB1">
        <w:rPr>
          <w:lang w:val="en-US"/>
        </w:rPr>
        <w:t xml:space="preserve"> p&gt;0.5</w:t>
      </w:r>
      <w:r w:rsidR="00DF7363">
        <w:rPr>
          <w:lang w:val="en-US"/>
        </w:rPr>
        <w:t>)</w:t>
      </w:r>
      <w:r w:rsidR="00D3307E">
        <w:rPr>
          <w:lang w:val="en-US"/>
        </w:rPr>
        <w:t xml:space="preserve"> they were also </w:t>
      </w:r>
      <w:r>
        <w:rPr>
          <w:lang w:val="en-US"/>
        </w:rPr>
        <w:t>younger (</w:t>
      </w:r>
      <w:r w:rsidR="00051DB1">
        <w:rPr>
          <w:lang w:val="en-US"/>
        </w:rPr>
        <w:t xml:space="preserve">Median </w:t>
      </w:r>
      <w:r>
        <w:rPr>
          <w:lang w:val="en-US"/>
        </w:rPr>
        <w:t>60 vs. 65</w:t>
      </w:r>
      <w:r w:rsidR="00723095">
        <w:rPr>
          <w:lang w:val="en-US"/>
        </w:rPr>
        <w:t>, p&gt;</w:t>
      </w:r>
      <w:r w:rsidR="00051DB1">
        <w:rPr>
          <w:lang w:val="en-US"/>
        </w:rPr>
        <w:t>0.5</w:t>
      </w:r>
      <w:r>
        <w:rPr>
          <w:lang w:val="en-US"/>
        </w:rPr>
        <w:t>) and more often women (OR 1.47, 95% CI 1.02-2.14, p=0.042)</w:t>
      </w:r>
      <w:r w:rsidR="00D3307E">
        <w:rPr>
          <w:lang w:val="en-US"/>
        </w:rPr>
        <w:t>, but</w:t>
      </w:r>
      <w:r w:rsidR="009B3738">
        <w:rPr>
          <w:lang w:val="en-US"/>
        </w:rPr>
        <w:t xml:space="preserve"> </w:t>
      </w:r>
      <w:r w:rsidR="00E45792">
        <w:rPr>
          <w:lang w:val="en-US"/>
        </w:rPr>
        <w:t xml:space="preserve">no differences in </w:t>
      </w:r>
      <w:r w:rsidR="009B3738">
        <w:rPr>
          <w:lang w:val="en-US"/>
        </w:rPr>
        <w:t>c</w:t>
      </w:r>
      <w:r>
        <w:rPr>
          <w:lang w:val="en-US"/>
        </w:rPr>
        <w:t>omorbidities or prior medication</w:t>
      </w:r>
      <w:r w:rsidR="00E45792">
        <w:rPr>
          <w:lang w:val="en-US"/>
        </w:rPr>
        <w:t>s</w:t>
      </w:r>
      <w:r>
        <w:rPr>
          <w:lang w:val="en-US"/>
        </w:rPr>
        <w:t xml:space="preserve"> </w:t>
      </w:r>
      <w:r w:rsidR="00E45792">
        <w:rPr>
          <w:lang w:val="en-US"/>
        </w:rPr>
        <w:t xml:space="preserve">were </w:t>
      </w:r>
      <w:r w:rsidR="00D3307E">
        <w:rPr>
          <w:lang w:val="en-US"/>
        </w:rPr>
        <w:t>observed</w:t>
      </w:r>
      <w:r>
        <w:rPr>
          <w:lang w:val="en-US"/>
        </w:rPr>
        <w:t xml:space="preserve">. Main patient </w:t>
      </w:r>
      <w:r w:rsidR="00E45792">
        <w:rPr>
          <w:lang w:val="en-US"/>
        </w:rPr>
        <w:t xml:space="preserve">subsets </w:t>
      </w:r>
      <w:r>
        <w:rPr>
          <w:lang w:val="en-US"/>
        </w:rPr>
        <w:t>for liberal fluid administration were patients undergoing microvascular reconstruction surgery (57%) and patients undergoing neck dissection (26%).</w:t>
      </w:r>
      <w:r w:rsidR="005A6C9F">
        <w:rPr>
          <w:lang w:val="en-US"/>
        </w:rPr>
        <w:t xml:space="preserve"> From liberally hydrated patients only 33% had </w:t>
      </w:r>
      <w:r w:rsidR="00E45792">
        <w:rPr>
          <w:lang w:val="en-US"/>
        </w:rPr>
        <w:t xml:space="preserve">a </w:t>
      </w:r>
      <w:r w:rsidR="005A6C9F">
        <w:rPr>
          <w:lang w:val="en-US"/>
        </w:rPr>
        <w:t>major bleeding.</w:t>
      </w:r>
    </w:p>
    <w:p w:rsidR="005618A9" w:rsidRDefault="005618A9" w:rsidP="007C7C19">
      <w:pPr>
        <w:spacing w:line="480" w:lineRule="auto"/>
        <w:ind w:firstLine="1304"/>
        <w:rPr>
          <w:lang w:val="en-US"/>
        </w:rPr>
      </w:pPr>
      <w:r>
        <w:rPr>
          <w:lang w:val="en-US"/>
        </w:rPr>
        <w:t xml:space="preserve">Patients who received fluids liberally (&gt;4000ml/24h) had more </w:t>
      </w:r>
      <w:r w:rsidR="004F5708">
        <w:rPr>
          <w:lang w:val="en-US"/>
        </w:rPr>
        <w:t xml:space="preserve">often </w:t>
      </w:r>
      <w:r>
        <w:rPr>
          <w:lang w:val="en-US"/>
        </w:rPr>
        <w:t xml:space="preserve">MACCE </w:t>
      </w:r>
      <w:r w:rsidR="009B3738">
        <w:rPr>
          <w:lang w:val="en-US"/>
        </w:rPr>
        <w:t xml:space="preserve">at 30d follow-up </w:t>
      </w:r>
      <w:r>
        <w:rPr>
          <w:lang w:val="en-US"/>
        </w:rPr>
        <w:t xml:space="preserve">compared to those who had </w:t>
      </w:r>
      <w:r w:rsidR="00C27926">
        <w:rPr>
          <w:lang w:val="en-US"/>
        </w:rPr>
        <w:t>≤</w:t>
      </w:r>
      <w:r>
        <w:rPr>
          <w:lang w:val="en-US"/>
        </w:rPr>
        <w:t>4000ml fluids (10.8% vs. 2.4%, p=&lt;0.001</w:t>
      </w:r>
      <w:r w:rsidRPr="00FD0E81">
        <w:rPr>
          <w:lang w:val="en-US"/>
        </w:rPr>
        <w:t>).</w:t>
      </w:r>
      <w:r>
        <w:rPr>
          <w:lang w:val="en-US"/>
        </w:rPr>
        <w:t xml:space="preserve"> Mortality was also slightly higher in patients who received over 4000ml fluids /24h (3.9% vs. 1.6%, p=0.088)</w:t>
      </w:r>
      <w:r w:rsidR="001F1B2E">
        <w:rPr>
          <w:lang w:val="en-US"/>
        </w:rPr>
        <w:t>.</w:t>
      </w:r>
      <w:r>
        <w:rPr>
          <w:lang w:val="en-US"/>
        </w:rPr>
        <w:t xml:space="preserve"> (Figure 1) Median bleeding in patients receivi</w:t>
      </w:r>
      <w:r w:rsidR="004401E1">
        <w:rPr>
          <w:lang w:val="en-US"/>
        </w:rPr>
        <w:t>ng fluids liberally was 1000ml [IQR=975]</w:t>
      </w:r>
      <w:r w:rsidR="00D67D89">
        <w:rPr>
          <w:lang w:val="en-US"/>
        </w:rPr>
        <w:t xml:space="preserve"> and 300ml [IQR 350] in patients with moderate fluid administration</w:t>
      </w:r>
      <w:r>
        <w:rPr>
          <w:lang w:val="en-US"/>
        </w:rPr>
        <w:t>.</w:t>
      </w:r>
    </w:p>
    <w:p w:rsidR="005618A9" w:rsidRPr="007D5D87" w:rsidRDefault="005618A9" w:rsidP="007C7C19">
      <w:pPr>
        <w:spacing w:line="480" w:lineRule="auto"/>
        <w:ind w:firstLine="1304"/>
        <w:rPr>
          <w:lang w:val="en-US"/>
        </w:rPr>
      </w:pPr>
      <w:r>
        <w:rPr>
          <w:lang w:val="en-US"/>
        </w:rPr>
        <w:t>Patients who had red blood cell infusions peri</w:t>
      </w:r>
      <w:r w:rsidR="0061788C">
        <w:rPr>
          <w:lang w:val="en-US"/>
        </w:rPr>
        <w:t>-</w:t>
      </w:r>
      <w:r>
        <w:rPr>
          <w:lang w:val="en-US"/>
        </w:rPr>
        <w:t xml:space="preserve"> and postoperatively had higher risk for MACCE (11.4% vs. 2.7</w:t>
      </w:r>
      <w:r w:rsidRPr="002840BB">
        <w:rPr>
          <w:lang w:val="en-US"/>
        </w:rPr>
        <w:t>%,</w:t>
      </w:r>
      <w:r>
        <w:rPr>
          <w:lang w:val="en-US"/>
        </w:rPr>
        <w:t xml:space="preserve"> p=&lt;0.001</w:t>
      </w:r>
      <w:r w:rsidRPr="00FD0E81">
        <w:rPr>
          <w:lang w:val="en-US"/>
        </w:rPr>
        <w:t>)</w:t>
      </w:r>
      <w:r>
        <w:rPr>
          <w:lang w:val="en-US"/>
        </w:rPr>
        <w:t xml:space="preserve"> and </w:t>
      </w:r>
      <w:r w:rsidR="00BE4C7B">
        <w:rPr>
          <w:lang w:val="en-US"/>
        </w:rPr>
        <w:t xml:space="preserve">a trend for </w:t>
      </w:r>
      <w:r>
        <w:rPr>
          <w:lang w:val="en-US"/>
        </w:rPr>
        <w:t>higher 30d mortality (3.9% vs. 1.7%, p=0.132</w:t>
      </w:r>
      <w:r w:rsidRPr="002840BB">
        <w:rPr>
          <w:lang w:val="en-US"/>
        </w:rPr>
        <w:t>)</w:t>
      </w:r>
      <w:r>
        <w:rPr>
          <w:lang w:val="en-US"/>
        </w:rPr>
        <w:t xml:space="preserve"> (Figure 2).</w:t>
      </w:r>
      <w:r w:rsidR="00A76C8F">
        <w:rPr>
          <w:lang w:val="en-US"/>
        </w:rPr>
        <w:t xml:space="preserve"> </w:t>
      </w:r>
      <w:r w:rsidR="004F5708">
        <w:rPr>
          <w:lang w:val="en-US"/>
        </w:rPr>
        <w:t>Moreover, p</w:t>
      </w:r>
      <w:r w:rsidR="00A76C8F">
        <w:rPr>
          <w:lang w:val="en-US"/>
        </w:rPr>
        <w:t>atients who received RBC had lower preoperative Hb</w:t>
      </w:r>
      <w:r w:rsidR="004C4F79">
        <w:rPr>
          <w:lang w:val="en-US"/>
        </w:rPr>
        <w:t>-values</w:t>
      </w:r>
      <w:r w:rsidR="00A76C8F">
        <w:rPr>
          <w:lang w:val="en-US"/>
        </w:rPr>
        <w:t xml:space="preserve"> compared to those who didn’t (</w:t>
      </w:r>
      <w:r w:rsidR="00BE4C7B">
        <w:rPr>
          <w:lang w:val="en-US"/>
        </w:rPr>
        <w:t>m</w:t>
      </w:r>
      <w:r w:rsidR="00A76C8F">
        <w:rPr>
          <w:lang w:val="en-US"/>
        </w:rPr>
        <w:t>edian 119 vs. 135</w:t>
      </w:r>
      <w:r w:rsidR="00BE4C7B">
        <w:rPr>
          <w:lang w:val="en-US"/>
        </w:rPr>
        <w:t>, respectively</w:t>
      </w:r>
      <w:r w:rsidR="00A76C8F">
        <w:rPr>
          <w:lang w:val="en-US"/>
        </w:rPr>
        <w:t>).</w:t>
      </w:r>
      <w:r w:rsidR="00EC57C5">
        <w:rPr>
          <w:lang w:val="en-US"/>
        </w:rPr>
        <w:t xml:space="preserve"> </w:t>
      </w:r>
    </w:p>
    <w:p w:rsidR="005618A9" w:rsidRPr="00726FC8" w:rsidRDefault="00D3307E" w:rsidP="00411FDD">
      <w:pPr>
        <w:spacing w:after="0" w:line="480" w:lineRule="auto"/>
        <w:ind w:firstLine="1304"/>
        <w:rPr>
          <w:lang w:val="en-US"/>
        </w:rPr>
      </w:pPr>
      <w:r w:rsidRPr="00D3307E">
        <w:rPr>
          <w:lang w:val="en-US"/>
        </w:rPr>
        <w:t xml:space="preserve">Median </w:t>
      </w:r>
      <w:r w:rsidR="00A76C8F" w:rsidRPr="00D3307E">
        <w:rPr>
          <w:lang w:val="en-US"/>
        </w:rPr>
        <w:t xml:space="preserve">time from operation to MACCE was 3 days. </w:t>
      </w:r>
      <w:r w:rsidR="005618A9" w:rsidRPr="000F5AEC">
        <w:rPr>
          <w:lang w:val="en-US"/>
        </w:rPr>
        <w:t xml:space="preserve">In a binary logistic regression analysis, </w:t>
      </w:r>
      <w:r w:rsidR="005618A9">
        <w:rPr>
          <w:lang w:val="en-US"/>
        </w:rPr>
        <w:t xml:space="preserve">peri/postoperative </w:t>
      </w:r>
      <w:r w:rsidR="005618A9" w:rsidRPr="000F5AEC">
        <w:rPr>
          <w:lang w:val="en-US"/>
        </w:rPr>
        <w:t>univariate predictors of</w:t>
      </w:r>
      <w:r w:rsidR="005618A9">
        <w:rPr>
          <w:lang w:val="en-US"/>
        </w:rPr>
        <w:t xml:space="preserve"> MACCE at 30 days follow-up were</w:t>
      </w:r>
      <w:r w:rsidR="005618A9" w:rsidRPr="00D3075E">
        <w:rPr>
          <w:lang w:val="en-US"/>
        </w:rPr>
        <w:t xml:space="preserve"> total amount of f</w:t>
      </w:r>
      <w:r w:rsidR="005618A9">
        <w:rPr>
          <w:lang w:val="en-US"/>
        </w:rPr>
        <w:t xml:space="preserve">luids (24h) </w:t>
      </w:r>
      <w:r w:rsidR="00C27926">
        <w:rPr>
          <w:lang w:val="en-US"/>
        </w:rPr>
        <w:t>&gt;</w:t>
      </w:r>
      <w:r w:rsidR="005618A9">
        <w:rPr>
          <w:lang w:val="en-US"/>
        </w:rPr>
        <w:t>4000ml (OR 4.84, 95% CI 2.18-10.75</w:t>
      </w:r>
      <w:r w:rsidR="005618A9" w:rsidRPr="00D3075E">
        <w:rPr>
          <w:lang w:val="en-US"/>
        </w:rPr>
        <w:t>,</w:t>
      </w:r>
      <w:r w:rsidR="005618A9">
        <w:rPr>
          <w:lang w:val="en-US"/>
        </w:rPr>
        <w:t xml:space="preserve"> p&lt;0.001); RBC infusion (OR 4.63, 95% CI 2.18-9.84</w:t>
      </w:r>
      <w:r w:rsidR="005618A9" w:rsidRPr="00D3075E">
        <w:rPr>
          <w:lang w:val="en-US"/>
        </w:rPr>
        <w:t xml:space="preserve">, </w:t>
      </w:r>
      <w:r w:rsidR="005618A9" w:rsidRPr="00D3075E">
        <w:rPr>
          <w:lang w:val="en-US"/>
        </w:rPr>
        <w:lastRenderedPageBreak/>
        <w:t>p&lt;0.001); treatment in intensive care unit (OR 2</w:t>
      </w:r>
      <w:r w:rsidR="005618A9">
        <w:rPr>
          <w:lang w:val="en-US"/>
        </w:rPr>
        <w:t>.65, 95% CI 1.28-5.47, p=0.009);</w:t>
      </w:r>
      <w:r w:rsidR="005618A9" w:rsidRPr="00D3075E">
        <w:rPr>
          <w:lang w:val="en-US"/>
        </w:rPr>
        <w:t xml:space="preserve"> </w:t>
      </w:r>
      <w:r w:rsidR="005618A9">
        <w:rPr>
          <w:lang w:val="en-US"/>
        </w:rPr>
        <w:t>tracheostomy (OR</w:t>
      </w:r>
      <w:r w:rsidR="005618A9" w:rsidRPr="000F5AEC">
        <w:rPr>
          <w:lang w:val="en-US"/>
        </w:rPr>
        <w:t xml:space="preserve"> </w:t>
      </w:r>
      <w:r w:rsidR="005618A9">
        <w:rPr>
          <w:lang w:val="en-US"/>
        </w:rPr>
        <w:t>2.34, 95% CI 1.13-4.88, p=0.023); microvascular reconstruction surgery (OR 2.28, 95% CI 1.07-4.88,</w:t>
      </w:r>
      <w:r w:rsidR="000140DB">
        <w:rPr>
          <w:lang w:val="en-US"/>
        </w:rPr>
        <w:t xml:space="preserve"> p=0.033). Moreover, when analy</w:t>
      </w:r>
      <w:r w:rsidR="000C6B14">
        <w:rPr>
          <w:lang w:val="en-US"/>
        </w:rPr>
        <w:t>z</w:t>
      </w:r>
      <w:r w:rsidR="005618A9">
        <w:rPr>
          <w:lang w:val="en-US"/>
        </w:rPr>
        <w:t xml:space="preserve">ed per units of red blood cells transfused or per liters of fluid administered over 4000ml/24h, in both cases the risk of MACCE increased 18% per unit/liter (RBC OR 1.18, 95% CI 1.08-1.30, p&lt;0.001; fluids OR 1.18, 95% CI 1.04-1.34, p=0.012). In a multivariate model, </w:t>
      </w:r>
      <w:r w:rsidR="00C27926">
        <w:rPr>
          <w:lang w:val="en-US"/>
        </w:rPr>
        <w:t>&gt;</w:t>
      </w:r>
      <w:r w:rsidR="005618A9">
        <w:rPr>
          <w:lang w:val="en-US"/>
        </w:rPr>
        <w:t>4000ml fluid administration/24h remained as the only predictor for MACCE (OR 4.84, 95% CI 2.19-10.75, p&lt;0.001).</w:t>
      </w:r>
      <w:r w:rsidR="002A330F">
        <w:rPr>
          <w:lang w:val="en-US"/>
        </w:rPr>
        <w:t xml:space="preserve"> </w:t>
      </w:r>
      <w:r w:rsidR="000C6B14">
        <w:rPr>
          <w:lang w:val="en-US"/>
        </w:rPr>
        <w:t xml:space="preserve">Use of vasopressors </w:t>
      </w:r>
      <w:r w:rsidR="00A93055">
        <w:rPr>
          <w:lang w:val="en-US"/>
        </w:rPr>
        <w:t>had no influenc</w:t>
      </w:r>
      <w:r w:rsidR="000C6B14">
        <w:rPr>
          <w:lang w:val="en-US"/>
        </w:rPr>
        <w:t>e on MACCE (p=</w:t>
      </w:r>
      <w:r w:rsidR="000C6B14">
        <w:rPr>
          <w:sz w:val="20"/>
          <w:lang w:val="en-GB"/>
        </w:rPr>
        <w:t>0.540).</w:t>
      </w:r>
    </w:p>
    <w:p w:rsidR="005618A9" w:rsidRDefault="005618A9" w:rsidP="00E13109">
      <w:pPr>
        <w:spacing w:after="0" w:line="480" w:lineRule="auto"/>
        <w:ind w:firstLine="1304"/>
        <w:rPr>
          <w:lang w:val="en-US"/>
        </w:rPr>
      </w:pPr>
      <w:r>
        <w:rPr>
          <w:lang w:val="en-US"/>
        </w:rPr>
        <w:t xml:space="preserve">Perioperative univariate predictors of </w:t>
      </w:r>
      <w:r w:rsidRPr="000F5AEC">
        <w:rPr>
          <w:lang w:val="en-US"/>
        </w:rPr>
        <w:t>decompensated heart failure were total amount</w:t>
      </w:r>
      <w:r>
        <w:rPr>
          <w:lang w:val="en-US"/>
        </w:rPr>
        <w:t xml:space="preserve"> of fluids (24h) </w:t>
      </w:r>
      <w:r w:rsidR="00C27926">
        <w:rPr>
          <w:lang w:val="en-US"/>
        </w:rPr>
        <w:t>&gt;</w:t>
      </w:r>
      <w:r>
        <w:rPr>
          <w:lang w:val="en-US"/>
        </w:rPr>
        <w:t>4000ml (O</w:t>
      </w:r>
      <w:r w:rsidRPr="000F5AEC">
        <w:rPr>
          <w:lang w:val="en-US"/>
        </w:rPr>
        <w:t>R 7.64, 95% CI 2.13-27.42, p=0.</w:t>
      </w:r>
      <w:r>
        <w:rPr>
          <w:lang w:val="en-US"/>
        </w:rPr>
        <w:t>002); RBC infusion (O</w:t>
      </w:r>
      <w:r w:rsidRPr="000F5AEC">
        <w:rPr>
          <w:lang w:val="en-US"/>
        </w:rPr>
        <w:t>R 7.03, 95% CI 2.24-22.1</w:t>
      </w:r>
      <w:r>
        <w:rPr>
          <w:lang w:val="en-US"/>
        </w:rPr>
        <w:t>0, p=0.001); use of papaverin (O</w:t>
      </w:r>
      <w:r w:rsidRPr="000F5AEC">
        <w:rPr>
          <w:lang w:val="en-US"/>
        </w:rPr>
        <w:t>R 6.74, 95% CI 2.40-18.93, p&lt;0.001);</w:t>
      </w:r>
      <w:r w:rsidR="00E60D6B">
        <w:rPr>
          <w:lang w:val="en-US"/>
        </w:rPr>
        <w:t xml:space="preserve"> </w:t>
      </w:r>
      <w:r>
        <w:rPr>
          <w:lang w:val="en-US"/>
        </w:rPr>
        <w:t>and</w:t>
      </w:r>
      <w:r w:rsidRPr="000F5AEC">
        <w:rPr>
          <w:lang w:val="en-US"/>
        </w:rPr>
        <w:t xml:space="preserve"> treatment in intensive care unit (</w:t>
      </w:r>
      <w:r>
        <w:rPr>
          <w:lang w:val="en-US"/>
        </w:rPr>
        <w:t>O</w:t>
      </w:r>
      <w:r w:rsidRPr="000F5AEC">
        <w:rPr>
          <w:lang w:val="en-US"/>
        </w:rPr>
        <w:t>R 5.65,</w:t>
      </w:r>
      <w:r>
        <w:rPr>
          <w:lang w:val="en-US"/>
        </w:rPr>
        <w:t xml:space="preserve"> 95% CI 2.02-15.83, p=0.001).</w:t>
      </w:r>
    </w:p>
    <w:p w:rsidR="005618A9" w:rsidRDefault="005618A9" w:rsidP="009C7167">
      <w:pPr>
        <w:spacing w:after="0" w:line="480" w:lineRule="auto"/>
        <w:ind w:firstLine="1304"/>
        <w:rPr>
          <w:lang w:val="en-US"/>
        </w:rPr>
      </w:pPr>
      <w:r>
        <w:rPr>
          <w:lang w:val="en-US"/>
        </w:rPr>
        <w:t>Perioperative u</w:t>
      </w:r>
      <w:r w:rsidRPr="000F5AEC">
        <w:rPr>
          <w:lang w:val="en-US"/>
        </w:rPr>
        <w:t xml:space="preserve">nivariate predictors of ACS </w:t>
      </w:r>
      <w:r>
        <w:rPr>
          <w:lang w:val="en-US"/>
        </w:rPr>
        <w:t>were RBC</w:t>
      </w:r>
      <w:r w:rsidRPr="000F5AEC">
        <w:rPr>
          <w:lang w:val="en-US"/>
        </w:rPr>
        <w:t xml:space="preserve"> infusion (HR 6.93, 95% CI 1.85-25.89, P=0.004)</w:t>
      </w:r>
      <w:r>
        <w:rPr>
          <w:lang w:val="en-US"/>
        </w:rPr>
        <w:t>;</w:t>
      </w:r>
      <w:r w:rsidRPr="000F5AEC">
        <w:rPr>
          <w:lang w:val="en-US"/>
        </w:rPr>
        <w:t xml:space="preserve"> t</w:t>
      </w:r>
      <w:r w:rsidR="00E60D6B">
        <w:rPr>
          <w:lang w:val="en-US"/>
        </w:rPr>
        <w:t>otal fluids (24h) &gt;</w:t>
      </w:r>
      <w:r>
        <w:rPr>
          <w:lang w:val="en-US"/>
        </w:rPr>
        <w:t xml:space="preserve"> 4000ml (O</w:t>
      </w:r>
      <w:r w:rsidRPr="000F5AEC">
        <w:rPr>
          <w:lang w:val="en-US"/>
        </w:rPr>
        <w:t>R 4.99, 95% CI 1.31-19.0</w:t>
      </w:r>
      <w:r>
        <w:rPr>
          <w:lang w:val="en-US"/>
        </w:rPr>
        <w:t>3, p=0.019)</w:t>
      </w:r>
      <w:r w:rsidR="005A6C9F">
        <w:rPr>
          <w:lang w:val="en-US"/>
        </w:rPr>
        <w:t>;</w:t>
      </w:r>
      <w:r>
        <w:rPr>
          <w:lang w:val="en-US"/>
        </w:rPr>
        <w:t xml:space="preserve"> </w:t>
      </w:r>
      <w:r w:rsidR="0061788C">
        <w:rPr>
          <w:lang w:val="en-US"/>
        </w:rPr>
        <w:t xml:space="preserve">and </w:t>
      </w:r>
      <w:r>
        <w:rPr>
          <w:lang w:val="en-US"/>
        </w:rPr>
        <w:t>treatment in ICU (O</w:t>
      </w:r>
      <w:r w:rsidRPr="000F5AEC">
        <w:rPr>
          <w:lang w:val="en-US"/>
        </w:rPr>
        <w:t>R 4.65, 95% CI 1.45-14.89, p=0.0</w:t>
      </w:r>
      <w:r>
        <w:rPr>
          <w:lang w:val="en-US"/>
        </w:rPr>
        <w:t>10).</w:t>
      </w:r>
    </w:p>
    <w:p w:rsidR="005618A9" w:rsidRDefault="005618A9" w:rsidP="009C7167">
      <w:pPr>
        <w:spacing w:after="0" w:line="480" w:lineRule="auto"/>
        <w:ind w:firstLine="1304"/>
        <w:rPr>
          <w:lang w:val="en-US"/>
        </w:rPr>
      </w:pPr>
    </w:p>
    <w:p w:rsidR="005618A9" w:rsidRPr="008F0657" w:rsidRDefault="005618A9" w:rsidP="000F5AEC">
      <w:pPr>
        <w:spacing w:line="480" w:lineRule="auto"/>
        <w:rPr>
          <w:b/>
          <w:lang w:val="en-US"/>
        </w:rPr>
      </w:pPr>
      <w:r w:rsidRPr="008F0657">
        <w:rPr>
          <w:b/>
          <w:lang w:val="en-US"/>
        </w:rPr>
        <w:t>Discussio</w:t>
      </w:r>
      <w:r>
        <w:rPr>
          <w:b/>
          <w:lang w:val="en-US"/>
        </w:rPr>
        <w:t>n</w:t>
      </w:r>
    </w:p>
    <w:p w:rsidR="005618A9" w:rsidRPr="00040214" w:rsidRDefault="005618A9" w:rsidP="000F5AEC">
      <w:pPr>
        <w:spacing w:line="480" w:lineRule="auto"/>
        <w:rPr>
          <w:lang w:val="en-US"/>
        </w:rPr>
      </w:pPr>
      <w:r>
        <w:rPr>
          <w:lang w:val="en-US"/>
        </w:rPr>
        <w:t xml:space="preserve">In this unselected cohort of patients undergoing head and neck cancer surgery, </w:t>
      </w:r>
      <w:r w:rsidRPr="000F5AEC">
        <w:rPr>
          <w:lang w:val="en-US"/>
        </w:rPr>
        <w:t xml:space="preserve">it appeared that patients receiving excessive intravenous fluid administration within the </w:t>
      </w:r>
      <w:r w:rsidR="00D542E7">
        <w:rPr>
          <w:lang w:val="en-US"/>
        </w:rPr>
        <w:t xml:space="preserve">operation </w:t>
      </w:r>
      <w:r>
        <w:rPr>
          <w:lang w:val="en-US"/>
        </w:rPr>
        <w:t>day</w:t>
      </w:r>
      <w:r w:rsidR="00D542E7">
        <w:rPr>
          <w:lang w:val="en-US"/>
        </w:rPr>
        <w:t xml:space="preserve"> (24h)</w:t>
      </w:r>
      <w:r>
        <w:rPr>
          <w:lang w:val="en-US"/>
        </w:rPr>
        <w:t xml:space="preserve"> had nearly 5</w:t>
      </w:r>
      <w:r w:rsidRPr="000F5AEC">
        <w:rPr>
          <w:lang w:val="en-US"/>
        </w:rPr>
        <w:t>-fold r</w:t>
      </w:r>
      <w:r>
        <w:rPr>
          <w:lang w:val="en-US"/>
        </w:rPr>
        <w:t>isk for MACCE</w:t>
      </w:r>
      <w:r w:rsidRPr="000F5AEC">
        <w:rPr>
          <w:lang w:val="en-US"/>
        </w:rPr>
        <w:t>.</w:t>
      </w:r>
      <w:r>
        <w:rPr>
          <w:lang w:val="en-US"/>
        </w:rPr>
        <w:t xml:space="preserve"> Strikingly, every liter of fluids administered exceeding 4000ml increased the </w:t>
      </w:r>
      <w:r>
        <w:rPr>
          <w:lang w:val="en-US"/>
        </w:rPr>
        <w:lastRenderedPageBreak/>
        <w:t>risk of MACCE by 18%.</w:t>
      </w:r>
      <w:r w:rsidRPr="000F5AEC">
        <w:rPr>
          <w:lang w:val="en-US"/>
        </w:rPr>
        <w:t xml:space="preserve"> Moreover, red bloo</w:t>
      </w:r>
      <w:r>
        <w:rPr>
          <w:lang w:val="en-US"/>
        </w:rPr>
        <w:t>d cell use was associated with over 4</w:t>
      </w:r>
      <w:r w:rsidRPr="000F5AEC">
        <w:rPr>
          <w:lang w:val="en-US"/>
        </w:rPr>
        <w:t>-fold risk</w:t>
      </w:r>
      <w:r>
        <w:rPr>
          <w:lang w:val="en-US"/>
        </w:rPr>
        <w:t xml:space="preserve"> for MACCE, and likewise every unit of red blood cells transfused increased MACCE by 18%. </w:t>
      </w:r>
    </w:p>
    <w:p w:rsidR="00540E7F" w:rsidRDefault="005618A9" w:rsidP="00C27926">
      <w:pPr>
        <w:spacing w:line="480" w:lineRule="auto"/>
        <w:ind w:firstLine="1304"/>
        <w:divId w:val="2057122938"/>
        <w:rPr>
          <w:lang w:val="en-US"/>
        </w:rPr>
      </w:pPr>
      <w:r w:rsidRPr="00A61889">
        <w:rPr>
          <w:lang w:val="en-US"/>
        </w:rPr>
        <w:t>This study provides evidence that operated head and neck cancer pati</w:t>
      </w:r>
      <w:r w:rsidRPr="000F5AEC">
        <w:rPr>
          <w:lang w:val="en-US"/>
        </w:rPr>
        <w:t>ent</w:t>
      </w:r>
      <w:r>
        <w:rPr>
          <w:lang w:val="en-US"/>
        </w:rPr>
        <w:t>s</w:t>
      </w:r>
      <w:r w:rsidRPr="000F5AEC">
        <w:rPr>
          <w:lang w:val="en-US"/>
        </w:rPr>
        <w:t xml:space="preserve"> receiving more than 4000ml fluids perioperatively (24</w:t>
      </w:r>
      <w:r w:rsidR="00D542E7">
        <w:rPr>
          <w:lang w:val="en-US"/>
        </w:rPr>
        <w:t>h</w:t>
      </w:r>
      <w:r w:rsidRPr="000F5AEC">
        <w:rPr>
          <w:lang w:val="en-US"/>
        </w:rPr>
        <w:t xml:space="preserve">) had clearly elevated risk for </w:t>
      </w:r>
      <w:r>
        <w:rPr>
          <w:lang w:val="en-US"/>
        </w:rPr>
        <w:t>MACCE (OR 4.8-7.6</w:t>
      </w:r>
      <w:r w:rsidRPr="000F5AEC">
        <w:rPr>
          <w:lang w:val="en-US"/>
        </w:rPr>
        <w:t>)</w:t>
      </w:r>
      <w:r>
        <w:rPr>
          <w:lang w:val="en-US"/>
        </w:rPr>
        <w:t xml:space="preserve"> i</w:t>
      </w:r>
      <w:r w:rsidR="00D3307E">
        <w:rPr>
          <w:lang w:val="en-US"/>
        </w:rPr>
        <w:t xml:space="preserve">rrespective </w:t>
      </w:r>
      <w:r w:rsidR="009D3C9E">
        <w:rPr>
          <w:lang w:val="en-US"/>
        </w:rPr>
        <w:t xml:space="preserve">of </w:t>
      </w:r>
      <w:r>
        <w:rPr>
          <w:lang w:val="en-US"/>
        </w:rPr>
        <w:t>comorbidities</w:t>
      </w:r>
      <w:r w:rsidRPr="000F5AEC">
        <w:rPr>
          <w:lang w:val="en-US"/>
        </w:rPr>
        <w:t>. The amount of fluids given to patient is largely dependent on the type of surgery. In patients undergoing major head and neck surgery such as microvascular reconstruction, operations usually take many hours and fluids are nee</w:t>
      </w:r>
      <w:r>
        <w:rPr>
          <w:lang w:val="en-US"/>
        </w:rPr>
        <w:t xml:space="preserve">ded to maintain adequate perfusion </w:t>
      </w:r>
      <w:r w:rsidRPr="000F5AEC">
        <w:rPr>
          <w:lang w:val="en-US"/>
        </w:rPr>
        <w:t>pressure levels</w:t>
      </w:r>
      <w:r>
        <w:rPr>
          <w:lang w:val="en-US"/>
        </w:rPr>
        <w:t xml:space="preserve"> and replace blood loss and evaporation of tissue fluid</w:t>
      </w:r>
      <w:r w:rsidRPr="000F5AEC">
        <w:rPr>
          <w:lang w:val="en-US"/>
        </w:rPr>
        <w:t>.</w:t>
      </w:r>
      <w:r>
        <w:rPr>
          <w:lang w:val="en-US"/>
        </w:rPr>
        <w:t xml:space="preserve"> </w:t>
      </w:r>
      <w:r w:rsidRPr="00A76C8F">
        <w:rPr>
          <w:lang w:val="en-US"/>
        </w:rPr>
        <w:t xml:space="preserve">In this study the median bleeding </w:t>
      </w:r>
      <w:r w:rsidR="005A6C9F">
        <w:rPr>
          <w:lang w:val="en-US"/>
        </w:rPr>
        <w:t>for patien</w:t>
      </w:r>
      <w:r w:rsidR="009D3C9E">
        <w:rPr>
          <w:lang w:val="en-US"/>
        </w:rPr>
        <w:t>t</w:t>
      </w:r>
      <w:r w:rsidR="005A6C9F">
        <w:rPr>
          <w:lang w:val="en-US"/>
        </w:rPr>
        <w:t xml:space="preserve">s who </w:t>
      </w:r>
      <w:r w:rsidR="009D3C9E">
        <w:rPr>
          <w:lang w:val="en-US"/>
        </w:rPr>
        <w:t xml:space="preserve">were </w:t>
      </w:r>
      <w:r w:rsidR="00D3307E">
        <w:rPr>
          <w:lang w:val="en-US"/>
        </w:rPr>
        <w:t xml:space="preserve">given </w:t>
      </w:r>
      <w:r w:rsidR="005A6C9F">
        <w:rPr>
          <w:lang w:val="en-US"/>
        </w:rPr>
        <w:t>fluid</w:t>
      </w:r>
      <w:r w:rsidR="00D3307E">
        <w:rPr>
          <w:lang w:val="en-US"/>
        </w:rPr>
        <w:t>s</w:t>
      </w:r>
      <w:r w:rsidR="005A6C9F">
        <w:rPr>
          <w:lang w:val="en-US"/>
        </w:rPr>
        <w:t xml:space="preserve"> liberally </w:t>
      </w:r>
      <w:r w:rsidRPr="00A76C8F">
        <w:rPr>
          <w:lang w:val="en-US"/>
        </w:rPr>
        <w:t>was 1000ml</w:t>
      </w:r>
      <w:r w:rsidR="005A6C9F">
        <w:rPr>
          <w:lang w:val="en-US"/>
        </w:rPr>
        <w:t xml:space="preserve">, and only 33% of patients had major bleeding. </w:t>
      </w:r>
      <w:r w:rsidR="007F71C9">
        <w:rPr>
          <w:lang w:val="en-US"/>
        </w:rPr>
        <w:t xml:space="preserve">Therefore, it is likely </w:t>
      </w:r>
      <w:r w:rsidR="005A6C9F">
        <w:rPr>
          <w:lang w:val="en-US"/>
        </w:rPr>
        <w:t xml:space="preserve">that </w:t>
      </w:r>
      <w:r w:rsidR="007F71C9">
        <w:rPr>
          <w:lang w:val="en-US"/>
        </w:rPr>
        <w:t xml:space="preserve">the </w:t>
      </w:r>
      <w:r w:rsidR="005A6C9F">
        <w:rPr>
          <w:lang w:val="en-US"/>
        </w:rPr>
        <w:t>reason</w:t>
      </w:r>
      <w:r w:rsidR="00612B60" w:rsidRPr="00726FC8">
        <w:rPr>
          <w:lang w:val="en-US"/>
        </w:rPr>
        <w:t xml:space="preserve"> </w:t>
      </w:r>
      <w:r w:rsidR="005A6C9F">
        <w:rPr>
          <w:lang w:val="en-US"/>
        </w:rPr>
        <w:t xml:space="preserve">for liberal fluid therapy was </w:t>
      </w:r>
      <w:r w:rsidR="00055B1C" w:rsidRPr="005A6C9F">
        <w:rPr>
          <w:lang w:val="en-US"/>
        </w:rPr>
        <w:t>inadequate perfusion pressure</w:t>
      </w:r>
      <w:r w:rsidR="005A6C9F">
        <w:rPr>
          <w:lang w:val="en-US"/>
        </w:rPr>
        <w:t>, reduced</w:t>
      </w:r>
      <w:r w:rsidR="00055B1C" w:rsidRPr="005A6C9F">
        <w:rPr>
          <w:lang w:val="en-US"/>
        </w:rPr>
        <w:t xml:space="preserve"> diuresis</w:t>
      </w:r>
      <w:r w:rsidR="007F71C9">
        <w:rPr>
          <w:lang w:val="en-US"/>
        </w:rPr>
        <w:t>,</w:t>
      </w:r>
      <w:r w:rsidR="005A6C9F">
        <w:rPr>
          <w:lang w:val="en-US"/>
        </w:rPr>
        <w:t xml:space="preserve"> </w:t>
      </w:r>
      <w:r w:rsidR="00D542E7">
        <w:rPr>
          <w:lang w:val="en-US"/>
        </w:rPr>
        <w:t>or</w:t>
      </w:r>
      <w:r w:rsidR="005A6C9F">
        <w:rPr>
          <w:lang w:val="en-US"/>
        </w:rPr>
        <w:t xml:space="preserve"> tissue evaporation. </w:t>
      </w:r>
      <w:r w:rsidR="007F71C9">
        <w:rPr>
          <w:lang w:val="en-US"/>
        </w:rPr>
        <w:t>Our findings are in line with a r</w:t>
      </w:r>
      <w:r w:rsidR="005A6C9F">
        <w:rPr>
          <w:lang w:val="en-US"/>
        </w:rPr>
        <w:t>ecent review by Della Rocca et al.</w:t>
      </w:r>
      <w:r w:rsidR="007F71C9">
        <w:rPr>
          <w:lang w:val="en-US"/>
        </w:rPr>
        <w:t>, which</w:t>
      </w:r>
      <w:r w:rsidR="005A6C9F">
        <w:rPr>
          <w:lang w:val="en-US"/>
        </w:rPr>
        <w:t xml:space="preserve"> </w:t>
      </w:r>
      <w:r w:rsidR="007F71C9">
        <w:rPr>
          <w:lang w:val="en-US"/>
        </w:rPr>
        <w:t>summarized</w:t>
      </w:r>
      <w:r w:rsidR="005A6C9F">
        <w:rPr>
          <w:lang w:val="en-US"/>
        </w:rPr>
        <w:t xml:space="preserve"> that only low risk patients undergoing minor surgery should have fluids liberally. All other patient groups should have either restrictive or goal-directed fluid therapy.</w:t>
      </w:r>
      <w:r w:rsidR="005A6C9F">
        <w:rPr>
          <w:lang w:val="en-US"/>
        </w:rPr>
        <w:fldChar w:fldCharType="begin"/>
      </w:r>
      <w:r w:rsidR="005A6C9F">
        <w:rPr>
          <w:lang w:val="en-US"/>
        </w:rPr>
        <w:instrText>ADDIN RW.CITE{{77 Della Rocca, G. 2014}}</w:instrText>
      </w:r>
      <w:r w:rsidR="005A6C9F">
        <w:rPr>
          <w:lang w:val="en-US"/>
        </w:rPr>
        <w:fldChar w:fldCharType="separate"/>
      </w:r>
      <w:r w:rsidR="00540E7F" w:rsidRPr="00540E7F">
        <w:rPr>
          <w:rFonts w:eastAsia="Times New Roman"/>
          <w:vertAlign w:val="superscript"/>
          <w:lang w:val="en-US"/>
        </w:rPr>
        <w:t>9</w:t>
      </w:r>
      <w:r w:rsidR="005A6C9F">
        <w:rPr>
          <w:lang w:val="en-US"/>
        </w:rPr>
        <w:fldChar w:fldCharType="end"/>
      </w:r>
      <w:r w:rsidR="005A6C9F">
        <w:rPr>
          <w:lang w:val="en-US"/>
        </w:rPr>
        <w:t xml:space="preserve"> </w:t>
      </w:r>
      <w:r w:rsidR="00D542E7">
        <w:rPr>
          <w:lang w:val="en-US"/>
        </w:rPr>
        <w:tab/>
      </w:r>
      <w:r w:rsidR="00055B1C" w:rsidRPr="005A6C9F">
        <w:rPr>
          <w:lang w:val="en-US"/>
        </w:rPr>
        <w:t xml:space="preserve"> </w:t>
      </w:r>
    </w:p>
    <w:p w:rsidR="00B45BF3" w:rsidRDefault="005618A9" w:rsidP="00540E7F">
      <w:pPr>
        <w:spacing w:line="480" w:lineRule="auto"/>
        <w:ind w:firstLine="1304"/>
        <w:divId w:val="1517617938"/>
        <w:rPr>
          <w:lang w:val="en-US"/>
        </w:rPr>
      </w:pPr>
      <w:r w:rsidRPr="000F5AEC">
        <w:rPr>
          <w:lang w:val="en-US"/>
        </w:rPr>
        <w:t>Earlier it has been shown that protocol-based fluid restriction reduced the incidence of perioperative complications such as cardiopulmonary events in ma</w:t>
      </w:r>
      <w:r>
        <w:rPr>
          <w:lang w:val="en-US"/>
        </w:rPr>
        <w:t>jor non-cardiac surgery</w:t>
      </w:r>
      <w:r w:rsidRPr="000F5AEC">
        <w:rPr>
          <w:lang w:val="en-US"/>
        </w:rPr>
        <w:t xml:space="preserve"> </w:t>
      </w:r>
      <w:r>
        <w:rPr>
          <w:lang w:val="en-US"/>
        </w:rPr>
        <w:fldChar w:fldCharType="begin"/>
      </w:r>
      <w:r>
        <w:rPr>
          <w:lang w:val="en-US"/>
        </w:rPr>
        <w:instrText>ADDIN RW.CITE{{59 Ripollés-Melchor,Javier; 56 Brandstrup, B. 2003}}</w:instrText>
      </w:r>
      <w:r>
        <w:rPr>
          <w:lang w:val="en-US"/>
        </w:rPr>
        <w:fldChar w:fldCharType="separate"/>
      </w:r>
      <w:r w:rsidR="00540E7F" w:rsidRPr="00540E7F">
        <w:rPr>
          <w:rFonts w:eastAsia="Times New Roman"/>
          <w:vertAlign w:val="superscript"/>
          <w:lang w:val="en-US"/>
        </w:rPr>
        <w:t>6, 10</w:t>
      </w:r>
      <w:r>
        <w:rPr>
          <w:lang w:val="en-US"/>
        </w:rPr>
        <w:fldChar w:fldCharType="end"/>
      </w:r>
      <w:r w:rsidRPr="000F5AEC">
        <w:rPr>
          <w:lang w:val="en-US"/>
        </w:rPr>
        <w:t xml:space="preserve">. </w:t>
      </w:r>
      <w:r w:rsidR="00B96785">
        <w:rPr>
          <w:lang w:val="en-US"/>
        </w:rPr>
        <w:t>Moreover,</w:t>
      </w:r>
      <w:r w:rsidR="00B96785" w:rsidRPr="000F5AEC">
        <w:rPr>
          <w:lang w:val="en-US"/>
        </w:rPr>
        <w:t xml:space="preserve"> goal-directed fluid therapy reduce</w:t>
      </w:r>
      <w:r w:rsidR="00B96785">
        <w:rPr>
          <w:lang w:val="en-US"/>
        </w:rPr>
        <w:t>d</w:t>
      </w:r>
      <w:r w:rsidR="00B96785" w:rsidRPr="000F5AEC">
        <w:rPr>
          <w:lang w:val="en-US"/>
        </w:rPr>
        <w:t xml:space="preserve"> hospital stay in high-risk surgical patient </w:t>
      </w:r>
      <w:r w:rsidR="00B96785">
        <w:rPr>
          <w:lang w:val="en-US"/>
        </w:rPr>
        <w:fldChar w:fldCharType="begin"/>
      </w:r>
      <w:r w:rsidR="00B96785">
        <w:rPr>
          <w:lang w:val="en-US"/>
        </w:rPr>
        <w:instrText>ADDIN RW.CITE{{67 Mayer, J. 2010}}</w:instrText>
      </w:r>
      <w:r w:rsidR="00B96785">
        <w:rPr>
          <w:lang w:val="en-US"/>
        </w:rPr>
        <w:fldChar w:fldCharType="separate"/>
      </w:r>
      <w:r w:rsidR="00540E7F" w:rsidRPr="00540E7F">
        <w:rPr>
          <w:rFonts w:eastAsia="Times New Roman"/>
          <w:vertAlign w:val="superscript"/>
          <w:lang w:val="en-US"/>
        </w:rPr>
        <w:t>11</w:t>
      </w:r>
      <w:r w:rsidR="00B96785">
        <w:rPr>
          <w:lang w:val="en-US"/>
        </w:rPr>
        <w:fldChar w:fldCharType="end"/>
      </w:r>
      <w:r w:rsidR="00A76C8F">
        <w:rPr>
          <w:lang w:val="en-US"/>
        </w:rPr>
        <w:t xml:space="preserve"> </w:t>
      </w:r>
      <w:r w:rsidR="00B96785" w:rsidRPr="000F5AEC">
        <w:rPr>
          <w:lang w:val="en-US"/>
        </w:rPr>
        <w:t>and shorten</w:t>
      </w:r>
      <w:r w:rsidR="00B96785">
        <w:rPr>
          <w:lang w:val="en-US"/>
        </w:rPr>
        <w:t>ed</w:t>
      </w:r>
      <w:r w:rsidR="00B96785" w:rsidRPr="000F5AEC">
        <w:rPr>
          <w:lang w:val="en-US"/>
        </w:rPr>
        <w:t xml:space="preserve"> ICU and hospital stay in older coronary artery disease patient undergoing gastrointestinal surgery </w:t>
      </w:r>
      <w:r w:rsidR="00B96785">
        <w:rPr>
          <w:lang w:val="en-US"/>
        </w:rPr>
        <w:fldChar w:fldCharType="begin"/>
      </w:r>
      <w:r w:rsidR="00B96785">
        <w:rPr>
          <w:lang w:val="en-US"/>
        </w:rPr>
        <w:instrText>ADDIN RW.CITE{{68 Zheng, H. 2013}}</w:instrText>
      </w:r>
      <w:r w:rsidR="00B96785">
        <w:rPr>
          <w:lang w:val="en-US"/>
        </w:rPr>
        <w:fldChar w:fldCharType="separate"/>
      </w:r>
      <w:r w:rsidR="00540E7F" w:rsidRPr="00540E7F">
        <w:rPr>
          <w:rFonts w:eastAsia="Times New Roman"/>
          <w:vertAlign w:val="superscript"/>
          <w:lang w:val="en-US"/>
        </w:rPr>
        <w:t>12</w:t>
      </w:r>
      <w:r w:rsidR="00B96785">
        <w:rPr>
          <w:lang w:val="en-US"/>
        </w:rPr>
        <w:fldChar w:fldCharType="end"/>
      </w:r>
      <w:r w:rsidR="00B96785" w:rsidRPr="000F5AEC">
        <w:rPr>
          <w:lang w:val="en-US"/>
        </w:rPr>
        <w:t xml:space="preserve">. An adequate replacement of fluids seems to have a power to improve patient outcome </w:t>
      </w:r>
      <w:r w:rsidR="00B96785">
        <w:rPr>
          <w:lang w:val="en-US"/>
        </w:rPr>
        <w:fldChar w:fldCharType="begin"/>
      </w:r>
      <w:r w:rsidR="00B96785">
        <w:rPr>
          <w:lang w:val="en-US"/>
        </w:rPr>
        <w:instrText>ADDIN RW.CITE{{57 Chappell, D. 2008}}</w:instrText>
      </w:r>
      <w:r w:rsidR="00B96785">
        <w:rPr>
          <w:lang w:val="en-US"/>
        </w:rPr>
        <w:fldChar w:fldCharType="separate"/>
      </w:r>
      <w:r w:rsidR="00540E7F" w:rsidRPr="00540E7F">
        <w:rPr>
          <w:rFonts w:eastAsia="Times New Roman"/>
          <w:vertAlign w:val="superscript"/>
          <w:lang w:val="en-US"/>
        </w:rPr>
        <w:t>5</w:t>
      </w:r>
      <w:r w:rsidR="00B96785">
        <w:rPr>
          <w:lang w:val="en-US"/>
        </w:rPr>
        <w:fldChar w:fldCharType="end"/>
      </w:r>
      <w:r w:rsidR="00B96785" w:rsidRPr="000F5AEC">
        <w:rPr>
          <w:lang w:val="en-US"/>
        </w:rPr>
        <w:t xml:space="preserve">. </w:t>
      </w:r>
      <w:r w:rsidRPr="000F5AEC">
        <w:rPr>
          <w:lang w:val="en-US"/>
        </w:rPr>
        <w:t xml:space="preserve">In patients </w:t>
      </w:r>
      <w:r w:rsidRPr="000F5AEC">
        <w:rPr>
          <w:lang w:val="en-US"/>
        </w:rPr>
        <w:lastRenderedPageBreak/>
        <w:t>undergoi</w:t>
      </w:r>
      <w:r>
        <w:rPr>
          <w:lang w:val="en-US"/>
        </w:rPr>
        <w:t>ng head and neck surgery the</w:t>
      </w:r>
      <w:r w:rsidRPr="000F5AEC">
        <w:rPr>
          <w:lang w:val="en-US"/>
        </w:rPr>
        <w:t xml:space="preserve"> incidence of cardiovascular complications is</w:t>
      </w:r>
      <w:r>
        <w:rPr>
          <w:lang w:val="en-US"/>
        </w:rPr>
        <w:t xml:space="preserve"> highest</w:t>
      </w:r>
      <w:r w:rsidRPr="000F5AEC">
        <w:rPr>
          <w:lang w:val="en-US"/>
        </w:rPr>
        <w:t xml:space="preserve"> </w:t>
      </w:r>
      <w:r w:rsidR="000A383B">
        <w:rPr>
          <w:lang w:val="en-US"/>
        </w:rPr>
        <w:t>within the</w:t>
      </w:r>
      <w:r w:rsidR="000A383B" w:rsidRPr="000F5AEC">
        <w:rPr>
          <w:lang w:val="en-US"/>
        </w:rPr>
        <w:t xml:space="preserve"> </w:t>
      </w:r>
      <w:r w:rsidRPr="000F5AEC">
        <w:rPr>
          <w:lang w:val="en-US"/>
        </w:rPr>
        <w:t>first day after operati</w:t>
      </w:r>
      <w:r>
        <w:rPr>
          <w:lang w:val="en-US"/>
        </w:rPr>
        <w:t xml:space="preserve">on </w:t>
      </w:r>
      <w:r>
        <w:rPr>
          <w:lang w:val="en-US"/>
        </w:rPr>
        <w:fldChar w:fldCharType="begin"/>
      </w:r>
      <w:r>
        <w:rPr>
          <w:lang w:val="en-US"/>
        </w:rPr>
        <w:instrText>ADDIN RW.CITE{{14 Buitelaar,Dirk R. 2006}}</w:instrText>
      </w:r>
      <w:r>
        <w:rPr>
          <w:lang w:val="en-US"/>
        </w:rPr>
        <w:fldChar w:fldCharType="separate"/>
      </w:r>
      <w:r w:rsidR="00540E7F" w:rsidRPr="00540E7F">
        <w:rPr>
          <w:rFonts w:eastAsia="Times New Roman"/>
          <w:vertAlign w:val="superscript"/>
          <w:lang w:val="en-US"/>
        </w:rPr>
        <w:t>13</w:t>
      </w:r>
      <w:r>
        <w:rPr>
          <w:lang w:val="en-US"/>
        </w:rPr>
        <w:fldChar w:fldCharType="end"/>
      </w:r>
      <w:r>
        <w:rPr>
          <w:lang w:val="en-US"/>
        </w:rPr>
        <w:t>, and therefore it is plausible that the</w:t>
      </w:r>
      <w:r w:rsidRPr="000F5AEC">
        <w:rPr>
          <w:lang w:val="en-US"/>
        </w:rPr>
        <w:t xml:space="preserve"> amount </w:t>
      </w:r>
      <w:r>
        <w:rPr>
          <w:lang w:val="en-US"/>
        </w:rPr>
        <w:t>of fluids given to patient peri</w:t>
      </w:r>
      <w:r w:rsidR="000A383B">
        <w:rPr>
          <w:lang w:val="en-US"/>
        </w:rPr>
        <w:t>-</w:t>
      </w:r>
      <w:r>
        <w:rPr>
          <w:lang w:val="en-US"/>
        </w:rPr>
        <w:t xml:space="preserve"> and post</w:t>
      </w:r>
      <w:r w:rsidRPr="000F5AEC">
        <w:rPr>
          <w:lang w:val="en-US"/>
        </w:rPr>
        <w:t>operatively</w:t>
      </w:r>
      <w:r>
        <w:rPr>
          <w:lang w:val="en-US"/>
        </w:rPr>
        <w:t xml:space="preserve"> is likely to be one of the important contributors of this finding</w:t>
      </w:r>
      <w:r w:rsidRPr="000F5AEC">
        <w:rPr>
          <w:lang w:val="en-US"/>
        </w:rPr>
        <w:t>.</w:t>
      </w:r>
      <w:r w:rsidR="005A6C9F" w:rsidRPr="005A6C9F">
        <w:rPr>
          <w:lang w:val="en-US"/>
        </w:rPr>
        <w:t xml:space="preserve"> </w:t>
      </w:r>
      <w:r w:rsidR="005A6C9F">
        <w:rPr>
          <w:lang w:val="en-US"/>
        </w:rPr>
        <w:t>E</w:t>
      </w:r>
      <w:r w:rsidR="005A6C9F" w:rsidRPr="000F5AEC">
        <w:rPr>
          <w:lang w:val="en-US"/>
        </w:rPr>
        <w:t xml:space="preserve">xcessive intraoperative fluid administration was associated with higher complication rates in head and neck patients undergoing operation with free tissue transfer </w:t>
      </w:r>
      <w:r w:rsidR="005A6C9F">
        <w:rPr>
          <w:lang w:val="en-US"/>
        </w:rPr>
        <w:fldChar w:fldCharType="begin"/>
      </w:r>
      <w:r w:rsidR="005A6C9F">
        <w:rPr>
          <w:lang w:val="en-US"/>
        </w:rPr>
        <w:instrText>ADDIN RW.CITE{{52 Hand,William R. 2015}}</w:instrText>
      </w:r>
      <w:r w:rsidR="005A6C9F">
        <w:rPr>
          <w:lang w:val="en-US"/>
        </w:rPr>
        <w:fldChar w:fldCharType="separate"/>
      </w:r>
      <w:r w:rsidR="00540E7F" w:rsidRPr="00540E7F">
        <w:rPr>
          <w:rFonts w:eastAsia="Times New Roman"/>
          <w:vertAlign w:val="superscript"/>
          <w:lang w:val="en-US"/>
        </w:rPr>
        <w:t>14</w:t>
      </w:r>
      <w:r w:rsidR="005A6C9F">
        <w:rPr>
          <w:lang w:val="en-US"/>
        </w:rPr>
        <w:fldChar w:fldCharType="end"/>
      </w:r>
      <w:r w:rsidR="005A6C9F" w:rsidRPr="000F5AEC">
        <w:rPr>
          <w:lang w:val="en-US"/>
        </w:rPr>
        <w:t xml:space="preserve"> and it was found to be </w:t>
      </w:r>
      <w:r w:rsidR="00EB1671">
        <w:rPr>
          <w:lang w:val="en-US"/>
        </w:rPr>
        <w:t xml:space="preserve">an </w:t>
      </w:r>
      <w:r w:rsidR="005A6C9F" w:rsidRPr="000F5AEC">
        <w:rPr>
          <w:lang w:val="en-US"/>
        </w:rPr>
        <w:t xml:space="preserve">independent predictor of surgical complications for patients undergoing major head and neck surgery </w:t>
      </w:r>
      <w:r w:rsidR="005A6C9F">
        <w:rPr>
          <w:lang w:val="en-US"/>
        </w:rPr>
        <w:fldChar w:fldCharType="begin"/>
      </w:r>
      <w:r w:rsidR="005A6C9F">
        <w:rPr>
          <w:lang w:val="en-US"/>
        </w:rPr>
        <w:instrText>ADDIN RW.CITE{{66 Farwell, D.G. 2002}}</w:instrText>
      </w:r>
      <w:r w:rsidR="005A6C9F">
        <w:rPr>
          <w:lang w:val="en-US"/>
        </w:rPr>
        <w:fldChar w:fldCharType="separate"/>
      </w:r>
      <w:r w:rsidR="00540E7F" w:rsidRPr="00540E7F">
        <w:rPr>
          <w:rFonts w:eastAsia="Times New Roman"/>
          <w:vertAlign w:val="superscript"/>
          <w:lang w:val="en-US"/>
        </w:rPr>
        <w:t>15</w:t>
      </w:r>
      <w:r w:rsidR="005A6C9F">
        <w:rPr>
          <w:lang w:val="en-US"/>
        </w:rPr>
        <w:fldChar w:fldCharType="end"/>
      </w:r>
      <w:r w:rsidR="005A6C9F">
        <w:rPr>
          <w:lang w:val="en-US"/>
        </w:rPr>
        <w:t>.</w:t>
      </w:r>
      <w:r>
        <w:rPr>
          <w:lang w:val="en-US"/>
        </w:rPr>
        <w:t xml:space="preserve"> </w:t>
      </w:r>
      <w:r w:rsidR="005A6C9F">
        <w:rPr>
          <w:lang w:val="en-US"/>
        </w:rPr>
        <w:t xml:space="preserve">Previous studies have failed to set the limit for liberal fluid administration. </w:t>
      </w:r>
      <w:r w:rsidR="00D22E98">
        <w:rPr>
          <w:lang w:val="en-US"/>
        </w:rPr>
        <w:t>We set</w:t>
      </w:r>
      <w:r w:rsidR="00311727" w:rsidRPr="00311727">
        <w:rPr>
          <w:lang w:val="en-US"/>
        </w:rPr>
        <w:t xml:space="preserve"> </w:t>
      </w:r>
      <w:r w:rsidR="00D22E98">
        <w:rPr>
          <w:lang w:val="en-US"/>
        </w:rPr>
        <w:t>the l</w:t>
      </w:r>
      <w:r w:rsidR="00311727" w:rsidRPr="00311727">
        <w:rPr>
          <w:lang w:val="en-US"/>
        </w:rPr>
        <w:t xml:space="preserve">imit of 4000ml </w:t>
      </w:r>
      <w:r w:rsidR="00D22E98">
        <w:rPr>
          <w:lang w:val="en-US"/>
        </w:rPr>
        <w:t xml:space="preserve">which </w:t>
      </w:r>
      <w:r w:rsidR="00311727" w:rsidRPr="00311727">
        <w:rPr>
          <w:lang w:val="en-US"/>
        </w:rPr>
        <w:t xml:space="preserve">takes </w:t>
      </w:r>
      <w:r w:rsidR="00D22E98" w:rsidRPr="00311727">
        <w:rPr>
          <w:lang w:val="en-US"/>
        </w:rPr>
        <w:t xml:space="preserve">the possible tissue vaporization and normal bleeding during operation </w:t>
      </w:r>
      <w:r w:rsidR="00311727" w:rsidRPr="00311727">
        <w:rPr>
          <w:lang w:val="en-US"/>
        </w:rPr>
        <w:t xml:space="preserve">into </w:t>
      </w:r>
      <w:r w:rsidR="00D22E98">
        <w:rPr>
          <w:lang w:val="en-US"/>
        </w:rPr>
        <w:t>account</w:t>
      </w:r>
      <w:r w:rsidR="00311727" w:rsidRPr="00311727">
        <w:rPr>
          <w:lang w:val="en-US"/>
        </w:rPr>
        <w:t>.</w:t>
      </w:r>
      <w:r w:rsidR="00311727">
        <w:rPr>
          <w:lang w:val="en-US"/>
        </w:rPr>
        <w:t xml:space="preserve"> </w:t>
      </w:r>
      <w:r w:rsidR="005A6C9F">
        <w:rPr>
          <w:lang w:val="en-US"/>
        </w:rPr>
        <w:t xml:space="preserve">In this study we could verify that administration of </w:t>
      </w:r>
      <w:r w:rsidR="00D542E7">
        <w:rPr>
          <w:lang w:val="en-US"/>
        </w:rPr>
        <w:t xml:space="preserve">over </w:t>
      </w:r>
      <w:r w:rsidR="005A6C9F">
        <w:rPr>
          <w:lang w:val="en-US"/>
        </w:rPr>
        <w:t>4000ml intravenous fluids will lead to increased risk for MACCE.</w:t>
      </w:r>
      <w:r w:rsidR="000A383B">
        <w:rPr>
          <w:lang w:val="en-US"/>
        </w:rPr>
        <w:t xml:space="preserve"> </w:t>
      </w:r>
    </w:p>
    <w:p w:rsidR="00A76C8F" w:rsidRDefault="005618A9" w:rsidP="00540E7F">
      <w:pPr>
        <w:spacing w:line="480" w:lineRule="auto"/>
        <w:divId w:val="1517617938"/>
        <w:rPr>
          <w:lang w:val="en-US"/>
        </w:rPr>
      </w:pPr>
      <w:r w:rsidRPr="000F5AEC">
        <w:rPr>
          <w:lang w:val="en-US"/>
        </w:rPr>
        <w:tab/>
        <w:t xml:space="preserve">Other notable </w:t>
      </w:r>
      <w:r>
        <w:rPr>
          <w:lang w:val="en-US"/>
        </w:rPr>
        <w:t xml:space="preserve">perioperative </w:t>
      </w:r>
      <w:r w:rsidRPr="000F5AEC">
        <w:rPr>
          <w:lang w:val="en-US"/>
        </w:rPr>
        <w:t>risk factor for adverse cardiovascular events in this study was red blood cell transfusion. Patient</w:t>
      </w:r>
      <w:r w:rsidR="00B96785">
        <w:rPr>
          <w:lang w:val="en-US"/>
        </w:rPr>
        <w:t>s</w:t>
      </w:r>
      <w:r w:rsidRPr="000F5AEC">
        <w:rPr>
          <w:lang w:val="en-US"/>
        </w:rPr>
        <w:t xml:space="preserve"> </w:t>
      </w:r>
      <w:r w:rsidR="00B96785">
        <w:rPr>
          <w:lang w:val="en-US"/>
        </w:rPr>
        <w:t>receiving</w:t>
      </w:r>
      <w:r w:rsidRPr="000F5AEC">
        <w:rPr>
          <w:lang w:val="en-US"/>
        </w:rPr>
        <w:t xml:space="preserve"> </w:t>
      </w:r>
      <w:r w:rsidR="00540E7F">
        <w:rPr>
          <w:lang w:val="en-US"/>
        </w:rPr>
        <w:t>RBC</w:t>
      </w:r>
      <w:r w:rsidRPr="000F5AEC">
        <w:rPr>
          <w:lang w:val="en-US"/>
        </w:rPr>
        <w:t xml:space="preserve"> peri</w:t>
      </w:r>
      <w:r w:rsidR="00D542E7">
        <w:rPr>
          <w:lang w:val="en-US"/>
        </w:rPr>
        <w:t>-</w:t>
      </w:r>
      <w:r>
        <w:rPr>
          <w:lang w:val="en-US"/>
        </w:rPr>
        <w:t xml:space="preserve"> or postoperatively had 4.9</w:t>
      </w:r>
      <w:r w:rsidR="00B96785">
        <w:rPr>
          <w:lang w:val="en-US"/>
        </w:rPr>
        <w:t>-</w:t>
      </w:r>
      <w:r w:rsidRPr="000F5AEC">
        <w:rPr>
          <w:lang w:val="en-US"/>
        </w:rPr>
        <w:t>fold risk for 30-</w:t>
      </w:r>
      <w:r>
        <w:rPr>
          <w:lang w:val="en-US"/>
        </w:rPr>
        <w:t>day MACCE</w:t>
      </w:r>
      <w:r w:rsidRPr="000F5AEC">
        <w:rPr>
          <w:lang w:val="en-US"/>
        </w:rPr>
        <w:t xml:space="preserve">. </w:t>
      </w:r>
      <w:r>
        <w:rPr>
          <w:lang w:val="en-US"/>
        </w:rPr>
        <w:t xml:space="preserve">It is evident that the need to RBC is based on either major operative bleed or anemia. Notably, patients receiving excessively intravenous fluid may also encounter dilution anemia. </w:t>
      </w:r>
      <w:r w:rsidRPr="000F5AEC">
        <w:rPr>
          <w:lang w:val="en-US"/>
        </w:rPr>
        <w:t xml:space="preserve">In patients undergoing vascular surgery it has been shown that perioperative red blood cell transfusion was associated with independently increased risk of 30-day cardiovascular events </w:t>
      </w:r>
      <w:r>
        <w:rPr>
          <w:lang w:val="en-US"/>
        </w:rPr>
        <w:fldChar w:fldCharType="begin"/>
      </w:r>
      <w:r>
        <w:rPr>
          <w:lang w:val="en-US"/>
        </w:rPr>
        <w:instrText>ADDIN RW.CITE{{69 Valentijn,Tabita M. 2015; 72 Bursi,F. 2009}}</w:instrText>
      </w:r>
      <w:r>
        <w:rPr>
          <w:lang w:val="en-US"/>
        </w:rPr>
        <w:fldChar w:fldCharType="separate"/>
      </w:r>
      <w:r w:rsidR="00540E7F" w:rsidRPr="00540E7F">
        <w:rPr>
          <w:rFonts w:eastAsia="Times New Roman"/>
          <w:vertAlign w:val="superscript"/>
          <w:lang w:val="en-US"/>
        </w:rPr>
        <w:t>16, 17</w:t>
      </w:r>
      <w:r>
        <w:rPr>
          <w:lang w:val="en-US"/>
        </w:rPr>
        <w:fldChar w:fldCharType="end"/>
      </w:r>
      <w:r>
        <w:rPr>
          <w:lang w:val="en-US"/>
        </w:rPr>
        <w:t>.</w:t>
      </w:r>
      <w:r w:rsidR="00A76C8F">
        <w:rPr>
          <w:lang w:val="en-US"/>
        </w:rPr>
        <w:t xml:space="preserve"> </w:t>
      </w:r>
      <w:r w:rsidRPr="000F5AEC">
        <w:rPr>
          <w:lang w:val="en-US"/>
        </w:rPr>
        <w:t xml:space="preserve">The number of red blood cell units given to patient in CRIT-study was an independent predictor of worse clinical outcome </w:t>
      </w:r>
      <w:r>
        <w:rPr>
          <w:lang w:val="en-US"/>
        </w:rPr>
        <w:fldChar w:fldCharType="begin"/>
      </w:r>
      <w:r>
        <w:rPr>
          <w:lang w:val="en-US"/>
        </w:rPr>
        <w:instrText>ADDIN RW.CITE{{73 Corwin, H.L. 2004}}</w:instrText>
      </w:r>
      <w:r>
        <w:rPr>
          <w:lang w:val="en-US"/>
        </w:rPr>
        <w:fldChar w:fldCharType="separate"/>
      </w:r>
      <w:r w:rsidR="00540E7F" w:rsidRPr="00540E7F">
        <w:rPr>
          <w:rFonts w:eastAsia="Times New Roman"/>
          <w:vertAlign w:val="superscript"/>
          <w:lang w:val="en-US"/>
        </w:rPr>
        <w:t>18</w:t>
      </w:r>
      <w:r>
        <w:rPr>
          <w:lang w:val="en-US"/>
        </w:rPr>
        <w:fldChar w:fldCharType="end"/>
      </w:r>
      <w:r>
        <w:rPr>
          <w:lang w:val="en-US"/>
        </w:rPr>
        <w:t>. In this study every unit of RBC given to patient increased the risk for MACCE by 18%.</w:t>
      </w:r>
      <w:r w:rsidRPr="000F5AEC">
        <w:rPr>
          <w:lang w:val="en-US"/>
        </w:rPr>
        <w:t xml:space="preserve"> </w:t>
      </w:r>
      <w:r>
        <w:rPr>
          <w:lang w:val="en-US"/>
        </w:rPr>
        <w:t xml:space="preserve">Hebert et al. 1999 studied critical ill patients and found that liberal red-blood cell transfusion strategy was </w:t>
      </w:r>
      <w:r>
        <w:rPr>
          <w:lang w:val="en-US"/>
        </w:rPr>
        <w:lastRenderedPageBreak/>
        <w:t xml:space="preserve">not more effective and could even be harmful when compared to restrictive transfusion strategy -, and restrictive strategy seemed to be superior with patients who were less ill and had no significant cardiac disease </w:t>
      </w:r>
      <w:r>
        <w:rPr>
          <w:lang w:val="en-US"/>
        </w:rPr>
        <w:fldChar w:fldCharType="begin"/>
      </w:r>
      <w:r>
        <w:rPr>
          <w:lang w:val="en-US"/>
        </w:rPr>
        <w:instrText>ADDIN RW.CITE{{41 Hébert, Paul C. 1999}}</w:instrText>
      </w:r>
      <w:r>
        <w:rPr>
          <w:lang w:val="en-US"/>
        </w:rPr>
        <w:fldChar w:fldCharType="separate"/>
      </w:r>
      <w:r w:rsidR="00540E7F" w:rsidRPr="00540E7F">
        <w:rPr>
          <w:rFonts w:eastAsia="Times New Roman"/>
          <w:vertAlign w:val="superscript"/>
          <w:lang w:val="en-US"/>
        </w:rPr>
        <w:t>19</w:t>
      </w:r>
      <w:r>
        <w:rPr>
          <w:lang w:val="en-US"/>
        </w:rPr>
        <w:fldChar w:fldCharType="end"/>
      </w:r>
      <w:r>
        <w:rPr>
          <w:lang w:val="en-US"/>
        </w:rPr>
        <w:t>.</w:t>
      </w:r>
      <w:r w:rsidR="00B96785">
        <w:rPr>
          <w:lang w:val="en-US"/>
        </w:rPr>
        <w:t xml:space="preserve"> </w:t>
      </w:r>
      <w:r w:rsidR="00D542E7">
        <w:rPr>
          <w:lang w:val="en-US"/>
        </w:rPr>
        <w:t>In our study RBC infusion</w:t>
      </w:r>
      <w:r w:rsidR="00C51771">
        <w:rPr>
          <w:lang w:val="en-US"/>
        </w:rPr>
        <w:t xml:space="preserve"> was</w:t>
      </w:r>
      <w:r w:rsidR="00D542E7">
        <w:rPr>
          <w:lang w:val="en-US"/>
        </w:rPr>
        <w:t xml:space="preserve"> associated </w:t>
      </w:r>
      <w:r w:rsidR="00C51771">
        <w:rPr>
          <w:lang w:val="en-US"/>
        </w:rPr>
        <w:t>with</w:t>
      </w:r>
      <w:r w:rsidR="00D542E7">
        <w:rPr>
          <w:lang w:val="en-US"/>
        </w:rPr>
        <w:t xml:space="preserve"> 6.9-fold risk for peri-or postoperative </w:t>
      </w:r>
      <w:r w:rsidR="00540E7F">
        <w:rPr>
          <w:lang w:val="en-US"/>
        </w:rPr>
        <w:t>acute coronary syndrome</w:t>
      </w:r>
      <w:r w:rsidR="00D542E7">
        <w:rPr>
          <w:lang w:val="en-US"/>
        </w:rPr>
        <w:t>.</w:t>
      </w:r>
    </w:p>
    <w:p w:rsidR="005618A9" w:rsidRDefault="005618A9" w:rsidP="00540E7F">
      <w:pPr>
        <w:spacing w:line="480" w:lineRule="auto"/>
        <w:ind w:firstLine="1304"/>
        <w:divId w:val="1517617938"/>
        <w:rPr>
          <w:lang w:val="en-US"/>
        </w:rPr>
      </w:pPr>
      <w:r w:rsidRPr="000F5AEC">
        <w:rPr>
          <w:lang w:val="en-US"/>
        </w:rPr>
        <w:t xml:space="preserve">Blood transfusion to patients suffering acute coronary syndrome is associated with higher 30-day mortality </w:t>
      </w:r>
      <w:r>
        <w:rPr>
          <w:lang w:val="en-US"/>
        </w:rPr>
        <w:fldChar w:fldCharType="begin"/>
      </w:r>
      <w:r>
        <w:rPr>
          <w:lang w:val="en-US"/>
        </w:rPr>
        <w:instrText>ADDIN RW.CITE{{70 Rao, S.V. 2004}}</w:instrText>
      </w:r>
      <w:r>
        <w:rPr>
          <w:lang w:val="en-US"/>
        </w:rPr>
        <w:fldChar w:fldCharType="separate"/>
      </w:r>
      <w:r w:rsidR="00540E7F" w:rsidRPr="00540E7F">
        <w:rPr>
          <w:rFonts w:eastAsia="Times New Roman"/>
          <w:vertAlign w:val="superscript"/>
          <w:lang w:val="en-US"/>
        </w:rPr>
        <w:t>20</w:t>
      </w:r>
      <w:r>
        <w:rPr>
          <w:lang w:val="en-US"/>
        </w:rPr>
        <w:fldChar w:fldCharType="end"/>
      </w:r>
      <w:r w:rsidR="005A6C9F">
        <w:rPr>
          <w:lang w:val="en-US"/>
        </w:rPr>
        <w:t>.</w:t>
      </w:r>
      <w:r w:rsidRPr="000F5AEC">
        <w:rPr>
          <w:lang w:val="en-US"/>
        </w:rPr>
        <w:t xml:space="preserve"> On the other hand there is evidence that anemia in patients with coronary artery disease will lead to higher</w:t>
      </w:r>
      <w:r>
        <w:rPr>
          <w:lang w:val="en-US"/>
        </w:rPr>
        <w:t xml:space="preserve"> in-hospital and long-term</w:t>
      </w:r>
      <w:r w:rsidRPr="000F5AEC">
        <w:rPr>
          <w:lang w:val="en-US"/>
        </w:rPr>
        <w:t xml:space="preserve"> mortal</w:t>
      </w:r>
      <w:r>
        <w:rPr>
          <w:lang w:val="en-US"/>
        </w:rPr>
        <w:t xml:space="preserve">ity and morbidity </w:t>
      </w:r>
      <w:r>
        <w:rPr>
          <w:lang w:val="en-US"/>
        </w:rPr>
        <w:fldChar w:fldCharType="begin"/>
      </w:r>
      <w:r>
        <w:rPr>
          <w:lang w:val="en-US"/>
        </w:rPr>
        <w:instrText>ADDIN RW.CITE{{71 Carson,Jeffrey L. 1996; 47 Younge,John O. 2012}}</w:instrText>
      </w:r>
      <w:r>
        <w:rPr>
          <w:lang w:val="en-US"/>
        </w:rPr>
        <w:fldChar w:fldCharType="separate"/>
      </w:r>
      <w:r w:rsidR="00540E7F" w:rsidRPr="00540E7F">
        <w:rPr>
          <w:rFonts w:eastAsia="Times New Roman"/>
          <w:vertAlign w:val="superscript"/>
          <w:lang w:val="en-US"/>
        </w:rPr>
        <w:t>21, 22</w:t>
      </w:r>
      <w:r>
        <w:rPr>
          <w:lang w:val="en-US"/>
        </w:rPr>
        <w:fldChar w:fldCharType="end"/>
      </w:r>
      <w:r>
        <w:rPr>
          <w:lang w:val="en-US"/>
        </w:rPr>
        <w:t>.</w:t>
      </w:r>
      <w:r w:rsidRPr="000F5AEC">
        <w:rPr>
          <w:lang w:val="en-US"/>
        </w:rPr>
        <w:t xml:space="preserve"> </w:t>
      </w:r>
      <w:r>
        <w:rPr>
          <w:lang w:val="en-US"/>
        </w:rPr>
        <w:t>In a previous study patients after acute coronary syndrome benefited from RBC when hemoglobin was under 8.0g/d</w:t>
      </w:r>
      <w:r w:rsidR="00EB1671">
        <w:rPr>
          <w:lang w:val="en-US"/>
        </w:rPr>
        <w:t>L</w:t>
      </w:r>
      <w:r>
        <w:rPr>
          <w:lang w:val="en-US"/>
        </w:rPr>
        <w:t>, however RBC appeared harmful when given at hemoglobin levels &gt;1.10g/d</w:t>
      </w:r>
      <w:r w:rsidR="00EB1671">
        <w:rPr>
          <w:lang w:val="en-US"/>
        </w:rPr>
        <w:t>L</w:t>
      </w:r>
      <w:r>
        <w:rPr>
          <w:lang w:val="en-US"/>
        </w:rPr>
        <w:t xml:space="preserve"> </w:t>
      </w:r>
      <w:r>
        <w:rPr>
          <w:lang w:val="en-US"/>
        </w:rPr>
        <w:fldChar w:fldCharType="begin"/>
      </w:r>
      <w:r>
        <w:rPr>
          <w:lang w:val="en-US"/>
        </w:rPr>
        <w:instrText>ADDIN RW.CITE{{48 Garfinkle,Michael 2013}}</w:instrText>
      </w:r>
      <w:r>
        <w:rPr>
          <w:lang w:val="en-US"/>
        </w:rPr>
        <w:fldChar w:fldCharType="separate"/>
      </w:r>
      <w:r w:rsidR="00540E7F" w:rsidRPr="00540E7F">
        <w:rPr>
          <w:rFonts w:eastAsia="Times New Roman"/>
          <w:vertAlign w:val="superscript"/>
          <w:lang w:val="en-US"/>
        </w:rPr>
        <w:t>23</w:t>
      </w:r>
      <w:r>
        <w:rPr>
          <w:lang w:val="en-US"/>
        </w:rPr>
        <w:fldChar w:fldCharType="end"/>
      </w:r>
      <w:r>
        <w:rPr>
          <w:lang w:val="en-US"/>
        </w:rPr>
        <w:t xml:space="preserve">. Anemia in advanced heart failure patients has also increased mortality </w:t>
      </w:r>
      <w:r>
        <w:rPr>
          <w:lang w:val="en-US"/>
        </w:rPr>
        <w:fldChar w:fldCharType="begin"/>
      </w:r>
      <w:r>
        <w:rPr>
          <w:lang w:val="en-US"/>
        </w:rPr>
        <w:instrText>ADDIN RW.CITE{{45 Horwich,Tamara B. 2002}}</w:instrText>
      </w:r>
      <w:r>
        <w:rPr>
          <w:lang w:val="en-US"/>
        </w:rPr>
        <w:fldChar w:fldCharType="separate"/>
      </w:r>
      <w:r w:rsidR="00540E7F" w:rsidRPr="00540E7F">
        <w:rPr>
          <w:rFonts w:eastAsia="Times New Roman"/>
          <w:vertAlign w:val="superscript"/>
          <w:lang w:val="en-US"/>
        </w:rPr>
        <w:t>24</w:t>
      </w:r>
      <w:r>
        <w:rPr>
          <w:lang w:val="en-US"/>
        </w:rPr>
        <w:fldChar w:fldCharType="end"/>
      </w:r>
      <w:r>
        <w:rPr>
          <w:lang w:val="en-US"/>
        </w:rPr>
        <w:t xml:space="preserve">. </w:t>
      </w:r>
      <w:r w:rsidRPr="000F5AEC">
        <w:rPr>
          <w:lang w:val="en-US"/>
        </w:rPr>
        <w:t xml:space="preserve">This finding underscores the value of individual assessment of red blood cell transfusion according to patient status, comorbidities, amount of bleeding and the level of hemoglobin. </w:t>
      </w:r>
    </w:p>
    <w:p w:rsidR="00540E7F" w:rsidRDefault="005618A9" w:rsidP="00540E7F">
      <w:pPr>
        <w:spacing w:line="480" w:lineRule="auto"/>
        <w:ind w:firstLine="1304"/>
        <w:rPr>
          <w:lang w:val="en-US"/>
        </w:rPr>
      </w:pPr>
      <w:r>
        <w:rPr>
          <w:lang w:val="en-US"/>
        </w:rPr>
        <w:t>P</w:t>
      </w:r>
      <w:r w:rsidRPr="00155EC1">
        <w:rPr>
          <w:lang w:val="en-US"/>
        </w:rPr>
        <w:t xml:space="preserve">ostoperative care in ICU proved to be a </w:t>
      </w:r>
      <w:r w:rsidR="00540E7F">
        <w:rPr>
          <w:lang w:val="en-US"/>
        </w:rPr>
        <w:t>marker of</w:t>
      </w:r>
      <w:r w:rsidRPr="00155EC1">
        <w:rPr>
          <w:lang w:val="en-US"/>
        </w:rPr>
        <w:t xml:space="preserve"> cardio- and cerebrovascular complications (</w:t>
      </w:r>
      <w:r w:rsidR="00C51771">
        <w:rPr>
          <w:lang w:val="en-US"/>
        </w:rPr>
        <w:t>O</w:t>
      </w:r>
      <w:r w:rsidRPr="00155EC1">
        <w:rPr>
          <w:lang w:val="en-US"/>
        </w:rPr>
        <w:t>R 2.75).</w:t>
      </w:r>
      <w:r>
        <w:rPr>
          <w:lang w:val="en-US"/>
        </w:rPr>
        <w:t xml:space="preserve"> Patients treated in ICU after cancer operation</w:t>
      </w:r>
      <w:r w:rsidR="0064085B">
        <w:rPr>
          <w:lang w:val="en-US"/>
        </w:rPr>
        <w:t>s</w:t>
      </w:r>
      <w:r>
        <w:rPr>
          <w:lang w:val="en-US"/>
        </w:rPr>
        <w:t xml:space="preserve"> have overall 1.4% mortality </w:t>
      </w:r>
      <w:r>
        <w:rPr>
          <w:lang w:val="en-US"/>
        </w:rPr>
        <w:fldChar w:fldCharType="begin"/>
      </w:r>
      <w:r>
        <w:rPr>
          <w:lang w:val="en-US"/>
        </w:rPr>
        <w:instrText>ADDIN RW.CITE{{64 Bos,M.M.E.M. 2013}}</w:instrText>
      </w:r>
      <w:r>
        <w:rPr>
          <w:lang w:val="en-US"/>
        </w:rPr>
        <w:fldChar w:fldCharType="separate"/>
      </w:r>
      <w:r w:rsidR="00540E7F" w:rsidRPr="00540E7F">
        <w:rPr>
          <w:rFonts w:eastAsia="Times New Roman"/>
          <w:vertAlign w:val="superscript"/>
          <w:lang w:val="en-US"/>
        </w:rPr>
        <w:t>25</w:t>
      </w:r>
      <w:r>
        <w:rPr>
          <w:lang w:val="en-US"/>
        </w:rPr>
        <w:fldChar w:fldCharType="end"/>
      </w:r>
      <w:r>
        <w:rPr>
          <w:lang w:val="en-US"/>
        </w:rPr>
        <w:t xml:space="preserve"> </w:t>
      </w:r>
      <w:r w:rsidRPr="00D61C5D">
        <w:rPr>
          <w:lang w:val="en-US"/>
        </w:rPr>
        <w:t>.</w:t>
      </w:r>
      <w:r>
        <w:rPr>
          <w:b/>
          <w:i/>
          <w:lang w:val="en-US"/>
        </w:rPr>
        <w:t xml:space="preserve"> </w:t>
      </w:r>
      <w:r>
        <w:rPr>
          <w:lang w:val="en-US"/>
        </w:rPr>
        <w:t xml:space="preserve">In our study mortality rate for patients treated ICU was as high as 4.4%. Soares et al. 2010 pointed that the mortality for cancer patients treated in ICU is not dependent on severity of cancer, but more due to multi organ failure, overall performance status and need of mechanical ventilation </w:t>
      </w:r>
      <w:r>
        <w:rPr>
          <w:lang w:val="en-US"/>
        </w:rPr>
        <w:fldChar w:fldCharType="begin"/>
      </w:r>
      <w:r>
        <w:rPr>
          <w:lang w:val="en-US"/>
        </w:rPr>
        <w:instrText>ADDIN RW.CITE{{53 Soares, M. 2010}}</w:instrText>
      </w:r>
      <w:r>
        <w:rPr>
          <w:lang w:val="en-US"/>
        </w:rPr>
        <w:fldChar w:fldCharType="separate"/>
      </w:r>
      <w:r w:rsidR="00540E7F" w:rsidRPr="00540E7F">
        <w:rPr>
          <w:rFonts w:eastAsia="Times New Roman"/>
          <w:vertAlign w:val="superscript"/>
          <w:lang w:val="en-US"/>
        </w:rPr>
        <w:t>26</w:t>
      </w:r>
      <w:r>
        <w:rPr>
          <w:lang w:val="en-US"/>
        </w:rPr>
        <w:fldChar w:fldCharType="end"/>
      </w:r>
      <w:r>
        <w:rPr>
          <w:lang w:val="en-US"/>
        </w:rPr>
        <w:t>. There are some pre</w:t>
      </w:r>
      <w:r w:rsidR="00A93055">
        <w:rPr>
          <w:lang w:val="en-US"/>
        </w:rPr>
        <w:t>limi</w:t>
      </w:r>
      <w:r>
        <w:rPr>
          <w:lang w:val="en-US"/>
        </w:rPr>
        <w:t xml:space="preserve">nary studies indicating that early extubation and spontaneous breathing and treatment </w:t>
      </w:r>
      <w:r>
        <w:rPr>
          <w:lang w:val="en-US"/>
        </w:rPr>
        <w:lastRenderedPageBreak/>
        <w:t>in non-ICU unit should be consider</w:t>
      </w:r>
      <w:r w:rsidR="00540E7F">
        <w:rPr>
          <w:lang w:val="en-US"/>
        </w:rPr>
        <w:t xml:space="preserve">ed for head and neck cancer surgery patient also after complex microvascular surgery </w:t>
      </w:r>
      <w:r w:rsidR="00540E7F">
        <w:rPr>
          <w:lang w:val="en-US"/>
        </w:rPr>
        <w:fldChar w:fldCharType="begin"/>
      </w:r>
      <w:r w:rsidR="00540E7F">
        <w:rPr>
          <w:lang w:val="en-US"/>
        </w:rPr>
        <w:instrText>ADDIN RW.CITE{{61 Panwar,Aru 2015; 62 Clemens,Mark W. 2015; 65 Arshad,Hassan 2014}}</w:instrText>
      </w:r>
      <w:r w:rsidR="00540E7F">
        <w:rPr>
          <w:lang w:val="en-US"/>
        </w:rPr>
        <w:fldChar w:fldCharType="separate"/>
      </w:r>
      <w:r w:rsidR="00540E7F" w:rsidRPr="00540E7F">
        <w:rPr>
          <w:rFonts w:eastAsia="Times New Roman"/>
          <w:vertAlign w:val="superscript"/>
          <w:lang w:val="en-US"/>
        </w:rPr>
        <w:t>27-29</w:t>
      </w:r>
      <w:r w:rsidR="00540E7F">
        <w:rPr>
          <w:lang w:val="en-US"/>
        </w:rPr>
        <w:fldChar w:fldCharType="end"/>
      </w:r>
      <w:r w:rsidR="00540E7F">
        <w:rPr>
          <w:lang w:val="en-US"/>
        </w:rPr>
        <w:t>.</w:t>
      </w:r>
    </w:p>
    <w:p w:rsidR="005618A9" w:rsidRDefault="00540E7F" w:rsidP="00726FC8">
      <w:pPr>
        <w:spacing w:line="480" w:lineRule="auto"/>
        <w:ind w:firstLine="1304"/>
        <w:rPr>
          <w:i/>
          <w:lang w:val="en-US"/>
        </w:rPr>
      </w:pPr>
      <w:r w:rsidRPr="00540E7F">
        <w:rPr>
          <w:lang w:val="en-US"/>
        </w:rPr>
        <w:t xml:space="preserve">Clinical implication of these findings is that we need to pay attention to excessive fluid administration. Individual fluid and blood transfusion plan should be made for all patients having major head and neck surgery. In head and neck surgery in general perioperative fluid administration should be considered more carefully if patient has prior coronary artery disease or congestive heart failure. Presence of comorbidities is well established in head and neck cancer patients and those should be taken in to consideration when surgical treatment is planned. The use of modern surgical technology </w:t>
      </w:r>
      <w:r w:rsidR="0095306B">
        <w:rPr>
          <w:lang w:val="en-US"/>
        </w:rPr>
        <w:t>may</w:t>
      </w:r>
      <w:r w:rsidRPr="00540E7F">
        <w:rPr>
          <w:lang w:val="en-US"/>
        </w:rPr>
        <w:t xml:space="preserve"> shorten the duration of surgery and minimize the evaporation of tissue fluid, reduce the blood loss and that way reduce the administration of fluids and RBC peri- and postoperatively. </w:t>
      </w:r>
    </w:p>
    <w:p w:rsidR="005618A9" w:rsidRDefault="005618A9" w:rsidP="00726FC8">
      <w:pPr>
        <w:spacing w:line="480" w:lineRule="auto"/>
        <w:rPr>
          <w:i/>
          <w:lang w:val="en-US"/>
        </w:rPr>
      </w:pPr>
      <w:r w:rsidRPr="009A4977">
        <w:rPr>
          <w:i/>
          <w:lang w:val="en-US"/>
        </w:rPr>
        <w:t>Limitations</w:t>
      </w:r>
    </w:p>
    <w:p w:rsidR="005618A9" w:rsidRPr="00A76C8F" w:rsidRDefault="005618A9">
      <w:pPr>
        <w:spacing w:line="480" w:lineRule="auto"/>
        <w:rPr>
          <w:lang w:val="en-US"/>
        </w:rPr>
      </w:pPr>
      <w:r>
        <w:rPr>
          <w:lang w:val="en-US"/>
        </w:rPr>
        <w:t xml:space="preserve">This study has all the limitations of retrospective study. Treatment options where at treating </w:t>
      </w:r>
      <w:r w:rsidR="000B5400">
        <w:rPr>
          <w:lang w:val="en-US"/>
        </w:rPr>
        <w:t>physicians’</w:t>
      </w:r>
      <w:r>
        <w:rPr>
          <w:lang w:val="en-US"/>
        </w:rPr>
        <w:t xml:space="preserve"> discretion.</w:t>
      </w:r>
      <w:r w:rsidR="000A773D">
        <w:rPr>
          <w:lang w:val="en-US"/>
        </w:rPr>
        <w:t xml:space="preserve"> Urine outcome was systematically measured only for patients undergoing microvascular surgery, and was not therefore analyzed.</w:t>
      </w:r>
      <w:r>
        <w:rPr>
          <w:lang w:val="en-US"/>
        </w:rPr>
        <w:t xml:space="preserve"> Nevertheless, this cohort represents an unselected set of patients undergoing head and neck cancer surgery.</w:t>
      </w:r>
      <w:r w:rsidR="00B96785">
        <w:rPr>
          <w:lang w:val="en-US"/>
        </w:rPr>
        <w:t xml:space="preserve"> </w:t>
      </w:r>
      <w:r w:rsidR="00B96785" w:rsidRPr="00A76C8F">
        <w:rPr>
          <w:lang w:val="en-US"/>
        </w:rPr>
        <w:t xml:space="preserve">The amount of fluids given was derived </w:t>
      </w:r>
      <w:r w:rsidR="00A76C8F" w:rsidRPr="00A76C8F">
        <w:rPr>
          <w:lang w:val="en-US"/>
        </w:rPr>
        <w:t>from patient files</w:t>
      </w:r>
      <w:r w:rsidR="00975BDA">
        <w:rPr>
          <w:lang w:val="en-US"/>
        </w:rPr>
        <w:t>,</w:t>
      </w:r>
      <w:r w:rsidR="00975BDA" w:rsidRPr="00975BDA">
        <w:rPr>
          <w:lang w:val="en-US"/>
        </w:rPr>
        <w:t xml:space="preserve"> </w:t>
      </w:r>
      <w:r w:rsidR="00975BDA">
        <w:rPr>
          <w:lang w:val="en-US"/>
        </w:rPr>
        <w:t>anesthesiology reports, and ICU reports</w:t>
      </w:r>
      <w:r w:rsidR="00A76C8F" w:rsidRPr="00A76C8F">
        <w:rPr>
          <w:lang w:val="en-US"/>
        </w:rPr>
        <w:t>.</w:t>
      </w:r>
      <w:r w:rsidR="00A76C8F">
        <w:rPr>
          <w:lang w:val="en-US"/>
        </w:rPr>
        <w:t xml:space="preserve"> </w:t>
      </w:r>
      <w:r w:rsidR="00A76C8F" w:rsidRPr="00A76C8F">
        <w:rPr>
          <w:lang w:val="en-US"/>
        </w:rPr>
        <w:t xml:space="preserve">The </w:t>
      </w:r>
      <w:r w:rsidR="00A76C8F">
        <w:rPr>
          <w:lang w:val="en-US"/>
        </w:rPr>
        <w:t>information about flu</w:t>
      </w:r>
      <w:r w:rsidR="00A76C8F" w:rsidRPr="00A76C8F">
        <w:rPr>
          <w:lang w:val="en-US"/>
        </w:rPr>
        <w:t>id</w:t>
      </w:r>
      <w:r w:rsidR="005A6C9F">
        <w:rPr>
          <w:lang w:val="en-US"/>
        </w:rPr>
        <w:t>s</w:t>
      </w:r>
      <w:r w:rsidR="00A76C8F" w:rsidRPr="00A76C8F">
        <w:rPr>
          <w:lang w:val="en-US"/>
        </w:rPr>
        <w:t xml:space="preserve"> administ</w:t>
      </w:r>
      <w:r w:rsidR="005A6C9F">
        <w:rPr>
          <w:lang w:val="en-US"/>
        </w:rPr>
        <w:t>ered</w:t>
      </w:r>
      <w:r w:rsidR="00A76C8F" w:rsidRPr="00A76C8F">
        <w:rPr>
          <w:lang w:val="en-US"/>
        </w:rPr>
        <w:t xml:space="preserve"> </w:t>
      </w:r>
      <w:r w:rsidR="00A76C8F" w:rsidRPr="00540E7F">
        <w:rPr>
          <w:lang w:val="en-US"/>
        </w:rPr>
        <w:t>w</w:t>
      </w:r>
      <w:r w:rsidR="000A773D">
        <w:rPr>
          <w:lang w:val="en-US"/>
        </w:rPr>
        <w:t>as</w:t>
      </w:r>
      <w:r w:rsidR="005A6C9F" w:rsidRPr="00540E7F">
        <w:rPr>
          <w:rFonts w:asciiTheme="majorHAnsi" w:hAnsiTheme="majorHAnsi"/>
          <w:sz w:val="18"/>
          <w:szCs w:val="18"/>
          <w:lang w:val="en-US"/>
        </w:rPr>
        <w:t xml:space="preserve"> </w:t>
      </w:r>
      <w:r w:rsidR="005A6C9F" w:rsidRPr="00540E7F">
        <w:rPr>
          <w:rFonts w:asciiTheme="majorHAnsi" w:hAnsiTheme="majorHAnsi"/>
          <w:sz w:val="20"/>
          <w:szCs w:val="20"/>
          <w:lang w:val="en-US"/>
        </w:rPr>
        <w:t>documented</w:t>
      </w:r>
      <w:r w:rsidR="00A76C8F" w:rsidRPr="00540E7F">
        <w:rPr>
          <w:sz w:val="20"/>
          <w:szCs w:val="20"/>
          <w:lang w:val="en-US"/>
        </w:rPr>
        <w:t xml:space="preserve"> </w:t>
      </w:r>
      <w:r w:rsidR="005A6C9F" w:rsidRPr="00540E7F">
        <w:rPr>
          <w:sz w:val="20"/>
          <w:szCs w:val="20"/>
          <w:lang w:val="en-US"/>
        </w:rPr>
        <w:t xml:space="preserve">in files </w:t>
      </w:r>
      <w:r w:rsidR="00A76C8F" w:rsidRPr="00540E7F">
        <w:rPr>
          <w:lang w:val="en-US"/>
        </w:rPr>
        <w:t>(</w:t>
      </w:r>
      <w:r w:rsidR="005A6C9F" w:rsidRPr="00540E7F">
        <w:rPr>
          <w:lang w:val="en-US"/>
        </w:rPr>
        <w:t>97% of cases</w:t>
      </w:r>
      <w:r w:rsidR="00A76C8F" w:rsidRPr="00540E7F">
        <w:rPr>
          <w:lang w:val="en-US"/>
        </w:rPr>
        <w:t>).</w:t>
      </w:r>
    </w:p>
    <w:p w:rsidR="005618A9" w:rsidRDefault="005618A9" w:rsidP="00726FC8">
      <w:pPr>
        <w:spacing w:line="480" w:lineRule="auto"/>
        <w:rPr>
          <w:b/>
          <w:lang w:val="en-US"/>
        </w:rPr>
      </w:pPr>
      <w:r>
        <w:rPr>
          <w:b/>
          <w:lang w:val="en-US"/>
        </w:rPr>
        <w:t>Conclusion</w:t>
      </w:r>
    </w:p>
    <w:p w:rsidR="000B5400" w:rsidRDefault="005618A9" w:rsidP="00726FC8">
      <w:pPr>
        <w:spacing w:after="0" w:line="480" w:lineRule="auto"/>
        <w:rPr>
          <w:lang w:val="en-US"/>
        </w:rPr>
      </w:pPr>
      <w:r>
        <w:rPr>
          <w:lang w:val="en-US"/>
        </w:rPr>
        <w:lastRenderedPageBreak/>
        <w:t>Head and neck cancer patients receiving excessive intravenous fluid administration peri</w:t>
      </w:r>
      <w:r w:rsidR="000B5400">
        <w:rPr>
          <w:lang w:val="en-US"/>
        </w:rPr>
        <w:t>-</w:t>
      </w:r>
      <w:r>
        <w:rPr>
          <w:lang w:val="en-US"/>
        </w:rPr>
        <w:t xml:space="preserve"> and postoperatively were at high risk for cardiac complication, especially decompensated heart failure.</w:t>
      </w:r>
      <w:r w:rsidR="000B5400">
        <w:rPr>
          <w:lang w:val="en-US"/>
        </w:rPr>
        <w:t xml:space="preserve"> P</w:t>
      </w:r>
      <w:r w:rsidR="000B5400" w:rsidRPr="000F5AEC">
        <w:rPr>
          <w:lang w:val="en-US"/>
        </w:rPr>
        <w:t>erioperative fluid administ</w:t>
      </w:r>
      <w:r w:rsidR="000B5400">
        <w:rPr>
          <w:lang w:val="en-US"/>
        </w:rPr>
        <w:t>rat</w:t>
      </w:r>
      <w:r w:rsidR="000B5400" w:rsidRPr="000F5AEC">
        <w:rPr>
          <w:lang w:val="en-US"/>
        </w:rPr>
        <w:t xml:space="preserve">ion should be considered more carefully </w:t>
      </w:r>
      <w:r w:rsidR="000B5400">
        <w:rPr>
          <w:lang w:val="en-US"/>
        </w:rPr>
        <w:t>especially in</w:t>
      </w:r>
      <w:r w:rsidR="000B5400" w:rsidRPr="000F5AEC">
        <w:rPr>
          <w:lang w:val="en-US"/>
        </w:rPr>
        <w:t xml:space="preserve"> patient</w:t>
      </w:r>
      <w:r w:rsidR="000B5400">
        <w:rPr>
          <w:lang w:val="en-US"/>
        </w:rPr>
        <w:t>s</w:t>
      </w:r>
      <w:r w:rsidR="000B5400" w:rsidRPr="000F5AEC">
        <w:rPr>
          <w:lang w:val="en-US"/>
        </w:rPr>
        <w:t xml:space="preserve"> </w:t>
      </w:r>
      <w:r w:rsidR="000B5400">
        <w:rPr>
          <w:lang w:val="en-US"/>
        </w:rPr>
        <w:t>with prior coronary artery disease or congestive heart failure</w:t>
      </w:r>
      <w:r w:rsidR="000B5400" w:rsidRPr="000F5AEC">
        <w:rPr>
          <w:lang w:val="en-US"/>
        </w:rPr>
        <w:t>.</w:t>
      </w:r>
      <w:r w:rsidR="000A773D">
        <w:rPr>
          <w:lang w:val="en-US"/>
        </w:rPr>
        <w:t xml:space="preserve"> Patients undergoing oncologic head and neck surgery need to have individual risk a</w:t>
      </w:r>
      <w:r w:rsidR="00A5676D">
        <w:rPr>
          <w:lang w:val="en-US"/>
        </w:rPr>
        <w:t>sses</w:t>
      </w:r>
      <w:r w:rsidR="00A93055">
        <w:rPr>
          <w:lang w:val="en-US"/>
        </w:rPr>
        <w:t>s</w:t>
      </w:r>
      <w:r w:rsidR="000A773D">
        <w:rPr>
          <w:lang w:val="en-US"/>
        </w:rPr>
        <w:t>ment preoperatively considering the type of operation, possible need of tracheostomy, the critical evaluation of the need of postoperative care in ICU, goal-directed peri</w:t>
      </w:r>
      <w:r w:rsidR="00A5676D">
        <w:rPr>
          <w:lang w:val="en-US"/>
        </w:rPr>
        <w:t>-</w:t>
      </w:r>
      <w:r w:rsidR="000A773D">
        <w:rPr>
          <w:lang w:val="en-US"/>
        </w:rPr>
        <w:t xml:space="preserve"> and postoperative fluid therapy and individual RBC transfusion strategy.</w:t>
      </w:r>
    </w:p>
    <w:p w:rsidR="000B5400" w:rsidRDefault="000B5400" w:rsidP="00726FC8">
      <w:pPr>
        <w:spacing w:after="0" w:line="480" w:lineRule="auto"/>
        <w:rPr>
          <w:lang w:val="en-US"/>
        </w:rPr>
      </w:pPr>
    </w:p>
    <w:p w:rsidR="005618A9" w:rsidRDefault="005618A9">
      <w:pPr>
        <w:spacing w:after="0" w:line="240" w:lineRule="auto"/>
        <w:rPr>
          <w:b/>
          <w:lang w:val="en-US"/>
        </w:rPr>
      </w:pPr>
      <w:r>
        <w:rPr>
          <w:b/>
          <w:lang w:val="en-US"/>
        </w:rPr>
        <w:br w:type="page"/>
      </w:r>
    </w:p>
    <w:p w:rsidR="005618A9" w:rsidRDefault="005618A9" w:rsidP="009A4977">
      <w:pPr>
        <w:rPr>
          <w:b/>
          <w:lang w:val="en-US"/>
        </w:rPr>
      </w:pPr>
      <w:r>
        <w:rPr>
          <w:b/>
          <w:lang w:val="en-US"/>
        </w:rPr>
        <w:lastRenderedPageBreak/>
        <w:t>References</w:t>
      </w:r>
    </w:p>
    <w:p w:rsidR="00540E7F" w:rsidRPr="00540E7F" w:rsidRDefault="00540E7F">
      <w:pPr>
        <w:pStyle w:val="NormalWeb"/>
        <w:spacing w:line="480" w:lineRule="auto"/>
        <w:divId w:val="916671609"/>
        <w:rPr>
          <w:rFonts w:ascii="Calibri" w:hAnsi="Calibri"/>
          <w:b/>
          <w:bCs/>
          <w:sz w:val="22"/>
          <w:szCs w:val="22"/>
          <w:lang w:val="en-US"/>
        </w:rPr>
      </w:pPr>
      <w:r>
        <w:rPr>
          <w:b/>
          <w:lang w:val="en-US"/>
        </w:rPr>
        <w:fldChar w:fldCharType="begin"/>
      </w:r>
      <w:r>
        <w:rPr>
          <w:b/>
          <w:lang w:val="en-US"/>
        </w:rPr>
        <w:instrText>ADDIN RW.BIB</w:instrText>
      </w:r>
      <w:r>
        <w:rPr>
          <w:b/>
          <w:lang w:val="en-US"/>
        </w:rPr>
        <w:fldChar w:fldCharType="separate"/>
      </w:r>
      <w:r w:rsidRPr="00540E7F">
        <w:rPr>
          <w:rFonts w:ascii="Calibri" w:hAnsi="Calibri"/>
          <w:b/>
          <w:bCs/>
          <w:sz w:val="22"/>
          <w:szCs w:val="22"/>
          <w:lang w:val="en-US"/>
        </w:rPr>
        <w:t xml:space="preserve">1. Datema FR, Poldermans D, Baatenburg de Jong RJ. Incidence and prediction of major cardiovascular complications in head and neck surgery. Head Neck 2010;32:1485-1493. </w:t>
      </w:r>
    </w:p>
    <w:p w:rsidR="00540E7F" w:rsidRPr="00540E7F" w:rsidRDefault="00540E7F">
      <w:pPr>
        <w:pStyle w:val="NormalWeb"/>
        <w:spacing w:line="480" w:lineRule="auto"/>
        <w:divId w:val="916671609"/>
        <w:rPr>
          <w:rFonts w:ascii="Calibri" w:hAnsi="Calibri"/>
          <w:b/>
          <w:bCs/>
          <w:sz w:val="22"/>
          <w:szCs w:val="22"/>
          <w:lang w:val="en-US"/>
        </w:rPr>
      </w:pPr>
      <w:r w:rsidRPr="00540E7F">
        <w:rPr>
          <w:rFonts w:ascii="Calibri" w:hAnsi="Calibri"/>
          <w:b/>
          <w:bCs/>
          <w:sz w:val="22"/>
          <w:szCs w:val="22"/>
          <w:lang w:val="en-US"/>
        </w:rPr>
        <w:t xml:space="preserve">2. Piccirillo JF. Importance of Comorbidity in Head and Neck Cancer. Laryngoscope 2000;110:593-602. </w:t>
      </w:r>
    </w:p>
    <w:p w:rsidR="00540E7F" w:rsidRPr="00540E7F" w:rsidRDefault="00540E7F">
      <w:pPr>
        <w:pStyle w:val="NormalWeb"/>
        <w:spacing w:line="480" w:lineRule="auto"/>
        <w:divId w:val="916671609"/>
        <w:rPr>
          <w:rFonts w:ascii="Calibri" w:hAnsi="Calibri"/>
          <w:b/>
          <w:bCs/>
          <w:sz w:val="22"/>
          <w:szCs w:val="22"/>
          <w:lang w:val="en-US"/>
        </w:rPr>
      </w:pPr>
      <w:r w:rsidRPr="00540E7F">
        <w:rPr>
          <w:rFonts w:ascii="Calibri" w:hAnsi="Calibri"/>
          <w:b/>
          <w:bCs/>
          <w:sz w:val="22"/>
          <w:szCs w:val="22"/>
          <w:lang w:val="en-US"/>
        </w:rPr>
        <w:t xml:space="preserve">3. Sanabria A, Carvalho AL, Vartanian JG, Magrin J, Ikeda MK, Kowalski LP. Comorbidity is a prognostic factor in elderly patients with head and neck cancer. Annals of Surgigal Oncology 2007;14:1449-1457. </w:t>
      </w:r>
    </w:p>
    <w:p w:rsidR="00540E7F" w:rsidRPr="00540E7F" w:rsidRDefault="00540E7F">
      <w:pPr>
        <w:pStyle w:val="NormalWeb"/>
        <w:spacing w:line="480" w:lineRule="auto"/>
        <w:divId w:val="916671609"/>
        <w:rPr>
          <w:rFonts w:ascii="Calibri" w:hAnsi="Calibri"/>
          <w:b/>
          <w:bCs/>
          <w:sz w:val="22"/>
          <w:szCs w:val="22"/>
          <w:lang w:val="en-US"/>
        </w:rPr>
      </w:pPr>
      <w:r w:rsidRPr="00540E7F">
        <w:rPr>
          <w:rFonts w:ascii="Calibri" w:hAnsi="Calibri"/>
          <w:b/>
          <w:bCs/>
          <w:sz w:val="22"/>
          <w:szCs w:val="22"/>
          <w:lang w:val="en-US"/>
        </w:rPr>
        <w:t xml:space="preserve">4. Miller TE, Raghunathan K, Gan TJ. State-of-the-art fluid management in the operating room. Best Practice &amp; Research Clinical Anaesthesiology 2014;28:261-273. </w:t>
      </w:r>
    </w:p>
    <w:p w:rsidR="00540E7F" w:rsidRPr="00540E7F" w:rsidRDefault="00540E7F">
      <w:pPr>
        <w:pStyle w:val="NormalWeb"/>
        <w:spacing w:line="480" w:lineRule="auto"/>
        <w:divId w:val="916671609"/>
        <w:rPr>
          <w:rFonts w:ascii="Calibri" w:hAnsi="Calibri"/>
          <w:b/>
          <w:bCs/>
          <w:sz w:val="22"/>
          <w:szCs w:val="22"/>
          <w:lang w:val="en-US"/>
        </w:rPr>
      </w:pPr>
      <w:r w:rsidRPr="00540E7F">
        <w:rPr>
          <w:rFonts w:ascii="Calibri" w:hAnsi="Calibri"/>
          <w:b/>
          <w:bCs/>
          <w:sz w:val="22"/>
          <w:szCs w:val="22"/>
          <w:lang w:val="en-US"/>
        </w:rPr>
        <w:t xml:space="preserve">5. Chappell D, Jacob M, Hofmann-Kiefer K, Conzen P, Rehm M. A Rational Approach to Perioperative Fluid Management. Anesthesiology 2008;109:723-740. </w:t>
      </w:r>
    </w:p>
    <w:p w:rsidR="00540E7F" w:rsidRPr="00540E7F" w:rsidRDefault="00540E7F">
      <w:pPr>
        <w:pStyle w:val="NormalWeb"/>
        <w:spacing w:line="480" w:lineRule="auto"/>
        <w:divId w:val="916671609"/>
        <w:rPr>
          <w:rFonts w:ascii="Calibri" w:hAnsi="Calibri"/>
          <w:b/>
          <w:bCs/>
          <w:sz w:val="22"/>
          <w:szCs w:val="22"/>
          <w:lang w:val="en-US"/>
        </w:rPr>
      </w:pPr>
      <w:r w:rsidRPr="00540E7F">
        <w:rPr>
          <w:rFonts w:ascii="Calibri" w:hAnsi="Calibri"/>
          <w:b/>
          <w:bCs/>
          <w:sz w:val="22"/>
          <w:szCs w:val="22"/>
          <w:lang w:val="en-US"/>
        </w:rPr>
        <w:t xml:space="preserve">6. Brandstrup B, Tønnesen H, Beier-Holgersen R, et al. Effects of intravenous fluid restriction on postoperative complications: comparison of two perioperative fluid regimens: a randomized assessor-blinded multicenter trial. Annals of Surgery 2003;238:641-648. </w:t>
      </w:r>
    </w:p>
    <w:p w:rsidR="00540E7F" w:rsidRPr="00540E7F" w:rsidRDefault="00540E7F">
      <w:pPr>
        <w:pStyle w:val="NormalWeb"/>
        <w:spacing w:line="480" w:lineRule="auto"/>
        <w:divId w:val="916671609"/>
        <w:rPr>
          <w:rFonts w:ascii="Calibri" w:hAnsi="Calibri"/>
          <w:b/>
          <w:bCs/>
          <w:sz w:val="22"/>
          <w:szCs w:val="22"/>
          <w:lang w:val="en-US"/>
        </w:rPr>
      </w:pPr>
      <w:r w:rsidRPr="00540E7F">
        <w:rPr>
          <w:rFonts w:ascii="Calibri" w:hAnsi="Calibri"/>
          <w:b/>
          <w:bCs/>
          <w:sz w:val="22"/>
          <w:szCs w:val="22"/>
          <w:lang w:val="en-US"/>
        </w:rPr>
        <w:t xml:space="preserve">7. Lehto J, Gunn J, Karjalainen P, Airaksinen J, Kiviniemi T. Incidence and risk factors of postpericardiotomy syndrome requiring medical attention: The Finland postpericardiotomy syndrome study. J Thorac Cardiovasc Surg 2015;149:1324-1329. </w:t>
      </w:r>
    </w:p>
    <w:p w:rsidR="00540E7F" w:rsidRPr="00540E7F" w:rsidRDefault="00540E7F">
      <w:pPr>
        <w:pStyle w:val="NormalWeb"/>
        <w:spacing w:line="480" w:lineRule="auto"/>
        <w:divId w:val="916671609"/>
        <w:rPr>
          <w:rFonts w:ascii="Calibri" w:hAnsi="Calibri"/>
          <w:b/>
          <w:bCs/>
          <w:sz w:val="22"/>
          <w:szCs w:val="22"/>
          <w:lang w:val="en-US"/>
        </w:rPr>
      </w:pPr>
      <w:r w:rsidRPr="00540E7F">
        <w:rPr>
          <w:rFonts w:ascii="Calibri" w:hAnsi="Calibri"/>
          <w:b/>
          <w:bCs/>
          <w:sz w:val="22"/>
          <w:szCs w:val="22"/>
          <w:lang w:val="en-US"/>
        </w:rPr>
        <w:lastRenderedPageBreak/>
        <w:t xml:space="preserve">8. Lautamäki A, Kiviniemi T, Biancari F, Airaksinen J, Juvonen T, Gunn J. Outcome after coronary artery bypass grafting and percutaneous coronary intervention in patients with stage 3b-5 chronic kidney disease. European Journal of Cardio-Thoracic Surgery 2015;Epub ahead of print. </w:t>
      </w:r>
    </w:p>
    <w:p w:rsidR="00540E7F" w:rsidRPr="00540E7F" w:rsidRDefault="00540E7F">
      <w:pPr>
        <w:pStyle w:val="NormalWeb"/>
        <w:spacing w:line="480" w:lineRule="auto"/>
        <w:divId w:val="916671609"/>
        <w:rPr>
          <w:rFonts w:ascii="Calibri" w:hAnsi="Calibri"/>
          <w:b/>
          <w:bCs/>
          <w:sz w:val="22"/>
          <w:szCs w:val="22"/>
          <w:lang w:val="en-US"/>
        </w:rPr>
      </w:pPr>
      <w:r w:rsidRPr="00540E7F">
        <w:rPr>
          <w:rFonts w:ascii="Calibri" w:hAnsi="Calibri"/>
          <w:b/>
          <w:bCs/>
          <w:sz w:val="22"/>
          <w:szCs w:val="22"/>
          <w:lang w:val="en-US"/>
        </w:rPr>
        <w:t xml:space="preserve">9. Della Rocca G, Vetrugno L, Tripi G, Deana C, Barbariol F, Pompei L. Liberal or restricted fluid administration: are we ready for a proposal of a restricted intraoperative approach? BMC Anestesiology 2014;1. </w:t>
      </w:r>
    </w:p>
    <w:p w:rsidR="00540E7F" w:rsidRPr="00540E7F" w:rsidRDefault="00540E7F">
      <w:pPr>
        <w:pStyle w:val="NormalWeb"/>
        <w:spacing w:line="480" w:lineRule="auto"/>
        <w:divId w:val="916671609"/>
        <w:rPr>
          <w:rFonts w:ascii="Calibri" w:hAnsi="Calibri"/>
          <w:b/>
          <w:bCs/>
          <w:sz w:val="22"/>
          <w:szCs w:val="22"/>
          <w:lang w:val="en-US"/>
        </w:rPr>
      </w:pPr>
      <w:r w:rsidRPr="00540E7F">
        <w:rPr>
          <w:rFonts w:ascii="Calibri" w:hAnsi="Calibri"/>
          <w:b/>
          <w:bCs/>
          <w:sz w:val="22"/>
          <w:szCs w:val="22"/>
          <w:lang w:val="en-US"/>
        </w:rPr>
        <w:t xml:space="preserve">10. Ripollés-Melchor J, Espinosa Á, Martínez-Hurtado E, et al. Perioperative goal-directed hemodynamic therapy in noncardiac surgery: a systematic review and meta-analysis. J Clin Anesth . </w:t>
      </w:r>
    </w:p>
    <w:p w:rsidR="00540E7F" w:rsidRPr="00540E7F" w:rsidRDefault="00540E7F">
      <w:pPr>
        <w:pStyle w:val="NormalWeb"/>
        <w:spacing w:line="480" w:lineRule="auto"/>
        <w:divId w:val="916671609"/>
        <w:rPr>
          <w:rFonts w:ascii="Calibri" w:hAnsi="Calibri"/>
          <w:b/>
          <w:bCs/>
          <w:sz w:val="22"/>
          <w:szCs w:val="22"/>
          <w:lang w:val="en-US"/>
        </w:rPr>
      </w:pPr>
      <w:r w:rsidRPr="00540E7F">
        <w:rPr>
          <w:rFonts w:ascii="Calibri" w:hAnsi="Calibri"/>
          <w:b/>
          <w:bCs/>
          <w:sz w:val="22"/>
          <w:szCs w:val="22"/>
          <w:lang w:val="en-US"/>
        </w:rPr>
        <w:t xml:space="preserve">11. Mayer J, Boldt J, Mengistu AM, Röhm KD, Suttner S. Goal-directed intraoperative therapy based on autocalibrated arterial pressure waveform analysis reduces hospital stay in high-risk surgical patients: a randomized, controlled trial   Critical Care 2010;14:R18. </w:t>
      </w:r>
    </w:p>
    <w:p w:rsidR="00540E7F" w:rsidRPr="00540E7F" w:rsidRDefault="00540E7F">
      <w:pPr>
        <w:pStyle w:val="NormalWeb"/>
        <w:spacing w:line="480" w:lineRule="auto"/>
        <w:divId w:val="916671609"/>
        <w:rPr>
          <w:rFonts w:ascii="Calibri" w:hAnsi="Calibri"/>
          <w:b/>
          <w:bCs/>
          <w:sz w:val="22"/>
          <w:szCs w:val="22"/>
          <w:lang w:val="en-US"/>
        </w:rPr>
      </w:pPr>
      <w:r w:rsidRPr="00540E7F">
        <w:rPr>
          <w:rFonts w:ascii="Calibri" w:hAnsi="Calibri"/>
          <w:b/>
          <w:bCs/>
          <w:sz w:val="22"/>
          <w:szCs w:val="22"/>
          <w:lang w:val="en-US"/>
        </w:rPr>
        <w:t xml:space="preserve">12. Zheng H, Guo H, Ye JR, Chen L, Ma HP. Goal-directed fluid therapy in gastrointestinal surgery in older coronary heart disease patients: randomized trial.  . World Journal of Surgery 2013;37:2820-2829. </w:t>
      </w:r>
    </w:p>
    <w:p w:rsidR="00540E7F" w:rsidRPr="00540E7F" w:rsidRDefault="00540E7F">
      <w:pPr>
        <w:pStyle w:val="NormalWeb"/>
        <w:spacing w:line="480" w:lineRule="auto"/>
        <w:divId w:val="916671609"/>
        <w:rPr>
          <w:rFonts w:ascii="Calibri" w:hAnsi="Calibri"/>
          <w:b/>
          <w:bCs/>
          <w:sz w:val="22"/>
          <w:szCs w:val="22"/>
          <w:lang w:val="en-US"/>
        </w:rPr>
      </w:pPr>
      <w:r w:rsidRPr="00540E7F">
        <w:rPr>
          <w:rFonts w:ascii="Calibri" w:hAnsi="Calibri"/>
          <w:b/>
          <w:bCs/>
          <w:sz w:val="22"/>
          <w:szCs w:val="22"/>
          <w:lang w:val="en-US"/>
        </w:rPr>
        <w:t xml:space="preserve">13. Buitelaar DR, Balm AJM, Antonini N, van Tinteren H, Huitink JM. Cardiovascular and respiratory complications after major head and neck surgery. Head Neck 2006;28:595-602. </w:t>
      </w:r>
    </w:p>
    <w:p w:rsidR="00540E7F" w:rsidRPr="00540E7F" w:rsidRDefault="00540E7F">
      <w:pPr>
        <w:pStyle w:val="NormalWeb"/>
        <w:spacing w:line="480" w:lineRule="auto"/>
        <w:divId w:val="916671609"/>
        <w:rPr>
          <w:rFonts w:ascii="Calibri" w:hAnsi="Calibri"/>
          <w:b/>
          <w:bCs/>
          <w:sz w:val="22"/>
          <w:szCs w:val="22"/>
          <w:lang w:val="en-US"/>
        </w:rPr>
      </w:pPr>
      <w:r w:rsidRPr="00540E7F">
        <w:rPr>
          <w:rFonts w:ascii="Calibri" w:hAnsi="Calibri"/>
          <w:b/>
          <w:bCs/>
          <w:sz w:val="22"/>
          <w:szCs w:val="22"/>
          <w:lang w:val="en-US"/>
        </w:rPr>
        <w:lastRenderedPageBreak/>
        <w:t xml:space="preserve">14. Hand WR, McSwain JR, McEvoy MD, et al. Characteristics and Intraoperative Treatments Associated with Head and Neck Free Tissue Transfer Complications and Failures. Otolaryngology -- Head and Neck Surgery 2015;152:480-487. </w:t>
      </w:r>
    </w:p>
    <w:p w:rsidR="00540E7F" w:rsidRPr="00540E7F" w:rsidRDefault="00540E7F">
      <w:pPr>
        <w:pStyle w:val="NormalWeb"/>
        <w:spacing w:line="480" w:lineRule="auto"/>
        <w:divId w:val="916671609"/>
        <w:rPr>
          <w:rFonts w:ascii="Calibri" w:hAnsi="Calibri"/>
          <w:b/>
          <w:bCs/>
          <w:sz w:val="22"/>
          <w:szCs w:val="22"/>
          <w:lang w:val="en-US"/>
        </w:rPr>
      </w:pPr>
      <w:r w:rsidRPr="00540E7F">
        <w:rPr>
          <w:rFonts w:ascii="Calibri" w:hAnsi="Calibri"/>
          <w:b/>
          <w:bCs/>
          <w:sz w:val="22"/>
          <w:szCs w:val="22"/>
          <w:lang w:val="en-US"/>
        </w:rPr>
        <w:t xml:space="preserve">15. Farwell DG, Reilly DF, Weymuller EAJ, Greenberg DL, Staiger TO, Futran NA. Predictors of perioperative complications in head and neck patients.  . Arcives of Otolaryngology - Head &amp; Neck Surgery 2002;128:505-511. </w:t>
      </w:r>
    </w:p>
    <w:p w:rsidR="00540E7F" w:rsidRPr="00540E7F" w:rsidRDefault="00540E7F">
      <w:pPr>
        <w:pStyle w:val="NormalWeb"/>
        <w:spacing w:line="480" w:lineRule="auto"/>
        <w:divId w:val="916671609"/>
        <w:rPr>
          <w:rFonts w:ascii="Calibri" w:hAnsi="Calibri"/>
          <w:b/>
          <w:bCs/>
          <w:sz w:val="22"/>
          <w:szCs w:val="22"/>
          <w:lang w:val="en-US"/>
        </w:rPr>
      </w:pPr>
      <w:r w:rsidRPr="00540E7F">
        <w:rPr>
          <w:rFonts w:ascii="Calibri" w:hAnsi="Calibri"/>
          <w:b/>
          <w:bCs/>
          <w:sz w:val="22"/>
          <w:szCs w:val="22"/>
          <w:lang w:val="en-US"/>
        </w:rPr>
        <w:t xml:space="preserve">16. Valentijn TM, Hoeks SE, Bakker EJ, et al. The Impact of Perioperative Red Blood Cell Transfusions on Postoperative Outcomes in Vascular Surgery Patients. Ann Vasc Surg 2015;29:511-519. </w:t>
      </w:r>
    </w:p>
    <w:p w:rsidR="00540E7F" w:rsidRPr="00540E7F" w:rsidRDefault="00540E7F">
      <w:pPr>
        <w:pStyle w:val="NormalWeb"/>
        <w:spacing w:line="480" w:lineRule="auto"/>
        <w:divId w:val="916671609"/>
        <w:rPr>
          <w:rFonts w:ascii="Calibri" w:hAnsi="Calibri"/>
          <w:b/>
          <w:bCs/>
          <w:sz w:val="22"/>
          <w:szCs w:val="22"/>
          <w:lang w:val="en-US"/>
        </w:rPr>
      </w:pPr>
      <w:r w:rsidRPr="00540E7F">
        <w:rPr>
          <w:rFonts w:ascii="Calibri" w:hAnsi="Calibri"/>
          <w:b/>
          <w:bCs/>
          <w:sz w:val="22"/>
          <w:szCs w:val="22"/>
          <w:lang w:val="en-US"/>
        </w:rPr>
        <w:t xml:space="preserve">17. Bursi F, Barbieri A, Politi L, et al. Perioperative Red Blood Cell Transfusion and Outcome in Stable Patients after Elective Major Vascular Surgery. European Journal of Vascular and Endovascular Surgery 2009;37:311-318. </w:t>
      </w:r>
    </w:p>
    <w:p w:rsidR="00540E7F" w:rsidRPr="00540E7F" w:rsidRDefault="00540E7F">
      <w:pPr>
        <w:pStyle w:val="NormalWeb"/>
        <w:spacing w:line="480" w:lineRule="auto"/>
        <w:divId w:val="916671609"/>
        <w:rPr>
          <w:rFonts w:ascii="Calibri" w:hAnsi="Calibri"/>
          <w:b/>
          <w:bCs/>
          <w:sz w:val="22"/>
          <w:szCs w:val="22"/>
          <w:lang w:val="en-US"/>
        </w:rPr>
      </w:pPr>
      <w:r w:rsidRPr="00540E7F">
        <w:rPr>
          <w:rFonts w:ascii="Calibri" w:hAnsi="Calibri"/>
          <w:b/>
          <w:bCs/>
          <w:sz w:val="22"/>
          <w:szCs w:val="22"/>
          <w:lang w:val="en-US"/>
        </w:rPr>
        <w:t xml:space="preserve">18. Corwin HL, Gettinger A, Pearl RG, et al. Crit Care Med. 2004 Jan;32(1):39-52. </w:t>
      </w:r>
      <w:r w:rsidRPr="00540E7F">
        <w:rPr>
          <w:rFonts w:ascii="Calibri" w:hAnsi="Calibri"/>
          <w:b/>
          <w:bCs/>
          <w:sz w:val="22"/>
          <w:szCs w:val="22"/>
          <w:lang w:val="en-US"/>
        </w:rPr>
        <w:br/>
        <w:t xml:space="preserve">The CRIT Study: Anemia and blood transfusion in the critically ill--current clinical practice in the United States.  . Critical Care Medicine 2004;32:39-52. </w:t>
      </w:r>
    </w:p>
    <w:p w:rsidR="00540E7F" w:rsidRPr="00540E7F" w:rsidRDefault="00540E7F">
      <w:pPr>
        <w:pStyle w:val="NormalWeb"/>
        <w:spacing w:line="480" w:lineRule="auto"/>
        <w:divId w:val="916671609"/>
        <w:rPr>
          <w:rFonts w:ascii="Calibri" w:hAnsi="Calibri"/>
          <w:b/>
          <w:bCs/>
          <w:sz w:val="22"/>
          <w:szCs w:val="22"/>
          <w:lang w:val="en-US"/>
        </w:rPr>
      </w:pPr>
      <w:r w:rsidRPr="00540E7F">
        <w:rPr>
          <w:rFonts w:ascii="Calibri" w:hAnsi="Calibri"/>
          <w:b/>
          <w:bCs/>
          <w:sz w:val="22"/>
          <w:szCs w:val="22"/>
          <w:lang w:val="en-US"/>
        </w:rPr>
        <w:t xml:space="preserve">19. Hébert PC, Wells G, Blajchman MA, et al. A Multicenter, Randomized, Controlled Clinical Trial of Transfusion Requirements in Critical Care. N Engl J Med 1999;340:409-417. </w:t>
      </w:r>
    </w:p>
    <w:p w:rsidR="00540E7F" w:rsidRPr="00540E7F" w:rsidRDefault="00540E7F">
      <w:pPr>
        <w:pStyle w:val="NormalWeb"/>
        <w:spacing w:line="480" w:lineRule="auto"/>
        <w:divId w:val="916671609"/>
        <w:rPr>
          <w:rFonts w:ascii="Calibri" w:hAnsi="Calibri"/>
          <w:b/>
          <w:bCs/>
          <w:sz w:val="22"/>
          <w:szCs w:val="22"/>
          <w:lang w:val="en-US"/>
        </w:rPr>
      </w:pPr>
      <w:r w:rsidRPr="00540E7F">
        <w:rPr>
          <w:rFonts w:ascii="Calibri" w:hAnsi="Calibri"/>
          <w:b/>
          <w:bCs/>
          <w:sz w:val="22"/>
          <w:szCs w:val="22"/>
          <w:lang w:val="en-US"/>
        </w:rPr>
        <w:lastRenderedPageBreak/>
        <w:t xml:space="preserve">20. Rao SV, Jollis JG, Harrington RA, et al. Relationship of blood transfusion and clinical outcomes in patients with acute coronary syndromes.  . JAMA 2004;292:1555-1562. </w:t>
      </w:r>
    </w:p>
    <w:p w:rsidR="00540E7F" w:rsidRPr="00540E7F" w:rsidRDefault="00540E7F">
      <w:pPr>
        <w:pStyle w:val="NormalWeb"/>
        <w:spacing w:line="480" w:lineRule="auto"/>
        <w:divId w:val="916671609"/>
        <w:rPr>
          <w:rFonts w:ascii="Calibri" w:hAnsi="Calibri"/>
          <w:b/>
          <w:bCs/>
          <w:sz w:val="22"/>
          <w:szCs w:val="22"/>
          <w:lang w:val="en-US"/>
        </w:rPr>
      </w:pPr>
      <w:r w:rsidRPr="00540E7F">
        <w:rPr>
          <w:rFonts w:ascii="Calibri" w:hAnsi="Calibri"/>
          <w:b/>
          <w:bCs/>
          <w:sz w:val="22"/>
          <w:szCs w:val="22"/>
          <w:lang w:val="en-US"/>
        </w:rPr>
        <w:t xml:space="preserve">21. Carson JL, Duff A, Poses RM, et al. Effect of anaemia and cardiovascular disease on surgical mortality and morbidity. The Lancet 1996;348:1055-1060. </w:t>
      </w:r>
    </w:p>
    <w:p w:rsidR="00540E7F" w:rsidRPr="00540E7F" w:rsidRDefault="00540E7F">
      <w:pPr>
        <w:pStyle w:val="NormalWeb"/>
        <w:spacing w:line="480" w:lineRule="auto"/>
        <w:divId w:val="916671609"/>
        <w:rPr>
          <w:rFonts w:ascii="Calibri" w:hAnsi="Calibri"/>
          <w:b/>
          <w:bCs/>
          <w:sz w:val="22"/>
          <w:szCs w:val="22"/>
          <w:lang w:val="en-US"/>
        </w:rPr>
      </w:pPr>
      <w:r w:rsidRPr="00540E7F">
        <w:rPr>
          <w:rFonts w:ascii="Calibri" w:hAnsi="Calibri"/>
          <w:b/>
          <w:bCs/>
          <w:sz w:val="22"/>
          <w:szCs w:val="22"/>
          <w:lang w:val="en-US"/>
        </w:rPr>
        <w:t xml:space="preserve">22. Younge JO, Nauta ST, Akkerhuis KM, Deckers JW, van Domburg RT. Effect of Anemia on Short- and Long-Term Outcome in Patients Hospitalized for Acute Coronary Syndromes. Am J Cardiol 2012;109:506-510. </w:t>
      </w:r>
    </w:p>
    <w:p w:rsidR="00540E7F" w:rsidRPr="00540E7F" w:rsidRDefault="00540E7F">
      <w:pPr>
        <w:pStyle w:val="NormalWeb"/>
        <w:spacing w:line="480" w:lineRule="auto"/>
        <w:divId w:val="916671609"/>
        <w:rPr>
          <w:rFonts w:ascii="Calibri" w:hAnsi="Calibri"/>
          <w:b/>
          <w:bCs/>
          <w:sz w:val="22"/>
          <w:szCs w:val="22"/>
          <w:lang w:val="en-US"/>
        </w:rPr>
      </w:pPr>
      <w:r w:rsidRPr="00540E7F">
        <w:rPr>
          <w:rFonts w:ascii="Calibri" w:hAnsi="Calibri"/>
          <w:b/>
          <w:bCs/>
          <w:sz w:val="22"/>
          <w:szCs w:val="22"/>
          <w:lang w:val="en-US"/>
        </w:rPr>
        <w:t xml:space="preserve">23. Garfinkle M, Lawler PR, Filion KB, Eisenberg MJ. Red blood cell transfusion and mortality among patients hospitalized for acute coronary syndromes: A systematic review. Int J Cardiol 2013;164:151-157. </w:t>
      </w:r>
    </w:p>
    <w:p w:rsidR="00540E7F" w:rsidRPr="00540E7F" w:rsidRDefault="00540E7F">
      <w:pPr>
        <w:pStyle w:val="NormalWeb"/>
        <w:spacing w:line="480" w:lineRule="auto"/>
        <w:divId w:val="916671609"/>
        <w:rPr>
          <w:rFonts w:ascii="Calibri" w:hAnsi="Calibri"/>
          <w:b/>
          <w:bCs/>
          <w:sz w:val="22"/>
          <w:szCs w:val="22"/>
          <w:lang w:val="en-US"/>
        </w:rPr>
      </w:pPr>
      <w:r w:rsidRPr="00540E7F">
        <w:rPr>
          <w:rFonts w:ascii="Calibri" w:hAnsi="Calibri"/>
          <w:b/>
          <w:bCs/>
          <w:sz w:val="22"/>
          <w:szCs w:val="22"/>
          <w:lang w:val="en-US"/>
        </w:rPr>
        <w:t xml:space="preserve">24. Horwich TB, Fonarow GC, Hamilton MA, MacLellan WR, Borenstein J. Anemia is associated with worse symptoms, greater impairment in functional capacity and a significant increase in mortality in patients with advanced heart failure. J Am Coll Cardiol 2002;39:1780-1786. </w:t>
      </w:r>
    </w:p>
    <w:p w:rsidR="00540E7F" w:rsidRPr="00540E7F" w:rsidRDefault="00540E7F">
      <w:pPr>
        <w:pStyle w:val="NormalWeb"/>
        <w:spacing w:line="480" w:lineRule="auto"/>
        <w:divId w:val="916671609"/>
        <w:rPr>
          <w:rFonts w:ascii="Calibri" w:hAnsi="Calibri"/>
          <w:b/>
          <w:bCs/>
          <w:sz w:val="22"/>
          <w:szCs w:val="22"/>
          <w:lang w:val="en-US"/>
        </w:rPr>
      </w:pPr>
      <w:r w:rsidRPr="00540E7F">
        <w:rPr>
          <w:rFonts w:ascii="Calibri" w:hAnsi="Calibri"/>
          <w:b/>
          <w:bCs/>
          <w:sz w:val="22"/>
          <w:szCs w:val="22"/>
          <w:lang w:val="en-US"/>
        </w:rPr>
        <w:t xml:space="preserve">25. Bos MMEM, Bakhshi-Raiez F, Dekker JWT, de Keizer NF, de Jonge E. Outcomes of Intensive Care Unit admissions after elective cancer surgery. European Journal of Surgical Oncology (EJSO) 2013;39:584-592. </w:t>
      </w:r>
    </w:p>
    <w:p w:rsidR="00540E7F" w:rsidRPr="00540E7F" w:rsidRDefault="00540E7F">
      <w:pPr>
        <w:pStyle w:val="NormalWeb"/>
        <w:spacing w:line="480" w:lineRule="auto"/>
        <w:divId w:val="916671609"/>
        <w:rPr>
          <w:rFonts w:ascii="Calibri" w:hAnsi="Calibri"/>
          <w:b/>
          <w:bCs/>
          <w:sz w:val="22"/>
          <w:szCs w:val="22"/>
          <w:lang w:val="en-US"/>
        </w:rPr>
      </w:pPr>
      <w:r w:rsidRPr="00540E7F">
        <w:rPr>
          <w:rFonts w:ascii="Calibri" w:hAnsi="Calibri"/>
          <w:b/>
          <w:bCs/>
          <w:sz w:val="22"/>
          <w:szCs w:val="22"/>
          <w:lang w:val="en-US"/>
        </w:rPr>
        <w:lastRenderedPageBreak/>
        <w:t xml:space="preserve">26. Soares M, Caruso P, Silva E, et al. Characteristics and outcomes of patients with cancer requiring admission to intensive care units: a prospective multicenter study. Critical Care Medicine 2010;38:9-15. </w:t>
      </w:r>
    </w:p>
    <w:p w:rsidR="00540E7F" w:rsidRPr="00540E7F" w:rsidRDefault="00540E7F">
      <w:pPr>
        <w:pStyle w:val="NormalWeb"/>
        <w:spacing w:line="480" w:lineRule="auto"/>
        <w:divId w:val="916671609"/>
        <w:rPr>
          <w:rFonts w:ascii="Calibri" w:hAnsi="Calibri"/>
          <w:b/>
          <w:bCs/>
          <w:sz w:val="22"/>
          <w:szCs w:val="22"/>
          <w:lang w:val="en-US"/>
        </w:rPr>
      </w:pPr>
      <w:r w:rsidRPr="00540E7F">
        <w:rPr>
          <w:rFonts w:ascii="Calibri" w:hAnsi="Calibri"/>
          <w:b/>
          <w:bCs/>
          <w:sz w:val="22"/>
          <w:szCs w:val="22"/>
          <w:lang w:val="en-US"/>
        </w:rPr>
        <w:t xml:space="preserve">27. Panwar A, Smith R, Lydiatt D, et al. Vascularized tissue transfer in head and neck surgery: Is intensive care unit?based management necessary? Laryngoscope 2015:n/a-n/a. </w:t>
      </w:r>
    </w:p>
    <w:p w:rsidR="00540E7F" w:rsidRPr="00540E7F" w:rsidRDefault="00540E7F">
      <w:pPr>
        <w:pStyle w:val="NormalWeb"/>
        <w:spacing w:line="480" w:lineRule="auto"/>
        <w:divId w:val="916671609"/>
        <w:rPr>
          <w:rFonts w:ascii="Calibri" w:hAnsi="Calibri"/>
          <w:b/>
          <w:bCs/>
          <w:sz w:val="22"/>
          <w:szCs w:val="22"/>
          <w:lang w:val="en-US"/>
        </w:rPr>
      </w:pPr>
      <w:r w:rsidRPr="00540E7F">
        <w:rPr>
          <w:rFonts w:ascii="Calibri" w:hAnsi="Calibri"/>
          <w:b/>
          <w:bCs/>
          <w:sz w:val="22"/>
          <w:szCs w:val="22"/>
          <w:lang w:val="en-US"/>
        </w:rPr>
        <w:t xml:space="preserve">28. Clemens MW, Hanson SE, Rao S, Truong A, Liu J, Yu P. Rapid awakening protocol in complex head and neck reconstruction. Head Neck 2015;37:464-470. </w:t>
      </w:r>
    </w:p>
    <w:p w:rsidR="00540E7F" w:rsidRDefault="00540E7F">
      <w:pPr>
        <w:pStyle w:val="NormalWeb"/>
        <w:spacing w:line="480" w:lineRule="auto"/>
        <w:divId w:val="916671609"/>
        <w:rPr>
          <w:rFonts w:ascii="Calibri" w:hAnsi="Calibri"/>
          <w:b/>
          <w:bCs/>
          <w:sz w:val="22"/>
          <w:szCs w:val="22"/>
        </w:rPr>
      </w:pPr>
      <w:r w:rsidRPr="00540E7F">
        <w:rPr>
          <w:rFonts w:ascii="Calibri" w:hAnsi="Calibri"/>
          <w:b/>
          <w:bCs/>
          <w:sz w:val="22"/>
          <w:szCs w:val="22"/>
          <w:lang w:val="en-US"/>
        </w:rPr>
        <w:t xml:space="preserve">29. Arshad H, Ozer HG, Thatcher A, et al. Intensive care unit versus non?intensive care unit postoperative management of head and neck free flaps: Comparative effectiveness and cost comparisons. </w:t>
      </w:r>
      <w:r>
        <w:rPr>
          <w:rFonts w:ascii="Calibri" w:hAnsi="Calibri"/>
          <w:b/>
          <w:bCs/>
          <w:sz w:val="22"/>
          <w:szCs w:val="22"/>
        </w:rPr>
        <w:t xml:space="preserve">Head Neck 2014;36:536-539. </w:t>
      </w:r>
    </w:p>
    <w:p w:rsidR="005618A9" w:rsidRPr="009A4977" w:rsidRDefault="00540E7F" w:rsidP="009A4977">
      <w:pPr>
        <w:rPr>
          <w:b/>
          <w:lang w:val="en-US"/>
        </w:rPr>
      </w:pPr>
      <w:r>
        <w:rPr>
          <w:b/>
          <w:lang w:val="en-US"/>
        </w:rPr>
        <w:fldChar w:fldCharType="end"/>
      </w:r>
    </w:p>
    <w:sectPr w:rsidR="005618A9" w:rsidRPr="009A4977" w:rsidSect="005C0DF2">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2079F" w:rsidRDefault="0032079F" w:rsidP="00C77265">
      <w:pPr>
        <w:spacing w:after="0" w:line="240" w:lineRule="auto"/>
      </w:pPr>
      <w:r>
        <w:separator/>
      </w:r>
    </w:p>
  </w:endnote>
  <w:endnote w:type="continuationSeparator" w:id="0">
    <w:p w:rsidR="0032079F" w:rsidRDefault="0032079F" w:rsidP="00C772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2079F" w:rsidRDefault="0032079F" w:rsidP="00C77265">
      <w:pPr>
        <w:spacing w:after="0" w:line="240" w:lineRule="auto"/>
      </w:pPr>
      <w:r>
        <w:separator/>
      </w:r>
    </w:p>
  </w:footnote>
  <w:footnote w:type="continuationSeparator" w:id="0">
    <w:p w:rsidR="0032079F" w:rsidRDefault="0032079F" w:rsidP="00C7726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BDCCD492"/>
    <w:lvl w:ilvl="0">
      <w:start w:val="1"/>
      <w:numFmt w:val="bullet"/>
      <w:lvlText w:val=""/>
      <w:lvlJc w:val="left"/>
      <w:pPr>
        <w:tabs>
          <w:tab w:val="num" w:pos="0"/>
        </w:tabs>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oNotDisplayPageBoundaries/>
  <w:trackRevisions/>
  <w:defaultTabStop w:val="1304"/>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5AEC"/>
    <w:rsid w:val="000100A8"/>
    <w:rsid w:val="000140DB"/>
    <w:rsid w:val="0001612F"/>
    <w:rsid w:val="00016ED0"/>
    <w:rsid w:val="0003495A"/>
    <w:rsid w:val="000368C9"/>
    <w:rsid w:val="00040214"/>
    <w:rsid w:val="00047F5C"/>
    <w:rsid w:val="00051DB1"/>
    <w:rsid w:val="00055B1C"/>
    <w:rsid w:val="0006457C"/>
    <w:rsid w:val="00094AB3"/>
    <w:rsid w:val="0009578B"/>
    <w:rsid w:val="000A383B"/>
    <w:rsid w:val="000A3EF0"/>
    <w:rsid w:val="000A555C"/>
    <w:rsid w:val="000A773D"/>
    <w:rsid w:val="000B5400"/>
    <w:rsid w:val="000C6B14"/>
    <w:rsid w:val="000F1B5D"/>
    <w:rsid w:val="000F5AEC"/>
    <w:rsid w:val="00155EC1"/>
    <w:rsid w:val="00162D28"/>
    <w:rsid w:val="00170118"/>
    <w:rsid w:val="001A7439"/>
    <w:rsid w:val="001B3015"/>
    <w:rsid w:val="001D074C"/>
    <w:rsid w:val="001D1B4D"/>
    <w:rsid w:val="001D4564"/>
    <w:rsid w:val="001F1B2E"/>
    <w:rsid w:val="001F52A5"/>
    <w:rsid w:val="001F5BCE"/>
    <w:rsid w:val="00223E9A"/>
    <w:rsid w:val="00275FB8"/>
    <w:rsid w:val="002806C3"/>
    <w:rsid w:val="002840BB"/>
    <w:rsid w:val="00285FD7"/>
    <w:rsid w:val="002A330F"/>
    <w:rsid w:val="002C4F42"/>
    <w:rsid w:val="002E3CFC"/>
    <w:rsid w:val="002F1BDD"/>
    <w:rsid w:val="002F5054"/>
    <w:rsid w:val="00311727"/>
    <w:rsid w:val="00317BCD"/>
    <w:rsid w:val="0032079F"/>
    <w:rsid w:val="003252DA"/>
    <w:rsid w:val="00330E22"/>
    <w:rsid w:val="003329B3"/>
    <w:rsid w:val="00353519"/>
    <w:rsid w:val="0035708C"/>
    <w:rsid w:val="003614BA"/>
    <w:rsid w:val="00380A13"/>
    <w:rsid w:val="003D7D22"/>
    <w:rsid w:val="003E50D3"/>
    <w:rsid w:val="00411FDD"/>
    <w:rsid w:val="00425D68"/>
    <w:rsid w:val="0043518F"/>
    <w:rsid w:val="00436A71"/>
    <w:rsid w:val="004401E1"/>
    <w:rsid w:val="004619EF"/>
    <w:rsid w:val="00463E9B"/>
    <w:rsid w:val="00482A99"/>
    <w:rsid w:val="004C4F79"/>
    <w:rsid w:val="004F5708"/>
    <w:rsid w:val="0050027B"/>
    <w:rsid w:val="005133F9"/>
    <w:rsid w:val="005323ED"/>
    <w:rsid w:val="00540E7F"/>
    <w:rsid w:val="0054723B"/>
    <w:rsid w:val="005618A9"/>
    <w:rsid w:val="00585FC4"/>
    <w:rsid w:val="005A6C9F"/>
    <w:rsid w:val="005C0DF2"/>
    <w:rsid w:val="005D065C"/>
    <w:rsid w:val="006053A0"/>
    <w:rsid w:val="00612B60"/>
    <w:rsid w:val="0061788C"/>
    <w:rsid w:val="006306D3"/>
    <w:rsid w:val="0064085B"/>
    <w:rsid w:val="006472A9"/>
    <w:rsid w:val="00683494"/>
    <w:rsid w:val="0069078A"/>
    <w:rsid w:val="006B6EFC"/>
    <w:rsid w:val="006C0A57"/>
    <w:rsid w:val="006D07AE"/>
    <w:rsid w:val="00723095"/>
    <w:rsid w:val="00726FC8"/>
    <w:rsid w:val="007657CD"/>
    <w:rsid w:val="00767FC7"/>
    <w:rsid w:val="007705E3"/>
    <w:rsid w:val="007A20E8"/>
    <w:rsid w:val="007A7D77"/>
    <w:rsid w:val="007C7C19"/>
    <w:rsid w:val="007D5D87"/>
    <w:rsid w:val="007F13D7"/>
    <w:rsid w:val="007F71C9"/>
    <w:rsid w:val="00810464"/>
    <w:rsid w:val="008116E0"/>
    <w:rsid w:val="00821932"/>
    <w:rsid w:val="00845741"/>
    <w:rsid w:val="008614F5"/>
    <w:rsid w:val="00875235"/>
    <w:rsid w:val="008A2CAB"/>
    <w:rsid w:val="008A48E9"/>
    <w:rsid w:val="008E7340"/>
    <w:rsid w:val="008F0657"/>
    <w:rsid w:val="0094556F"/>
    <w:rsid w:val="0095306B"/>
    <w:rsid w:val="00966BFC"/>
    <w:rsid w:val="00975BDA"/>
    <w:rsid w:val="00982B29"/>
    <w:rsid w:val="009A4977"/>
    <w:rsid w:val="009B08B1"/>
    <w:rsid w:val="009B3738"/>
    <w:rsid w:val="009C538E"/>
    <w:rsid w:val="009C5B83"/>
    <w:rsid w:val="009C7167"/>
    <w:rsid w:val="009D3C9E"/>
    <w:rsid w:val="009E28EF"/>
    <w:rsid w:val="009F64AD"/>
    <w:rsid w:val="00A0154A"/>
    <w:rsid w:val="00A27DAF"/>
    <w:rsid w:val="00A31D30"/>
    <w:rsid w:val="00A42401"/>
    <w:rsid w:val="00A5676D"/>
    <w:rsid w:val="00A61889"/>
    <w:rsid w:val="00A75C71"/>
    <w:rsid w:val="00A76C8F"/>
    <w:rsid w:val="00A8057E"/>
    <w:rsid w:val="00A864D8"/>
    <w:rsid w:val="00A93055"/>
    <w:rsid w:val="00AA5CC0"/>
    <w:rsid w:val="00AB600E"/>
    <w:rsid w:val="00AC480F"/>
    <w:rsid w:val="00AE5A8D"/>
    <w:rsid w:val="00AF3946"/>
    <w:rsid w:val="00B42935"/>
    <w:rsid w:val="00B45BF3"/>
    <w:rsid w:val="00B516E0"/>
    <w:rsid w:val="00B65F0C"/>
    <w:rsid w:val="00B91D65"/>
    <w:rsid w:val="00B96785"/>
    <w:rsid w:val="00BA2ADB"/>
    <w:rsid w:val="00BE4790"/>
    <w:rsid w:val="00BE4C7B"/>
    <w:rsid w:val="00BF77F6"/>
    <w:rsid w:val="00C01061"/>
    <w:rsid w:val="00C13AB6"/>
    <w:rsid w:val="00C1512F"/>
    <w:rsid w:val="00C17405"/>
    <w:rsid w:val="00C27926"/>
    <w:rsid w:val="00C363AD"/>
    <w:rsid w:val="00C51771"/>
    <w:rsid w:val="00C54628"/>
    <w:rsid w:val="00C77265"/>
    <w:rsid w:val="00C82F4E"/>
    <w:rsid w:val="00C930AF"/>
    <w:rsid w:val="00CA20AA"/>
    <w:rsid w:val="00CA574F"/>
    <w:rsid w:val="00CC2809"/>
    <w:rsid w:val="00D22172"/>
    <w:rsid w:val="00D22E98"/>
    <w:rsid w:val="00D26562"/>
    <w:rsid w:val="00D3075E"/>
    <w:rsid w:val="00D3307E"/>
    <w:rsid w:val="00D45B6F"/>
    <w:rsid w:val="00D542E7"/>
    <w:rsid w:val="00D61C5D"/>
    <w:rsid w:val="00D67D89"/>
    <w:rsid w:val="00DB1876"/>
    <w:rsid w:val="00DF1852"/>
    <w:rsid w:val="00DF2A28"/>
    <w:rsid w:val="00DF6394"/>
    <w:rsid w:val="00DF7363"/>
    <w:rsid w:val="00E1204E"/>
    <w:rsid w:val="00E13109"/>
    <w:rsid w:val="00E17604"/>
    <w:rsid w:val="00E31442"/>
    <w:rsid w:val="00E31A71"/>
    <w:rsid w:val="00E361F7"/>
    <w:rsid w:val="00E45792"/>
    <w:rsid w:val="00E60D6B"/>
    <w:rsid w:val="00E64BE7"/>
    <w:rsid w:val="00E94D1C"/>
    <w:rsid w:val="00EA51ED"/>
    <w:rsid w:val="00EB1671"/>
    <w:rsid w:val="00EC143E"/>
    <w:rsid w:val="00EC57C5"/>
    <w:rsid w:val="00F34BE8"/>
    <w:rsid w:val="00F40DDF"/>
    <w:rsid w:val="00F545FB"/>
    <w:rsid w:val="00F67FDF"/>
    <w:rsid w:val="00F7497C"/>
    <w:rsid w:val="00F838F4"/>
    <w:rsid w:val="00F95A62"/>
    <w:rsid w:val="00FD0E81"/>
    <w:rsid w:val="00FE6D0C"/>
    <w:rsid w:val="00FE780E"/>
    <w:rsid w:val="00FF301B"/>
  </w:rsids>
  <m:mathPr>
    <m:mathFont m:val="Cambria Math"/>
    <m:brkBin m:val="before"/>
    <m:brkBinSub m:val="--"/>
    <m:smallFrac m:val="0"/>
    <m:dispDef m:val="0"/>
    <m:lMargin m:val="0"/>
    <m:rMargin m:val="0"/>
    <m:defJc m:val="centerGroup"/>
    <m:wrapRight/>
    <m:intLim m:val="subSup"/>
    <m:naryLim m:val="subSup"/>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CFC09DF-85EA-42F9-9972-3C379C887C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fi-FI"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C0DF2"/>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rsid w:val="00D3075E"/>
    <w:pPr>
      <w:spacing w:before="100" w:beforeAutospacing="1" w:after="100" w:afterAutospacing="1" w:line="240" w:lineRule="auto"/>
    </w:pPr>
    <w:rPr>
      <w:rFonts w:ascii="Times New Roman" w:eastAsia="MS Mincho" w:hAnsi="Times New Roman"/>
      <w:sz w:val="24"/>
      <w:szCs w:val="24"/>
      <w:lang w:eastAsia="fi-FI"/>
    </w:rPr>
  </w:style>
  <w:style w:type="paragraph" w:styleId="Header">
    <w:name w:val="header"/>
    <w:basedOn w:val="Normal"/>
    <w:link w:val="HeaderChar"/>
    <w:uiPriority w:val="99"/>
    <w:rsid w:val="00C77265"/>
    <w:pPr>
      <w:tabs>
        <w:tab w:val="center" w:pos="4819"/>
        <w:tab w:val="right" w:pos="9638"/>
      </w:tabs>
      <w:spacing w:after="0" w:line="240" w:lineRule="auto"/>
    </w:pPr>
  </w:style>
  <w:style w:type="character" w:customStyle="1" w:styleId="HeaderChar">
    <w:name w:val="Header Char"/>
    <w:basedOn w:val="DefaultParagraphFont"/>
    <w:link w:val="Header"/>
    <w:uiPriority w:val="99"/>
    <w:rsid w:val="00C77265"/>
    <w:rPr>
      <w:rFonts w:cs="Times New Roman"/>
      <w:sz w:val="22"/>
      <w:lang w:eastAsia="en-US"/>
    </w:rPr>
  </w:style>
  <w:style w:type="paragraph" w:styleId="Footer">
    <w:name w:val="footer"/>
    <w:basedOn w:val="Normal"/>
    <w:link w:val="FooterChar"/>
    <w:uiPriority w:val="99"/>
    <w:semiHidden/>
    <w:rsid w:val="00C77265"/>
    <w:pPr>
      <w:tabs>
        <w:tab w:val="center" w:pos="4819"/>
        <w:tab w:val="right" w:pos="9638"/>
      </w:tabs>
      <w:spacing w:after="0" w:line="240" w:lineRule="auto"/>
    </w:pPr>
  </w:style>
  <w:style w:type="character" w:customStyle="1" w:styleId="FooterChar">
    <w:name w:val="Footer Char"/>
    <w:basedOn w:val="DefaultParagraphFont"/>
    <w:link w:val="Footer"/>
    <w:uiPriority w:val="99"/>
    <w:rsid w:val="00C77265"/>
    <w:rPr>
      <w:rFonts w:cs="Times New Roman"/>
      <w:sz w:val="22"/>
      <w:lang w:eastAsia="en-US"/>
    </w:rPr>
  </w:style>
  <w:style w:type="paragraph" w:styleId="BalloonText">
    <w:name w:val="Balloon Text"/>
    <w:basedOn w:val="Normal"/>
    <w:link w:val="BalloonTextChar"/>
    <w:uiPriority w:val="99"/>
    <w:semiHidden/>
    <w:rsid w:val="00A8057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8057E"/>
    <w:rPr>
      <w:rFonts w:ascii="Tahoma" w:hAnsi="Tahoma" w:cs="Tahoma"/>
      <w:sz w:val="16"/>
      <w:lang w:eastAsia="en-US"/>
    </w:rPr>
  </w:style>
  <w:style w:type="character" w:styleId="CommentReference">
    <w:name w:val="annotation reference"/>
    <w:basedOn w:val="DefaultParagraphFont"/>
    <w:uiPriority w:val="99"/>
    <w:semiHidden/>
    <w:unhideWhenUsed/>
    <w:rsid w:val="00B91D65"/>
    <w:rPr>
      <w:sz w:val="16"/>
      <w:szCs w:val="16"/>
    </w:rPr>
  </w:style>
  <w:style w:type="paragraph" w:styleId="CommentText">
    <w:name w:val="annotation text"/>
    <w:basedOn w:val="Normal"/>
    <w:link w:val="CommentTextChar"/>
    <w:uiPriority w:val="99"/>
    <w:semiHidden/>
    <w:unhideWhenUsed/>
    <w:rsid w:val="00B91D65"/>
    <w:rPr>
      <w:sz w:val="20"/>
      <w:szCs w:val="20"/>
    </w:rPr>
  </w:style>
  <w:style w:type="character" w:customStyle="1" w:styleId="CommentTextChar">
    <w:name w:val="Comment Text Char"/>
    <w:basedOn w:val="DefaultParagraphFont"/>
    <w:link w:val="CommentText"/>
    <w:uiPriority w:val="99"/>
    <w:semiHidden/>
    <w:rsid w:val="00B91D65"/>
  </w:style>
  <w:style w:type="paragraph" w:styleId="CommentSubject">
    <w:name w:val="annotation subject"/>
    <w:basedOn w:val="CommentText"/>
    <w:next w:val="CommentText"/>
    <w:link w:val="CommentSubjectChar"/>
    <w:uiPriority w:val="99"/>
    <w:semiHidden/>
    <w:unhideWhenUsed/>
    <w:rsid w:val="00B91D65"/>
    <w:rPr>
      <w:b/>
      <w:bCs/>
    </w:rPr>
  </w:style>
  <w:style w:type="character" w:customStyle="1" w:styleId="CommentSubjectChar">
    <w:name w:val="Comment Subject Char"/>
    <w:basedOn w:val="CommentTextChar"/>
    <w:link w:val="CommentSubject"/>
    <w:uiPriority w:val="99"/>
    <w:semiHidden/>
    <w:rsid w:val="00B91D6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06934">
      <w:bodyDiv w:val="1"/>
      <w:marLeft w:val="0"/>
      <w:marRight w:val="0"/>
      <w:marTop w:val="0"/>
      <w:marBottom w:val="0"/>
      <w:divBdr>
        <w:top w:val="none" w:sz="0" w:space="0" w:color="auto"/>
        <w:left w:val="none" w:sz="0" w:space="0" w:color="auto"/>
        <w:bottom w:val="none" w:sz="0" w:space="0" w:color="auto"/>
        <w:right w:val="none" w:sz="0" w:space="0" w:color="auto"/>
      </w:divBdr>
    </w:div>
    <w:div w:id="82607658">
      <w:bodyDiv w:val="1"/>
      <w:marLeft w:val="0"/>
      <w:marRight w:val="0"/>
      <w:marTop w:val="0"/>
      <w:marBottom w:val="0"/>
      <w:divBdr>
        <w:top w:val="none" w:sz="0" w:space="0" w:color="auto"/>
        <w:left w:val="none" w:sz="0" w:space="0" w:color="auto"/>
        <w:bottom w:val="none" w:sz="0" w:space="0" w:color="auto"/>
        <w:right w:val="none" w:sz="0" w:space="0" w:color="auto"/>
      </w:divBdr>
    </w:div>
    <w:div w:id="129714241">
      <w:bodyDiv w:val="1"/>
      <w:marLeft w:val="0"/>
      <w:marRight w:val="0"/>
      <w:marTop w:val="0"/>
      <w:marBottom w:val="0"/>
      <w:divBdr>
        <w:top w:val="none" w:sz="0" w:space="0" w:color="auto"/>
        <w:left w:val="none" w:sz="0" w:space="0" w:color="auto"/>
        <w:bottom w:val="none" w:sz="0" w:space="0" w:color="auto"/>
        <w:right w:val="none" w:sz="0" w:space="0" w:color="auto"/>
      </w:divBdr>
    </w:div>
    <w:div w:id="158275856">
      <w:bodyDiv w:val="1"/>
      <w:marLeft w:val="0"/>
      <w:marRight w:val="0"/>
      <w:marTop w:val="0"/>
      <w:marBottom w:val="0"/>
      <w:divBdr>
        <w:top w:val="none" w:sz="0" w:space="0" w:color="auto"/>
        <w:left w:val="none" w:sz="0" w:space="0" w:color="auto"/>
        <w:bottom w:val="none" w:sz="0" w:space="0" w:color="auto"/>
        <w:right w:val="none" w:sz="0" w:space="0" w:color="auto"/>
      </w:divBdr>
    </w:div>
    <w:div w:id="169956727">
      <w:bodyDiv w:val="1"/>
      <w:marLeft w:val="0"/>
      <w:marRight w:val="0"/>
      <w:marTop w:val="0"/>
      <w:marBottom w:val="0"/>
      <w:divBdr>
        <w:top w:val="none" w:sz="0" w:space="0" w:color="auto"/>
        <w:left w:val="none" w:sz="0" w:space="0" w:color="auto"/>
        <w:bottom w:val="none" w:sz="0" w:space="0" w:color="auto"/>
        <w:right w:val="none" w:sz="0" w:space="0" w:color="auto"/>
      </w:divBdr>
    </w:div>
    <w:div w:id="203056377">
      <w:bodyDiv w:val="1"/>
      <w:marLeft w:val="0"/>
      <w:marRight w:val="0"/>
      <w:marTop w:val="0"/>
      <w:marBottom w:val="0"/>
      <w:divBdr>
        <w:top w:val="none" w:sz="0" w:space="0" w:color="auto"/>
        <w:left w:val="none" w:sz="0" w:space="0" w:color="auto"/>
        <w:bottom w:val="none" w:sz="0" w:space="0" w:color="auto"/>
        <w:right w:val="none" w:sz="0" w:space="0" w:color="auto"/>
      </w:divBdr>
      <w:divsChild>
        <w:div w:id="1649822783">
          <w:marLeft w:val="0"/>
          <w:marRight w:val="0"/>
          <w:marTop w:val="0"/>
          <w:marBottom w:val="0"/>
          <w:divBdr>
            <w:top w:val="none" w:sz="0" w:space="0" w:color="auto"/>
            <w:left w:val="none" w:sz="0" w:space="0" w:color="auto"/>
            <w:bottom w:val="none" w:sz="0" w:space="0" w:color="auto"/>
            <w:right w:val="none" w:sz="0" w:space="0" w:color="auto"/>
          </w:divBdr>
        </w:div>
        <w:div w:id="1881622853">
          <w:marLeft w:val="0"/>
          <w:marRight w:val="0"/>
          <w:marTop w:val="0"/>
          <w:marBottom w:val="0"/>
          <w:divBdr>
            <w:top w:val="none" w:sz="0" w:space="0" w:color="auto"/>
            <w:left w:val="none" w:sz="0" w:space="0" w:color="auto"/>
            <w:bottom w:val="none" w:sz="0" w:space="0" w:color="auto"/>
            <w:right w:val="none" w:sz="0" w:space="0" w:color="auto"/>
          </w:divBdr>
        </w:div>
        <w:div w:id="1695840279">
          <w:marLeft w:val="0"/>
          <w:marRight w:val="0"/>
          <w:marTop w:val="0"/>
          <w:marBottom w:val="0"/>
          <w:divBdr>
            <w:top w:val="none" w:sz="0" w:space="0" w:color="auto"/>
            <w:left w:val="none" w:sz="0" w:space="0" w:color="auto"/>
            <w:bottom w:val="none" w:sz="0" w:space="0" w:color="auto"/>
            <w:right w:val="none" w:sz="0" w:space="0" w:color="auto"/>
          </w:divBdr>
        </w:div>
        <w:div w:id="1888101154">
          <w:marLeft w:val="0"/>
          <w:marRight w:val="0"/>
          <w:marTop w:val="0"/>
          <w:marBottom w:val="0"/>
          <w:divBdr>
            <w:top w:val="none" w:sz="0" w:space="0" w:color="auto"/>
            <w:left w:val="none" w:sz="0" w:space="0" w:color="auto"/>
            <w:bottom w:val="none" w:sz="0" w:space="0" w:color="auto"/>
            <w:right w:val="none" w:sz="0" w:space="0" w:color="auto"/>
          </w:divBdr>
        </w:div>
        <w:div w:id="592129794">
          <w:marLeft w:val="0"/>
          <w:marRight w:val="0"/>
          <w:marTop w:val="0"/>
          <w:marBottom w:val="0"/>
          <w:divBdr>
            <w:top w:val="none" w:sz="0" w:space="0" w:color="auto"/>
            <w:left w:val="none" w:sz="0" w:space="0" w:color="auto"/>
            <w:bottom w:val="none" w:sz="0" w:space="0" w:color="auto"/>
            <w:right w:val="none" w:sz="0" w:space="0" w:color="auto"/>
          </w:divBdr>
        </w:div>
        <w:div w:id="1431731837">
          <w:marLeft w:val="0"/>
          <w:marRight w:val="0"/>
          <w:marTop w:val="0"/>
          <w:marBottom w:val="0"/>
          <w:divBdr>
            <w:top w:val="none" w:sz="0" w:space="0" w:color="auto"/>
            <w:left w:val="none" w:sz="0" w:space="0" w:color="auto"/>
            <w:bottom w:val="none" w:sz="0" w:space="0" w:color="auto"/>
            <w:right w:val="none" w:sz="0" w:space="0" w:color="auto"/>
          </w:divBdr>
        </w:div>
        <w:div w:id="596641571">
          <w:marLeft w:val="0"/>
          <w:marRight w:val="0"/>
          <w:marTop w:val="0"/>
          <w:marBottom w:val="0"/>
          <w:divBdr>
            <w:top w:val="none" w:sz="0" w:space="0" w:color="auto"/>
            <w:left w:val="none" w:sz="0" w:space="0" w:color="auto"/>
            <w:bottom w:val="none" w:sz="0" w:space="0" w:color="auto"/>
            <w:right w:val="none" w:sz="0" w:space="0" w:color="auto"/>
          </w:divBdr>
        </w:div>
        <w:div w:id="743573277">
          <w:marLeft w:val="0"/>
          <w:marRight w:val="0"/>
          <w:marTop w:val="0"/>
          <w:marBottom w:val="0"/>
          <w:divBdr>
            <w:top w:val="none" w:sz="0" w:space="0" w:color="auto"/>
            <w:left w:val="none" w:sz="0" w:space="0" w:color="auto"/>
            <w:bottom w:val="none" w:sz="0" w:space="0" w:color="auto"/>
            <w:right w:val="none" w:sz="0" w:space="0" w:color="auto"/>
          </w:divBdr>
        </w:div>
        <w:div w:id="1475753413">
          <w:marLeft w:val="0"/>
          <w:marRight w:val="0"/>
          <w:marTop w:val="0"/>
          <w:marBottom w:val="0"/>
          <w:divBdr>
            <w:top w:val="none" w:sz="0" w:space="0" w:color="auto"/>
            <w:left w:val="none" w:sz="0" w:space="0" w:color="auto"/>
            <w:bottom w:val="none" w:sz="0" w:space="0" w:color="auto"/>
            <w:right w:val="none" w:sz="0" w:space="0" w:color="auto"/>
          </w:divBdr>
        </w:div>
      </w:divsChild>
    </w:div>
    <w:div w:id="217711452">
      <w:bodyDiv w:val="1"/>
      <w:marLeft w:val="0"/>
      <w:marRight w:val="0"/>
      <w:marTop w:val="0"/>
      <w:marBottom w:val="0"/>
      <w:divBdr>
        <w:top w:val="none" w:sz="0" w:space="0" w:color="auto"/>
        <w:left w:val="none" w:sz="0" w:space="0" w:color="auto"/>
        <w:bottom w:val="none" w:sz="0" w:space="0" w:color="auto"/>
        <w:right w:val="none" w:sz="0" w:space="0" w:color="auto"/>
      </w:divBdr>
    </w:div>
    <w:div w:id="405033331">
      <w:bodyDiv w:val="1"/>
      <w:marLeft w:val="0"/>
      <w:marRight w:val="0"/>
      <w:marTop w:val="0"/>
      <w:marBottom w:val="0"/>
      <w:divBdr>
        <w:top w:val="none" w:sz="0" w:space="0" w:color="auto"/>
        <w:left w:val="none" w:sz="0" w:space="0" w:color="auto"/>
        <w:bottom w:val="none" w:sz="0" w:space="0" w:color="auto"/>
        <w:right w:val="none" w:sz="0" w:space="0" w:color="auto"/>
      </w:divBdr>
    </w:div>
    <w:div w:id="448865485">
      <w:bodyDiv w:val="1"/>
      <w:marLeft w:val="0"/>
      <w:marRight w:val="0"/>
      <w:marTop w:val="0"/>
      <w:marBottom w:val="0"/>
      <w:divBdr>
        <w:top w:val="none" w:sz="0" w:space="0" w:color="auto"/>
        <w:left w:val="none" w:sz="0" w:space="0" w:color="auto"/>
        <w:bottom w:val="none" w:sz="0" w:space="0" w:color="auto"/>
        <w:right w:val="none" w:sz="0" w:space="0" w:color="auto"/>
      </w:divBdr>
    </w:div>
    <w:div w:id="751782971">
      <w:bodyDiv w:val="1"/>
      <w:marLeft w:val="0"/>
      <w:marRight w:val="0"/>
      <w:marTop w:val="0"/>
      <w:marBottom w:val="0"/>
      <w:divBdr>
        <w:top w:val="none" w:sz="0" w:space="0" w:color="auto"/>
        <w:left w:val="none" w:sz="0" w:space="0" w:color="auto"/>
        <w:bottom w:val="none" w:sz="0" w:space="0" w:color="auto"/>
        <w:right w:val="none" w:sz="0" w:space="0" w:color="auto"/>
      </w:divBdr>
    </w:div>
    <w:div w:id="755445522">
      <w:bodyDiv w:val="1"/>
      <w:marLeft w:val="0"/>
      <w:marRight w:val="0"/>
      <w:marTop w:val="0"/>
      <w:marBottom w:val="0"/>
      <w:divBdr>
        <w:top w:val="none" w:sz="0" w:space="0" w:color="auto"/>
        <w:left w:val="none" w:sz="0" w:space="0" w:color="auto"/>
        <w:bottom w:val="none" w:sz="0" w:space="0" w:color="auto"/>
        <w:right w:val="none" w:sz="0" w:space="0" w:color="auto"/>
      </w:divBdr>
    </w:div>
    <w:div w:id="824977227">
      <w:bodyDiv w:val="1"/>
      <w:marLeft w:val="0"/>
      <w:marRight w:val="0"/>
      <w:marTop w:val="0"/>
      <w:marBottom w:val="0"/>
      <w:divBdr>
        <w:top w:val="none" w:sz="0" w:space="0" w:color="auto"/>
        <w:left w:val="none" w:sz="0" w:space="0" w:color="auto"/>
        <w:bottom w:val="none" w:sz="0" w:space="0" w:color="auto"/>
        <w:right w:val="none" w:sz="0" w:space="0" w:color="auto"/>
      </w:divBdr>
    </w:div>
    <w:div w:id="850267562">
      <w:bodyDiv w:val="1"/>
      <w:marLeft w:val="0"/>
      <w:marRight w:val="0"/>
      <w:marTop w:val="0"/>
      <w:marBottom w:val="0"/>
      <w:divBdr>
        <w:top w:val="none" w:sz="0" w:space="0" w:color="auto"/>
        <w:left w:val="none" w:sz="0" w:space="0" w:color="auto"/>
        <w:bottom w:val="none" w:sz="0" w:space="0" w:color="auto"/>
        <w:right w:val="none" w:sz="0" w:space="0" w:color="auto"/>
      </w:divBdr>
    </w:div>
    <w:div w:id="868185928">
      <w:bodyDiv w:val="1"/>
      <w:marLeft w:val="0"/>
      <w:marRight w:val="0"/>
      <w:marTop w:val="0"/>
      <w:marBottom w:val="0"/>
      <w:divBdr>
        <w:top w:val="none" w:sz="0" w:space="0" w:color="auto"/>
        <w:left w:val="none" w:sz="0" w:space="0" w:color="auto"/>
        <w:bottom w:val="none" w:sz="0" w:space="0" w:color="auto"/>
        <w:right w:val="none" w:sz="0" w:space="0" w:color="auto"/>
      </w:divBdr>
    </w:div>
    <w:div w:id="916671609">
      <w:bodyDiv w:val="1"/>
      <w:marLeft w:val="0"/>
      <w:marRight w:val="0"/>
      <w:marTop w:val="0"/>
      <w:marBottom w:val="0"/>
      <w:divBdr>
        <w:top w:val="none" w:sz="0" w:space="0" w:color="auto"/>
        <w:left w:val="none" w:sz="0" w:space="0" w:color="auto"/>
        <w:bottom w:val="none" w:sz="0" w:space="0" w:color="auto"/>
        <w:right w:val="none" w:sz="0" w:space="0" w:color="auto"/>
      </w:divBdr>
    </w:div>
    <w:div w:id="926814819">
      <w:bodyDiv w:val="1"/>
      <w:marLeft w:val="0"/>
      <w:marRight w:val="0"/>
      <w:marTop w:val="0"/>
      <w:marBottom w:val="0"/>
      <w:divBdr>
        <w:top w:val="none" w:sz="0" w:space="0" w:color="auto"/>
        <w:left w:val="none" w:sz="0" w:space="0" w:color="auto"/>
        <w:bottom w:val="none" w:sz="0" w:space="0" w:color="auto"/>
        <w:right w:val="none" w:sz="0" w:space="0" w:color="auto"/>
      </w:divBdr>
    </w:div>
    <w:div w:id="971402789">
      <w:bodyDiv w:val="1"/>
      <w:marLeft w:val="0"/>
      <w:marRight w:val="0"/>
      <w:marTop w:val="0"/>
      <w:marBottom w:val="0"/>
      <w:divBdr>
        <w:top w:val="none" w:sz="0" w:space="0" w:color="auto"/>
        <w:left w:val="none" w:sz="0" w:space="0" w:color="auto"/>
        <w:bottom w:val="none" w:sz="0" w:space="0" w:color="auto"/>
        <w:right w:val="none" w:sz="0" w:space="0" w:color="auto"/>
      </w:divBdr>
      <w:divsChild>
        <w:div w:id="1654797955">
          <w:marLeft w:val="0"/>
          <w:marRight w:val="0"/>
          <w:marTop w:val="0"/>
          <w:marBottom w:val="0"/>
          <w:divBdr>
            <w:top w:val="none" w:sz="0" w:space="0" w:color="auto"/>
            <w:left w:val="none" w:sz="0" w:space="0" w:color="auto"/>
            <w:bottom w:val="none" w:sz="0" w:space="0" w:color="auto"/>
            <w:right w:val="none" w:sz="0" w:space="0" w:color="auto"/>
          </w:divBdr>
        </w:div>
        <w:div w:id="1183860942">
          <w:marLeft w:val="0"/>
          <w:marRight w:val="0"/>
          <w:marTop w:val="0"/>
          <w:marBottom w:val="0"/>
          <w:divBdr>
            <w:top w:val="none" w:sz="0" w:space="0" w:color="auto"/>
            <w:left w:val="none" w:sz="0" w:space="0" w:color="auto"/>
            <w:bottom w:val="none" w:sz="0" w:space="0" w:color="auto"/>
            <w:right w:val="none" w:sz="0" w:space="0" w:color="auto"/>
          </w:divBdr>
        </w:div>
        <w:div w:id="420642739">
          <w:marLeft w:val="0"/>
          <w:marRight w:val="0"/>
          <w:marTop w:val="0"/>
          <w:marBottom w:val="0"/>
          <w:divBdr>
            <w:top w:val="none" w:sz="0" w:space="0" w:color="auto"/>
            <w:left w:val="none" w:sz="0" w:space="0" w:color="auto"/>
            <w:bottom w:val="none" w:sz="0" w:space="0" w:color="auto"/>
            <w:right w:val="none" w:sz="0" w:space="0" w:color="auto"/>
          </w:divBdr>
        </w:div>
      </w:divsChild>
    </w:div>
    <w:div w:id="1106922769">
      <w:bodyDiv w:val="1"/>
      <w:marLeft w:val="0"/>
      <w:marRight w:val="0"/>
      <w:marTop w:val="0"/>
      <w:marBottom w:val="0"/>
      <w:divBdr>
        <w:top w:val="none" w:sz="0" w:space="0" w:color="auto"/>
        <w:left w:val="none" w:sz="0" w:space="0" w:color="auto"/>
        <w:bottom w:val="none" w:sz="0" w:space="0" w:color="auto"/>
        <w:right w:val="none" w:sz="0" w:space="0" w:color="auto"/>
      </w:divBdr>
    </w:div>
    <w:div w:id="1119377150">
      <w:bodyDiv w:val="1"/>
      <w:marLeft w:val="0"/>
      <w:marRight w:val="0"/>
      <w:marTop w:val="0"/>
      <w:marBottom w:val="0"/>
      <w:divBdr>
        <w:top w:val="none" w:sz="0" w:space="0" w:color="auto"/>
        <w:left w:val="none" w:sz="0" w:space="0" w:color="auto"/>
        <w:bottom w:val="none" w:sz="0" w:space="0" w:color="auto"/>
        <w:right w:val="none" w:sz="0" w:space="0" w:color="auto"/>
      </w:divBdr>
    </w:div>
    <w:div w:id="1239680215">
      <w:bodyDiv w:val="1"/>
      <w:marLeft w:val="0"/>
      <w:marRight w:val="0"/>
      <w:marTop w:val="0"/>
      <w:marBottom w:val="0"/>
      <w:divBdr>
        <w:top w:val="none" w:sz="0" w:space="0" w:color="auto"/>
        <w:left w:val="none" w:sz="0" w:space="0" w:color="auto"/>
        <w:bottom w:val="none" w:sz="0" w:space="0" w:color="auto"/>
        <w:right w:val="none" w:sz="0" w:space="0" w:color="auto"/>
      </w:divBdr>
      <w:divsChild>
        <w:div w:id="726534169">
          <w:marLeft w:val="0"/>
          <w:marRight w:val="0"/>
          <w:marTop w:val="0"/>
          <w:marBottom w:val="0"/>
          <w:divBdr>
            <w:top w:val="none" w:sz="0" w:space="0" w:color="auto"/>
            <w:left w:val="none" w:sz="0" w:space="0" w:color="auto"/>
            <w:bottom w:val="none" w:sz="0" w:space="0" w:color="auto"/>
            <w:right w:val="none" w:sz="0" w:space="0" w:color="auto"/>
          </w:divBdr>
        </w:div>
        <w:div w:id="2110393541">
          <w:marLeft w:val="0"/>
          <w:marRight w:val="0"/>
          <w:marTop w:val="0"/>
          <w:marBottom w:val="0"/>
          <w:divBdr>
            <w:top w:val="none" w:sz="0" w:space="0" w:color="auto"/>
            <w:left w:val="none" w:sz="0" w:space="0" w:color="auto"/>
            <w:bottom w:val="none" w:sz="0" w:space="0" w:color="auto"/>
            <w:right w:val="none" w:sz="0" w:space="0" w:color="auto"/>
          </w:divBdr>
        </w:div>
        <w:div w:id="706830055">
          <w:marLeft w:val="0"/>
          <w:marRight w:val="0"/>
          <w:marTop w:val="0"/>
          <w:marBottom w:val="0"/>
          <w:divBdr>
            <w:top w:val="none" w:sz="0" w:space="0" w:color="auto"/>
            <w:left w:val="none" w:sz="0" w:space="0" w:color="auto"/>
            <w:bottom w:val="none" w:sz="0" w:space="0" w:color="auto"/>
            <w:right w:val="none" w:sz="0" w:space="0" w:color="auto"/>
          </w:divBdr>
        </w:div>
        <w:div w:id="446854143">
          <w:marLeft w:val="0"/>
          <w:marRight w:val="0"/>
          <w:marTop w:val="0"/>
          <w:marBottom w:val="0"/>
          <w:divBdr>
            <w:top w:val="none" w:sz="0" w:space="0" w:color="auto"/>
            <w:left w:val="none" w:sz="0" w:space="0" w:color="auto"/>
            <w:bottom w:val="none" w:sz="0" w:space="0" w:color="auto"/>
            <w:right w:val="none" w:sz="0" w:space="0" w:color="auto"/>
          </w:divBdr>
        </w:div>
      </w:divsChild>
    </w:div>
    <w:div w:id="1260604568">
      <w:bodyDiv w:val="1"/>
      <w:marLeft w:val="0"/>
      <w:marRight w:val="0"/>
      <w:marTop w:val="0"/>
      <w:marBottom w:val="0"/>
      <w:divBdr>
        <w:top w:val="none" w:sz="0" w:space="0" w:color="auto"/>
        <w:left w:val="none" w:sz="0" w:space="0" w:color="auto"/>
        <w:bottom w:val="none" w:sz="0" w:space="0" w:color="auto"/>
        <w:right w:val="none" w:sz="0" w:space="0" w:color="auto"/>
      </w:divBdr>
    </w:div>
    <w:div w:id="1262487685">
      <w:bodyDiv w:val="1"/>
      <w:marLeft w:val="0"/>
      <w:marRight w:val="0"/>
      <w:marTop w:val="0"/>
      <w:marBottom w:val="0"/>
      <w:divBdr>
        <w:top w:val="none" w:sz="0" w:space="0" w:color="auto"/>
        <w:left w:val="none" w:sz="0" w:space="0" w:color="auto"/>
        <w:bottom w:val="none" w:sz="0" w:space="0" w:color="auto"/>
        <w:right w:val="none" w:sz="0" w:space="0" w:color="auto"/>
      </w:divBdr>
    </w:div>
    <w:div w:id="1290354306">
      <w:bodyDiv w:val="1"/>
      <w:marLeft w:val="0"/>
      <w:marRight w:val="0"/>
      <w:marTop w:val="0"/>
      <w:marBottom w:val="0"/>
      <w:divBdr>
        <w:top w:val="none" w:sz="0" w:space="0" w:color="auto"/>
        <w:left w:val="none" w:sz="0" w:space="0" w:color="auto"/>
        <w:bottom w:val="none" w:sz="0" w:space="0" w:color="auto"/>
        <w:right w:val="none" w:sz="0" w:space="0" w:color="auto"/>
      </w:divBdr>
    </w:div>
    <w:div w:id="1372537047">
      <w:bodyDiv w:val="1"/>
      <w:marLeft w:val="0"/>
      <w:marRight w:val="0"/>
      <w:marTop w:val="0"/>
      <w:marBottom w:val="0"/>
      <w:divBdr>
        <w:top w:val="none" w:sz="0" w:space="0" w:color="auto"/>
        <w:left w:val="none" w:sz="0" w:space="0" w:color="auto"/>
        <w:bottom w:val="none" w:sz="0" w:space="0" w:color="auto"/>
        <w:right w:val="none" w:sz="0" w:space="0" w:color="auto"/>
      </w:divBdr>
    </w:div>
    <w:div w:id="1460076968">
      <w:bodyDiv w:val="1"/>
      <w:marLeft w:val="0"/>
      <w:marRight w:val="0"/>
      <w:marTop w:val="0"/>
      <w:marBottom w:val="0"/>
      <w:divBdr>
        <w:top w:val="none" w:sz="0" w:space="0" w:color="auto"/>
        <w:left w:val="none" w:sz="0" w:space="0" w:color="auto"/>
        <w:bottom w:val="none" w:sz="0" w:space="0" w:color="auto"/>
        <w:right w:val="none" w:sz="0" w:space="0" w:color="auto"/>
      </w:divBdr>
    </w:div>
    <w:div w:id="1483346604">
      <w:bodyDiv w:val="1"/>
      <w:marLeft w:val="0"/>
      <w:marRight w:val="0"/>
      <w:marTop w:val="0"/>
      <w:marBottom w:val="0"/>
      <w:divBdr>
        <w:top w:val="none" w:sz="0" w:space="0" w:color="auto"/>
        <w:left w:val="none" w:sz="0" w:space="0" w:color="auto"/>
        <w:bottom w:val="none" w:sz="0" w:space="0" w:color="auto"/>
        <w:right w:val="none" w:sz="0" w:space="0" w:color="auto"/>
      </w:divBdr>
    </w:div>
    <w:div w:id="1486319632">
      <w:bodyDiv w:val="1"/>
      <w:marLeft w:val="0"/>
      <w:marRight w:val="0"/>
      <w:marTop w:val="0"/>
      <w:marBottom w:val="0"/>
      <w:divBdr>
        <w:top w:val="none" w:sz="0" w:space="0" w:color="auto"/>
        <w:left w:val="none" w:sz="0" w:space="0" w:color="auto"/>
        <w:bottom w:val="none" w:sz="0" w:space="0" w:color="auto"/>
        <w:right w:val="none" w:sz="0" w:space="0" w:color="auto"/>
      </w:divBdr>
    </w:div>
    <w:div w:id="1487284407">
      <w:bodyDiv w:val="1"/>
      <w:marLeft w:val="0"/>
      <w:marRight w:val="0"/>
      <w:marTop w:val="0"/>
      <w:marBottom w:val="0"/>
      <w:divBdr>
        <w:top w:val="none" w:sz="0" w:space="0" w:color="auto"/>
        <w:left w:val="none" w:sz="0" w:space="0" w:color="auto"/>
        <w:bottom w:val="none" w:sz="0" w:space="0" w:color="auto"/>
        <w:right w:val="none" w:sz="0" w:space="0" w:color="auto"/>
      </w:divBdr>
    </w:div>
    <w:div w:id="1517617938">
      <w:bodyDiv w:val="1"/>
      <w:marLeft w:val="0"/>
      <w:marRight w:val="0"/>
      <w:marTop w:val="0"/>
      <w:marBottom w:val="0"/>
      <w:divBdr>
        <w:top w:val="none" w:sz="0" w:space="0" w:color="auto"/>
        <w:left w:val="none" w:sz="0" w:space="0" w:color="auto"/>
        <w:bottom w:val="none" w:sz="0" w:space="0" w:color="auto"/>
        <w:right w:val="none" w:sz="0" w:space="0" w:color="auto"/>
      </w:divBdr>
      <w:divsChild>
        <w:div w:id="1002314998">
          <w:marLeft w:val="0"/>
          <w:marRight w:val="0"/>
          <w:marTop w:val="0"/>
          <w:marBottom w:val="0"/>
          <w:divBdr>
            <w:top w:val="none" w:sz="0" w:space="0" w:color="auto"/>
            <w:left w:val="none" w:sz="0" w:space="0" w:color="auto"/>
            <w:bottom w:val="none" w:sz="0" w:space="0" w:color="auto"/>
            <w:right w:val="none" w:sz="0" w:space="0" w:color="auto"/>
          </w:divBdr>
        </w:div>
        <w:div w:id="1331910015">
          <w:marLeft w:val="0"/>
          <w:marRight w:val="0"/>
          <w:marTop w:val="0"/>
          <w:marBottom w:val="0"/>
          <w:divBdr>
            <w:top w:val="none" w:sz="0" w:space="0" w:color="auto"/>
            <w:left w:val="none" w:sz="0" w:space="0" w:color="auto"/>
            <w:bottom w:val="none" w:sz="0" w:space="0" w:color="auto"/>
            <w:right w:val="none" w:sz="0" w:space="0" w:color="auto"/>
          </w:divBdr>
        </w:div>
        <w:div w:id="1684627109">
          <w:marLeft w:val="0"/>
          <w:marRight w:val="0"/>
          <w:marTop w:val="0"/>
          <w:marBottom w:val="0"/>
          <w:divBdr>
            <w:top w:val="none" w:sz="0" w:space="0" w:color="auto"/>
            <w:left w:val="none" w:sz="0" w:space="0" w:color="auto"/>
            <w:bottom w:val="none" w:sz="0" w:space="0" w:color="auto"/>
            <w:right w:val="none" w:sz="0" w:space="0" w:color="auto"/>
          </w:divBdr>
        </w:div>
        <w:div w:id="1720666058">
          <w:marLeft w:val="0"/>
          <w:marRight w:val="0"/>
          <w:marTop w:val="0"/>
          <w:marBottom w:val="0"/>
          <w:divBdr>
            <w:top w:val="none" w:sz="0" w:space="0" w:color="auto"/>
            <w:left w:val="none" w:sz="0" w:space="0" w:color="auto"/>
            <w:bottom w:val="none" w:sz="0" w:space="0" w:color="auto"/>
            <w:right w:val="none" w:sz="0" w:space="0" w:color="auto"/>
          </w:divBdr>
        </w:div>
        <w:div w:id="1159223990">
          <w:marLeft w:val="0"/>
          <w:marRight w:val="0"/>
          <w:marTop w:val="0"/>
          <w:marBottom w:val="0"/>
          <w:divBdr>
            <w:top w:val="none" w:sz="0" w:space="0" w:color="auto"/>
            <w:left w:val="none" w:sz="0" w:space="0" w:color="auto"/>
            <w:bottom w:val="none" w:sz="0" w:space="0" w:color="auto"/>
            <w:right w:val="none" w:sz="0" w:space="0" w:color="auto"/>
          </w:divBdr>
        </w:div>
        <w:div w:id="1431122856">
          <w:marLeft w:val="0"/>
          <w:marRight w:val="0"/>
          <w:marTop w:val="0"/>
          <w:marBottom w:val="0"/>
          <w:divBdr>
            <w:top w:val="none" w:sz="0" w:space="0" w:color="auto"/>
            <w:left w:val="none" w:sz="0" w:space="0" w:color="auto"/>
            <w:bottom w:val="none" w:sz="0" w:space="0" w:color="auto"/>
            <w:right w:val="none" w:sz="0" w:space="0" w:color="auto"/>
          </w:divBdr>
        </w:div>
        <w:div w:id="1602057894">
          <w:marLeft w:val="0"/>
          <w:marRight w:val="0"/>
          <w:marTop w:val="0"/>
          <w:marBottom w:val="0"/>
          <w:divBdr>
            <w:top w:val="none" w:sz="0" w:space="0" w:color="auto"/>
            <w:left w:val="none" w:sz="0" w:space="0" w:color="auto"/>
            <w:bottom w:val="none" w:sz="0" w:space="0" w:color="auto"/>
            <w:right w:val="none" w:sz="0" w:space="0" w:color="auto"/>
          </w:divBdr>
        </w:div>
        <w:div w:id="1400979636">
          <w:marLeft w:val="0"/>
          <w:marRight w:val="0"/>
          <w:marTop w:val="0"/>
          <w:marBottom w:val="0"/>
          <w:divBdr>
            <w:top w:val="none" w:sz="0" w:space="0" w:color="auto"/>
            <w:left w:val="none" w:sz="0" w:space="0" w:color="auto"/>
            <w:bottom w:val="none" w:sz="0" w:space="0" w:color="auto"/>
            <w:right w:val="none" w:sz="0" w:space="0" w:color="auto"/>
          </w:divBdr>
        </w:div>
        <w:div w:id="135610104">
          <w:marLeft w:val="0"/>
          <w:marRight w:val="0"/>
          <w:marTop w:val="0"/>
          <w:marBottom w:val="0"/>
          <w:divBdr>
            <w:top w:val="none" w:sz="0" w:space="0" w:color="auto"/>
            <w:left w:val="none" w:sz="0" w:space="0" w:color="auto"/>
            <w:bottom w:val="none" w:sz="0" w:space="0" w:color="auto"/>
            <w:right w:val="none" w:sz="0" w:space="0" w:color="auto"/>
          </w:divBdr>
        </w:div>
        <w:div w:id="685982425">
          <w:marLeft w:val="0"/>
          <w:marRight w:val="0"/>
          <w:marTop w:val="0"/>
          <w:marBottom w:val="0"/>
          <w:divBdr>
            <w:top w:val="none" w:sz="0" w:space="0" w:color="auto"/>
            <w:left w:val="none" w:sz="0" w:space="0" w:color="auto"/>
            <w:bottom w:val="none" w:sz="0" w:space="0" w:color="auto"/>
            <w:right w:val="none" w:sz="0" w:space="0" w:color="auto"/>
          </w:divBdr>
        </w:div>
        <w:div w:id="737749429">
          <w:marLeft w:val="0"/>
          <w:marRight w:val="0"/>
          <w:marTop w:val="0"/>
          <w:marBottom w:val="0"/>
          <w:divBdr>
            <w:top w:val="none" w:sz="0" w:space="0" w:color="auto"/>
            <w:left w:val="none" w:sz="0" w:space="0" w:color="auto"/>
            <w:bottom w:val="none" w:sz="0" w:space="0" w:color="auto"/>
            <w:right w:val="none" w:sz="0" w:space="0" w:color="auto"/>
          </w:divBdr>
        </w:div>
        <w:div w:id="1712536363">
          <w:marLeft w:val="0"/>
          <w:marRight w:val="0"/>
          <w:marTop w:val="0"/>
          <w:marBottom w:val="0"/>
          <w:divBdr>
            <w:top w:val="none" w:sz="0" w:space="0" w:color="auto"/>
            <w:left w:val="none" w:sz="0" w:space="0" w:color="auto"/>
            <w:bottom w:val="none" w:sz="0" w:space="0" w:color="auto"/>
            <w:right w:val="none" w:sz="0" w:space="0" w:color="auto"/>
          </w:divBdr>
        </w:div>
        <w:div w:id="1183396918">
          <w:marLeft w:val="0"/>
          <w:marRight w:val="0"/>
          <w:marTop w:val="0"/>
          <w:marBottom w:val="0"/>
          <w:divBdr>
            <w:top w:val="none" w:sz="0" w:space="0" w:color="auto"/>
            <w:left w:val="none" w:sz="0" w:space="0" w:color="auto"/>
            <w:bottom w:val="none" w:sz="0" w:space="0" w:color="auto"/>
            <w:right w:val="none" w:sz="0" w:space="0" w:color="auto"/>
          </w:divBdr>
        </w:div>
        <w:div w:id="216363574">
          <w:marLeft w:val="0"/>
          <w:marRight w:val="0"/>
          <w:marTop w:val="0"/>
          <w:marBottom w:val="0"/>
          <w:divBdr>
            <w:top w:val="none" w:sz="0" w:space="0" w:color="auto"/>
            <w:left w:val="none" w:sz="0" w:space="0" w:color="auto"/>
            <w:bottom w:val="none" w:sz="0" w:space="0" w:color="auto"/>
            <w:right w:val="none" w:sz="0" w:space="0" w:color="auto"/>
          </w:divBdr>
        </w:div>
        <w:div w:id="707072507">
          <w:marLeft w:val="0"/>
          <w:marRight w:val="0"/>
          <w:marTop w:val="0"/>
          <w:marBottom w:val="0"/>
          <w:divBdr>
            <w:top w:val="none" w:sz="0" w:space="0" w:color="auto"/>
            <w:left w:val="none" w:sz="0" w:space="0" w:color="auto"/>
            <w:bottom w:val="none" w:sz="0" w:space="0" w:color="auto"/>
            <w:right w:val="none" w:sz="0" w:space="0" w:color="auto"/>
          </w:divBdr>
        </w:div>
        <w:div w:id="2057122938">
          <w:marLeft w:val="0"/>
          <w:marRight w:val="0"/>
          <w:marTop w:val="0"/>
          <w:marBottom w:val="0"/>
          <w:divBdr>
            <w:top w:val="none" w:sz="0" w:space="0" w:color="auto"/>
            <w:left w:val="none" w:sz="0" w:space="0" w:color="auto"/>
            <w:bottom w:val="none" w:sz="0" w:space="0" w:color="auto"/>
            <w:right w:val="none" w:sz="0" w:space="0" w:color="auto"/>
          </w:divBdr>
        </w:div>
        <w:div w:id="840314472">
          <w:marLeft w:val="0"/>
          <w:marRight w:val="0"/>
          <w:marTop w:val="0"/>
          <w:marBottom w:val="0"/>
          <w:divBdr>
            <w:top w:val="none" w:sz="0" w:space="0" w:color="auto"/>
            <w:left w:val="none" w:sz="0" w:space="0" w:color="auto"/>
            <w:bottom w:val="none" w:sz="0" w:space="0" w:color="auto"/>
            <w:right w:val="none" w:sz="0" w:space="0" w:color="auto"/>
          </w:divBdr>
        </w:div>
        <w:div w:id="1305233689">
          <w:marLeft w:val="0"/>
          <w:marRight w:val="0"/>
          <w:marTop w:val="0"/>
          <w:marBottom w:val="0"/>
          <w:divBdr>
            <w:top w:val="none" w:sz="0" w:space="0" w:color="auto"/>
            <w:left w:val="none" w:sz="0" w:space="0" w:color="auto"/>
            <w:bottom w:val="none" w:sz="0" w:space="0" w:color="auto"/>
            <w:right w:val="none" w:sz="0" w:space="0" w:color="auto"/>
          </w:divBdr>
        </w:div>
        <w:div w:id="1256599552">
          <w:marLeft w:val="0"/>
          <w:marRight w:val="0"/>
          <w:marTop w:val="0"/>
          <w:marBottom w:val="0"/>
          <w:divBdr>
            <w:top w:val="none" w:sz="0" w:space="0" w:color="auto"/>
            <w:left w:val="none" w:sz="0" w:space="0" w:color="auto"/>
            <w:bottom w:val="none" w:sz="0" w:space="0" w:color="auto"/>
            <w:right w:val="none" w:sz="0" w:space="0" w:color="auto"/>
          </w:divBdr>
        </w:div>
        <w:div w:id="1435247571">
          <w:marLeft w:val="0"/>
          <w:marRight w:val="0"/>
          <w:marTop w:val="0"/>
          <w:marBottom w:val="0"/>
          <w:divBdr>
            <w:top w:val="none" w:sz="0" w:space="0" w:color="auto"/>
            <w:left w:val="none" w:sz="0" w:space="0" w:color="auto"/>
            <w:bottom w:val="none" w:sz="0" w:space="0" w:color="auto"/>
            <w:right w:val="none" w:sz="0" w:space="0" w:color="auto"/>
          </w:divBdr>
        </w:div>
        <w:div w:id="1968391978">
          <w:marLeft w:val="0"/>
          <w:marRight w:val="0"/>
          <w:marTop w:val="0"/>
          <w:marBottom w:val="0"/>
          <w:divBdr>
            <w:top w:val="none" w:sz="0" w:space="0" w:color="auto"/>
            <w:left w:val="none" w:sz="0" w:space="0" w:color="auto"/>
            <w:bottom w:val="none" w:sz="0" w:space="0" w:color="auto"/>
            <w:right w:val="none" w:sz="0" w:space="0" w:color="auto"/>
          </w:divBdr>
        </w:div>
        <w:div w:id="414254750">
          <w:marLeft w:val="0"/>
          <w:marRight w:val="0"/>
          <w:marTop w:val="0"/>
          <w:marBottom w:val="0"/>
          <w:divBdr>
            <w:top w:val="none" w:sz="0" w:space="0" w:color="auto"/>
            <w:left w:val="none" w:sz="0" w:space="0" w:color="auto"/>
            <w:bottom w:val="none" w:sz="0" w:space="0" w:color="auto"/>
            <w:right w:val="none" w:sz="0" w:space="0" w:color="auto"/>
          </w:divBdr>
        </w:div>
        <w:div w:id="741950359">
          <w:marLeft w:val="0"/>
          <w:marRight w:val="0"/>
          <w:marTop w:val="0"/>
          <w:marBottom w:val="0"/>
          <w:divBdr>
            <w:top w:val="none" w:sz="0" w:space="0" w:color="auto"/>
            <w:left w:val="none" w:sz="0" w:space="0" w:color="auto"/>
            <w:bottom w:val="none" w:sz="0" w:space="0" w:color="auto"/>
            <w:right w:val="none" w:sz="0" w:space="0" w:color="auto"/>
          </w:divBdr>
        </w:div>
        <w:div w:id="165167866">
          <w:marLeft w:val="0"/>
          <w:marRight w:val="0"/>
          <w:marTop w:val="0"/>
          <w:marBottom w:val="0"/>
          <w:divBdr>
            <w:top w:val="none" w:sz="0" w:space="0" w:color="auto"/>
            <w:left w:val="none" w:sz="0" w:space="0" w:color="auto"/>
            <w:bottom w:val="none" w:sz="0" w:space="0" w:color="auto"/>
            <w:right w:val="none" w:sz="0" w:space="0" w:color="auto"/>
          </w:divBdr>
        </w:div>
        <w:div w:id="447286422">
          <w:marLeft w:val="0"/>
          <w:marRight w:val="0"/>
          <w:marTop w:val="0"/>
          <w:marBottom w:val="0"/>
          <w:divBdr>
            <w:top w:val="none" w:sz="0" w:space="0" w:color="auto"/>
            <w:left w:val="none" w:sz="0" w:space="0" w:color="auto"/>
            <w:bottom w:val="none" w:sz="0" w:space="0" w:color="auto"/>
            <w:right w:val="none" w:sz="0" w:space="0" w:color="auto"/>
          </w:divBdr>
        </w:div>
        <w:div w:id="985282373">
          <w:marLeft w:val="0"/>
          <w:marRight w:val="0"/>
          <w:marTop w:val="0"/>
          <w:marBottom w:val="0"/>
          <w:divBdr>
            <w:top w:val="none" w:sz="0" w:space="0" w:color="auto"/>
            <w:left w:val="none" w:sz="0" w:space="0" w:color="auto"/>
            <w:bottom w:val="none" w:sz="0" w:space="0" w:color="auto"/>
            <w:right w:val="none" w:sz="0" w:space="0" w:color="auto"/>
          </w:divBdr>
        </w:div>
        <w:div w:id="1583298374">
          <w:marLeft w:val="0"/>
          <w:marRight w:val="0"/>
          <w:marTop w:val="0"/>
          <w:marBottom w:val="0"/>
          <w:divBdr>
            <w:top w:val="none" w:sz="0" w:space="0" w:color="auto"/>
            <w:left w:val="none" w:sz="0" w:space="0" w:color="auto"/>
            <w:bottom w:val="none" w:sz="0" w:space="0" w:color="auto"/>
            <w:right w:val="none" w:sz="0" w:space="0" w:color="auto"/>
          </w:divBdr>
        </w:div>
        <w:div w:id="190799202">
          <w:marLeft w:val="0"/>
          <w:marRight w:val="0"/>
          <w:marTop w:val="0"/>
          <w:marBottom w:val="0"/>
          <w:divBdr>
            <w:top w:val="none" w:sz="0" w:space="0" w:color="auto"/>
            <w:left w:val="none" w:sz="0" w:space="0" w:color="auto"/>
            <w:bottom w:val="none" w:sz="0" w:space="0" w:color="auto"/>
            <w:right w:val="none" w:sz="0" w:space="0" w:color="auto"/>
          </w:divBdr>
        </w:div>
        <w:div w:id="793523806">
          <w:marLeft w:val="0"/>
          <w:marRight w:val="0"/>
          <w:marTop w:val="0"/>
          <w:marBottom w:val="0"/>
          <w:divBdr>
            <w:top w:val="none" w:sz="0" w:space="0" w:color="auto"/>
            <w:left w:val="none" w:sz="0" w:space="0" w:color="auto"/>
            <w:bottom w:val="none" w:sz="0" w:space="0" w:color="auto"/>
            <w:right w:val="none" w:sz="0" w:space="0" w:color="auto"/>
          </w:divBdr>
        </w:div>
      </w:divsChild>
    </w:div>
    <w:div w:id="1535074548">
      <w:bodyDiv w:val="1"/>
      <w:marLeft w:val="0"/>
      <w:marRight w:val="0"/>
      <w:marTop w:val="0"/>
      <w:marBottom w:val="0"/>
      <w:divBdr>
        <w:top w:val="none" w:sz="0" w:space="0" w:color="auto"/>
        <w:left w:val="none" w:sz="0" w:space="0" w:color="auto"/>
        <w:bottom w:val="none" w:sz="0" w:space="0" w:color="auto"/>
        <w:right w:val="none" w:sz="0" w:space="0" w:color="auto"/>
      </w:divBdr>
    </w:div>
    <w:div w:id="1630866324">
      <w:bodyDiv w:val="1"/>
      <w:marLeft w:val="0"/>
      <w:marRight w:val="0"/>
      <w:marTop w:val="0"/>
      <w:marBottom w:val="0"/>
      <w:divBdr>
        <w:top w:val="none" w:sz="0" w:space="0" w:color="auto"/>
        <w:left w:val="none" w:sz="0" w:space="0" w:color="auto"/>
        <w:bottom w:val="none" w:sz="0" w:space="0" w:color="auto"/>
        <w:right w:val="none" w:sz="0" w:space="0" w:color="auto"/>
      </w:divBdr>
    </w:div>
    <w:div w:id="1640304631">
      <w:bodyDiv w:val="1"/>
      <w:marLeft w:val="0"/>
      <w:marRight w:val="0"/>
      <w:marTop w:val="0"/>
      <w:marBottom w:val="0"/>
      <w:divBdr>
        <w:top w:val="none" w:sz="0" w:space="0" w:color="auto"/>
        <w:left w:val="none" w:sz="0" w:space="0" w:color="auto"/>
        <w:bottom w:val="none" w:sz="0" w:space="0" w:color="auto"/>
        <w:right w:val="none" w:sz="0" w:space="0" w:color="auto"/>
      </w:divBdr>
    </w:div>
    <w:div w:id="1675378562">
      <w:bodyDiv w:val="1"/>
      <w:marLeft w:val="0"/>
      <w:marRight w:val="0"/>
      <w:marTop w:val="0"/>
      <w:marBottom w:val="0"/>
      <w:divBdr>
        <w:top w:val="none" w:sz="0" w:space="0" w:color="auto"/>
        <w:left w:val="none" w:sz="0" w:space="0" w:color="auto"/>
        <w:bottom w:val="none" w:sz="0" w:space="0" w:color="auto"/>
        <w:right w:val="none" w:sz="0" w:space="0" w:color="auto"/>
      </w:divBdr>
    </w:div>
    <w:div w:id="1677031608">
      <w:bodyDiv w:val="1"/>
      <w:marLeft w:val="0"/>
      <w:marRight w:val="0"/>
      <w:marTop w:val="0"/>
      <w:marBottom w:val="0"/>
      <w:divBdr>
        <w:top w:val="none" w:sz="0" w:space="0" w:color="auto"/>
        <w:left w:val="none" w:sz="0" w:space="0" w:color="auto"/>
        <w:bottom w:val="none" w:sz="0" w:space="0" w:color="auto"/>
        <w:right w:val="none" w:sz="0" w:space="0" w:color="auto"/>
      </w:divBdr>
    </w:div>
    <w:div w:id="1708750453">
      <w:bodyDiv w:val="1"/>
      <w:marLeft w:val="0"/>
      <w:marRight w:val="0"/>
      <w:marTop w:val="0"/>
      <w:marBottom w:val="0"/>
      <w:divBdr>
        <w:top w:val="none" w:sz="0" w:space="0" w:color="auto"/>
        <w:left w:val="none" w:sz="0" w:space="0" w:color="auto"/>
        <w:bottom w:val="none" w:sz="0" w:space="0" w:color="auto"/>
        <w:right w:val="none" w:sz="0" w:space="0" w:color="auto"/>
      </w:divBdr>
    </w:div>
    <w:div w:id="1778598367">
      <w:bodyDiv w:val="1"/>
      <w:marLeft w:val="0"/>
      <w:marRight w:val="0"/>
      <w:marTop w:val="0"/>
      <w:marBottom w:val="0"/>
      <w:divBdr>
        <w:top w:val="none" w:sz="0" w:space="0" w:color="auto"/>
        <w:left w:val="none" w:sz="0" w:space="0" w:color="auto"/>
        <w:bottom w:val="none" w:sz="0" w:space="0" w:color="auto"/>
        <w:right w:val="none" w:sz="0" w:space="0" w:color="auto"/>
      </w:divBdr>
      <w:divsChild>
        <w:div w:id="1685402808">
          <w:marLeft w:val="0"/>
          <w:marRight w:val="0"/>
          <w:marTop w:val="0"/>
          <w:marBottom w:val="0"/>
          <w:divBdr>
            <w:top w:val="none" w:sz="0" w:space="0" w:color="auto"/>
            <w:left w:val="none" w:sz="0" w:space="0" w:color="auto"/>
            <w:bottom w:val="none" w:sz="0" w:space="0" w:color="auto"/>
            <w:right w:val="none" w:sz="0" w:space="0" w:color="auto"/>
          </w:divBdr>
        </w:div>
        <w:div w:id="1004473740">
          <w:marLeft w:val="0"/>
          <w:marRight w:val="0"/>
          <w:marTop w:val="0"/>
          <w:marBottom w:val="0"/>
          <w:divBdr>
            <w:top w:val="none" w:sz="0" w:space="0" w:color="auto"/>
            <w:left w:val="none" w:sz="0" w:space="0" w:color="auto"/>
            <w:bottom w:val="none" w:sz="0" w:space="0" w:color="auto"/>
            <w:right w:val="none" w:sz="0" w:space="0" w:color="auto"/>
          </w:divBdr>
        </w:div>
        <w:div w:id="558128296">
          <w:marLeft w:val="0"/>
          <w:marRight w:val="0"/>
          <w:marTop w:val="0"/>
          <w:marBottom w:val="0"/>
          <w:divBdr>
            <w:top w:val="none" w:sz="0" w:space="0" w:color="auto"/>
            <w:left w:val="none" w:sz="0" w:space="0" w:color="auto"/>
            <w:bottom w:val="none" w:sz="0" w:space="0" w:color="auto"/>
            <w:right w:val="none" w:sz="0" w:space="0" w:color="auto"/>
          </w:divBdr>
        </w:div>
      </w:divsChild>
    </w:div>
    <w:div w:id="1808007587">
      <w:bodyDiv w:val="1"/>
      <w:marLeft w:val="0"/>
      <w:marRight w:val="0"/>
      <w:marTop w:val="0"/>
      <w:marBottom w:val="0"/>
      <w:divBdr>
        <w:top w:val="none" w:sz="0" w:space="0" w:color="auto"/>
        <w:left w:val="none" w:sz="0" w:space="0" w:color="auto"/>
        <w:bottom w:val="none" w:sz="0" w:space="0" w:color="auto"/>
        <w:right w:val="none" w:sz="0" w:space="0" w:color="auto"/>
      </w:divBdr>
    </w:div>
    <w:div w:id="1883516894">
      <w:bodyDiv w:val="1"/>
      <w:marLeft w:val="0"/>
      <w:marRight w:val="0"/>
      <w:marTop w:val="0"/>
      <w:marBottom w:val="0"/>
      <w:divBdr>
        <w:top w:val="none" w:sz="0" w:space="0" w:color="auto"/>
        <w:left w:val="none" w:sz="0" w:space="0" w:color="auto"/>
        <w:bottom w:val="none" w:sz="0" w:space="0" w:color="auto"/>
        <w:right w:val="none" w:sz="0" w:space="0" w:color="auto"/>
      </w:divBdr>
    </w:div>
    <w:div w:id="1891723671">
      <w:bodyDiv w:val="1"/>
      <w:marLeft w:val="0"/>
      <w:marRight w:val="0"/>
      <w:marTop w:val="0"/>
      <w:marBottom w:val="0"/>
      <w:divBdr>
        <w:top w:val="none" w:sz="0" w:space="0" w:color="auto"/>
        <w:left w:val="none" w:sz="0" w:space="0" w:color="auto"/>
        <w:bottom w:val="none" w:sz="0" w:space="0" w:color="auto"/>
        <w:right w:val="none" w:sz="0" w:space="0" w:color="auto"/>
      </w:divBdr>
    </w:div>
    <w:div w:id="1905989743">
      <w:bodyDiv w:val="1"/>
      <w:marLeft w:val="0"/>
      <w:marRight w:val="0"/>
      <w:marTop w:val="0"/>
      <w:marBottom w:val="0"/>
      <w:divBdr>
        <w:top w:val="none" w:sz="0" w:space="0" w:color="auto"/>
        <w:left w:val="none" w:sz="0" w:space="0" w:color="auto"/>
        <w:bottom w:val="none" w:sz="0" w:space="0" w:color="auto"/>
        <w:right w:val="none" w:sz="0" w:space="0" w:color="auto"/>
      </w:divBdr>
    </w:div>
    <w:div w:id="1910965729">
      <w:bodyDiv w:val="1"/>
      <w:marLeft w:val="0"/>
      <w:marRight w:val="0"/>
      <w:marTop w:val="0"/>
      <w:marBottom w:val="0"/>
      <w:divBdr>
        <w:top w:val="none" w:sz="0" w:space="0" w:color="auto"/>
        <w:left w:val="none" w:sz="0" w:space="0" w:color="auto"/>
        <w:bottom w:val="none" w:sz="0" w:space="0" w:color="auto"/>
        <w:right w:val="none" w:sz="0" w:space="0" w:color="auto"/>
      </w:divBdr>
    </w:div>
    <w:div w:id="1923564507">
      <w:bodyDiv w:val="1"/>
      <w:marLeft w:val="0"/>
      <w:marRight w:val="0"/>
      <w:marTop w:val="0"/>
      <w:marBottom w:val="0"/>
      <w:divBdr>
        <w:top w:val="none" w:sz="0" w:space="0" w:color="auto"/>
        <w:left w:val="none" w:sz="0" w:space="0" w:color="auto"/>
        <w:bottom w:val="none" w:sz="0" w:space="0" w:color="auto"/>
        <w:right w:val="none" w:sz="0" w:space="0" w:color="auto"/>
      </w:divBdr>
    </w:div>
    <w:div w:id="1947426618">
      <w:bodyDiv w:val="1"/>
      <w:marLeft w:val="0"/>
      <w:marRight w:val="0"/>
      <w:marTop w:val="0"/>
      <w:marBottom w:val="0"/>
      <w:divBdr>
        <w:top w:val="none" w:sz="0" w:space="0" w:color="auto"/>
        <w:left w:val="none" w:sz="0" w:space="0" w:color="auto"/>
        <w:bottom w:val="none" w:sz="0" w:space="0" w:color="auto"/>
        <w:right w:val="none" w:sz="0" w:space="0" w:color="auto"/>
      </w:divBdr>
    </w:div>
    <w:div w:id="1953588948">
      <w:bodyDiv w:val="1"/>
      <w:marLeft w:val="0"/>
      <w:marRight w:val="0"/>
      <w:marTop w:val="0"/>
      <w:marBottom w:val="0"/>
      <w:divBdr>
        <w:top w:val="none" w:sz="0" w:space="0" w:color="auto"/>
        <w:left w:val="none" w:sz="0" w:space="0" w:color="auto"/>
        <w:bottom w:val="none" w:sz="0" w:space="0" w:color="auto"/>
        <w:right w:val="none" w:sz="0" w:space="0" w:color="auto"/>
      </w:divBdr>
      <w:divsChild>
        <w:div w:id="924920979">
          <w:marLeft w:val="0"/>
          <w:marRight w:val="0"/>
          <w:marTop w:val="0"/>
          <w:marBottom w:val="0"/>
          <w:divBdr>
            <w:top w:val="none" w:sz="0" w:space="0" w:color="auto"/>
            <w:left w:val="none" w:sz="0" w:space="0" w:color="auto"/>
            <w:bottom w:val="none" w:sz="0" w:space="0" w:color="auto"/>
            <w:right w:val="none" w:sz="0" w:space="0" w:color="auto"/>
          </w:divBdr>
        </w:div>
        <w:div w:id="1462655353">
          <w:marLeft w:val="0"/>
          <w:marRight w:val="0"/>
          <w:marTop w:val="0"/>
          <w:marBottom w:val="0"/>
          <w:divBdr>
            <w:top w:val="none" w:sz="0" w:space="0" w:color="auto"/>
            <w:left w:val="none" w:sz="0" w:space="0" w:color="auto"/>
            <w:bottom w:val="none" w:sz="0" w:space="0" w:color="auto"/>
            <w:right w:val="none" w:sz="0" w:space="0" w:color="auto"/>
          </w:divBdr>
        </w:div>
      </w:divsChild>
    </w:div>
    <w:div w:id="1988243825">
      <w:bodyDiv w:val="1"/>
      <w:marLeft w:val="0"/>
      <w:marRight w:val="0"/>
      <w:marTop w:val="0"/>
      <w:marBottom w:val="0"/>
      <w:divBdr>
        <w:top w:val="none" w:sz="0" w:space="0" w:color="auto"/>
        <w:left w:val="none" w:sz="0" w:space="0" w:color="auto"/>
        <w:bottom w:val="none" w:sz="0" w:space="0" w:color="auto"/>
        <w:right w:val="none" w:sz="0" w:space="0" w:color="auto"/>
      </w:divBdr>
    </w:div>
    <w:div w:id="1995601320">
      <w:bodyDiv w:val="1"/>
      <w:marLeft w:val="0"/>
      <w:marRight w:val="0"/>
      <w:marTop w:val="0"/>
      <w:marBottom w:val="0"/>
      <w:divBdr>
        <w:top w:val="none" w:sz="0" w:space="0" w:color="auto"/>
        <w:left w:val="none" w:sz="0" w:space="0" w:color="auto"/>
        <w:bottom w:val="none" w:sz="0" w:space="0" w:color="auto"/>
        <w:right w:val="none" w:sz="0" w:space="0" w:color="auto"/>
      </w:divBdr>
    </w:div>
    <w:div w:id="2017070172">
      <w:bodyDiv w:val="1"/>
      <w:marLeft w:val="0"/>
      <w:marRight w:val="0"/>
      <w:marTop w:val="0"/>
      <w:marBottom w:val="0"/>
      <w:divBdr>
        <w:top w:val="none" w:sz="0" w:space="0" w:color="auto"/>
        <w:left w:val="none" w:sz="0" w:space="0" w:color="auto"/>
        <w:bottom w:val="none" w:sz="0" w:space="0" w:color="auto"/>
        <w:right w:val="none" w:sz="0" w:space="0" w:color="auto"/>
      </w:divBdr>
    </w:div>
    <w:div w:id="2062291734">
      <w:bodyDiv w:val="1"/>
      <w:marLeft w:val="0"/>
      <w:marRight w:val="0"/>
      <w:marTop w:val="0"/>
      <w:marBottom w:val="0"/>
      <w:divBdr>
        <w:top w:val="none" w:sz="0" w:space="0" w:color="auto"/>
        <w:left w:val="none" w:sz="0" w:space="0" w:color="auto"/>
        <w:bottom w:val="none" w:sz="0" w:space="0" w:color="auto"/>
        <w:right w:val="none" w:sz="0" w:space="0" w:color="auto"/>
      </w:divBdr>
    </w:div>
  </w:divs>
  <w:doNotRelyOnCSS/>
  <w:doNotOrganizeInFolder/>
  <w:doNotUseLongFileNames/>
  <w:pixelsPerInch w:val="0"/>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4F6707-AF81-468E-B70F-5931C7BED1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18</Pages>
  <Words>2787</Words>
  <Characters>22582</Characters>
  <Application>Microsoft Office Word</Application>
  <DocSecurity>0</DocSecurity>
  <Lines>188</Lines>
  <Paragraphs>50</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vt:lpstr>
      <vt:lpstr>-</vt:lpstr>
    </vt:vector>
  </TitlesOfParts>
  <Company>Varsinais-Suomen Sairaanhoitopiiri</Company>
  <LinksUpToDate>false</LinksUpToDate>
  <CharactersWithSpaces>25319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Haapio Eeva</dc:creator>
  <cp:lastModifiedBy>Kimmo Niukko</cp:lastModifiedBy>
  <cp:revision>2</cp:revision>
  <dcterms:created xsi:type="dcterms:W3CDTF">2017-03-20T10:56:00Z</dcterms:created>
  <dcterms:modified xsi:type="dcterms:W3CDTF">2017-03-20T10:56:00Z</dcterms:modified>
</cp:coreProperties>
</file>