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B1A828" w14:textId="24A23AAD" w:rsidR="00DF506C" w:rsidRPr="002C3E85" w:rsidRDefault="00212856" w:rsidP="005B3B81">
      <w:pPr>
        <w:spacing w:after="0" w:line="480" w:lineRule="auto"/>
        <w:rPr>
          <w:rFonts w:ascii="Times New Roman" w:hAnsi="Times New Roman" w:cs="Times New Roman"/>
          <w:sz w:val="24"/>
          <w:szCs w:val="24"/>
          <w:lang w:val="en-GB"/>
        </w:rPr>
      </w:pPr>
      <w:r w:rsidRPr="002C3E85">
        <w:rPr>
          <w:rFonts w:ascii="Times New Roman" w:hAnsi="Times New Roman" w:cs="Times New Roman"/>
          <w:b/>
          <w:sz w:val="24"/>
          <w:szCs w:val="24"/>
          <w:lang w:val="en-GB"/>
        </w:rPr>
        <w:t>Title:</w:t>
      </w:r>
      <w:r w:rsidRPr="002C3E85">
        <w:rPr>
          <w:rFonts w:ascii="Times New Roman" w:hAnsi="Times New Roman" w:cs="Times New Roman"/>
          <w:sz w:val="24"/>
          <w:szCs w:val="24"/>
          <w:lang w:val="en-GB"/>
        </w:rPr>
        <w:t xml:space="preserve"> </w:t>
      </w:r>
      <w:bookmarkStart w:id="0" w:name="_GoBack"/>
      <w:r w:rsidR="006958A5" w:rsidRPr="002C3E85">
        <w:rPr>
          <w:rFonts w:ascii="Times New Roman" w:hAnsi="Times New Roman" w:cs="Times New Roman"/>
          <w:sz w:val="24"/>
          <w:szCs w:val="24"/>
          <w:lang w:val="en-GB"/>
        </w:rPr>
        <w:t>Beyond volume</w:t>
      </w:r>
      <w:bookmarkEnd w:id="0"/>
      <w:r w:rsidR="006958A5" w:rsidRPr="002C3E85">
        <w:rPr>
          <w:rFonts w:ascii="Times New Roman" w:hAnsi="Times New Roman" w:cs="Times New Roman"/>
          <w:sz w:val="24"/>
          <w:szCs w:val="24"/>
          <w:lang w:val="en-GB"/>
        </w:rPr>
        <w:t xml:space="preserve">: </w:t>
      </w:r>
      <w:r w:rsidR="0062466E" w:rsidRPr="002C3E85">
        <w:rPr>
          <w:rFonts w:ascii="Times New Roman" w:hAnsi="Times New Roman" w:cs="Times New Roman"/>
          <w:sz w:val="24"/>
          <w:szCs w:val="24"/>
          <w:lang w:val="en-GB"/>
        </w:rPr>
        <w:t>A surface-based approach to bilingualism-induced grey matter changes</w:t>
      </w:r>
      <w:r w:rsidR="006958A5" w:rsidRPr="002C3E85">
        <w:rPr>
          <w:rFonts w:ascii="Times New Roman" w:hAnsi="Times New Roman" w:cs="Times New Roman"/>
          <w:sz w:val="24"/>
          <w:szCs w:val="24"/>
          <w:lang w:val="en-GB"/>
        </w:rPr>
        <w:t xml:space="preserve"> </w:t>
      </w:r>
    </w:p>
    <w:p w14:paraId="14783CFC" w14:textId="4A926727" w:rsidR="00212856" w:rsidRPr="002C3E85" w:rsidRDefault="00212856" w:rsidP="005B3B81">
      <w:pPr>
        <w:spacing w:after="0" w:line="480" w:lineRule="auto"/>
        <w:rPr>
          <w:rFonts w:ascii="Times New Roman" w:hAnsi="Times New Roman" w:cs="Times New Roman"/>
          <w:sz w:val="24"/>
          <w:szCs w:val="24"/>
          <w:lang w:val="en-GB"/>
        </w:rPr>
      </w:pPr>
      <w:r w:rsidRPr="002C3E85">
        <w:rPr>
          <w:rFonts w:ascii="Times New Roman" w:hAnsi="Times New Roman" w:cs="Times New Roman"/>
          <w:b/>
          <w:sz w:val="24"/>
          <w:szCs w:val="24"/>
          <w:lang w:val="en-GB"/>
        </w:rPr>
        <w:t>Short title:</w:t>
      </w:r>
      <w:r w:rsidR="000F3D59" w:rsidRPr="002C3E85">
        <w:rPr>
          <w:rFonts w:ascii="Times New Roman" w:hAnsi="Times New Roman" w:cs="Times New Roman"/>
          <w:b/>
          <w:sz w:val="24"/>
          <w:szCs w:val="24"/>
          <w:lang w:val="en-GB"/>
        </w:rPr>
        <w:t xml:space="preserve"> </w:t>
      </w:r>
      <w:r w:rsidR="000D3577" w:rsidRPr="002C3E85">
        <w:rPr>
          <w:rFonts w:ascii="Times New Roman" w:hAnsi="Times New Roman" w:cs="Times New Roman"/>
          <w:sz w:val="24"/>
          <w:szCs w:val="24"/>
          <w:lang w:val="en-GB"/>
        </w:rPr>
        <w:t>Bilingualism-induced</w:t>
      </w:r>
      <w:r w:rsidR="000D3577" w:rsidRPr="002C3E85">
        <w:rPr>
          <w:rFonts w:ascii="Times New Roman" w:hAnsi="Times New Roman" w:cs="Times New Roman"/>
          <w:b/>
          <w:sz w:val="24"/>
          <w:szCs w:val="24"/>
          <w:lang w:val="en-GB"/>
        </w:rPr>
        <w:t xml:space="preserve"> </w:t>
      </w:r>
      <w:r w:rsidR="000D3577" w:rsidRPr="002C3E85">
        <w:rPr>
          <w:rFonts w:ascii="Times New Roman" w:hAnsi="Times New Roman" w:cs="Times New Roman"/>
          <w:sz w:val="24"/>
          <w:szCs w:val="24"/>
          <w:lang w:val="en-GB"/>
        </w:rPr>
        <w:t>surface-based grey matter changes</w:t>
      </w:r>
    </w:p>
    <w:p w14:paraId="2D663E92" w14:textId="11A54E6D" w:rsidR="00A06854" w:rsidRPr="00FC4E49" w:rsidRDefault="00D92C74" w:rsidP="00F879B0">
      <w:pPr>
        <w:spacing w:after="0" w:line="480" w:lineRule="auto"/>
        <w:rPr>
          <w:rFonts w:ascii="Times New Roman" w:hAnsi="Times New Roman" w:cs="Times New Roman"/>
          <w:spacing w:val="-6"/>
          <w:sz w:val="24"/>
          <w:szCs w:val="24"/>
          <w:vertAlign w:val="superscript"/>
        </w:rPr>
      </w:pPr>
      <w:r w:rsidRPr="00FC4E49">
        <w:rPr>
          <w:rFonts w:ascii="Times New Roman" w:hAnsi="Times New Roman" w:cs="Times New Roman"/>
          <w:b/>
          <w:spacing w:val="-6"/>
          <w:sz w:val="24"/>
          <w:szCs w:val="24"/>
        </w:rPr>
        <w:t>Authors:</w:t>
      </w:r>
      <w:r w:rsidRPr="00FC4E49">
        <w:rPr>
          <w:rFonts w:ascii="Times New Roman" w:hAnsi="Times New Roman" w:cs="Times New Roman"/>
          <w:spacing w:val="-6"/>
          <w:sz w:val="24"/>
          <w:szCs w:val="24"/>
        </w:rPr>
        <w:t xml:space="preserve"> </w:t>
      </w:r>
      <w:r w:rsidR="00DF506C" w:rsidRPr="00FC4E49">
        <w:rPr>
          <w:rFonts w:ascii="Times New Roman" w:hAnsi="Times New Roman" w:cs="Times New Roman"/>
          <w:sz w:val="24"/>
          <w:szCs w:val="24"/>
        </w:rPr>
        <w:t>Sini Hämäläinen</w:t>
      </w:r>
      <w:r w:rsidR="00666BDD" w:rsidRPr="00FC4E49">
        <w:rPr>
          <w:rFonts w:ascii="Times New Roman" w:hAnsi="Times New Roman" w:cs="Times New Roman"/>
          <w:sz w:val="24"/>
          <w:szCs w:val="24"/>
          <w:vertAlign w:val="superscript"/>
        </w:rPr>
        <w:t>1,2</w:t>
      </w:r>
      <w:r w:rsidR="00DF506C" w:rsidRPr="00FC4E49">
        <w:rPr>
          <w:rFonts w:ascii="Times New Roman" w:hAnsi="Times New Roman" w:cs="Times New Roman"/>
          <w:sz w:val="24"/>
          <w:szCs w:val="24"/>
        </w:rPr>
        <w:t xml:space="preserve">, </w:t>
      </w:r>
      <w:r w:rsidR="00C40EF4" w:rsidRPr="00FC4E49">
        <w:rPr>
          <w:rFonts w:ascii="Times New Roman" w:hAnsi="Times New Roman" w:cs="Times New Roman"/>
          <w:sz w:val="24"/>
          <w:szCs w:val="24"/>
        </w:rPr>
        <w:t>Juho Joutsa</w:t>
      </w:r>
      <w:r w:rsidR="00666BDD" w:rsidRPr="00FC4E49">
        <w:rPr>
          <w:rFonts w:ascii="Times New Roman" w:hAnsi="Times New Roman" w:cs="Times New Roman"/>
          <w:sz w:val="24"/>
          <w:szCs w:val="24"/>
          <w:vertAlign w:val="superscript"/>
        </w:rPr>
        <w:t>3-5</w:t>
      </w:r>
      <w:r w:rsidR="00DF506C" w:rsidRPr="00FC4E49">
        <w:rPr>
          <w:rFonts w:ascii="Times New Roman" w:hAnsi="Times New Roman" w:cs="Times New Roman"/>
          <w:sz w:val="24"/>
          <w:szCs w:val="24"/>
        </w:rPr>
        <w:t xml:space="preserve">, </w:t>
      </w:r>
      <w:r w:rsidR="00386589" w:rsidRPr="00FC4E49">
        <w:rPr>
          <w:rFonts w:ascii="Times New Roman" w:hAnsi="Times New Roman" w:cs="Times New Roman"/>
          <w:sz w:val="24"/>
          <w:szCs w:val="24"/>
        </w:rPr>
        <w:t xml:space="preserve">Aleksi </w:t>
      </w:r>
      <w:r w:rsidR="005736F6" w:rsidRPr="00FC4E49">
        <w:rPr>
          <w:rFonts w:ascii="Times New Roman" w:hAnsi="Times New Roman" w:cs="Times New Roman"/>
          <w:sz w:val="24"/>
          <w:szCs w:val="24"/>
        </w:rPr>
        <w:t xml:space="preserve">J. </w:t>
      </w:r>
      <w:r w:rsidR="00386589" w:rsidRPr="00FC4E49">
        <w:rPr>
          <w:rFonts w:ascii="Times New Roman" w:hAnsi="Times New Roman" w:cs="Times New Roman"/>
          <w:sz w:val="24"/>
          <w:szCs w:val="24"/>
        </w:rPr>
        <w:t>Sihvonen</w:t>
      </w:r>
      <w:r w:rsidR="00666BDD" w:rsidRPr="00FC4E49">
        <w:rPr>
          <w:rFonts w:ascii="Times New Roman" w:hAnsi="Times New Roman" w:cs="Times New Roman"/>
          <w:sz w:val="24"/>
          <w:szCs w:val="24"/>
          <w:vertAlign w:val="superscript"/>
        </w:rPr>
        <w:t>1,</w:t>
      </w:r>
      <w:r w:rsidR="006B036C" w:rsidRPr="00FC4E49">
        <w:rPr>
          <w:rFonts w:ascii="Times New Roman" w:hAnsi="Times New Roman" w:cs="Times New Roman"/>
          <w:sz w:val="24"/>
          <w:szCs w:val="24"/>
          <w:vertAlign w:val="superscript"/>
        </w:rPr>
        <w:t>6</w:t>
      </w:r>
      <w:r w:rsidR="00386589" w:rsidRPr="00FC4E49">
        <w:rPr>
          <w:rFonts w:ascii="Times New Roman" w:hAnsi="Times New Roman" w:cs="Times New Roman"/>
          <w:sz w:val="24"/>
          <w:szCs w:val="24"/>
        </w:rPr>
        <w:t xml:space="preserve">, </w:t>
      </w:r>
      <w:r w:rsidR="00DF506C" w:rsidRPr="00FC4E49">
        <w:rPr>
          <w:rFonts w:ascii="Times New Roman" w:hAnsi="Times New Roman" w:cs="Times New Roman"/>
          <w:sz w:val="24"/>
          <w:szCs w:val="24"/>
        </w:rPr>
        <w:t>Alina Leminen</w:t>
      </w:r>
      <w:r w:rsidR="00A05F35" w:rsidRPr="00FC4E49">
        <w:rPr>
          <w:rFonts w:ascii="Times New Roman" w:hAnsi="Times New Roman" w:cs="Times New Roman"/>
          <w:sz w:val="24"/>
          <w:szCs w:val="24"/>
          <w:vertAlign w:val="superscript"/>
        </w:rPr>
        <w:t>1</w:t>
      </w:r>
      <w:r w:rsidR="00DF506C" w:rsidRPr="00FC4E49">
        <w:rPr>
          <w:rFonts w:ascii="Times New Roman" w:hAnsi="Times New Roman" w:cs="Times New Roman"/>
          <w:sz w:val="24"/>
          <w:szCs w:val="24"/>
        </w:rPr>
        <w:t>, Minna Lehtonen</w:t>
      </w:r>
      <w:r w:rsidR="00A05F35" w:rsidRPr="00FC4E49">
        <w:rPr>
          <w:rFonts w:ascii="Times New Roman" w:hAnsi="Times New Roman" w:cs="Times New Roman"/>
          <w:sz w:val="24"/>
          <w:szCs w:val="24"/>
          <w:vertAlign w:val="superscript"/>
        </w:rPr>
        <w:t>1,7</w:t>
      </w:r>
      <w:r w:rsidR="001C7269" w:rsidRPr="00FC4E49">
        <w:rPr>
          <w:rFonts w:ascii="Times New Roman" w:hAnsi="Times New Roman" w:cs="Times New Roman"/>
          <w:sz w:val="24"/>
          <w:szCs w:val="24"/>
          <w:vertAlign w:val="superscript"/>
        </w:rPr>
        <w:t>,8</w:t>
      </w:r>
    </w:p>
    <w:p w14:paraId="1C587B57" w14:textId="77777777" w:rsidR="00F879B0" w:rsidRPr="00FC4E49" w:rsidRDefault="00F879B0" w:rsidP="00F879B0">
      <w:pPr>
        <w:spacing w:after="0" w:line="480" w:lineRule="auto"/>
        <w:rPr>
          <w:rFonts w:ascii="Times New Roman" w:hAnsi="Times New Roman" w:cs="Times New Roman"/>
          <w:spacing w:val="-6"/>
          <w:sz w:val="24"/>
          <w:szCs w:val="24"/>
        </w:rPr>
      </w:pPr>
    </w:p>
    <w:p w14:paraId="005242D7" w14:textId="77777777" w:rsidR="00DC244E" w:rsidRPr="002C3E85" w:rsidRDefault="00DC244E"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 xml:space="preserve">1 </w:t>
      </w:r>
      <w:r w:rsidRPr="002C3E85">
        <w:rPr>
          <w:rFonts w:ascii="Times New Roman" w:hAnsi="Times New Roman" w:cs="Times New Roman"/>
          <w:sz w:val="24"/>
          <w:szCs w:val="24"/>
          <w:lang w:val="en-GB"/>
        </w:rPr>
        <w:t>Cognitive Brain Research Unit, Department of Psychology and Logopedics, Faculty of Medicine, University of Helsinki, 00014, Helsinki, Finland</w:t>
      </w:r>
    </w:p>
    <w:p w14:paraId="5D02A9AF" w14:textId="0664CF1F" w:rsidR="00DC244E" w:rsidRPr="002C3E85" w:rsidRDefault="00666BDD"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2</w:t>
      </w:r>
      <w:r w:rsidR="00DC244E" w:rsidRPr="002C3E85">
        <w:rPr>
          <w:rFonts w:ascii="Times New Roman" w:hAnsi="Times New Roman" w:cs="Times New Roman"/>
          <w:sz w:val="24"/>
          <w:szCs w:val="24"/>
          <w:vertAlign w:val="superscript"/>
          <w:lang w:val="en-GB"/>
        </w:rPr>
        <w:t xml:space="preserve"> </w:t>
      </w:r>
      <w:r w:rsidR="00DC244E" w:rsidRPr="002C3E85">
        <w:rPr>
          <w:rFonts w:ascii="Times New Roman" w:hAnsi="Times New Roman" w:cs="Times New Roman"/>
          <w:sz w:val="24"/>
          <w:szCs w:val="24"/>
          <w:lang w:val="en-GB"/>
        </w:rPr>
        <w:t>Advanced Magnetic Imaging Centre, Aalto NeuroImaging, Aalto University Espoo, Finland</w:t>
      </w:r>
    </w:p>
    <w:p w14:paraId="4A4B13CF" w14:textId="153CE2CD" w:rsidR="0035462E" w:rsidRPr="002C3E85" w:rsidRDefault="00666BDD"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lastRenderedPageBreak/>
        <w:t>3</w:t>
      </w:r>
      <w:r w:rsidR="00DC244E" w:rsidRPr="002C3E85">
        <w:rPr>
          <w:rFonts w:ascii="Times New Roman" w:hAnsi="Times New Roman" w:cs="Times New Roman"/>
          <w:sz w:val="24"/>
          <w:szCs w:val="24"/>
          <w:vertAlign w:val="superscript"/>
          <w:lang w:val="en-GB"/>
        </w:rPr>
        <w:t xml:space="preserve"> </w:t>
      </w:r>
      <w:r w:rsidR="0035462E" w:rsidRPr="002C3E85">
        <w:rPr>
          <w:rFonts w:ascii="Times New Roman" w:hAnsi="Times New Roman" w:cs="Times New Roman"/>
          <w:sz w:val="24"/>
          <w:szCs w:val="24"/>
          <w:lang w:val="en-GB"/>
        </w:rPr>
        <w:t>Athinoula A. Martinos Center for Biomedical Imaging, Massachusetts General Hospital and Harvard Medical School, Charlestown, MA</w:t>
      </w:r>
    </w:p>
    <w:p w14:paraId="6C9D3903" w14:textId="79C45FAC" w:rsidR="0035462E" w:rsidRPr="002C3E85" w:rsidRDefault="00666BDD"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4</w:t>
      </w:r>
      <w:r w:rsidR="00DC244E" w:rsidRPr="002C3E85">
        <w:rPr>
          <w:rFonts w:ascii="Times New Roman" w:hAnsi="Times New Roman" w:cs="Times New Roman"/>
          <w:sz w:val="24"/>
          <w:szCs w:val="24"/>
          <w:vertAlign w:val="superscript"/>
          <w:lang w:val="en-GB"/>
        </w:rPr>
        <w:t xml:space="preserve"> </w:t>
      </w:r>
      <w:r w:rsidR="0035462E" w:rsidRPr="002C3E85">
        <w:rPr>
          <w:rFonts w:ascii="Times New Roman" w:hAnsi="Times New Roman" w:cs="Times New Roman"/>
          <w:sz w:val="24"/>
          <w:szCs w:val="24"/>
          <w:lang w:val="en-GB"/>
        </w:rPr>
        <w:t xml:space="preserve">Berenson-Allen Center for Noninvasive Brain Stimulation, Beth Israel Deaconess Medical Center and Harvard Medical School, Boston, MA </w:t>
      </w:r>
    </w:p>
    <w:p w14:paraId="50708D12" w14:textId="42925075" w:rsidR="0035462E" w:rsidRPr="002C3E85" w:rsidRDefault="00666BDD"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5</w:t>
      </w:r>
      <w:r w:rsidR="00DC244E" w:rsidRPr="002C3E85">
        <w:rPr>
          <w:rFonts w:ascii="Times New Roman" w:hAnsi="Times New Roman" w:cs="Times New Roman"/>
          <w:sz w:val="24"/>
          <w:szCs w:val="24"/>
          <w:vertAlign w:val="superscript"/>
          <w:lang w:val="en-GB"/>
        </w:rPr>
        <w:t xml:space="preserve"> </w:t>
      </w:r>
      <w:r w:rsidR="0035462E" w:rsidRPr="002C3E85">
        <w:rPr>
          <w:rFonts w:ascii="Times New Roman" w:hAnsi="Times New Roman" w:cs="Times New Roman"/>
          <w:sz w:val="24"/>
          <w:szCs w:val="24"/>
          <w:lang w:val="en-GB"/>
        </w:rPr>
        <w:t>Department of Neurology, University of Turku, Turku, Finland</w:t>
      </w:r>
    </w:p>
    <w:p w14:paraId="3A80596D" w14:textId="66D900CC" w:rsidR="00DC244E" w:rsidRPr="002C3E85" w:rsidRDefault="00666BDD"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6</w:t>
      </w:r>
      <w:r w:rsidR="00DC244E" w:rsidRPr="002C3E85">
        <w:rPr>
          <w:rFonts w:ascii="Times New Roman" w:hAnsi="Times New Roman" w:cs="Times New Roman"/>
          <w:sz w:val="24"/>
          <w:szCs w:val="24"/>
          <w:vertAlign w:val="superscript"/>
          <w:lang w:val="en-GB"/>
        </w:rPr>
        <w:t xml:space="preserve"> </w:t>
      </w:r>
      <w:r w:rsidR="00DC244E" w:rsidRPr="002C3E85">
        <w:rPr>
          <w:rFonts w:ascii="Times New Roman" w:hAnsi="Times New Roman" w:cs="Times New Roman"/>
          <w:sz w:val="24"/>
          <w:szCs w:val="24"/>
          <w:lang w:val="en-GB"/>
        </w:rPr>
        <w:t>Faculty of Medicine, University of Turku, Finland</w:t>
      </w:r>
    </w:p>
    <w:p w14:paraId="3532EDDD" w14:textId="78F026E0" w:rsidR="000F3D59" w:rsidRPr="002C3E85" w:rsidRDefault="00A05F35"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7</w:t>
      </w:r>
      <w:r w:rsidR="00DF506C" w:rsidRPr="002C3E85">
        <w:rPr>
          <w:rFonts w:ascii="Times New Roman" w:hAnsi="Times New Roman" w:cs="Times New Roman"/>
          <w:sz w:val="24"/>
          <w:szCs w:val="24"/>
          <w:vertAlign w:val="superscript"/>
          <w:lang w:val="en-GB"/>
        </w:rPr>
        <w:t xml:space="preserve"> </w:t>
      </w:r>
      <w:r w:rsidR="00DF506C" w:rsidRPr="002C3E85">
        <w:rPr>
          <w:rFonts w:ascii="Times New Roman" w:hAnsi="Times New Roman" w:cs="Times New Roman"/>
          <w:sz w:val="24"/>
          <w:szCs w:val="24"/>
          <w:lang w:val="en-GB"/>
        </w:rPr>
        <w:t>Department of Psychology, Abo Akademi University, Turku, Finland</w:t>
      </w:r>
    </w:p>
    <w:p w14:paraId="15A50CE5" w14:textId="48AA82A2" w:rsidR="001C7269" w:rsidRPr="002C3E85" w:rsidRDefault="001C7269"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vertAlign w:val="superscript"/>
          <w:lang w:val="en-GB"/>
        </w:rPr>
        <w:t>8</w:t>
      </w:r>
      <w:r w:rsidRPr="002C3E85">
        <w:rPr>
          <w:lang w:val="en-GB"/>
        </w:rPr>
        <w:t xml:space="preserve"> </w:t>
      </w:r>
      <w:r w:rsidRPr="002C3E85">
        <w:rPr>
          <w:rFonts w:ascii="Times New Roman" w:hAnsi="Times New Roman" w:cs="Times New Roman"/>
          <w:sz w:val="24"/>
          <w:szCs w:val="24"/>
          <w:lang w:val="en-GB"/>
        </w:rPr>
        <w:t>MultiLing Center for Multilingualism in Society across the Lifespan, Department of Linguistics and Scandinavian studies, University of Oslo, Oslo, Norway.</w:t>
      </w:r>
    </w:p>
    <w:p w14:paraId="5C04B3F1" w14:textId="77777777" w:rsidR="00132E02" w:rsidRPr="002C3E85" w:rsidRDefault="00132E02" w:rsidP="005B3B81">
      <w:pPr>
        <w:spacing w:after="0" w:line="480" w:lineRule="auto"/>
        <w:jc w:val="both"/>
        <w:rPr>
          <w:rFonts w:ascii="Times New Roman" w:hAnsi="Times New Roman" w:cs="Times New Roman"/>
          <w:sz w:val="24"/>
          <w:szCs w:val="24"/>
          <w:lang w:val="en-GB"/>
        </w:rPr>
      </w:pPr>
    </w:p>
    <w:p w14:paraId="193555E6" w14:textId="351FFD9C" w:rsidR="00D92C74" w:rsidRPr="002C3E85" w:rsidRDefault="00DF506C" w:rsidP="005B3B81">
      <w:pPr>
        <w:spacing w:after="0"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Address</w:t>
      </w:r>
      <w:r w:rsidR="00D92C74" w:rsidRPr="002C3E85">
        <w:rPr>
          <w:rFonts w:ascii="Times New Roman" w:hAnsi="Times New Roman" w:cs="Times New Roman"/>
          <w:b/>
          <w:sz w:val="24"/>
          <w:szCs w:val="24"/>
          <w:lang w:val="en-GB"/>
        </w:rPr>
        <w:t xml:space="preserve"> all</w:t>
      </w:r>
      <w:r w:rsidR="00BE58E5" w:rsidRPr="002C3E85">
        <w:rPr>
          <w:rFonts w:ascii="Times New Roman" w:hAnsi="Times New Roman" w:cs="Times New Roman"/>
          <w:b/>
          <w:sz w:val="24"/>
          <w:szCs w:val="24"/>
          <w:lang w:val="en-GB"/>
        </w:rPr>
        <w:t xml:space="preserve"> </w:t>
      </w:r>
      <w:r w:rsidRPr="002C3E85">
        <w:rPr>
          <w:rFonts w:ascii="Times New Roman" w:hAnsi="Times New Roman" w:cs="Times New Roman"/>
          <w:b/>
          <w:sz w:val="24"/>
          <w:szCs w:val="24"/>
          <w:lang w:val="en-GB"/>
        </w:rPr>
        <w:t>correspondence to</w:t>
      </w:r>
      <w:r w:rsidR="00D92C74" w:rsidRPr="002C3E85">
        <w:rPr>
          <w:rFonts w:ascii="Times New Roman" w:hAnsi="Times New Roman" w:cs="Times New Roman"/>
          <w:b/>
          <w:sz w:val="24"/>
          <w:szCs w:val="24"/>
          <w:lang w:val="en-GB"/>
        </w:rPr>
        <w:t xml:space="preserve">: </w:t>
      </w:r>
    </w:p>
    <w:p w14:paraId="245C474D" w14:textId="56F5A9DC" w:rsidR="00BE58E5" w:rsidRPr="002C3E85" w:rsidRDefault="00DF506C"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Sini Hämäläinen</w:t>
      </w:r>
      <w:r w:rsidR="000F3D59" w:rsidRPr="002C3E85">
        <w:rPr>
          <w:rFonts w:ascii="Times New Roman" w:hAnsi="Times New Roman" w:cs="Times New Roman"/>
          <w:sz w:val="24"/>
          <w:szCs w:val="24"/>
          <w:lang w:val="en-GB"/>
        </w:rPr>
        <w:t xml:space="preserve">, Cognitive Brain Research Unit, Department of Psychology and Logopedics, Faculty of Medicine, </w:t>
      </w:r>
      <w:r w:rsidR="003350B7" w:rsidRPr="002C3E85">
        <w:rPr>
          <w:rFonts w:ascii="Times New Roman" w:hAnsi="Times New Roman" w:cs="Times New Roman"/>
          <w:sz w:val="24"/>
          <w:szCs w:val="24"/>
          <w:lang w:val="en-GB"/>
        </w:rPr>
        <w:t>Siltavuorenpenger 1 B,</w:t>
      </w:r>
      <w:r w:rsidR="00EC4473" w:rsidRPr="002C3E85">
        <w:rPr>
          <w:rFonts w:ascii="Times New Roman" w:hAnsi="Times New Roman" w:cs="Times New Roman"/>
          <w:sz w:val="24"/>
          <w:szCs w:val="24"/>
          <w:lang w:val="en-GB"/>
        </w:rPr>
        <w:t xml:space="preserve"> 00014</w:t>
      </w:r>
      <w:r w:rsidR="003350B7" w:rsidRPr="002C3E85">
        <w:rPr>
          <w:rFonts w:ascii="Times New Roman" w:hAnsi="Times New Roman" w:cs="Times New Roman"/>
          <w:sz w:val="24"/>
          <w:szCs w:val="24"/>
          <w:lang w:val="en-GB"/>
        </w:rPr>
        <w:t xml:space="preserve"> </w:t>
      </w:r>
      <w:r w:rsidR="000F3D59" w:rsidRPr="002C3E85">
        <w:rPr>
          <w:rFonts w:ascii="Times New Roman" w:hAnsi="Times New Roman" w:cs="Times New Roman"/>
          <w:sz w:val="24"/>
          <w:szCs w:val="24"/>
          <w:lang w:val="en-GB"/>
        </w:rPr>
        <w:t>University of Helsinki</w:t>
      </w:r>
      <w:r w:rsidR="00EC4473" w:rsidRPr="002C3E85">
        <w:rPr>
          <w:rFonts w:ascii="Times New Roman" w:hAnsi="Times New Roman" w:cs="Times New Roman"/>
          <w:sz w:val="24"/>
          <w:szCs w:val="24"/>
          <w:lang w:val="en-GB"/>
        </w:rPr>
        <w:t>,</w:t>
      </w:r>
      <w:r w:rsidR="000F3D59" w:rsidRPr="002C3E85">
        <w:rPr>
          <w:rFonts w:ascii="Times New Roman" w:hAnsi="Times New Roman" w:cs="Times New Roman"/>
          <w:sz w:val="24"/>
          <w:szCs w:val="24"/>
          <w:lang w:val="en-GB"/>
        </w:rPr>
        <w:t xml:space="preserve"> Helsinki, Finland</w:t>
      </w:r>
      <w:r w:rsidR="00557BCC" w:rsidRPr="002C3E85">
        <w:rPr>
          <w:rFonts w:ascii="Times New Roman" w:hAnsi="Times New Roman" w:cs="Times New Roman"/>
          <w:sz w:val="24"/>
          <w:szCs w:val="24"/>
          <w:lang w:val="en-GB"/>
        </w:rPr>
        <w:t xml:space="preserve">. </w:t>
      </w:r>
    </w:p>
    <w:p w14:paraId="67131DC9" w14:textId="3244A053" w:rsidR="000F3D59" w:rsidRPr="002C3E85" w:rsidRDefault="00557BCC" w:rsidP="005B3B81">
      <w:pPr>
        <w:spacing w:after="0"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Email:</w:t>
      </w:r>
      <w:r w:rsidR="00DF506C" w:rsidRPr="002C3E85">
        <w:rPr>
          <w:rFonts w:ascii="Times New Roman" w:hAnsi="Times New Roman" w:cs="Times New Roman"/>
          <w:sz w:val="24"/>
          <w:szCs w:val="24"/>
          <w:lang w:val="en-GB"/>
        </w:rPr>
        <w:t xml:space="preserve"> </w:t>
      </w:r>
      <w:hyperlink r:id="rId8" w:history="1">
        <w:r w:rsidR="00DF506C" w:rsidRPr="002C3E85">
          <w:rPr>
            <w:rStyle w:val="Hyperlink"/>
            <w:rFonts w:ascii="Times New Roman" w:hAnsi="Times New Roman" w:cs="Times New Roman"/>
            <w:sz w:val="24"/>
            <w:szCs w:val="24"/>
            <w:lang w:val="en-GB"/>
          </w:rPr>
          <w:t>sini.hamalainen@helsinki.fi</w:t>
        </w:r>
      </w:hyperlink>
      <w:r w:rsidR="00D92C74" w:rsidRPr="002C3E85">
        <w:rPr>
          <w:rFonts w:ascii="Times New Roman" w:hAnsi="Times New Roman" w:cs="Times New Roman"/>
          <w:sz w:val="24"/>
          <w:szCs w:val="24"/>
          <w:lang w:val="en-GB"/>
        </w:rPr>
        <w:t xml:space="preserve">, </w:t>
      </w:r>
      <w:r w:rsidRPr="002C3E85">
        <w:rPr>
          <w:rFonts w:ascii="Times New Roman" w:hAnsi="Times New Roman" w:cs="Times New Roman"/>
          <w:sz w:val="24"/>
          <w:szCs w:val="24"/>
          <w:lang w:val="en-GB"/>
        </w:rPr>
        <w:t>Phone: +358 44 022 0030</w:t>
      </w:r>
    </w:p>
    <w:p w14:paraId="0DC74F52" w14:textId="77777777" w:rsidR="00D92C74" w:rsidRPr="002C3E85" w:rsidRDefault="00D92C74" w:rsidP="005B3B81">
      <w:pPr>
        <w:spacing w:after="0" w:line="480" w:lineRule="auto"/>
        <w:jc w:val="both"/>
        <w:rPr>
          <w:rFonts w:ascii="Times New Roman" w:hAnsi="Times New Roman" w:cs="Times New Roman"/>
          <w:sz w:val="24"/>
          <w:szCs w:val="24"/>
          <w:lang w:val="en-GB"/>
        </w:rPr>
      </w:pPr>
    </w:p>
    <w:p w14:paraId="2A7B69D8" w14:textId="36058115" w:rsidR="00DF506C" w:rsidRPr="002C3E85" w:rsidRDefault="00D92C74" w:rsidP="00D92C74">
      <w:pPr>
        <w:spacing w:after="0" w:line="480" w:lineRule="auto"/>
        <w:rPr>
          <w:rStyle w:val="Hyperlink"/>
          <w:rFonts w:ascii="Times New Roman" w:hAnsi="Times New Roman" w:cs="Times New Roman"/>
          <w:sz w:val="24"/>
          <w:szCs w:val="24"/>
          <w:lang w:val="en-GB"/>
        </w:rPr>
      </w:pPr>
      <w:r w:rsidRPr="002C3E85">
        <w:rPr>
          <w:rFonts w:ascii="Times New Roman" w:hAnsi="Times New Roman" w:cs="Times New Roman"/>
          <w:b/>
          <w:sz w:val="24"/>
          <w:szCs w:val="24"/>
          <w:lang w:val="en-GB"/>
        </w:rPr>
        <w:t xml:space="preserve">Keywords: </w:t>
      </w:r>
      <w:r w:rsidRPr="002C3E85">
        <w:rPr>
          <w:rFonts w:ascii="Times New Roman" w:hAnsi="Times New Roman" w:cs="Times New Roman"/>
          <w:sz w:val="24"/>
          <w:szCs w:val="24"/>
          <w:lang w:val="en-GB"/>
        </w:rPr>
        <w:t xml:space="preserve">bilingualism, SBA, </w:t>
      </w:r>
      <w:r w:rsidR="003F4E5D" w:rsidRPr="002C3E85">
        <w:rPr>
          <w:rFonts w:ascii="Times New Roman" w:hAnsi="Times New Roman" w:cs="Times New Roman"/>
          <w:sz w:val="24"/>
          <w:szCs w:val="24"/>
          <w:lang w:val="en-GB"/>
        </w:rPr>
        <w:t>surface area, thickness</w:t>
      </w:r>
      <w:r w:rsidRPr="002C3E85">
        <w:rPr>
          <w:rFonts w:ascii="Times New Roman" w:hAnsi="Times New Roman" w:cs="Times New Roman"/>
          <w:sz w:val="24"/>
          <w:szCs w:val="24"/>
          <w:lang w:val="en-GB"/>
        </w:rPr>
        <w:t>, age of L2 acquisition</w:t>
      </w:r>
      <w:r w:rsidR="00DF506C" w:rsidRPr="002C3E85">
        <w:rPr>
          <w:rStyle w:val="Hyperlink"/>
          <w:rFonts w:ascii="Times New Roman" w:hAnsi="Times New Roman" w:cs="Times New Roman"/>
          <w:sz w:val="24"/>
          <w:szCs w:val="24"/>
          <w:lang w:val="en-GB"/>
        </w:rPr>
        <w:br w:type="page"/>
      </w:r>
    </w:p>
    <w:p w14:paraId="5B984854" w14:textId="3B6F1C0A" w:rsidR="00DF506C" w:rsidRPr="002C3E85" w:rsidRDefault="00DF506C"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lastRenderedPageBreak/>
        <w:t>Abstract</w:t>
      </w:r>
    </w:p>
    <w:p w14:paraId="29B20D72" w14:textId="5BBB3186" w:rsidR="00DF506C" w:rsidRPr="002C3E85" w:rsidRDefault="00D71ED9" w:rsidP="002A79B0">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Bilingualism is a sustained experience associated </w:t>
      </w:r>
      <w:r w:rsidR="00B64F5B" w:rsidRPr="002C3E85">
        <w:rPr>
          <w:rFonts w:ascii="Times New Roman" w:hAnsi="Times New Roman" w:cs="Times New Roman"/>
          <w:sz w:val="24"/>
          <w:szCs w:val="24"/>
          <w:lang w:val="en-GB"/>
        </w:rPr>
        <w:t xml:space="preserve">with </w:t>
      </w:r>
      <w:r w:rsidR="00050B6B" w:rsidRPr="002C3E85">
        <w:rPr>
          <w:rFonts w:ascii="Times New Roman" w:hAnsi="Times New Roman" w:cs="Times New Roman"/>
          <w:sz w:val="24"/>
          <w:szCs w:val="24"/>
          <w:lang w:val="en-GB"/>
        </w:rPr>
        <w:t xml:space="preserve">structural </w:t>
      </w:r>
      <w:r w:rsidRPr="002C3E85">
        <w:rPr>
          <w:rFonts w:ascii="Times New Roman" w:hAnsi="Times New Roman" w:cs="Times New Roman"/>
          <w:sz w:val="24"/>
          <w:szCs w:val="24"/>
          <w:lang w:val="en-GB"/>
        </w:rPr>
        <w:t xml:space="preserve">changes in </w:t>
      </w:r>
      <w:r w:rsidR="00050B6B" w:rsidRPr="002C3E85">
        <w:rPr>
          <w:rFonts w:ascii="Times New Roman" w:hAnsi="Times New Roman" w:cs="Times New Roman"/>
          <w:sz w:val="24"/>
          <w:szCs w:val="24"/>
          <w:lang w:val="en-GB"/>
        </w:rPr>
        <w:t xml:space="preserve">cortical </w:t>
      </w:r>
      <w:r w:rsidR="00B64F5B" w:rsidRPr="002C3E85">
        <w:rPr>
          <w:rFonts w:ascii="Times New Roman" w:hAnsi="Times New Roman" w:cs="Times New Roman"/>
          <w:sz w:val="24"/>
          <w:szCs w:val="24"/>
          <w:lang w:val="en-GB"/>
        </w:rPr>
        <w:t xml:space="preserve">grey matter (GM) morphology. </w:t>
      </w:r>
      <w:r w:rsidR="00963B49" w:rsidRPr="002C3E85">
        <w:rPr>
          <w:rFonts w:ascii="Times New Roman" w:hAnsi="Times New Roman" w:cs="Times New Roman"/>
          <w:sz w:val="24"/>
          <w:szCs w:val="24"/>
          <w:lang w:val="en-GB"/>
        </w:rPr>
        <w:t xml:space="preserve">Apart from </w:t>
      </w:r>
      <w:r w:rsidR="008E5728" w:rsidRPr="002C3E85">
        <w:rPr>
          <w:rFonts w:ascii="Times New Roman" w:hAnsi="Times New Roman" w:cs="Times New Roman"/>
          <w:sz w:val="24"/>
          <w:szCs w:val="24"/>
          <w:lang w:val="en-GB"/>
        </w:rPr>
        <w:t xml:space="preserve">a </w:t>
      </w:r>
      <w:r w:rsidR="00963B49" w:rsidRPr="002C3E85">
        <w:rPr>
          <w:rFonts w:ascii="Times New Roman" w:hAnsi="Times New Roman" w:cs="Times New Roman"/>
          <w:sz w:val="24"/>
          <w:szCs w:val="24"/>
          <w:lang w:val="en-GB"/>
        </w:rPr>
        <w:t xml:space="preserve">few studies, </w:t>
      </w:r>
      <w:r w:rsidR="00612464" w:rsidRPr="002C3E85">
        <w:rPr>
          <w:rFonts w:ascii="Times New Roman" w:hAnsi="Times New Roman" w:cs="Times New Roman"/>
          <w:sz w:val="24"/>
          <w:szCs w:val="24"/>
          <w:lang w:val="en-GB"/>
        </w:rPr>
        <w:t>a dominant method used to assess</w:t>
      </w:r>
      <w:r w:rsidR="00963B49" w:rsidRPr="002C3E85">
        <w:rPr>
          <w:rFonts w:ascii="Times New Roman" w:hAnsi="Times New Roman" w:cs="Times New Roman"/>
          <w:sz w:val="24"/>
          <w:szCs w:val="24"/>
          <w:lang w:val="en-GB"/>
        </w:rPr>
        <w:t xml:space="preserve"> </w:t>
      </w:r>
      <w:bookmarkStart w:id="1" w:name="_Hlk511936208"/>
      <w:r w:rsidR="00963B49" w:rsidRPr="002C3E85">
        <w:rPr>
          <w:rFonts w:ascii="Times New Roman" w:hAnsi="Times New Roman" w:cs="Times New Roman"/>
          <w:sz w:val="24"/>
          <w:szCs w:val="24"/>
          <w:lang w:val="en-GB"/>
        </w:rPr>
        <w:t>bilingualism-induced GM changes</w:t>
      </w:r>
      <w:bookmarkEnd w:id="1"/>
      <w:r w:rsidR="00963B49" w:rsidRPr="002C3E85">
        <w:rPr>
          <w:rFonts w:ascii="Times New Roman" w:hAnsi="Times New Roman" w:cs="Times New Roman"/>
          <w:sz w:val="24"/>
          <w:szCs w:val="24"/>
          <w:lang w:val="en-GB"/>
        </w:rPr>
        <w:t xml:space="preserve"> has </w:t>
      </w:r>
      <w:r w:rsidR="00612464" w:rsidRPr="002C3E85">
        <w:rPr>
          <w:rFonts w:ascii="Times New Roman" w:hAnsi="Times New Roman" w:cs="Times New Roman"/>
          <w:sz w:val="24"/>
          <w:szCs w:val="24"/>
          <w:lang w:val="en-GB"/>
        </w:rPr>
        <w:t>been</w:t>
      </w:r>
      <w:r w:rsidR="001E3F65" w:rsidRPr="002C3E85">
        <w:rPr>
          <w:rFonts w:ascii="Times New Roman" w:hAnsi="Times New Roman" w:cs="Times New Roman"/>
          <w:sz w:val="24"/>
          <w:szCs w:val="24"/>
          <w:lang w:val="en-GB"/>
        </w:rPr>
        <w:t xml:space="preserve"> </w:t>
      </w:r>
      <w:r w:rsidR="00612464" w:rsidRPr="002C3E85">
        <w:rPr>
          <w:rFonts w:ascii="Times New Roman" w:hAnsi="Times New Roman" w:cs="Times New Roman"/>
          <w:sz w:val="24"/>
          <w:szCs w:val="24"/>
          <w:lang w:val="en-GB"/>
        </w:rPr>
        <w:t>the</w:t>
      </w:r>
      <w:r w:rsidR="001E3F65" w:rsidRPr="002C3E85">
        <w:rPr>
          <w:rFonts w:ascii="Times New Roman" w:hAnsi="Times New Roman" w:cs="Times New Roman"/>
          <w:sz w:val="24"/>
          <w:szCs w:val="24"/>
          <w:lang w:val="en-GB"/>
        </w:rPr>
        <w:t xml:space="preserve"> voxel-based morphometry (VBM) analysis</w:t>
      </w:r>
      <w:r w:rsidR="00612464" w:rsidRPr="002C3E85">
        <w:rPr>
          <w:rFonts w:ascii="Times New Roman" w:hAnsi="Times New Roman" w:cs="Times New Roman"/>
          <w:sz w:val="24"/>
          <w:szCs w:val="24"/>
          <w:lang w:val="en-GB"/>
        </w:rPr>
        <w:t>. While VBM is sensitive to GM volume/density differences in general, it cannot be used to identify whether the observed difference is due to relative changes in, e.g., cortical thickness, area or folding, as it uses a single combined measure of them all.</w:t>
      </w:r>
      <w:r w:rsidRPr="002C3E85">
        <w:rPr>
          <w:rFonts w:ascii="Times New Roman" w:hAnsi="Times New Roman" w:cs="Times New Roman"/>
          <w:sz w:val="24"/>
          <w:szCs w:val="24"/>
          <w:lang w:val="en-GB"/>
        </w:rPr>
        <w:t xml:space="preserve"> </w:t>
      </w:r>
      <w:r w:rsidR="0059752F" w:rsidRPr="002C3E85">
        <w:rPr>
          <w:rFonts w:ascii="Times New Roman" w:hAnsi="Times New Roman" w:cs="Times New Roman"/>
          <w:sz w:val="24"/>
          <w:szCs w:val="24"/>
          <w:lang w:val="en-GB"/>
        </w:rPr>
        <w:t xml:space="preserve">Here, we </w:t>
      </w:r>
      <w:r w:rsidR="00964323" w:rsidRPr="002C3E85">
        <w:rPr>
          <w:rFonts w:ascii="Times New Roman" w:hAnsi="Times New Roman" w:cs="Times New Roman"/>
          <w:sz w:val="24"/>
          <w:szCs w:val="24"/>
          <w:lang w:val="en-GB"/>
        </w:rPr>
        <w:t xml:space="preserve">used surface-based analysis (SBA) approach to investigate whether </w:t>
      </w:r>
      <w:r w:rsidR="002A79B0" w:rsidRPr="002C3E85">
        <w:rPr>
          <w:rFonts w:ascii="Times New Roman" w:hAnsi="Times New Roman" w:cs="Times New Roman"/>
          <w:sz w:val="24"/>
          <w:szCs w:val="24"/>
          <w:lang w:val="en-GB"/>
        </w:rPr>
        <w:t>early</w:t>
      </w:r>
      <w:r w:rsidR="00964323" w:rsidRPr="002C3E85">
        <w:rPr>
          <w:rFonts w:ascii="Times New Roman" w:hAnsi="Times New Roman" w:cs="Times New Roman"/>
          <w:sz w:val="24"/>
          <w:szCs w:val="24"/>
          <w:lang w:val="en-GB"/>
        </w:rPr>
        <w:t xml:space="preserve"> acquisition of a second language (L2) affects the cortical </w:t>
      </w:r>
      <w:r w:rsidR="00822C07" w:rsidRPr="002C3E85">
        <w:rPr>
          <w:rFonts w:ascii="Times New Roman" w:hAnsi="Times New Roman" w:cs="Times New Roman"/>
          <w:sz w:val="24"/>
          <w:szCs w:val="24"/>
          <w:lang w:val="en-GB"/>
        </w:rPr>
        <w:t xml:space="preserve">GM </w:t>
      </w:r>
      <w:r w:rsidR="00964323" w:rsidRPr="002C3E85">
        <w:rPr>
          <w:rFonts w:ascii="Times New Roman" w:hAnsi="Times New Roman" w:cs="Times New Roman"/>
          <w:sz w:val="24"/>
          <w:szCs w:val="24"/>
          <w:lang w:val="en-GB"/>
        </w:rPr>
        <w:t xml:space="preserve">morphology relative to late L2 acquisition. </w:t>
      </w:r>
      <w:r w:rsidR="000C6E61" w:rsidRPr="002C3E85">
        <w:rPr>
          <w:rFonts w:ascii="Times New Roman" w:hAnsi="Times New Roman" w:cs="Times New Roman"/>
          <w:sz w:val="24"/>
          <w:szCs w:val="24"/>
          <w:lang w:val="en-GB"/>
        </w:rPr>
        <w:t xml:space="preserve">More specifically, our aim was to test </w:t>
      </w:r>
      <w:r w:rsidR="000C6E61" w:rsidRPr="002C3E85">
        <w:rPr>
          <w:rFonts w:ascii="Times New Roman" w:hAnsi="Times New Roman" w:cs="Times New Roman"/>
          <w:sz w:val="24"/>
          <w:szCs w:val="24"/>
          <w:lang w:val="en-GB"/>
        </w:rPr>
        <w:lastRenderedPageBreak/>
        <w:t xml:space="preserve">a hypothesis that </w:t>
      </w:r>
      <w:r w:rsidR="002A79B0" w:rsidRPr="002C3E85">
        <w:rPr>
          <w:rFonts w:ascii="Times New Roman" w:hAnsi="Times New Roman" w:cs="Times New Roman"/>
          <w:sz w:val="24"/>
          <w:szCs w:val="24"/>
          <w:lang w:val="en-GB"/>
        </w:rPr>
        <w:t>early</w:t>
      </w:r>
      <w:r w:rsidR="000C6E61" w:rsidRPr="002C3E85">
        <w:rPr>
          <w:rFonts w:ascii="Times New Roman" w:hAnsi="Times New Roman" w:cs="Times New Roman"/>
          <w:sz w:val="24"/>
          <w:szCs w:val="24"/>
          <w:lang w:val="en-GB"/>
        </w:rPr>
        <w:t xml:space="preserve"> acquisition of two languages induces GM changes that are predominantly surface area-driven, while late acquisition is supposedly characterised with primarily thickness-driven changes. To this end, several surface-based measures</w:t>
      </w:r>
      <w:r w:rsidR="00ED73F3" w:rsidRPr="002C3E85">
        <w:rPr>
          <w:rFonts w:ascii="Times New Roman" w:hAnsi="Times New Roman" w:cs="Times New Roman"/>
          <w:sz w:val="24"/>
          <w:szCs w:val="24"/>
          <w:lang w:val="en-GB"/>
        </w:rPr>
        <w:t xml:space="preserve"> we</w:t>
      </w:r>
      <w:r w:rsidR="00E72F22" w:rsidRPr="002C3E85">
        <w:rPr>
          <w:rFonts w:ascii="Times New Roman" w:hAnsi="Times New Roman" w:cs="Times New Roman"/>
          <w:sz w:val="24"/>
          <w:szCs w:val="24"/>
          <w:lang w:val="en-GB"/>
        </w:rPr>
        <w:t>re</w:t>
      </w:r>
      <w:r w:rsidR="00ED73F3" w:rsidRPr="002C3E85">
        <w:rPr>
          <w:rFonts w:ascii="Times New Roman" w:hAnsi="Times New Roman" w:cs="Times New Roman"/>
          <w:sz w:val="24"/>
          <w:szCs w:val="24"/>
          <w:lang w:val="en-GB"/>
        </w:rPr>
        <w:t xml:space="preserve"> </w:t>
      </w:r>
      <w:r w:rsidR="000C6E61" w:rsidRPr="002C3E85">
        <w:rPr>
          <w:rFonts w:ascii="Times New Roman" w:hAnsi="Times New Roman" w:cs="Times New Roman"/>
          <w:sz w:val="24"/>
          <w:szCs w:val="24"/>
          <w:lang w:val="en-GB"/>
        </w:rPr>
        <w:t>concurrently</w:t>
      </w:r>
      <w:r w:rsidR="00E72F22" w:rsidRPr="002C3E85">
        <w:rPr>
          <w:rFonts w:ascii="Times New Roman" w:hAnsi="Times New Roman" w:cs="Times New Roman"/>
          <w:sz w:val="24"/>
          <w:szCs w:val="24"/>
          <w:lang w:val="en-GB"/>
        </w:rPr>
        <w:t xml:space="preserve"> compared</w:t>
      </w:r>
      <w:r w:rsidR="000C6E61" w:rsidRPr="002C3E85">
        <w:rPr>
          <w:rFonts w:ascii="Times New Roman" w:hAnsi="Times New Roman" w:cs="Times New Roman"/>
          <w:sz w:val="24"/>
          <w:szCs w:val="24"/>
          <w:lang w:val="en-GB"/>
        </w:rPr>
        <w:t xml:space="preserve"> between </w:t>
      </w:r>
      <w:r w:rsidR="00ED73F3" w:rsidRPr="002C3E85">
        <w:rPr>
          <w:rFonts w:ascii="Times New Roman" w:hAnsi="Times New Roman" w:cs="Times New Roman"/>
          <w:sz w:val="24"/>
          <w:szCs w:val="24"/>
          <w:lang w:val="en-GB"/>
        </w:rPr>
        <w:t>the groups</w:t>
      </w:r>
      <w:r w:rsidR="000C6E61" w:rsidRPr="002C3E85">
        <w:rPr>
          <w:rFonts w:ascii="Times New Roman" w:hAnsi="Times New Roman" w:cs="Times New Roman"/>
          <w:sz w:val="24"/>
          <w:szCs w:val="24"/>
          <w:lang w:val="en-GB"/>
        </w:rPr>
        <w:t>. In line with the</w:t>
      </w:r>
      <w:r w:rsidR="00C1456E" w:rsidRPr="002C3E85">
        <w:rPr>
          <w:rFonts w:ascii="Times New Roman" w:hAnsi="Times New Roman" w:cs="Times New Roman"/>
          <w:sz w:val="24"/>
          <w:szCs w:val="24"/>
          <w:lang w:val="en-GB"/>
        </w:rPr>
        <w:t xml:space="preserve"> hypothesis, </w:t>
      </w:r>
      <w:r w:rsidR="000C6E61" w:rsidRPr="002C3E85">
        <w:rPr>
          <w:rFonts w:ascii="Times New Roman" w:hAnsi="Times New Roman" w:cs="Times New Roman"/>
          <w:sz w:val="24"/>
          <w:szCs w:val="24"/>
          <w:lang w:val="en-GB"/>
        </w:rPr>
        <w:t>the</w:t>
      </w:r>
      <w:r w:rsidR="000D4E42" w:rsidRPr="002C3E85">
        <w:rPr>
          <w:rFonts w:ascii="Times New Roman" w:hAnsi="Times New Roman" w:cs="Times New Roman"/>
          <w:sz w:val="24"/>
          <w:szCs w:val="24"/>
          <w:lang w:val="en-GB"/>
        </w:rPr>
        <w:t xml:space="preserve"> results revealed that</w:t>
      </w:r>
      <w:r w:rsidR="00A66888" w:rsidRPr="002C3E85">
        <w:rPr>
          <w:rFonts w:ascii="Times New Roman" w:hAnsi="Times New Roman" w:cs="Times New Roman"/>
          <w:sz w:val="24"/>
          <w:szCs w:val="24"/>
          <w:lang w:val="en-GB"/>
        </w:rPr>
        <w:t xml:space="preserve"> </w:t>
      </w:r>
      <w:r w:rsidR="000D4E42" w:rsidRPr="002C3E85">
        <w:rPr>
          <w:rFonts w:ascii="Times New Roman" w:hAnsi="Times New Roman" w:cs="Times New Roman"/>
          <w:sz w:val="24"/>
          <w:szCs w:val="24"/>
          <w:lang w:val="en-GB"/>
        </w:rPr>
        <w:t xml:space="preserve">early bilingual experience </w:t>
      </w:r>
      <w:r w:rsidR="00B5258E" w:rsidRPr="002C3E85">
        <w:rPr>
          <w:rFonts w:ascii="Times New Roman" w:hAnsi="Times New Roman" w:cs="Times New Roman"/>
          <w:sz w:val="24"/>
          <w:szCs w:val="24"/>
          <w:lang w:val="en-GB"/>
        </w:rPr>
        <w:t>is</w:t>
      </w:r>
      <w:r w:rsidR="000D4E42" w:rsidRPr="002C3E85">
        <w:rPr>
          <w:rFonts w:ascii="Times New Roman" w:hAnsi="Times New Roman" w:cs="Times New Roman"/>
          <w:sz w:val="24"/>
          <w:szCs w:val="24"/>
          <w:lang w:val="en-GB"/>
        </w:rPr>
        <w:t xml:space="preserve"> associated with significantly extended cortical surface area over </w:t>
      </w:r>
      <w:r w:rsidR="00C11B52" w:rsidRPr="002C3E85">
        <w:rPr>
          <w:rFonts w:ascii="Times New Roman" w:hAnsi="Times New Roman" w:cs="Times New Roman"/>
          <w:sz w:val="24"/>
          <w:szCs w:val="24"/>
          <w:lang w:val="en-GB"/>
        </w:rPr>
        <w:t>the left pars opercularis</w:t>
      </w:r>
      <w:r w:rsidR="000D4E42" w:rsidRPr="002C3E85">
        <w:rPr>
          <w:rFonts w:ascii="Times New Roman" w:hAnsi="Times New Roman" w:cs="Times New Roman"/>
          <w:sz w:val="24"/>
          <w:szCs w:val="24"/>
          <w:lang w:val="en-GB"/>
        </w:rPr>
        <w:t xml:space="preserve"> and the rig</w:t>
      </w:r>
      <w:r w:rsidR="00C11B52" w:rsidRPr="002C3E85">
        <w:rPr>
          <w:rFonts w:ascii="Times New Roman" w:hAnsi="Times New Roman" w:cs="Times New Roman"/>
          <w:sz w:val="24"/>
          <w:szCs w:val="24"/>
          <w:lang w:val="en-GB"/>
        </w:rPr>
        <w:t>ht superior temporal gyrus</w:t>
      </w:r>
      <w:r w:rsidR="000D4E42" w:rsidRPr="002C3E85">
        <w:rPr>
          <w:rFonts w:ascii="Times New Roman" w:hAnsi="Times New Roman" w:cs="Times New Roman"/>
          <w:sz w:val="24"/>
          <w:szCs w:val="24"/>
          <w:lang w:val="en-GB"/>
        </w:rPr>
        <w:t>.</w:t>
      </w:r>
      <w:r w:rsidR="00C22660" w:rsidRPr="002C3E85">
        <w:rPr>
          <w:rFonts w:ascii="Times New Roman" w:hAnsi="Times New Roman" w:cs="Times New Roman"/>
          <w:sz w:val="24"/>
          <w:szCs w:val="24"/>
          <w:lang w:val="en-GB"/>
        </w:rPr>
        <w:t xml:space="preserve"> Contrary to </w:t>
      </w:r>
      <w:r w:rsidR="000C6E61" w:rsidRPr="002C3E85">
        <w:rPr>
          <w:rFonts w:ascii="Times New Roman" w:hAnsi="Times New Roman" w:cs="Times New Roman"/>
          <w:sz w:val="24"/>
          <w:szCs w:val="24"/>
          <w:lang w:val="en-GB"/>
        </w:rPr>
        <w:t xml:space="preserve">our </w:t>
      </w:r>
      <w:r w:rsidR="006D2BE6" w:rsidRPr="002C3E85">
        <w:rPr>
          <w:rFonts w:ascii="Times New Roman" w:hAnsi="Times New Roman" w:cs="Times New Roman"/>
          <w:sz w:val="24"/>
          <w:szCs w:val="24"/>
          <w:lang w:val="en-GB"/>
        </w:rPr>
        <w:t>expectation</w:t>
      </w:r>
      <w:r w:rsidR="00F727A3" w:rsidRPr="002C3E85">
        <w:rPr>
          <w:rFonts w:ascii="Times New Roman" w:hAnsi="Times New Roman" w:cs="Times New Roman"/>
          <w:sz w:val="24"/>
          <w:szCs w:val="24"/>
          <w:lang w:val="en-GB"/>
        </w:rPr>
        <w:t>s</w:t>
      </w:r>
      <w:r w:rsidR="00C22660" w:rsidRPr="002C3E85">
        <w:rPr>
          <w:rFonts w:ascii="Times New Roman" w:hAnsi="Times New Roman" w:cs="Times New Roman"/>
          <w:sz w:val="24"/>
          <w:szCs w:val="24"/>
          <w:lang w:val="en-GB"/>
        </w:rPr>
        <w:t xml:space="preserve">, </w:t>
      </w:r>
      <w:r w:rsidR="00365E7E" w:rsidRPr="002C3E85">
        <w:rPr>
          <w:rFonts w:ascii="Times New Roman" w:hAnsi="Times New Roman" w:cs="Times New Roman"/>
          <w:sz w:val="24"/>
          <w:szCs w:val="24"/>
          <w:lang w:val="en-GB"/>
        </w:rPr>
        <w:t xml:space="preserve">however, </w:t>
      </w:r>
      <w:r w:rsidR="00C22660" w:rsidRPr="002C3E85">
        <w:rPr>
          <w:rFonts w:ascii="Times New Roman" w:hAnsi="Times New Roman" w:cs="Times New Roman"/>
          <w:sz w:val="24"/>
          <w:szCs w:val="24"/>
          <w:lang w:val="en-GB"/>
        </w:rPr>
        <w:t xml:space="preserve">we found no evidence </w:t>
      </w:r>
      <w:r w:rsidR="00E74CB2" w:rsidRPr="002C3E85">
        <w:rPr>
          <w:rFonts w:ascii="Times New Roman" w:hAnsi="Times New Roman" w:cs="Times New Roman"/>
          <w:sz w:val="24"/>
          <w:szCs w:val="24"/>
          <w:lang w:val="en-GB"/>
        </w:rPr>
        <w:t xml:space="preserve">supporting the postulated association between late L2 acquisition and increased cortical thickness. </w:t>
      </w:r>
      <w:r w:rsidR="0092697D" w:rsidRPr="002C3E85">
        <w:rPr>
          <w:rFonts w:ascii="Times New Roman" w:hAnsi="Times New Roman" w:cs="Times New Roman"/>
          <w:sz w:val="24"/>
          <w:szCs w:val="24"/>
          <w:lang w:val="en-GB"/>
        </w:rPr>
        <w:t>Nevertheless, our study highlights the importance of including cortical surface measures when investigating bilingualism-related GM modulations.</w:t>
      </w:r>
      <w:r w:rsidR="00DF506C" w:rsidRPr="002C3E85">
        <w:rPr>
          <w:rFonts w:ascii="Times New Roman" w:hAnsi="Times New Roman" w:cs="Times New Roman"/>
          <w:sz w:val="24"/>
          <w:szCs w:val="24"/>
          <w:lang w:val="en-GB"/>
        </w:rPr>
        <w:br w:type="page"/>
      </w:r>
    </w:p>
    <w:p w14:paraId="022B44E2" w14:textId="300A9001" w:rsidR="00827EA9" w:rsidRPr="002C3E85" w:rsidRDefault="00827EA9"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lastRenderedPageBreak/>
        <w:t>1 Introduction</w:t>
      </w:r>
    </w:p>
    <w:p w14:paraId="2EBA95BF" w14:textId="79EDC289" w:rsidR="006518F6" w:rsidRPr="002C3E85" w:rsidRDefault="00B94E8F"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Recently, neurocognitive research on bilingualism has </w:t>
      </w:r>
      <w:r w:rsidR="00C42FB8" w:rsidRPr="002C3E85">
        <w:rPr>
          <w:rFonts w:ascii="Times New Roman" w:hAnsi="Times New Roman" w:cs="Times New Roman"/>
          <w:sz w:val="24"/>
          <w:szCs w:val="24"/>
          <w:lang w:val="en-GB"/>
        </w:rPr>
        <w:t xml:space="preserve">increasingly focused attention on </w:t>
      </w:r>
      <w:r w:rsidRPr="002C3E85">
        <w:rPr>
          <w:rFonts w:ascii="Times New Roman" w:hAnsi="Times New Roman" w:cs="Times New Roman"/>
          <w:sz w:val="24"/>
          <w:szCs w:val="24"/>
          <w:lang w:val="en-GB"/>
        </w:rPr>
        <w:t>structural brain plasticity related to second language (L2) acquisition and use. Pioneering studies have investigate</w:t>
      </w:r>
      <w:r w:rsidR="00A010A5" w:rsidRPr="002C3E85">
        <w:rPr>
          <w:rFonts w:ascii="Times New Roman" w:hAnsi="Times New Roman" w:cs="Times New Roman"/>
          <w:sz w:val="24"/>
          <w:szCs w:val="24"/>
          <w:lang w:val="en-GB"/>
        </w:rPr>
        <w:t>d</w:t>
      </w:r>
      <w:r w:rsidRPr="002C3E85">
        <w:rPr>
          <w:rFonts w:ascii="Times New Roman" w:hAnsi="Times New Roman" w:cs="Times New Roman"/>
          <w:sz w:val="24"/>
          <w:szCs w:val="24"/>
          <w:lang w:val="en-GB"/>
        </w:rPr>
        <w:t xml:space="preserve"> whether bilingualism is related to quantifiable changes in both cortical </w:t>
      </w:r>
      <w:r w:rsidR="00B2379C" w:rsidRPr="002C3E85">
        <w:rPr>
          <w:rFonts w:ascii="Times New Roman" w:hAnsi="Times New Roman" w:cs="Times New Roman"/>
          <w:sz w:val="24"/>
          <w:szCs w:val="24"/>
          <w:lang w:val="en-GB"/>
        </w:rPr>
        <w:t>grey matter (</w:t>
      </w:r>
      <w:r w:rsidR="00E945AA" w:rsidRPr="002C3E85">
        <w:rPr>
          <w:rFonts w:ascii="Times New Roman" w:hAnsi="Times New Roman" w:cs="Times New Roman"/>
          <w:sz w:val="24"/>
          <w:szCs w:val="24"/>
          <w:lang w:val="en-GB"/>
        </w:rPr>
        <w:t>GM</w:t>
      </w:r>
      <w:r w:rsidR="00B2379C" w:rsidRPr="002C3E85">
        <w:rPr>
          <w:rFonts w:ascii="Times New Roman" w:hAnsi="Times New Roman" w:cs="Times New Roman"/>
          <w:sz w:val="24"/>
          <w:szCs w:val="24"/>
          <w:lang w:val="en-GB"/>
        </w:rPr>
        <w:t>)</w:t>
      </w:r>
      <w:r w:rsidRPr="002C3E85">
        <w:rPr>
          <w:rFonts w:ascii="Times New Roman" w:hAnsi="Times New Roman" w:cs="Times New Roman"/>
          <w:sz w:val="24"/>
          <w:szCs w:val="24"/>
          <w:lang w:val="en-GB"/>
        </w:rPr>
        <w:t xml:space="preserve"> morphology as well as in underlying white matter (WM) </w:t>
      </w:r>
      <w:r w:rsidR="00246E09" w:rsidRPr="002C3E85">
        <w:rPr>
          <w:rFonts w:ascii="Times New Roman" w:hAnsi="Times New Roman" w:cs="Times New Roman"/>
          <w:sz w:val="24"/>
          <w:szCs w:val="24"/>
          <w:lang w:val="en-GB"/>
        </w:rPr>
        <w:t>fibre</w:t>
      </w:r>
      <w:r w:rsidRPr="002C3E85">
        <w:rPr>
          <w:rFonts w:ascii="Times New Roman" w:hAnsi="Times New Roman" w:cs="Times New Roman"/>
          <w:sz w:val="24"/>
          <w:szCs w:val="24"/>
          <w:lang w:val="en-GB"/>
        </w:rPr>
        <w:t xml:space="preserve"> arrangement</w:t>
      </w:r>
      <w:r w:rsidR="00384ACD" w:rsidRPr="002C3E85">
        <w:rPr>
          <w:rFonts w:ascii="Times New Roman" w:hAnsi="Times New Roman" w:cs="Times New Roman"/>
          <w:sz w:val="24"/>
          <w:szCs w:val="24"/>
          <w:lang w:val="en-GB"/>
        </w:rPr>
        <w:t xml:space="preserve"> </w:t>
      </w:r>
      <w:r w:rsidR="00384ACD"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"10.1016/j.cortex.2014.05.001", "ISBN" : "1973-8102 (Electronic)\\r0010-9452 (Linking)", "ISSN" : "19738102", "PMID" : "24996640", "abstract" : "The brain has an extraordinary ability to functionally and physically change or reconfigure its structure in response to environmental stimulus, cognitive demand, or behavioral experience. This property, known as neuroplasticity, has been examined extensively in many domains. But how does neuroplasticity occur in the brain as a function of an individual's experience with a second language? It is not until recently that we have gained some understanding of this question by examining the anatomical changes as well as functional neural patterns that are induced by the learning and use of multiple languages. In this article we review emerging evidence regarding how structural neuroplasticity occurs in the brain as a result of one's bilingual experience. Our review aims at identifying the processes and mechanisms that drive experience-dependent anatomical changes, and integrating structural imaging evidence with current knowledge of functional neural plasticity of language and other cognitive skills. The evidence reviewed so far portrays a picture that is highly consistent with structural neuroplasticity observed for other domains: second language experience-induced brain changes, including increased gray matter (GM) density and white matter (WM) integrity, can be found in children, young adults, and the elderly; can occur rapidly with short-term language learning or training; and are sensitive to age, age of acquisition, proficiency or performance level, language-specific characteristics, and individual differences. We conclude with a theoretical perspective on neuroplasticity in language and bilingualism, and point to future directions for research.", "author" : [ { "dropping-particle" : "", "family" : "Li", "given" : "Ping", "non-dropping-particle" : "", "parse-names" : false, "suffix" : "" }, { "dropping-particle" : "", "family" : "Legault", "given" : "Jennifer", "non-dropping-particle" : "", "parse-names" : false, "suffix" : "" }, { "dropping-particle" : "", "family" : "Litcofsky", "given" : "Kaitlyn A.", "non-dropping-particle" : "", "parse-names" : false, "suffix" : "" } ], "container-title" : "Cortex", "id" : "ITEM-1", "issued" : { "date-parts" : [ [ "2014" ] ] }, "page" : "301-324", "publisher" : "Elsevier Ltd", "title" : "Neuroplasticity as a function of second language learning: Anatomical changes in the human brain", "type" : "article-journal", "volume" : "58" }, "uris" : [ "http://www.mendeley.com/documents/?uuid=097e43a2-b5c5-4ba4-87a4-fe2f44171592" ] }, { "id" : "ITEM-2", "itemData" : { "DOI" : "10.3389/fpsyg.2014.01116", "ISSN" : "16641078", "PMID" : "25324816", "abstract" : "Within the field of neuroscientific research on second language learning, considerable attention has been devoted to functional and recently also structural changes related to second language acquisition. The present literature review summarizes studies that investigated structural changes related to bilingualism. Furthermore, as recent evidence has suggested that native-like exposure to a second language (i.e., a naturalistic learning setting or immersion) considerably impacts second language learning, all findings are reflected with respect to the learning environment. Aggregating the existing evidence, we conclude that structural changes in left inferior frontal and inferior parietal regions have been observed in studies on cortical gray matter changes, while the anterior parts of the corpus callosum have been repeatedly found to reflect bilingualism in studies on white matter (WM) connectivity. Regarding the learning environment, no cortical alterations can be attributed specifically to naturalistic or classroom learning. With regard to WM changes, one might tentatively propose that changes in IFOF and SLF are possibly more prominently observed in studies investigating bilinguals with a naturalistic learning experience. However, future studies are needed to replicate and strengthen the existing evidence and to directly test the impact of naturalistic exposure on structural brain plasticity.", "author" : [ { "dropping-particle" : "", "family" : "Stein", "given" : "Maria", "non-dropping-particle" : "", "parse-names" : false, "suffix" : "" }, { "dropping-particle" : "", "family" : "Winkler", "given" : "Carmen", "non-dropping-particle" : "", "parse-names" : false, "suffix" : "" }, { "dropping-particle" : "", "family" : "Kaiser", "given" : "Anelis C.", "non-dropping-particle" : "", "parse-names" : false, "suffix" : "" }, { "dropping-particle" : "", "family" : "Dierks", "given" : "Thomas", "non-dropping-particle" : "", "parse-names" : false, "suffix" : "" } ], "container-title" : "Frontiers in Psychology", "id" : "ITEM-2", "issue" : "SEP", "issued" : { "date-parts" : [ [ "2014" ] ] }, "page" : "1-7", "title" : "Structural brain changes related to bilingualism: Does immersion make a difference?", "type" : "article-journal", "volume" : "5" }, "uris" : [ "http://www.mendeley.com/documents/?uuid=90da0a8e-acb6-4855-8c16-971ce2fa0783" ] }, { "id" : "ITEM-3", "itemData" : { "DOI" : "10.1080/23273798.2015.1068944", "ISSN" : "2327-3798", "abstract" : "ABSTRACTThe neuroanatomical bases of bilingualism have recently received intensive attention. However, it is still a matter of debate how the brain structure changes due to bilingual experience since current findings are highly variable. The aim of this review is to examine these structural studies from a methodological perspective and to discuss two major methodological problems that could give rise to this variability. The first problem is sample selection, an issue directly related to the heterogeneous nature of bilingualism. The second problem is the inconsistency in the methods used for the analysis of brain imaging data. This review reveals that although structural changes related to bilingualism have been reported in regions comprising language/cognitive control and language processing, these results are not yet sufficiently numerous or consistent to allow important generalizations to be reached. Consequently, current evidence offers ambiguous support for neural models of bilingualism. This shortco...", "author" : [ { "dropping-particle" : "", "family" : "Garc\u00eda-Pent\u00f3n", "given" : "Lorna", "non-dropping-particle" : "", "parse-names" : false, "suffix" : "" }, { "dropping-particle" : "", "family" : "Fern\u00e1ndez Garc\u00eda", "given" : "Yuriem", "non-dropping-particle" : "", "parse-names" : false, "suffix" : "" }, { "dropping-particle" : "", "family" : "Costello", "given" : "Brendan", "non-dropping-particle" : "", "parse-names" : false, "suffix" : "" }, { "dropping-particle" : "", "family" : "Du\u00f1abeitia", "given" : "Jon Andoni", "non-dropping-particle" : "", "parse-names" : false, "suffix" : "" }, { "dropping-particle" : "", "family" : "Carreiras", "given" : "Manuel", "non-dropping-particle" : "", "parse-names" : false, "suffix" : "" } ], "container-title" : "Language, Cognition and Neuroscience", "id" : "ITEM-3", "issue" : "October", "issued" : { "date-parts" : [ [ "2015" ] ] }, "page" : "1-25", "title" : "The neuroanatomy of bilingualism: how to turn a hazy view into the full picture", "type" : "article-journal", "volume" : "3798" }, "uris" : [ "http://www.mendeley.com/documents/?uuid=3cec1d27-b871-4be0-adc5-2dd81f613a60" ] } ], "mendeley" : { "formattedCitation" : "(Garc\u00eda-Pent\u00f3n et al., 2015; Li et al., 2014; Stein et al., 2014)", "manualFormatting" : "(for reviews, see e.g., Li et al. 2014; Stein et al. 2014; Garc\u00eda-Pent\u00f3n et al. 2015)", "plainTextFormattedCitation" : "(Garc\u00eda-Pent\u00f3n et al., 2015; Li et al., 2014; Stein et al., 2014)", "previouslyFormattedCitation" : "(Garc\u00eda-Pent\u00f3n et al., 2015; Li et al., 2014; Stein et al., 2014)" }, "properties" : {  }, "schema" : "https://github.com/citation-style-language/schema/raw/master/csl-citation.json" }</w:instrText>
      </w:r>
      <w:r w:rsidR="00384ACD" w:rsidRPr="002C3E85">
        <w:rPr>
          <w:rFonts w:ascii="Times New Roman" w:hAnsi="Times New Roman" w:cs="Times New Roman"/>
          <w:sz w:val="24"/>
          <w:szCs w:val="24"/>
          <w:lang w:val="en-GB"/>
        </w:rPr>
        <w:fldChar w:fldCharType="separate"/>
      </w:r>
      <w:r w:rsidR="00384ACD" w:rsidRPr="002C3E85">
        <w:rPr>
          <w:rFonts w:ascii="Times New Roman" w:hAnsi="Times New Roman" w:cs="Times New Roman"/>
          <w:noProof/>
          <w:sz w:val="24"/>
          <w:szCs w:val="24"/>
          <w:lang w:val="en-GB"/>
        </w:rPr>
        <w:t>(for reviews, see e.g., Li et al. 2014; Stein et al. 2014; García-Pentón et al. 201</w:t>
      </w:r>
      <w:r w:rsidR="00106F71" w:rsidRPr="002C3E85">
        <w:rPr>
          <w:rFonts w:ascii="Times New Roman" w:hAnsi="Times New Roman" w:cs="Times New Roman"/>
          <w:noProof/>
          <w:sz w:val="24"/>
          <w:szCs w:val="24"/>
          <w:lang w:val="en-GB"/>
        </w:rPr>
        <w:t>5</w:t>
      </w:r>
      <w:r w:rsidR="00384ACD" w:rsidRPr="002C3E85">
        <w:rPr>
          <w:rFonts w:ascii="Times New Roman" w:hAnsi="Times New Roman" w:cs="Times New Roman"/>
          <w:noProof/>
          <w:sz w:val="24"/>
          <w:szCs w:val="24"/>
          <w:lang w:val="en-GB"/>
        </w:rPr>
        <w:t>)</w:t>
      </w:r>
      <w:r w:rsidR="00384ACD"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w:t>
      </w:r>
      <w:r w:rsidR="004312F3" w:rsidRPr="002C3E85">
        <w:rPr>
          <w:rFonts w:ascii="Times New Roman" w:hAnsi="Times New Roman" w:cs="Times New Roman"/>
          <w:sz w:val="24"/>
          <w:szCs w:val="24"/>
          <w:lang w:val="en-GB"/>
        </w:rPr>
        <w:t>While an emerging consensus</w:t>
      </w:r>
      <w:r w:rsidR="004F21FC" w:rsidRPr="002C3E85">
        <w:rPr>
          <w:rFonts w:ascii="Times New Roman" w:hAnsi="Times New Roman" w:cs="Times New Roman"/>
          <w:sz w:val="24"/>
          <w:szCs w:val="24"/>
          <w:lang w:val="en-GB"/>
        </w:rPr>
        <w:t xml:space="preserve"> posits that bilingualism </w:t>
      </w:r>
      <w:r w:rsidR="00D548BB" w:rsidRPr="002C3E85">
        <w:rPr>
          <w:rFonts w:ascii="Times New Roman" w:hAnsi="Times New Roman" w:cs="Times New Roman"/>
          <w:sz w:val="24"/>
          <w:szCs w:val="24"/>
          <w:lang w:val="en-GB"/>
        </w:rPr>
        <w:t xml:space="preserve">is indeed characterized by both GM and WM structural modulations, </w:t>
      </w:r>
      <w:r w:rsidR="00825155" w:rsidRPr="002C3E85">
        <w:rPr>
          <w:rFonts w:ascii="Times New Roman" w:hAnsi="Times New Roman" w:cs="Times New Roman"/>
          <w:sz w:val="24"/>
          <w:szCs w:val="24"/>
          <w:lang w:val="en-GB"/>
        </w:rPr>
        <w:t xml:space="preserve">the </w:t>
      </w:r>
      <w:r w:rsidR="0078748F" w:rsidRPr="002C3E85">
        <w:rPr>
          <w:rFonts w:ascii="Times New Roman" w:hAnsi="Times New Roman" w:cs="Times New Roman"/>
          <w:sz w:val="24"/>
          <w:szCs w:val="24"/>
          <w:lang w:val="en-GB"/>
        </w:rPr>
        <w:t xml:space="preserve">experimental </w:t>
      </w:r>
      <w:r w:rsidR="00825155" w:rsidRPr="002C3E85">
        <w:rPr>
          <w:rFonts w:ascii="Times New Roman" w:hAnsi="Times New Roman" w:cs="Times New Roman"/>
          <w:sz w:val="24"/>
          <w:szCs w:val="24"/>
          <w:lang w:val="en-GB"/>
        </w:rPr>
        <w:t>evidence remain</w:t>
      </w:r>
      <w:r w:rsidR="009578D0" w:rsidRPr="002C3E85">
        <w:rPr>
          <w:rFonts w:ascii="Times New Roman" w:hAnsi="Times New Roman" w:cs="Times New Roman"/>
          <w:sz w:val="24"/>
          <w:szCs w:val="24"/>
          <w:lang w:val="en-GB"/>
        </w:rPr>
        <w:t>s</w:t>
      </w:r>
      <w:r w:rsidR="0066619B" w:rsidRPr="002C3E85">
        <w:rPr>
          <w:rFonts w:ascii="Times New Roman" w:hAnsi="Times New Roman" w:cs="Times New Roman"/>
          <w:sz w:val="24"/>
          <w:szCs w:val="24"/>
          <w:lang w:val="en-GB"/>
        </w:rPr>
        <w:t xml:space="preserve"> </w:t>
      </w:r>
      <w:r w:rsidR="007250A5" w:rsidRPr="002C3E85">
        <w:rPr>
          <w:rFonts w:ascii="Times New Roman" w:hAnsi="Times New Roman" w:cs="Times New Roman"/>
          <w:sz w:val="24"/>
          <w:szCs w:val="24"/>
          <w:lang w:val="en-GB"/>
        </w:rPr>
        <w:t xml:space="preserve">relatively scarce and </w:t>
      </w:r>
      <w:r w:rsidR="0066619B" w:rsidRPr="002C3E85">
        <w:rPr>
          <w:rFonts w:ascii="Times New Roman" w:hAnsi="Times New Roman" w:cs="Times New Roman"/>
          <w:sz w:val="24"/>
          <w:szCs w:val="24"/>
          <w:lang w:val="en-GB"/>
        </w:rPr>
        <w:t xml:space="preserve">highly </w:t>
      </w:r>
      <w:r w:rsidR="00DE18C3" w:rsidRPr="002C3E85">
        <w:rPr>
          <w:rFonts w:ascii="Times New Roman" w:hAnsi="Times New Roman" w:cs="Times New Roman"/>
          <w:sz w:val="24"/>
          <w:szCs w:val="24"/>
          <w:lang w:val="en-GB"/>
        </w:rPr>
        <w:t>varying</w:t>
      </w:r>
      <w:r w:rsidR="0066619B" w:rsidRPr="002C3E85">
        <w:rPr>
          <w:rFonts w:ascii="Times New Roman" w:hAnsi="Times New Roman" w:cs="Times New Roman"/>
          <w:sz w:val="24"/>
          <w:szCs w:val="24"/>
          <w:lang w:val="en-GB"/>
        </w:rPr>
        <w:t>, regarding</w:t>
      </w:r>
      <w:r w:rsidR="007213B1" w:rsidRPr="002C3E85">
        <w:rPr>
          <w:rFonts w:ascii="Times New Roman" w:hAnsi="Times New Roman" w:cs="Times New Roman"/>
          <w:sz w:val="24"/>
          <w:szCs w:val="24"/>
          <w:lang w:val="en-GB"/>
        </w:rPr>
        <w:t>,</w:t>
      </w:r>
      <w:r w:rsidR="0066619B" w:rsidRPr="002C3E85">
        <w:rPr>
          <w:rFonts w:ascii="Times New Roman" w:hAnsi="Times New Roman" w:cs="Times New Roman"/>
          <w:sz w:val="24"/>
          <w:szCs w:val="24"/>
          <w:lang w:val="en-GB"/>
        </w:rPr>
        <w:t xml:space="preserve"> in particular</w:t>
      </w:r>
      <w:r w:rsidR="007213B1" w:rsidRPr="002C3E85">
        <w:rPr>
          <w:rFonts w:ascii="Times New Roman" w:hAnsi="Times New Roman" w:cs="Times New Roman"/>
          <w:sz w:val="24"/>
          <w:szCs w:val="24"/>
          <w:lang w:val="en-GB"/>
        </w:rPr>
        <w:t>,</w:t>
      </w:r>
      <w:r w:rsidR="0066619B" w:rsidRPr="002C3E85">
        <w:rPr>
          <w:rFonts w:ascii="Times New Roman" w:hAnsi="Times New Roman" w:cs="Times New Roman"/>
          <w:sz w:val="24"/>
          <w:szCs w:val="24"/>
          <w:lang w:val="en-GB"/>
        </w:rPr>
        <w:t xml:space="preserve"> the GM modulations. </w:t>
      </w:r>
    </w:p>
    <w:p w14:paraId="470F973A" w14:textId="77777777" w:rsidR="006518F6" w:rsidRPr="002C3E85" w:rsidRDefault="006518F6" w:rsidP="00B16091">
      <w:pPr>
        <w:spacing w:line="480" w:lineRule="auto"/>
        <w:jc w:val="both"/>
        <w:rPr>
          <w:rFonts w:ascii="Times New Roman" w:hAnsi="Times New Roman" w:cs="Times New Roman"/>
          <w:sz w:val="24"/>
          <w:szCs w:val="24"/>
          <w:lang w:val="en-GB"/>
        </w:rPr>
      </w:pPr>
    </w:p>
    <w:p w14:paraId="3C2979EA" w14:textId="712F8F41" w:rsidR="00620E12" w:rsidRPr="002C3E85" w:rsidRDefault="00E97EAC"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To</w:t>
      </w:r>
      <w:r w:rsidR="00AD78F9" w:rsidRPr="002C3E85">
        <w:rPr>
          <w:rFonts w:ascii="Times New Roman" w:hAnsi="Times New Roman" w:cs="Times New Roman"/>
          <w:sz w:val="24"/>
          <w:szCs w:val="24"/>
          <w:lang w:val="en-GB"/>
        </w:rPr>
        <w:t xml:space="preserve"> date, m</w:t>
      </w:r>
      <w:r w:rsidR="006518F6" w:rsidRPr="002C3E85">
        <w:rPr>
          <w:rFonts w:ascii="Times New Roman" w:hAnsi="Times New Roman" w:cs="Times New Roman"/>
          <w:sz w:val="24"/>
          <w:szCs w:val="24"/>
          <w:lang w:val="en-GB"/>
        </w:rPr>
        <w:t>ost studies targeting</w:t>
      </w:r>
      <w:r w:rsidR="00C5005A" w:rsidRPr="002C3E85">
        <w:rPr>
          <w:rFonts w:ascii="Times New Roman" w:hAnsi="Times New Roman" w:cs="Times New Roman"/>
          <w:sz w:val="24"/>
          <w:szCs w:val="24"/>
          <w:lang w:val="en-GB"/>
        </w:rPr>
        <w:t xml:space="preserve"> bilingualism-induced</w:t>
      </w:r>
      <w:r w:rsidR="00AD78F9" w:rsidRPr="002C3E85">
        <w:rPr>
          <w:rFonts w:ascii="Times New Roman" w:hAnsi="Times New Roman" w:cs="Times New Roman"/>
          <w:sz w:val="24"/>
          <w:szCs w:val="24"/>
          <w:lang w:val="en-GB"/>
        </w:rPr>
        <w:t xml:space="preserve"> GM changes have utilis</w:t>
      </w:r>
      <w:r w:rsidR="006518F6" w:rsidRPr="002C3E85">
        <w:rPr>
          <w:rFonts w:ascii="Times New Roman" w:hAnsi="Times New Roman" w:cs="Times New Roman"/>
          <w:sz w:val="24"/>
          <w:szCs w:val="24"/>
          <w:lang w:val="en-GB"/>
        </w:rPr>
        <w:t>ed a voxel-based morphometry (VBM) analysis, which allows for</w:t>
      </w:r>
      <w:r w:rsidR="00240CEC" w:rsidRPr="002C3E85">
        <w:rPr>
          <w:rFonts w:ascii="Times New Roman" w:hAnsi="Times New Roman" w:cs="Times New Roman"/>
          <w:sz w:val="24"/>
          <w:szCs w:val="24"/>
          <w:lang w:val="en-GB"/>
        </w:rPr>
        <w:t xml:space="preserve"> a</w:t>
      </w:r>
      <w:r w:rsidR="006518F6" w:rsidRPr="002C3E85">
        <w:rPr>
          <w:rFonts w:ascii="Times New Roman" w:hAnsi="Times New Roman" w:cs="Times New Roman"/>
          <w:sz w:val="24"/>
          <w:szCs w:val="24"/>
          <w:lang w:val="en-GB"/>
        </w:rPr>
        <w:t xml:space="preserve"> </w:t>
      </w:r>
      <w:r w:rsidR="00E3585D" w:rsidRPr="002C3E85">
        <w:rPr>
          <w:rFonts w:ascii="Times New Roman" w:hAnsi="Times New Roman" w:cs="Times New Roman"/>
          <w:sz w:val="24"/>
          <w:szCs w:val="24"/>
          <w:lang w:val="en-GB"/>
        </w:rPr>
        <w:t xml:space="preserve">whole-brain level </w:t>
      </w:r>
      <w:r w:rsidR="006518F6" w:rsidRPr="002C3E85">
        <w:rPr>
          <w:rFonts w:ascii="Times New Roman" w:hAnsi="Times New Roman" w:cs="Times New Roman"/>
          <w:sz w:val="24"/>
          <w:szCs w:val="24"/>
          <w:lang w:val="en-GB"/>
        </w:rPr>
        <w:t>voxel-by-voxel</w:t>
      </w:r>
      <w:r w:rsidR="00316982" w:rsidRPr="002C3E85">
        <w:rPr>
          <w:rFonts w:ascii="Times New Roman" w:hAnsi="Times New Roman" w:cs="Times New Roman"/>
          <w:sz w:val="24"/>
          <w:szCs w:val="24"/>
          <w:lang w:val="en-GB"/>
        </w:rPr>
        <w:t xml:space="preserve"> comparison of the GM </w:t>
      </w:r>
      <w:r w:rsidR="006518F6" w:rsidRPr="002C3E85">
        <w:rPr>
          <w:rFonts w:ascii="Times New Roman" w:hAnsi="Times New Roman" w:cs="Times New Roman"/>
          <w:sz w:val="24"/>
          <w:szCs w:val="24"/>
          <w:lang w:val="en-GB"/>
        </w:rPr>
        <w:t xml:space="preserve">density/volume between two groups </w:t>
      </w:r>
      <w:r w:rsidR="006518F6"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"10.1006/nimg.2000.0582", "ISSN" : "10538119", "abstract" : "At its simplest, voxel-based morphometry (VBM) involves a voxel-wise comparison of the local concentration of gray matter between two groups of subjects. The procedure is relatively straightforward and involves spatially normalizing high-resolution images from all the subjects in the study into the same stereotactic space. This is followed by segmenting the gray matter from the spatially normalized images and smoothing the gray-matter segments. Voxel-wise parametric statistical tests which compare the smoothed gray-matter images from the two groups are performed. Corrections for multiple comparisons are made using the theory of Gaussian random fields. This paper describes the steps involved in VBM, with particular emphasis on segmenting gray matter from MR images with nonuniformity artifact. We provide evaluations of the assumptions that underpin the method, including the accuracy of the segmentation and the assumptions made about the statistical distribution of the data.", "author" : [ { "dropping-particle" : "", "family" : "Ashburner", "given" : "John", "non-dropping-particle" : "", "parse-names" : false, "suffix" : "" }, { "dropping-particle" : "", "family" : "Friston", "given" : "Karl J.", "non-dropping-particle" : "", "parse-names" : false, "suffix" : "" } ], "container-title" : "NeuroImage", "id" : "ITEM-1", "issue" : "6", "issued" : { "date-parts" : [ [ "2000" ] ] }, "page" : "805-821", "title" : "Voxel-Based Morphometry\u2014The Methods", "type" : "article-journal", "volume" : "11" }, "uris" : [ "http://www.mendeley.com/documents/?uuid=abfb854e-78ff-3e4b-93e0-e5aa6ad957c7" ] } ], "mendeley" : { "formattedCitation" : "(Ashburner and Friston, 2000)", "plainTextFormattedCitation" : "(Ashburner and Friston, 2000)", "previouslyFormattedCitation" : "(Ashburner and Friston, 2000)" }, "properties" : {  }, "schema" : "https://github.com/citation-style-language/schema/raw/master/csl-citation.json" }</w:instrText>
      </w:r>
      <w:r w:rsidR="006518F6"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(Ashburner and Friston, 2000)</w:t>
      </w:r>
      <w:r w:rsidR="006518F6" w:rsidRPr="002C3E85">
        <w:rPr>
          <w:rFonts w:ascii="Times New Roman" w:hAnsi="Times New Roman" w:cs="Times New Roman"/>
          <w:sz w:val="24"/>
          <w:szCs w:val="24"/>
          <w:lang w:val="en-GB"/>
        </w:rPr>
        <w:fldChar w:fldCharType="end"/>
      </w:r>
      <w:r w:rsidR="006518F6" w:rsidRPr="002C3E85">
        <w:rPr>
          <w:rFonts w:ascii="Times New Roman" w:hAnsi="Times New Roman" w:cs="Times New Roman"/>
          <w:sz w:val="24"/>
          <w:szCs w:val="24"/>
          <w:lang w:val="en-GB"/>
        </w:rPr>
        <w:t xml:space="preserve">. </w:t>
      </w:r>
      <w:r w:rsidR="002830C8" w:rsidRPr="002C3E85">
        <w:rPr>
          <w:rFonts w:ascii="Times New Roman" w:hAnsi="Times New Roman" w:cs="Times New Roman"/>
          <w:sz w:val="24"/>
          <w:szCs w:val="24"/>
          <w:lang w:val="en-GB"/>
        </w:rPr>
        <w:t xml:space="preserve">With </w:t>
      </w:r>
      <w:r w:rsidR="00E3585D" w:rsidRPr="002C3E85">
        <w:rPr>
          <w:rFonts w:ascii="Times New Roman" w:hAnsi="Times New Roman" w:cs="Times New Roman"/>
          <w:sz w:val="24"/>
          <w:szCs w:val="24"/>
          <w:lang w:val="en-GB"/>
        </w:rPr>
        <w:t>VBM</w:t>
      </w:r>
      <w:r w:rsidR="002830C8" w:rsidRPr="002C3E85">
        <w:rPr>
          <w:rFonts w:ascii="Times New Roman" w:hAnsi="Times New Roman" w:cs="Times New Roman"/>
          <w:sz w:val="24"/>
          <w:szCs w:val="24"/>
          <w:lang w:val="en-GB"/>
        </w:rPr>
        <w:t xml:space="preserve">, bilingualism-induced increases in GM volume/density have been </w:t>
      </w:r>
      <w:r w:rsidR="00B0000F" w:rsidRPr="002C3E85">
        <w:rPr>
          <w:rFonts w:ascii="Times New Roman" w:hAnsi="Times New Roman" w:cs="Times New Roman"/>
          <w:sz w:val="24"/>
          <w:szCs w:val="24"/>
          <w:lang w:val="en-GB"/>
        </w:rPr>
        <w:t>observed</w:t>
      </w:r>
      <w:r w:rsidR="002830C8" w:rsidRPr="002C3E85">
        <w:rPr>
          <w:rFonts w:ascii="Times New Roman" w:hAnsi="Times New Roman" w:cs="Times New Roman"/>
          <w:sz w:val="24"/>
          <w:szCs w:val="24"/>
          <w:lang w:val="en-GB"/>
        </w:rPr>
        <w:t xml:space="preserve"> in </w:t>
      </w:r>
      <w:r w:rsidR="00A45667" w:rsidRPr="002C3E85">
        <w:rPr>
          <w:rFonts w:ascii="Times New Roman" w:hAnsi="Times New Roman" w:cs="Times New Roman"/>
          <w:sz w:val="24"/>
          <w:szCs w:val="24"/>
          <w:lang w:val="en-GB"/>
        </w:rPr>
        <w:t xml:space="preserve">several fronto-temporal and medial language-related areas </w:t>
      </w:r>
      <w:r w:rsidR="00A45667"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"author" : [ { "dropping-particle" : "", "family" : "Mechelli", "given" : "A", "non-dropping-particle" : "", "parse-names" : false, "suffix" : "" }, { "dropping-particle" : "", "family" : "Crinion", "given" : "J T", "non-dropping-particle" : "", "parse-names" : false, "suffix" : "" }, { "dropping-particle" : "", "family" : "O'Doherty", "given" : "U Noppeneyand J", "non-dropping-particle" : "", "parse-names" : false, "suffix" : "" }, { "dropping-particle" : "", "family" : "Ashburner", "given" : "J", "non-dropping-particle" : "", "parse-names" : false, "suffix" : "" }, { "dropping-particle" : "", "family" : "R S Frackowiak", "given" : "S Richard", "non-dropping-particle" : "", "parse-names" : false, "suffix" : "" }, { "dropping-particle" : "", "family" : "Price", "given" : "C J", "non-dropping-particle" : "", "parse-names" : false, "suffix" : "" } ], "container-title" : "Nature", "id" : "ITEM-1", "issued" : { "date-parts" : [ [ "2004" ] ] }, "page" : "757", "title" : "Neurolinguistics: structural plasticity in the bilingual brain", "type" : "article-journal", "volume" : "431" }, "uris" : [ "http://www.mendeley.com/documents/?uuid=f5a06421-10c0-4762-b0d5-b5efbb11f542" ] }, { "id" : "ITEM-2", "itemData" : { "DOI" : "10.1016/j.neurobiolaging.2014.03.010", "ISSN" : "01974580", "abstract" : "Cerebral gray-matter volume (GMV) decreases in normal aging but the extent of the decrease may be experience-dependent. Bilingualism may be one protective factor and in this article we examine its potential protective effect on GMV in a region that shows strong age-related decreases\u2014the left anterior temporal pole. This region is held to function as a conceptual hub and might be expected to be a target of plastic changes in bilingual speakers because of the requirement for these speakers to store and differentiate lexical concepts in 2 languages to guide speech production and comprehension processes. In a whole brain comparison of bilingual speakers (n\u00a0= 23) and monolingual speakers (n\u00a0= 23), regressing out confounding factors, we find more extensive age-related decreases in GMV in the monolingual brain and significantly increased GMV in left temporal pole for bilingual speakers. Consistent with a specific neuroprotective effect of bilingualism, region of interest analyses showed a significant positive correlation between naming performance in the second language and GMV in this region. The effect appears to be bilateral though because there was a nonsignificantly different effect of naming performance on GMV in the right temporal pole. Our data emphasize the vulnerability of the temporal pole to normal aging and the value of bilingualism as both a general and specific protective factor to GMV decreases in healthy aging.", "author" : [ { "dropping-particle" : "", "family" : "Abutalebi", "given" : "Jubin", "non-dropping-particle" : "", "parse-names" : false, "suffix" : "" }, { "dropping-particle" : "", "family" : "Canini", "given" : "Matteo", "non-dropping-particle" : "", "parse-names" : false, "suffix" : "" }, { "dropping-particle" : "", "family" : "Rosa", "given" : "Pasquale A.", "non-dropping-particle" : "Della", "parse-names" : false, "suffix" : "" }, { "dropping-particle" : "", "family" : "Sheung", "given" : "Lo Ping", "non-dropping-particle" : "", "parse-names" : false, "suffix" : "" }, { "dropping-particle" : "", "family" : "Green", "given" : "David W.", "non-dropping-particle" : "", "parse-names" : false, "suffix" : "" }, { "dropping-particle" : "", "family" : "Weekes", "given" : "Brendan S.", "non-dropping-particle" : "", "parse-names" : false, "suffix" : "" } ], "container-title" : "Neurobiology of aging", "id" : "ITEM-2", "issue" : "9", "issued" : { "date-parts" : [ [ "2014" ] ] }, "page" : "2126-2133", "title" : "Bilingualism protects anterior temporal lobe integrity in aging", "type" : "article-journal", "volume" : "35" }, "uris" : [ "http://www.mendeley.com/documents/?uuid=7df4f3e5-9d70-481f-a7d8-d2d5b75cfc81" ] }, { "id" : "ITEM-3", "itemData" : { "DOI" : "10.1016/j.neuropsychologia.2015.01.040", "ISBN" : "0028-3932", "ISSN" : "18733514", "PMID" : "25637228", "abstract" : "It has been postulated that bilingualism may act as a cognitive reserve and recent behavioral evidence shows that bilinguals are diagnosed with dementia about 4-5 years later compared to monolinguals. In the present study, we investigated the neural basis of these putative protective effects in a group of aging bilinguals as compared to a matched monolingual control group. For this purpose, participants completed the Erikson Flanker task and their performance was correlated to gray matter (GM) volume in order to investigate if cognitive performance predicts GM volume specifically in areas affected by aging. We performed an ex-Gaussian analysis on the resulting RTs and report that aging bilinguals performed better than aging monolinguals on the Flanker task. Bilingualism was overall associated with increased GM in the ACC. Likewise, aging induced effects upon performance correlated only for monolinguals to decreased gray matter in the DLPFC. Taken together, these neural regions might underlie the benefits of bilingualism and act as a neural reserve that protects against the cognitive decline that occurs during aging.", "author" : [ { "dropping-particle" : "", "family" : "Abutalebi", "given" : "Jubin", "non-dropping-particle" : "", "parse-names" : false, "suffix" : "" }, { "dropping-particle" : "", "family" : "Guidi", "given" : "Lucia", "non-dropping-particle" : "", "parse-names" : false, "suffix" : "" }, { "dropping-particle" : "", "family" : "Borsa", "given" : "Virginia", "non-dropping-particle" : "", "parse-names" : false, "suffix" : "" }, { "dropping-particle" : "", "family" : "Canini", "given" : "Matteo", "non-dropping-particle" : "", "parse-names" : false, "suffix" : "" }, { "dropping-particle" : "", "family" : "Rosa", "given" : "Pasquale A.", "non-dropping-particle" : "Della", "parse-names" : false, "suffix" : "" }, { "dropping-particle" : "", "family" : "Parris", "given" : "Ben A.", "non-dropping-particle" : "", "parse-names" : false, "suffix" : "" }, { "dropping-particle" : "", "family" : "Weekes", "given" : "Brendan S.", "non-dropping-particle" : "", "parse-names" : false, "suffix" : "" } ], "container-title" : "Neuropsychologia", "id" : "ITEM-3", "issued" : { "date-parts" : [ [ "2015" ] ] }, "note" : "NULL", "page" : "201-210", "title" : "Bilingualism provides a neural reserve for aging populations", "type" : "article-journal", "volume" : "69" }, "uris" : [ "http://www.mendeley.com/documents/?uuid=a4f886f6-49b7-3236-aee1-e4ab16f2a3a5" ] }, { "id" : "ITEM-4", "itemData" : { "DOI" : "10.3389/fpsyg.2015.00638", "ISSN" : "16641078", "PMID" : "26106338", "abstract" : "Numerous structural studies have established that experience shapes and reshapes the brain throughout a lifetime. The impact of early development, however, is still a matter of debate. Further clues may come from studying multilinguals who acquired their second language at different ages. We investigated adult multilinguals who spoke three languages fluently, where the third language was learned in classroom settings, not before the age of 9 years. Multilinguals exposed to two languages simultaneously from birth (SiM) were contrasted with multinguals who acquired their first two languages successively (SuM). Whole brain voxel based morphometry revealed that, relative to SuM, SiM have significantly lower gray matter volume in several language-associated cortical areas in both hemispheres: bilaterally in medial and inferior frontal gyrus, in the right medial temporal gyrus and inferior posterior parietal gyrus, as well as in the left inferior temporal gyrus. Thus, as shown by others, successive language learning increases the volume of language-associated cortical areas. In brains exposed early on and simultaneously to more than one language, however, learning of additional languages seems to have less impact. We conclude that - at least with respect to language acquisition - early developmental influences are maintained and have an effect on experience-dependent plasticity well into adulthood.", "author" : [ { "dropping-particle" : "", "family" : "Kaiser", "given" : "Anelis", "non-dropping-particle" : "", "parse-names" : false, "suffix" : "" }, { "dropping-particle" : "", "family" : "Eppenberger", "given" : "Leila S", "non-dropping-particle" : "", "parse-names" : false, "suffix" : "" }, { "dropping-particle" : "", "family" : "Smieskova", "given" : "Renata", "non-dropping-particle" : "", "parse-names" : false, "suffix" : "" }, { "dropping-particle" : "", "family" : "Borgwardt", "given" : "Stefan", "non-dropping-particle" : "", "parse-names" : false, "suffix" : "" }, { "dropping-particle" : "", "family" : "Kuenzli", "given" : "Esther", "non-dropping-particle" : "", "parse-names" : false, "suffix" : "" }, { "dropping-particle" : "", "family" : "Radue", "given" : "Ernst Wilhelm", "non-dropping-particle" : "", "parse-names" : false, "suffix" : "" }, { "dropping-particle" : "", "family" : "Nitsch", "given" : "Cordula", "non-dropping-particle" : "", "parse-names" : false, "suffix" : "" }, { "dropping-particle" : "", "family" : "Bendfeldt", "given" : "Kerstin", "non-dropping-particle" : "", "parse-names" : false, "suffix" : "" } ], "container-title" : "Frontiers in Psychology", "id" : "ITEM-4", "issue" : "JUN", "issued" : { "date-parts" : [ [ "2015" ] ] }, "page" : "638", "publisher" : "Frontiers Media SA", "title" : "Age of second language acquisition in multilinguals has an impact on gray matter volume in language-associated brain areas", "type" : "article-journal", "volume" : "6" }, "uris" : [ "http://www.mendeley.com/documents/?uuid=ee5eaada-b5b0-33ee-8d3a-c6483d0047a0" ] } ], "mendeley" : { "formattedCitation" : "(Abutalebi et al., 2015b, 2014; Kaiser et al., 2015; Mechelli et al., 2004)", "plainTextFormattedCitation" : "(Abutalebi et al., 2015b, 2014; Kaiser et al., 2015; Mechelli et al., 2004)", "previouslyFormattedCitation" : "(Abutalebi et al., 2015b, 2014; Kaiser et al., 2015; Mechelli et al., 2004)" }, "properties" : {  }, "schema" : "https://github.com/citation-style-language/schema/raw/master/csl-citation.json" }</w:instrText>
      </w:r>
      <w:r w:rsidR="00A45667" w:rsidRPr="002C3E85">
        <w:rPr>
          <w:rFonts w:ascii="Times New Roman" w:hAnsi="Times New Roman" w:cs="Times New Roman"/>
          <w:sz w:val="24"/>
          <w:szCs w:val="24"/>
          <w:lang w:val="en-GB"/>
        </w:rPr>
        <w:fldChar w:fldCharType="separate"/>
      </w:r>
      <w:r w:rsidR="00B115FA" w:rsidRPr="002C3E85">
        <w:rPr>
          <w:rFonts w:ascii="Times New Roman" w:hAnsi="Times New Roman" w:cs="Times New Roman"/>
          <w:noProof/>
          <w:sz w:val="24"/>
          <w:szCs w:val="24"/>
          <w:lang w:val="en-GB"/>
        </w:rPr>
        <w:t>(Abutalebi et al., 2015b, 2014; Kaiser et al., 2015; Mechelli et al., 2004)</w:t>
      </w:r>
      <w:r w:rsidR="00A45667" w:rsidRPr="002C3E85">
        <w:rPr>
          <w:rFonts w:ascii="Times New Roman" w:hAnsi="Times New Roman" w:cs="Times New Roman"/>
          <w:sz w:val="24"/>
          <w:szCs w:val="24"/>
          <w:lang w:val="en-GB"/>
        </w:rPr>
        <w:fldChar w:fldCharType="end"/>
      </w:r>
      <w:r w:rsidR="00A45667" w:rsidRPr="002C3E85">
        <w:rPr>
          <w:rFonts w:ascii="Times New Roman" w:hAnsi="Times New Roman" w:cs="Times New Roman"/>
          <w:sz w:val="24"/>
          <w:szCs w:val="24"/>
          <w:lang w:val="en-GB"/>
        </w:rPr>
        <w:t xml:space="preserve"> as well as in the cerebellum </w:t>
      </w:r>
      <w:r w:rsidR="00A45667"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"10.1007/s12311-013-0515-6", "ISBN" : "1473-4222", "ISSN" : "14734230", "PMID" : "23990323", "abstract" : "The experience of learning and using a second language (L2) has been shown to affect the grey matter (GM) structure of the brain. Importantly, GM density in several cortical and subcortical areas has been shown to be related to performance in L2 tasks. Here, we show that bilingualism can lead to increased GM volume in the cerebellum, a structure that has been related to the processing of grammatical rules. Additionally, the cerebellar GM volume of highly proficient L2 speakers is correlated to their performance in a task tapping on grammatical processing in an L2, demonstrating the importance of the cerebellum for the establishment and use of grammatical rules in an L2.", "author" : [ { "dropping-particle" : "", "family" : "Pliatsikas", "given" : "Christos", "non-dropping-particle" : "", "parse-names" : false, "suffix" : "" }, { "dropping-particle" : "", "family" : "Johnstone", "given" : "Tom", "non-dropping-particle" : "", "parse-names" : false, "suffix" : "" }, { "dropping-particle" : "", "family" : "Marinis", "given" : "Theodoros", "non-dropping-particle" : "", "parse-names" : false, "suffix" : "" } ], "container-title" : "Cerebellum", "id" : "ITEM-1", "issue" : "1", "issued" : { "date-parts" : [ [ "2014", "2" ] ] }, "page" : "55-63", "publisher" : "Springer", "title" : "Grey matter volume in the cerebellum is related to the processing of grammatical rules in a second language: A structural voxel-based morphometry study", "type" : "article-journal", "volume" : "13" }, "uris" : [ "http://www.mendeley.com/documents/?uuid=da670ecb-81fc-35ac-8e5e-d15e5011e707" ] } ], "mendeley" : { "formattedCitation" : "(Pliatsikas et al., 2014)", "plainTextFormattedCitation" : "(Pliatsikas et al., 2014)", "previouslyFormattedCitation" : "(Pliatsikas et al., 2014)" }, "properties" : {  }, "schema" : "https://github.com/citation-style-language/schema/raw/master/csl-citation.json" }</w:instrText>
      </w:r>
      <w:r w:rsidR="00A45667"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(Pliatsikas et al., 2014)</w:t>
      </w:r>
      <w:r w:rsidR="00A45667" w:rsidRPr="002C3E85">
        <w:rPr>
          <w:rFonts w:ascii="Times New Roman" w:hAnsi="Times New Roman" w:cs="Times New Roman"/>
          <w:sz w:val="24"/>
          <w:szCs w:val="24"/>
          <w:lang w:val="en-GB"/>
        </w:rPr>
        <w:fldChar w:fldCharType="end"/>
      </w:r>
      <w:r w:rsidR="00A45667" w:rsidRPr="002C3E85">
        <w:rPr>
          <w:rFonts w:ascii="Times New Roman" w:hAnsi="Times New Roman" w:cs="Times New Roman"/>
          <w:sz w:val="24"/>
          <w:szCs w:val="24"/>
          <w:lang w:val="en-GB"/>
        </w:rPr>
        <w:t>.</w:t>
      </w:r>
      <w:r w:rsidR="00477E4B" w:rsidRPr="002C3E85">
        <w:rPr>
          <w:rFonts w:ascii="Times New Roman" w:hAnsi="Times New Roman" w:cs="Times New Roman"/>
          <w:sz w:val="24"/>
          <w:szCs w:val="24"/>
          <w:lang w:val="en-GB"/>
        </w:rPr>
        <w:t xml:space="preserve"> </w:t>
      </w:r>
      <w:r w:rsidR="00895DBE" w:rsidRPr="002C3E85">
        <w:rPr>
          <w:rFonts w:ascii="Times New Roman" w:hAnsi="Times New Roman" w:cs="Times New Roman"/>
          <w:sz w:val="24"/>
          <w:szCs w:val="24"/>
          <w:lang w:val="en-GB"/>
        </w:rPr>
        <w:t>In contrast to these findings, several</w:t>
      </w:r>
      <w:r w:rsidR="003912D7" w:rsidRPr="002C3E85">
        <w:rPr>
          <w:rFonts w:ascii="Times New Roman" w:hAnsi="Times New Roman" w:cs="Times New Roman"/>
          <w:sz w:val="24"/>
          <w:szCs w:val="24"/>
          <w:lang w:val="en-GB"/>
        </w:rPr>
        <w:t xml:space="preserve"> </w:t>
      </w:r>
      <w:r w:rsidR="008D5B95" w:rsidRPr="002C3E85">
        <w:rPr>
          <w:rFonts w:ascii="Times New Roman" w:hAnsi="Times New Roman" w:cs="Times New Roman"/>
          <w:sz w:val="24"/>
          <w:szCs w:val="24"/>
          <w:lang w:val="en-GB"/>
        </w:rPr>
        <w:t xml:space="preserve">other </w:t>
      </w:r>
      <w:r w:rsidR="0072631C" w:rsidRPr="002C3E85">
        <w:rPr>
          <w:rFonts w:ascii="Times New Roman" w:hAnsi="Times New Roman" w:cs="Times New Roman"/>
          <w:sz w:val="24"/>
          <w:szCs w:val="24"/>
          <w:lang w:val="en-GB"/>
        </w:rPr>
        <w:t xml:space="preserve">studies using the same </w:t>
      </w:r>
      <w:r w:rsidR="00382456" w:rsidRPr="002C3E85">
        <w:rPr>
          <w:rFonts w:ascii="Times New Roman" w:hAnsi="Times New Roman" w:cs="Times New Roman"/>
          <w:sz w:val="24"/>
          <w:szCs w:val="24"/>
          <w:lang w:val="en-GB"/>
        </w:rPr>
        <w:t>whole-brain</w:t>
      </w:r>
      <w:r w:rsidR="000A0F0F" w:rsidRPr="002C3E85">
        <w:rPr>
          <w:rFonts w:ascii="Times New Roman" w:hAnsi="Times New Roman" w:cs="Times New Roman"/>
          <w:sz w:val="24"/>
          <w:szCs w:val="24"/>
          <w:lang w:val="en-GB"/>
        </w:rPr>
        <w:t xml:space="preserve"> level</w:t>
      </w:r>
      <w:r w:rsidR="00382456" w:rsidRPr="002C3E85">
        <w:rPr>
          <w:rFonts w:ascii="Times New Roman" w:hAnsi="Times New Roman" w:cs="Times New Roman"/>
          <w:sz w:val="24"/>
          <w:szCs w:val="24"/>
          <w:lang w:val="en-GB"/>
        </w:rPr>
        <w:t xml:space="preserve"> </w:t>
      </w:r>
      <w:r w:rsidR="0072631C" w:rsidRPr="002C3E85">
        <w:rPr>
          <w:rFonts w:ascii="Times New Roman" w:hAnsi="Times New Roman" w:cs="Times New Roman"/>
          <w:sz w:val="24"/>
          <w:szCs w:val="24"/>
          <w:lang w:val="en-GB"/>
        </w:rPr>
        <w:t>approach</w:t>
      </w:r>
      <w:r w:rsidR="00194F09" w:rsidRPr="002C3E85">
        <w:rPr>
          <w:rFonts w:ascii="Times New Roman" w:hAnsi="Times New Roman" w:cs="Times New Roman"/>
          <w:sz w:val="24"/>
          <w:szCs w:val="24"/>
          <w:lang w:val="en-GB"/>
        </w:rPr>
        <w:t xml:space="preserve"> </w:t>
      </w:r>
      <w:r w:rsidR="00CC795E" w:rsidRPr="002C3E85">
        <w:rPr>
          <w:rFonts w:ascii="Times New Roman" w:hAnsi="Times New Roman" w:cs="Times New Roman"/>
          <w:sz w:val="24"/>
          <w:szCs w:val="24"/>
          <w:lang w:val="en-GB"/>
        </w:rPr>
        <w:t xml:space="preserve">have </w:t>
      </w:r>
      <w:r w:rsidR="00066599" w:rsidRPr="002C3E85">
        <w:rPr>
          <w:rFonts w:ascii="Times New Roman" w:hAnsi="Times New Roman" w:cs="Times New Roman"/>
          <w:sz w:val="24"/>
          <w:szCs w:val="24"/>
          <w:lang w:val="en-GB"/>
        </w:rPr>
        <w:t xml:space="preserve">not been able </w:t>
      </w:r>
      <w:r w:rsidR="0072631C" w:rsidRPr="002C3E85">
        <w:rPr>
          <w:rFonts w:ascii="Times New Roman" w:hAnsi="Times New Roman" w:cs="Times New Roman"/>
          <w:sz w:val="24"/>
          <w:szCs w:val="24"/>
          <w:lang w:val="en-GB"/>
        </w:rPr>
        <w:t>to detect any</w:t>
      </w:r>
      <w:r w:rsidR="00895DBE" w:rsidRPr="002C3E85">
        <w:rPr>
          <w:rFonts w:ascii="Times New Roman" w:hAnsi="Times New Roman" w:cs="Times New Roman"/>
          <w:sz w:val="24"/>
          <w:szCs w:val="24"/>
          <w:lang w:val="en-GB"/>
        </w:rPr>
        <w:t xml:space="preserve"> global</w:t>
      </w:r>
      <w:r w:rsidR="0072631C" w:rsidRPr="002C3E85">
        <w:rPr>
          <w:rFonts w:ascii="Times New Roman" w:hAnsi="Times New Roman" w:cs="Times New Roman"/>
          <w:sz w:val="24"/>
          <w:szCs w:val="24"/>
          <w:lang w:val="en-GB"/>
        </w:rPr>
        <w:t xml:space="preserve"> GM differences </w:t>
      </w:r>
      <w:r w:rsidR="00061AA6" w:rsidRPr="002C3E85">
        <w:rPr>
          <w:rFonts w:ascii="Times New Roman" w:hAnsi="Times New Roman" w:cs="Times New Roman"/>
          <w:sz w:val="24"/>
          <w:szCs w:val="24"/>
          <w:lang w:val="en-GB"/>
        </w:rPr>
        <w:t>associat</w:t>
      </w:r>
      <w:r w:rsidR="004E715E" w:rsidRPr="002C3E85">
        <w:rPr>
          <w:rFonts w:ascii="Times New Roman" w:hAnsi="Times New Roman" w:cs="Times New Roman"/>
          <w:sz w:val="24"/>
          <w:szCs w:val="24"/>
          <w:lang w:val="en-GB"/>
        </w:rPr>
        <w:t xml:space="preserve">ed </w:t>
      </w:r>
      <w:r w:rsidR="00061AA6" w:rsidRPr="002C3E85">
        <w:rPr>
          <w:rFonts w:ascii="Times New Roman" w:hAnsi="Times New Roman" w:cs="Times New Roman"/>
          <w:sz w:val="24"/>
          <w:szCs w:val="24"/>
          <w:lang w:val="en-GB"/>
        </w:rPr>
        <w:t>with bilingualism</w:t>
      </w:r>
      <w:r w:rsidR="00BA76BF" w:rsidRPr="002C3E85">
        <w:rPr>
          <w:rFonts w:ascii="Times New Roman" w:hAnsi="Times New Roman" w:cs="Times New Roman"/>
          <w:sz w:val="24"/>
          <w:szCs w:val="24"/>
          <w:lang w:val="en-GB"/>
        </w:rPr>
        <w:t xml:space="preserve"> </w:t>
      </w:r>
      <w:r w:rsidR="00BA76BF"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"author" : [ { "dropping-particle" : "", "family" : "Gold", "given" : "Brian T", "non-dropping-particle" : "", "parse-names" : false, "suffix" : "" }, { "dropping-particle" : "", "family" : "Johnson", "given" : "Nathan F", "non-dropping-particle" : "", "parse-names" : false, "suffix" : "" }, { "dropping-particle" : "", "family" : "Powell", "given" : "David K", "non-dropping-particle" : "", "parse-names" : false, "suffix" : "" } ], "container-title" : "Neuropsychologia", "id" : "ITEM-1", "issue" : "13", "issued" : { "date-parts" : [ [ "2013" ] ] }, "page" : "2841-2846", "title" : "Lifelong bilingualism contributes to cognitive reserve against white matter integrity declines in aging", "type" : "article-journal", "volume" : "51" }, "uris" : [ "http://www.mendeley.com/documents/?uuid=ed797856-4fb7-48e0-afc1-37f20d5bd849" ] }, { "id" : "ITEM-2", "itemData" : { "DOI" : "10.1016/j.neuropsychologia.2012.02.019", "ISBN" : "1873-3514 (Electronic)\\r0028-3932 (Linking)", "ISSN" : "00283932", "PMID" : "22401989", "abstract" : "We used structural magnetic resonance imaging (MRI) and voxel based morphometry (VBM) to investigate whether the efficiency of word processing in the non-native language (lexical efficiency) and the number of non-native languages spoken (2+ versus 1) were related to local differences in the brain structure of bilingual and multilingual speakers. We dissociate two different correlates for non-native language processing. Firstly, multilinguals who spoke 2 or more non-native languages had higher grey matter density in the right posterior supramarginal gyrus compared to bilinguals who only spoke one non-native language. This is interpreted in relation to previous studies that have shown that grey matter density in this region is related to the number of words learnt in bilinguals relative to monolinguals and in monolingual adolescents with high versus low vocabulary. Our second result was that, in bilinguals, grey matter density in the left pars opercularis was positively related to lexical efficiency in second language use, as measured by the speed and accuracy of lexical decisions and the number of words produced in a timed verbal fluency task. Grey matter in the same region was also negatively related to the age at which the second language was acquired. This is interpreted in terms of previous findings that associated the left pars opercularis with phonetic expertise in the native language. \u00a9 2012 Elsevier Ltd.", "author" : [ { "dropping-particle" : "", "family" : "Grogan", "given" : "A.", "non-dropping-particle" : "", "parse-names" : false, "suffix" : "" }, { "dropping-particle" : "", "family" : "'O. Parker Jones", "given" : "T.", "non-dropping-particle" : "", "parse-names" : false, "suffix" : "" }, { "dropping-particle" : "", "family" : "Ali", "given" : "N.", "non-dropping-particle" : "", "parse-names" : false, "suffix" : "" }, { "dropping-particle" : "", "family" : "Crinion", "given" : "J.", "non-dropping-particle" : "", "parse-names" : false, "suffix" : "" }, { "dropping-particle" : "", "family" : "Orabona", "given" : "S.", "non-dropping-particle" : "", "parse-names" : false, "suffix" : "" }, { "dropping-particle" : "", "family" : "Mechias", "given" : "M. L.", "non-dropping-particle" : "", "parse-names" : false, "suffix" : "" }, { "dropping-particle" : "", "family" : "Ramsden", "given" : "S.", "non-dropping-particle" : "", "parse-names" : false, "suffix" : "" }, { "dropping-particle" : "", "family" : "Green", "given" : "D. W.", "non-dropping-particle" : "", "parse-names" : false, "suffix" : "" }, { "dropping-particle" : "", "family" : "Price", "given" : "C. J.", "non-dropping-particle" : "", "parse-names" : false, "suffix" : "" } ], "container-title" : "Neuropsychologia", "id" : "ITEM-2", "issue" : "7", "issued" : { "date-parts" : [ [ "2012" ] ] }, "page" : "1347-1352", "title" : "Structural correlates for lexical efficiency and number of languages in non-native speakers of English", "type" : "article-journal", "volume" : "50" }, "uris" : [ "http://www.mendeley.com/documents/?uuid=4111ad98-fef1-37d0-aadc-8a43837b6bcd" ] }, { "id" : "ITEM-3", "itemData" : { "DOI" : "10.1523/JNEUROSCI.1996-12.2012", "ISSN" : "1529-2401", "PMID" : "23175815", "abstract" : "Two studies (Golestani et al., 2007; Wong et al., 2008) have reported a positive correlation between the ability to perceive foreign speech sounds and the volume of Heschl's gyrus (HG), the structure that houses the auditory cortex. More precisely, participants with larger left Heschl's gyri learned consonantal or tonal contrasts faster than those with smaller HG. These studies leave open the question of the impact of experience on HG volumes. In the current research, we investigated the effect of early language exposure on Heschl's gyrus by comparing Spanish-Catalan bilinguals who have been exposed to two languages since childhood, to a group of Spanish monolinguals matched in education, socio-economic status, and musical experience. Manual volumetric measurements of HG revealed that bilinguals have, on average, larger Heschl's gyri than monolinguals. This was corroborated, for the left Heschl's gyrus, by a voxel-based morphometry analysis showing larger gray matter volumes in bilinguals than in monolinguals. Since the bilinguals in this study were not a self-selected group, this observation provides a clear demonstration that learning a second language is a causal factor in the increased size of the auditory cortex.", "author" : [ { "dropping-particle" : "", "family" : "Ressel", "given" : "Volker", "non-dropping-particle" : "", "parse-names" : false, "suffix" : "" }, { "dropping-particle" : "", "family" : "Pallier", "given" : "Christophe", "non-dropping-particle" : "", "parse-names" : false, "suffix" : "" }, { "dropping-particle" : "", "family" : "Ventura-Campos", "given" : "Noelia", "non-dropping-particle" : "", "parse-names" : false, "suffix" : "" }, { "dropping-particle" : "", "family" : "D\u00edaz", "given" : "Bego\u00f1a", "non-dropping-particle" : "", "parse-names" : false, "suffix" : "" }, { "dropping-particle" : "", "family" : "Roessler", "given" : "Abeba", "non-dropping-particle" : "", "parse-names" : false, "suffix" : "" }, { "dropping-particle" : "", "family" : "\u00c1vila", "given" : "C\u00e9sar", "non-dropping-particle" : "", "parse-names" : false, "suffix" : "" }, { "dropping-particle" : "", "family" : "Sebasti\u00e1n-Gall\u00e9s", "given" : "N\u00faria", "non-dropping-particle" : "", "parse-names" : false, "suffix" : "" } ], "container-title" : "The Journal of neuroscience : the official journal of the Society for Neuroscience", "id" : "ITEM-3", "issue" : "47", "issued" : { "date-parts" : [ [ "2012", "11", "21" ] ] }, "page" : "16597-601", "publisher" : "Society for Neuroscience", "title" : "An effect of bilingualism on the auditory cortex.", "type" : "article-journal", "volume" : "32" }, "uris" : [ "http://www.mendeley.com/documents/?uuid=0f05f17b-efd1-3fbc-87e8-6c52878ef08a" ] } ], "mendeley" : { "formattedCitation" : "(Gold et al., 2013; Grogan et al., 2012; Ressel et al., 2012)", "plainTextFormattedCitation" : "(Gold et al., 2013; Grogan et al., 2012; Ressel et al., 2012)", "previouslyFormattedCitation" : "(Gold et al., 2013; Grogan et al., 2012; Ressel et al., 2012)" }, "properties" : {  }, "schema" : "https://github.com/citation-style-language/schema/raw/master/csl-citation.json" }</w:instrText>
      </w:r>
      <w:r w:rsidR="00BA76BF"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 xml:space="preserve">(Gold et al., </w:t>
      </w:r>
      <w:r w:rsidR="00F00EA8" w:rsidRPr="002C3E85">
        <w:rPr>
          <w:rFonts w:ascii="Times New Roman" w:hAnsi="Times New Roman" w:cs="Times New Roman"/>
          <w:noProof/>
          <w:sz w:val="24"/>
          <w:szCs w:val="24"/>
          <w:lang w:val="en-GB"/>
        </w:rPr>
        <w:lastRenderedPageBreak/>
        <w:t>2013; Grogan et al., 2012; Ressel et al., 2012)</w:t>
      </w:r>
      <w:r w:rsidR="00BA76BF" w:rsidRPr="002C3E85">
        <w:rPr>
          <w:rFonts w:ascii="Times New Roman" w:hAnsi="Times New Roman" w:cs="Times New Roman"/>
          <w:sz w:val="24"/>
          <w:szCs w:val="24"/>
          <w:lang w:val="en-GB"/>
        </w:rPr>
        <w:fldChar w:fldCharType="end"/>
      </w:r>
      <w:r w:rsidR="002526B9" w:rsidRPr="002C3E85">
        <w:rPr>
          <w:rFonts w:ascii="Times New Roman" w:hAnsi="Times New Roman" w:cs="Times New Roman"/>
          <w:sz w:val="24"/>
          <w:szCs w:val="24"/>
          <w:lang w:val="en-GB"/>
        </w:rPr>
        <w:t xml:space="preserve">. </w:t>
      </w:r>
      <w:r w:rsidR="009C3906" w:rsidRPr="002C3E85">
        <w:rPr>
          <w:rFonts w:ascii="Times New Roman" w:hAnsi="Times New Roman" w:cs="Times New Roman"/>
          <w:sz w:val="24"/>
          <w:szCs w:val="24"/>
          <w:lang w:val="en-GB"/>
        </w:rPr>
        <w:t xml:space="preserve">In two of these studies, however, significant group differences appeared </w:t>
      </w:r>
      <w:r w:rsidR="00A35A48" w:rsidRPr="002C3E85">
        <w:rPr>
          <w:rFonts w:ascii="Times New Roman" w:hAnsi="Times New Roman" w:cs="Times New Roman"/>
          <w:sz w:val="24"/>
          <w:szCs w:val="24"/>
          <w:lang w:val="en-GB"/>
        </w:rPr>
        <w:t>w</w:t>
      </w:r>
      <w:r w:rsidR="00140F77" w:rsidRPr="002C3E85">
        <w:rPr>
          <w:rFonts w:ascii="Times New Roman" w:hAnsi="Times New Roman" w:cs="Times New Roman"/>
          <w:sz w:val="24"/>
          <w:szCs w:val="24"/>
          <w:lang w:val="en-GB"/>
        </w:rPr>
        <w:t>hen the number of voxelwise comparisons was</w:t>
      </w:r>
      <w:r w:rsidR="00A35A48" w:rsidRPr="002C3E85">
        <w:rPr>
          <w:rFonts w:ascii="Times New Roman" w:hAnsi="Times New Roman" w:cs="Times New Roman"/>
          <w:sz w:val="24"/>
          <w:szCs w:val="24"/>
          <w:lang w:val="en-GB"/>
        </w:rPr>
        <w:t xml:space="preserve"> </w:t>
      </w:r>
      <w:r w:rsidR="00140F77" w:rsidRPr="002C3E85">
        <w:rPr>
          <w:rFonts w:ascii="Times New Roman" w:hAnsi="Times New Roman" w:cs="Times New Roman"/>
          <w:sz w:val="24"/>
          <w:szCs w:val="24"/>
          <w:lang w:val="en-GB"/>
        </w:rPr>
        <w:t>constrained to specific, a priori chosen structures</w:t>
      </w:r>
      <w:r w:rsidR="00895DBE" w:rsidRPr="002C3E85">
        <w:rPr>
          <w:rFonts w:ascii="Times New Roman" w:hAnsi="Times New Roman" w:cs="Times New Roman"/>
          <w:sz w:val="24"/>
          <w:szCs w:val="24"/>
          <w:lang w:val="en-GB"/>
        </w:rPr>
        <w:t>;</w:t>
      </w:r>
      <w:r w:rsidR="008A16F8" w:rsidRPr="002C3E85">
        <w:rPr>
          <w:rFonts w:ascii="Times New Roman" w:hAnsi="Times New Roman" w:cs="Times New Roman"/>
          <w:sz w:val="24"/>
          <w:szCs w:val="24"/>
          <w:lang w:val="en-GB"/>
        </w:rPr>
        <w:t xml:space="preserve"> </w:t>
      </w:r>
      <w:r w:rsidR="00895DBE" w:rsidRPr="002C3E85">
        <w:rPr>
          <w:rFonts w:ascii="Times New Roman" w:hAnsi="Times New Roman" w:cs="Times New Roman"/>
          <w:sz w:val="24"/>
          <w:szCs w:val="24"/>
          <w:lang w:val="en-GB"/>
        </w:rPr>
        <w:t>t</w:t>
      </w:r>
      <w:r w:rsidR="006F77C1" w:rsidRPr="002C3E85">
        <w:rPr>
          <w:rFonts w:ascii="Times New Roman" w:hAnsi="Times New Roman" w:cs="Times New Roman"/>
          <w:sz w:val="24"/>
          <w:szCs w:val="24"/>
          <w:lang w:val="en-GB"/>
        </w:rPr>
        <w:t xml:space="preserve">hese effects showed increased GM volume </w:t>
      </w:r>
      <w:r w:rsidR="00A374BC" w:rsidRPr="002C3E85">
        <w:rPr>
          <w:rFonts w:ascii="Times New Roman" w:hAnsi="Times New Roman" w:cs="Times New Roman"/>
          <w:sz w:val="24"/>
          <w:szCs w:val="24"/>
          <w:lang w:val="en-GB"/>
        </w:rPr>
        <w:t xml:space="preserve">bilaterally </w:t>
      </w:r>
      <w:r w:rsidR="006F77C1" w:rsidRPr="002C3E85">
        <w:rPr>
          <w:rFonts w:ascii="Times New Roman" w:hAnsi="Times New Roman" w:cs="Times New Roman"/>
          <w:sz w:val="24"/>
          <w:szCs w:val="24"/>
          <w:lang w:val="en-GB"/>
        </w:rPr>
        <w:t xml:space="preserve">in Heschl’s gyrus </w:t>
      </w:r>
      <w:r w:rsidR="006F77C1"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"10.1523/JNEUROSCI.1996-12.2012", "ISSN" : "1529-2401", "PMID" : "23175815", "abstract" : "Two studies (Golestani et al., 2007; Wong et al., 2008) have reported a positive correlation between the ability to perceive foreign speech sounds and the volume of Heschl's gyrus (HG), the structure that houses the auditory cortex. More precisely, participants with larger left Heschl's gyri learned consonantal or tonal contrasts faster than those with smaller HG. These studies leave open the question of the impact of experience on HG volumes. In the current research, we investigated the effect of early language exposure on Heschl's gyrus by comparing Spanish-Catalan bilinguals who have been exposed to two languages since childhood, to a group of Spanish monolinguals matched in education, socio-economic status, and musical experience. Manual volumetric measurements of HG revealed that bilinguals have, on average, larger Heschl's gyri than monolinguals. This was corroborated, for the left Heschl's gyrus, by a voxel-based morphometry analysis showing larger gray matter volumes in bilinguals than in monolinguals. Since the bilinguals in this study were not a self-selected group, this observation provides a clear demonstration that learning a second language is a causal factor in the increased size of the auditory cortex.", "author" : [ { "dropping-particle" : "", "family" : "Ressel", "given" : "Volker", "non-dropping-particle" : "", "parse-names" : false, "suffix" : "" }, { "dropping-particle" : "", "family" : "Pallier", "given" : "Christophe", "non-dropping-particle" : "", "parse-names" : false, "suffix" : "" }, { "dropping-particle" : "", "family" : "Ventura-Campos", "given" : "Noelia", "non-dropping-particle" : "", "parse-names" : false, "suffix" : "" }, { "dropping-particle" : "", "family" : "D\u00edaz", "given" : "Bego\u00f1a", "non-dropping-particle" : "", "parse-names" : false, "suffix" : "" }, { "dropping-particle" : "", "family" : "Roessler", "given" : "Abeba", "non-dropping-particle" : "", "parse-names" : false, "suffix" : "" }, { "dropping-particle" : "", "family" : "\u00c1vila", "given" : "C\u00e9sar", "non-dropping-particle" : "", "parse-names" : false, "suffix" : "" }, { "dropping-particle" : "", "family" : "Sebasti\u00e1n-Gall\u00e9s", "given" : "N\u00faria", "non-dropping-particle" : "", "parse-names" : false, "suffix" : "" } ], "container-title" : "The Journal of neuroscience : the official journal of the Society for Neuroscience", "id" : "ITEM-1", "issue" : "47", "issued" : { "date-parts" : [ [ "2012", "11", "21" ] ] }, "page" : "16597-601", "publisher" : "Society for Neuroscience", "title" : "An effect of bilingualism on the auditory cortex.", "type" : "article-journal", "volume" : "32" }, "uris" : [ "http://www.mendeley.com/documents/?uuid=0f05f17b-efd1-3fbc-87e8-6c52878ef08a" ] } ], "mendeley" : { "formattedCitation" : "(Ressel et al., 2012)", "plainTextFormattedCitation" : "(Ressel et al., 2012)", "previouslyFormattedCitation" : "(Ressel et al., 2012)" }, "properties" : {  }, "schema" : "https://github.com/citation-style-language/schema/raw/master/csl-citation.json" }</w:instrText>
      </w:r>
      <w:r w:rsidR="006F77C1"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(Ressel et al., 2012)</w:t>
      </w:r>
      <w:r w:rsidR="006F77C1" w:rsidRPr="002C3E85">
        <w:rPr>
          <w:rFonts w:ascii="Times New Roman" w:hAnsi="Times New Roman" w:cs="Times New Roman"/>
          <w:sz w:val="24"/>
          <w:szCs w:val="24"/>
          <w:lang w:val="en-GB"/>
        </w:rPr>
        <w:fldChar w:fldCharType="end"/>
      </w:r>
      <w:r w:rsidR="006F77C1" w:rsidRPr="002C3E85">
        <w:rPr>
          <w:rFonts w:ascii="Times New Roman" w:hAnsi="Times New Roman" w:cs="Times New Roman"/>
          <w:sz w:val="24"/>
          <w:szCs w:val="24"/>
          <w:lang w:val="en-GB"/>
        </w:rPr>
        <w:t xml:space="preserve"> and in the right posterior supramarginal gyrus </w:t>
      </w:r>
      <w:r w:rsidR="006F77C1"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"10.1016/j.neuropsychologia.2012.02.019", "ISBN" : "1873-3514 (Electronic)\\r0028-3932 (Linking)", "ISSN" : "00283932", "PMID" : "22401989", "abstract" : "We used structural magnetic resonance imaging (MRI) and voxel based morphometry (VBM) to investigate whether the efficiency of word processing in the non-native language (lexical efficiency) and the number of non-native languages spoken (2+ versus 1) were related to local differences in the brain structure of bilingual and multilingual speakers. We dissociate two different correlates for non-native language processing. Firstly, multilinguals who spoke 2 or more non-native languages had higher grey matter density in the right posterior supramarginal gyrus compared to bilinguals who only spoke one non-native language. This is interpreted in relation to previous studies that have shown that grey matter density in this region is related to the number of words learnt in bilinguals relative to monolinguals and in monolingual adolescents with high versus low vocabulary. Our second result was that, in bilinguals, grey matter density in the left pars opercularis was positively related to lexical efficiency in second language use, as measured by the speed and accuracy of lexical decisions and the number of words produced in a timed verbal fluency task. Grey matter in the same region was also negatively related to the age at which the second language was acquired. This is interpreted in terms of previous findings that associated the left pars opercularis with phonetic expertise in the native language. \u00a9 2012 Elsevier Ltd.", "author" : [ { "dropping-particle" : "", "family" : "Grogan", "given" : "A.", "non-dropping-particle" : "", "parse-names" : false, "suffix" : "" }, { "dropping-particle" : "", "family" : "'O. Parker Jones", "given" : "T.", "non-dropping-particle" : "", "parse-names" : false, "suffix" : "" }, { "dropping-particle" : "", "family" : "Ali", "given" : "N.", "non-dropping-particle" : "", "parse-names" : false, "suffix" : "" }, { "dropping-particle" : "", "family" : "Crinion", "given" : "J.", "non-dropping-particle" : "", "parse-names" : false, "suffix" : "" }, { "dropping-particle" : "", "family" : "Orabona", "given" : "S.", "non-dropping-particle" : "", "parse-names" : false, "suffix" : "" }, { "dropping-particle" : "", "family" : "Mechias", "given" : "M. L.", "non-dropping-particle" : "", "parse-names" : false, "suffix" : "" }, { "dropping-particle" : "", "family" : "Ramsden", "given" : "S.", "non-dropping-particle" : "", "parse-names" : false, "suffix" : "" }, { "dropping-particle" : "", "family" : "Green", "given" : "D. W.", "non-dropping-particle" : "", "parse-names" : false, "suffix" : "" }, { "dropping-particle" : "", "family" : "Price", "given" : "C. J.", "non-dropping-particle" : "", "parse-names" : false, "suffix" : "" } ], "container-title" : "Neuropsychologia", "id" : "ITEM-1", "issue" : "7", "issued" : { "date-parts" : [ [ "2012" ] ] }, "page" : "1347-1352", "title" : "Structural correlates for lexical efficiency and number of languages in non-native speakers of English", "type" : "article-journal", "volume" : "50" }, "uris" : [ "http://www.mendeley.com/documents/?uuid=4111ad98-fef1-37d0-aadc-8a43837b6bcd" ] } ], "mendeley" : { "formattedCitation" : "(Grogan et al., 2012)", "plainTextFormattedCitation" : "(Grogan et al., 2012)", "previouslyFormattedCitation" : "(Grogan et al., 2012)" }, "properties" : {  }, "schema" : "https://github.com/citation-style-language/schema/raw/master/csl-citation.json" }</w:instrText>
      </w:r>
      <w:r w:rsidR="006F77C1"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(Grogan et al., 2012)</w:t>
      </w:r>
      <w:r w:rsidR="006F77C1" w:rsidRPr="002C3E85">
        <w:rPr>
          <w:rFonts w:ascii="Times New Roman" w:hAnsi="Times New Roman" w:cs="Times New Roman"/>
          <w:sz w:val="24"/>
          <w:szCs w:val="24"/>
          <w:lang w:val="en-GB"/>
        </w:rPr>
        <w:fldChar w:fldCharType="end"/>
      </w:r>
      <w:r w:rsidR="006F77C1" w:rsidRPr="002C3E85">
        <w:rPr>
          <w:rFonts w:ascii="Times New Roman" w:hAnsi="Times New Roman" w:cs="Times New Roman"/>
          <w:sz w:val="24"/>
          <w:szCs w:val="24"/>
          <w:lang w:val="en-GB"/>
        </w:rPr>
        <w:t xml:space="preserve"> </w:t>
      </w:r>
      <w:r w:rsidR="007207D3" w:rsidRPr="002C3E85">
        <w:rPr>
          <w:rFonts w:ascii="Times New Roman" w:hAnsi="Times New Roman" w:cs="Times New Roman"/>
          <w:sz w:val="24"/>
          <w:szCs w:val="24"/>
          <w:lang w:val="en-GB"/>
        </w:rPr>
        <w:t>in relation to bilingual/multilingual exposure</w:t>
      </w:r>
      <w:r w:rsidR="008B794F" w:rsidRPr="002C3E85">
        <w:rPr>
          <w:rFonts w:ascii="Times New Roman" w:hAnsi="Times New Roman" w:cs="Times New Roman"/>
          <w:sz w:val="24"/>
          <w:szCs w:val="24"/>
          <w:lang w:val="en-GB"/>
        </w:rPr>
        <w:t xml:space="preserve">. </w:t>
      </w:r>
      <w:r w:rsidR="00A17184" w:rsidRPr="002C3E85">
        <w:rPr>
          <w:rFonts w:ascii="Times New Roman" w:hAnsi="Times New Roman" w:cs="Times New Roman"/>
          <w:sz w:val="24"/>
          <w:szCs w:val="24"/>
          <w:lang w:val="en-GB"/>
        </w:rPr>
        <w:t xml:space="preserve">Other studies using </w:t>
      </w:r>
      <w:r w:rsidR="0093470E" w:rsidRPr="002C3E85">
        <w:rPr>
          <w:rFonts w:ascii="Times New Roman" w:hAnsi="Times New Roman" w:cs="Times New Roman"/>
          <w:sz w:val="24"/>
          <w:szCs w:val="24"/>
          <w:lang w:val="en-GB"/>
        </w:rPr>
        <w:t xml:space="preserve">a </w:t>
      </w:r>
      <w:r w:rsidR="00A17184" w:rsidRPr="002C3E85">
        <w:rPr>
          <w:rFonts w:ascii="Times New Roman" w:hAnsi="Times New Roman" w:cs="Times New Roman"/>
          <w:sz w:val="24"/>
          <w:szCs w:val="24"/>
          <w:lang w:val="en-GB"/>
        </w:rPr>
        <w:t xml:space="preserve">constrained VBM analysis and/or </w:t>
      </w:r>
      <w:r w:rsidR="0070471A" w:rsidRPr="002C3E85">
        <w:rPr>
          <w:rFonts w:ascii="Times New Roman" w:hAnsi="Times New Roman" w:cs="Times New Roman"/>
          <w:sz w:val="24"/>
          <w:szCs w:val="24"/>
          <w:lang w:val="en-GB"/>
        </w:rPr>
        <w:t xml:space="preserve">a </w:t>
      </w:r>
      <w:r w:rsidR="00A17184" w:rsidRPr="002C3E85">
        <w:rPr>
          <w:rFonts w:ascii="Times New Roman" w:hAnsi="Times New Roman" w:cs="Times New Roman"/>
          <w:sz w:val="24"/>
          <w:szCs w:val="24"/>
          <w:lang w:val="en-GB"/>
        </w:rPr>
        <w:t>mean volume ROI analysis</w:t>
      </w:r>
      <w:r w:rsidR="00AF4278" w:rsidRPr="002C3E85">
        <w:rPr>
          <w:rFonts w:ascii="Times New Roman" w:hAnsi="Times New Roman" w:cs="Times New Roman"/>
          <w:sz w:val="24"/>
          <w:szCs w:val="24"/>
          <w:lang w:val="en-GB"/>
        </w:rPr>
        <w:t xml:space="preserve"> with varying samples</w:t>
      </w:r>
      <w:r w:rsidR="00A17184" w:rsidRPr="002C3E85">
        <w:rPr>
          <w:rFonts w:ascii="Times New Roman" w:hAnsi="Times New Roman" w:cs="Times New Roman"/>
          <w:sz w:val="24"/>
          <w:szCs w:val="24"/>
          <w:lang w:val="en-GB"/>
        </w:rPr>
        <w:t xml:space="preserve"> have reported bilingualism-induced increases in GM volume</w:t>
      </w:r>
      <w:r w:rsidR="000B78C9" w:rsidRPr="002C3E85">
        <w:rPr>
          <w:rFonts w:ascii="Times New Roman" w:hAnsi="Times New Roman" w:cs="Times New Roman"/>
          <w:sz w:val="24"/>
          <w:szCs w:val="24"/>
          <w:lang w:val="en-GB"/>
        </w:rPr>
        <w:t xml:space="preserve"> also</w:t>
      </w:r>
      <w:r w:rsidR="00A17184" w:rsidRPr="002C3E85">
        <w:rPr>
          <w:rFonts w:ascii="Times New Roman" w:hAnsi="Times New Roman" w:cs="Times New Roman"/>
          <w:sz w:val="24"/>
          <w:szCs w:val="24"/>
          <w:lang w:val="en-GB"/>
        </w:rPr>
        <w:t xml:space="preserve"> in bilateral temporal poles and orbito-frontal cortices </w:t>
      </w:r>
      <w:r w:rsidR="00A17184"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"10.1016/j.neurobiolaging.2014.03.010", "ISSN" : "01974580", "abstract" : "Cerebral gray-matter volume (GMV) decreases in normal aging but the extent of the decrease may be experience-dependent. Bilingualism may be one protective factor and in this article we examine its potential protective effect on GMV in a region that shows strong age-related decreases\u2014the left anterior temporal pole. This region is held to function as a conceptual hub and might be expected to be a target of plastic changes in bilingual speakers because of the requirement for these speakers to store and differentiate lexical concepts in 2 languages to guide speech production and comprehension processes. In a whole brain comparison of bilingual speakers (n\u00a0= 23) and monolingual speakers (n\u00a0= 23), regressing out confounding factors, we find more extensive age-related decreases in GMV in the monolingual brain and significantly increased GMV in left temporal pole for bilingual speakers. Consistent with a specific neuroprotective effect of bilingualism, region of interest analyses showed a significant positive correlation between naming performance in the second language and GMV in this region. The effect appears to be bilateral though because there was a nonsignificantly different effect of naming performance on GMV in the right temporal pole. Our data emphasize the vulnerability of the temporal pole to normal aging and the value of bilingualism as both a general and specific protective factor to GMV decreases in healthy aging.", "author" : [ { "dropping-particle" : "", "family" : "Abutalebi", "given" : "Jubin", "non-dropping-particle" : "", "parse-names" : false, "suffix" : "" }, { "dropping-particle" : "", "family" : "Canini", "given" : "Matteo", "non-dropping-particle" : "", "parse-names" : false, "suffix" : "" }, { "dropping-particle" : "", "family" : "Rosa", "given" : "Pasquale A.", "non-dropping-particle" : "Della", "parse-names" : false, "suffix" : "" }, { "dropping-particle" : "", "family" : "Sheung", "given" : "Lo Ping", "non-dropping-particle" : "", "parse-names" : false, "suffix" : "" }, { "dropping-particle" : "", "family" : "Green", "given" : "David W.", "non-dropping-particle" : "", "parse-names" : false, "suffix" : "" }, { "dropping-particle" : "", "family" : "Weekes", "given" : "Brendan S.", "non-dropping-particle" : "", "parse-names" : false, "suffix" : "" } ], "container-title" : "Neurobiology of aging", "id" : "ITEM-1", "issue" : "9", "issued" : { "date-parts" : [ [ "2014" ] ] }, "page" : "2126-2133", "title" : "Bilingualism protects anterior temporal lobe integrity in aging", "type" : "article-journal", "volume" : "35" }, "uris" : [ "http://www.mendeley.com/documents/?uuid=7df4f3e5-9d70-481f-a7d8-d2d5b75cfc81" ] } ], "mendeley" : { "formattedCitation" : "(Abutalebi et al., 2014)", "plainTextFormattedCitation" : "(Abutalebi et al., 2014)", "previouslyFormattedCitation" : "(Abutalebi et al., 2014)" }, "properties" : {  }, "schema" : "https://github.com/citation-style-language/schema/raw/master/csl-citation.json" }</w:instrText>
      </w:r>
      <w:r w:rsidR="00A17184"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(Abutalebi et al., 2014)</w:t>
      </w:r>
      <w:r w:rsidR="00A17184" w:rsidRPr="002C3E85">
        <w:rPr>
          <w:rFonts w:ascii="Times New Roman" w:hAnsi="Times New Roman" w:cs="Times New Roman"/>
          <w:sz w:val="24"/>
          <w:szCs w:val="24"/>
          <w:lang w:val="en-GB"/>
        </w:rPr>
        <w:fldChar w:fldCharType="end"/>
      </w:r>
      <w:r w:rsidR="00A17184" w:rsidRPr="002C3E85">
        <w:rPr>
          <w:rFonts w:ascii="Times New Roman" w:hAnsi="Times New Roman" w:cs="Times New Roman"/>
          <w:sz w:val="24"/>
          <w:szCs w:val="24"/>
          <w:lang w:val="en-GB"/>
        </w:rPr>
        <w:t xml:space="preserve">, bilateral inferior parietal lobules and in the left putamen </w:t>
      </w:r>
      <w:r w:rsidR="00A17184"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"10.1016/j.jneuroling.2014.09.008", "ISBN" : "0911-6044", "ISSN" : "18738052", "abstract" : "It is a timely issue to understand the impact of bilingualism upon brain structure in healthy aging and upon cognitive decline given evidence of its neuroprotective effects. Plastic changes induced by bilingualism were reported in young adults in the left inferior parietal lobule (LIPL) and its right counterpart (RIPL) (Mechelli etal., 2004). Moreover, both age of second language (L2) acquisition and L2 proficiency correlated with increased grey matter (GM) in the LIPL/RIPL. However it is unknown whether such findings replicate in older bilinguals. We examined this question in an aging bilingual population from Hong Kong. Results from our Voxel Based Morphometry study show that elderly bilinguals relative to a matched monolingual control group also have increased GM volumes in the inferior parietal lobules underlining the neuroprotective effect of bilingualism. However, unlike younger adults, age of L2 acquisition did not predict GM volumes. Instead, LIPL and RIPL appear differentially sensitive to the effects of L2 proficiency and L2 exposure with LIPL more sensitive to the former and RIPL more sensitive to the latter. Our data also intimate that such differences may be more prominent for speakers of languages that are linguistically closer such as in Cantonese-Mandarin bilinguals as compared to Cantonese-English bilinguals.", "author" : [ { "dropping-particle" : "", "family" : "Abutalebi", "given" : "Jubin", "non-dropping-particle" : "", "parse-names" : false, "suffix" : "" }, { "dropping-particle" : "", "family" : "Canini", "given" : "Matteo", "non-dropping-particle" : "", "parse-names" : false, "suffix" : "" }, { "dropping-particle" : "", "family" : "Rosa", "given" : "Pasquale A.", "non-dropping-particle" : "Della", "parse-names" : false, "suffix" : "" }, { "dropping-particle" : "", "family" : "Green", "given" : "David W.", "non-dropping-particle" : "", "parse-names" : false, "suffix" : "" }, { "dropping-particle" : "", "family" : "Weekes", "given" : "Brendan S.", "non-dropping-particle" : "", "parse-names" : false, "suffix" : "" } ], "container-title" : "Journal of Neurolinguistics", "id" : "ITEM-1", "issued" : { "date-parts" : [ [ "2015" ] ] }, "note" : "NULL", "page" : "3-13", "title" : "The neuroprotective effects of bilingualism upon the inferior parietal lobule: A Structural Neuroimaging Study in Aging Chinese Bilinguals", "type" : "article-journal", "volume" : "33" }, "uris" : [ "http://www.mendeley.com/documents/?uuid=6fdddc1e-d5e0-3383-ae05-4edcdc3eb910" ] } ], "mendeley" : { "formattedCitation" : "(Abutalebi et al., 2015a)", "plainTextFormattedCitation" : "(Abutalebi et al., 2015a)", "previouslyFormattedCitation" : "(Abutalebi et al., 2015a)" }, "properties" : {  }, "schema" : "https://github.com/citation-style-language/schema/raw/master/csl-citation.json" }</w:instrText>
      </w:r>
      <w:r w:rsidR="00A17184"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(Abutalebi et al., 2015a)</w:t>
      </w:r>
      <w:r w:rsidR="00A17184" w:rsidRPr="002C3E85">
        <w:rPr>
          <w:rFonts w:ascii="Times New Roman" w:hAnsi="Times New Roman" w:cs="Times New Roman"/>
          <w:sz w:val="24"/>
          <w:szCs w:val="24"/>
          <w:lang w:val="en-GB"/>
        </w:rPr>
        <w:fldChar w:fldCharType="end"/>
      </w:r>
      <w:r w:rsidR="00A17184" w:rsidRPr="002C3E85">
        <w:rPr>
          <w:rFonts w:ascii="Times New Roman" w:hAnsi="Times New Roman" w:cs="Times New Roman"/>
          <w:sz w:val="24"/>
          <w:szCs w:val="24"/>
          <w:lang w:val="en-GB"/>
        </w:rPr>
        <w:t>.</w:t>
      </w:r>
      <w:r w:rsidR="006C5020" w:rsidRPr="002C3E85">
        <w:rPr>
          <w:rFonts w:ascii="Times New Roman" w:hAnsi="Times New Roman" w:cs="Times New Roman"/>
          <w:sz w:val="24"/>
          <w:szCs w:val="24"/>
          <w:lang w:val="en-GB"/>
        </w:rPr>
        <w:t xml:space="preserve"> </w:t>
      </w:r>
      <w:r w:rsidR="000C2CFA" w:rsidRPr="002C3E85">
        <w:rPr>
          <w:rFonts w:ascii="Times New Roman" w:hAnsi="Times New Roman" w:cs="Times New Roman"/>
          <w:sz w:val="24"/>
          <w:szCs w:val="24"/>
          <w:lang w:val="en-GB"/>
        </w:rPr>
        <w:t>Although</w:t>
      </w:r>
      <w:r w:rsidR="00221BBA" w:rsidRPr="002C3E85">
        <w:rPr>
          <w:rFonts w:ascii="Times New Roman" w:hAnsi="Times New Roman" w:cs="Times New Roman"/>
          <w:sz w:val="24"/>
          <w:szCs w:val="24"/>
          <w:lang w:val="en-GB"/>
        </w:rPr>
        <w:t xml:space="preserve"> </w:t>
      </w:r>
      <w:r w:rsidR="00877114" w:rsidRPr="002C3E85">
        <w:rPr>
          <w:rFonts w:ascii="Times New Roman" w:hAnsi="Times New Roman" w:cs="Times New Roman"/>
          <w:sz w:val="24"/>
          <w:szCs w:val="24"/>
          <w:lang w:val="en-GB"/>
        </w:rPr>
        <w:t>these</w:t>
      </w:r>
      <w:r w:rsidR="00221BBA" w:rsidRPr="002C3E85">
        <w:rPr>
          <w:rFonts w:ascii="Times New Roman" w:hAnsi="Times New Roman" w:cs="Times New Roman"/>
          <w:sz w:val="24"/>
          <w:szCs w:val="24"/>
          <w:lang w:val="en-GB"/>
        </w:rPr>
        <w:t xml:space="preserve"> </w:t>
      </w:r>
      <w:r w:rsidR="00CB20CA" w:rsidRPr="002C3E85">
        <w:rPr>
          <w:rFonts w:ascii="Times New Roman" w:hAnsi="Times New Roman" w:cs="Times New Roman"/>
          <w:sz w:val="24"/>
          <w:szCs w:val="24"/>
          <w:lang w:val="en-GB"/>
        </w:rPr>
        <w:t>constrained analyses corroborate the whole-brain</w:t>
      </w:r>
      <w:r w:rsidR="00174317" w:rsidRPr="002C3E85">
        <w:rPr>
          <w:rFonts w:ascii="Times New Roman" w:hAnsi="Times New Roman" w:cs="Times New Roman"/>
          <w:sz w:val="24"/>
          <w:szCs w:val="24"/>
          <w:lang w:val="en-GB"/>
        </w:rPr>
        <w:t xml:space="preserve"> level </w:t>
      </w:r>
      <w:r w:rsidR="005F5449" w:rsidRPr="002C3E85">
        <w:rPr>
          <w:rFonts w:ascii="Times New Roman" w:hAnsi="Times New Roman" w:cs="Times New Roman"/>
          <w:sz w:val="24"/>
          <w:szCs w:val="24"/>
          <w:lang w:val="en-GB"/>
        </w:rPr>
        <w:t>findings</w:t>
      </w:r>
      <w:r w:rsidR="00CB20CA" w:rsidRPr="002C3E85">
        <w:rPr>
          <w:rFonts w:ascii="Times New Roman" w:hAnsi="Times New Roman" w:cs="Times New Roman"/>
          <w:sz w:val="24"/>
          <w:szCs w:val="24"/>
          <w:lang w:val="en-GB"/>
        </w:rPr>
        <w:t xml:space="preserve"> in showing that bilingualism can induce</w:t>
      </w:r>
      <w:r w:rsidR="000F6267" w:rsidRPr="002C3E85">
        <w:rPr>
          <w:rFonts w:ascii="Times New Roman" w:hAnsi="Times New Roman" w:cs="Times New Roman"/>
          <w:sz w:val="24"/>
          <w:szCs w:val="24"/>
          <w:lang w:val="en-GB"/>
        </w:rPr>
        <w:t xml:space="preserve"> </w:t>
      </w:r>
      <w:r w:rsidR="000F6267" w:rsidRPr="002C3E85">
        <w:rPr>
          <w:rFonts w:ascii="Times New Roman" w:hAnsi="Times New Roman" w:cs="Times New Roman"/>
          <w:sz w:val="24"/>
          <w:szCs w:val="24"/>
          <w:lang w:val="en-GB"/>
        </w:rPr>
        <w:lastRenderedPageBreak/>
        <w:t>structural</w:t>
      </w:r>
      <w:r w:rsidR="00CB20CA" w:rsidRPr="002C3E85">
        <w:rPr>
          <w:rFonts w:ascii="Times New Roman" w:hAnsi="Times New Roman" w:cs="Times New Roman"/>
          <w:sz w:val="24"/>
          <w:szCs w:val="24"/>
          <w:lang w:val="en-GB"/>
        </w:rPr>
        <w:t xml:space="preserve"> GM modulations</w:t>
      </w:r>
      <w:r w:rsidR="00D376D9" w:rsidRPr="002C3E85">
        <w:rPr>
          <w:rFonts w:ascii="Times New Roman" w:hAnsi="Times New Roman" w:cs="Times New Roman"/>
          <w:sz w:val="24"/>
          <w:szCs w:val="24"/>
          <w:lang w:val="en-GB"/>
        </w:rPr>
        <w:t xml:space="preserve"> </w:t>
      </w:r>
      <w:r w:rsidR="00D376D9"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"10.1016/j.brainres.2015.02.034", "ISSN" : "00068993", "abstract" : "Lifelong bilingualism is associated with the delayed diagnosis of dementia, suggesting bilingual experience is relevant to brain health in aging. While the effects of bilingualism on cognitive functions across the lifespan are well documented, less is known about the neural substrates underlying differential behaviour. It is clear that bilingualism affects brain regions that mediate language abilities and that these regions are at least partially overlapping with those that exhibit age-related decline. Moreover, the behavioural advantages observed in bilingualism are generally found in executive function performance, suggesting that the frontal lobes may also be sensitive to bilingualism, which exhibit volume reductions with age. The current study investigated structural differences in the brain of lifelong bilingual older adults (n=14, mean age=70.4) compared with older monolinguals (n=14, mean age=70.6). We employed two analytic approaches: 1) we examined global differences in grey and white matter volumes; and, 2) we examined local differences in volume and cortical thickness of specific regions of interest previously implicated in bilingual/monolingual comparisons (temporal pole) or in aging (entorhinal cortex and hippocampus). We expected bilinguals would exhibit greater volume of the frontal lobe and temporal lobe (grey and white matter), given the importance of these regions in executive and language functions, respectively. We further hypothesized that regions in the medial temporal lobe, which demonstrate early changes in aging and exhibit neural pathology in dementia, would be more preserved in the bilingual group. As predicted, bilinguals exhibit greater frontal lobe white matter compared with monolinguals. Moreover, increasing age was related to decreasing temporal pole cortical thickness in the monolingual group, but no such relationship was observed for bilinguals. Finally, Stroop task performance was positively correlated with frontal lobe white matter, emphasizing the importance of preserved white matter in maintaining executive function in aging. These results underscore previous findings implicating an association between bilingualism and preserved frontal and temporal lobe function in aging. This article is part of a Special Issue entitled SI: Memory \u00c5.", "author" : [ { "dropping-particle" : "", "family" : "Olsen", "given" : "Rosanna K.", "non-dropping-particle" : "", "parse-names" : false, "suffix" : "" }, { "dropping-particle" : "", "family" : "Pangelinan", "given" : "Melissa M.", "non-dropping-particle" : "", "parse-names" : false, "suffix" : "" }, { "dropping-particle" : "", "family" : "Bogulski", "given" : "Cari", "non-dropping-particle" : "", "parse-names" : false, "suffix" : "" }, { "dropping-particle" : "", "family" : "Chakravarty", "given" : "M. Mallar", "non-dropping-particle" : "", "parse-names" : false, "suffix" : "" }, { "dropping-particle" : "", "family" : "Luk", "given" : "Gigi", "non-dropping-particle" : "", "parse-names" : false, "suffix" : "" }, { "dropping-particle" : "", "family" : "Grady", "given" : "Cheryl L.", "non-dropping-particle" : "", "parse-names" : false, "suffix" : "" }, { "dropping-particle" : "", "family" : "Bialystok", "given" : "Ellen", "non-dropping-particle" : "", "parse-names" : false, "suffix" : "" } ], "container-title" : "Brain Research", "id" : "ITEM-1", "issued" : { "date-parts" : [ [ "2015" ] ] }, "page" : "128-139", "title" : "The effect of lifelong bilingualism on regional grey and white matter volume", "type" : "article-journal", "volume" : "1612" }, "uris" : [ "http://www.mendeley.com/documents/?uuid=290400af-fc74-384f-89ef-3935dc06015a" ] } ], "mendeley" : { "formattedCitation" : "(Olsen et al., 2015)", "manualFormatting" : "(but see Olsen et al., 2015, with no significant group effects despite a ROI approach)", "plainTextFormattedCitation" : "(Olsen et al., 2015)", "previouslyFormattedCitation" : "(Olsen et al., 2015)" }, "properties" : {  }, "schema" : "https://github.com/citation-style-language/schema/raw/master/csl-citation.json" }</w:instrText>
      </w:r>
      <w:r w:rsidR="00D376D9" w:rsidRPr="002C3E85">
        <w:rPr>
          <w:rFonts w:ascii="Times New Roman" w:hAnsi="Times New Roman" w:cs="Times New Roman"/>
          <w:sz w:val="24"/>
          <w:szCs w:val="24"/>
          <w:lang w:val="en-GB"/>
        </w:rPr>
        <w:fldChar w:fldCharType="separate"/>
      </w:r>
      <w:r w:rsidR="00D376D9" w:rsidRPr="002C3E85">
        <w:rPr>
          <w:rFonts w:ascii="Times New Roman" w:hAnsi="Times New Roman" w:cs="Times New Roman"/>
          <w:noProof/>
          <w:sz w:val="24"/>
          <w:szCs w:val="24"/>
          <w:lang w:val="en-GB"/>
        </w:rPr>
        <w:t xml:space="preserve">(but </w:t>
      </w:r>
      <w:r w:rsidR="001105D7" w:rsidRPr="002C3E85">
        <w:rPr>
          <w:rFonts w:ascii="Times New Roman" w:hAnsi="Times New Roman" w:cs="Times New Roman"/>
          <w:noProof/>
          <w:sz w:val="24"/>
          <w:szCs w:val="24"/>
          <w:lang w:val="en-GB"/>
        </w:rPr>
        <w:t>see</w:t>
      </w:r>
      <w:r w:rsidR="00D376D9" w:rsidRPr="002C3E85">
        <w:rPr>
          <w:rFonts w:ascii="Times New Roman" w:hAnsi="Times New Roman" w:cs="Times New Roman"/>
          <w:noProof/>
          <w:sz w:val="24"/>
          <w:szCs w:val="24"/>
          <w:lang w:val="en-GB"/>
        </w:rPr>
        <w:t xml:space="preserve"> Olsen et al.</w:t>
      </w:r>
      <w:r w:rsidR="00426EA3" w:rsidRPr="002C3E85">
        <w:rPr>
          <w:rFonts w:ascii="Times New Roman" w:hAnsi="Times New Roman" w:cs="Times New Roman"/>
          <w:noProof/>
          <w:sz w:val="24"/>
          <w:szCs w:val="24"/>
          <w:lang w:val="en-GB"/>
        </w:rPr>
        <w:t>,</w:t>
      </w:r>
      <w:r w:rsidR="00D376D9" w:rsidRPr="002C3E85">
        <w:rPr>
          <w:rFonts w:ascii="Times New Roman" w:hAnsi="Times New Roman" w:cs="Times New Roman"/>
          <w:noProof/>
          <w:sz w:val="24"/>
          <w:szCs w:val="24"/>
          <w:lang w:val="en-GB"/>
        </w:rPr>
        <w:t xml:space="preserve"> 2015</w:t>
      </w:r>
      <w:r w:rsidR="00426EA3" w:rsidRPr="002C3E85">
        <w:rPr>
          <w:rFonts w:ascii="Times New Roman" w:hAnsi="Times New Roman" w:cs="Times New Roman"/>
          <w:noProof/>
          <w:sz w:val="24"/>
          <w:szCs w:val="24"/>
          <w:lang w:val="en-GB"/>
        </w:rPr>
        <w:t xml:space="preserve">, with </w:t>
      </w:r>
      <w:r w:rsidR="00D376D9" w:rsidRPr="002C3E85">
        <w:rPr>
          <w:rFonts w:ascii="Times New Roman" w:hAnsi="Times New Roman" w:cs="Times New Roman"/>
          <w:noProof/>
          <w:sz w:val="24"/>
          <w:szCs w:val="24"/>
          <w:lang w:val="en-GB"/>
        </w:rPr>
        <w:t>no significant group effect</w:t>
      </w:r>
      <w:r w:rsidR="00B93CB5" w:rsidRPr="002C3E85">
        <w:rPr>
          <w:rFonts w:ascii="Times New Roman" w:hAnsi="Times New Roman" w:cs="Times New Roman"/>
          <w:noProof/>
          <w:sz w:val="24"/>
          <w:szCs w:val="24"/>
          <w:lang w:val="en-GB"/>
        </w:rPr>
        <w:t>s</w:t>
      </w:r>
      <w:r w:rsidR="00D376D9" w:rsidRPr="002C3E85">
        <w:rPr>
          <w:rFonts w:ascii="Times New Roman" w:hAnsi="Times New Roman" w:cs="Times New Roman"/>
          <w:noProof/>
          <w:sz w:val="24"/>
          <w:szCs w:val="24"/>
          <w:lang w:val="en-GB"/>
        </w:rPr>
        <w:t xml:space="preserve"> despite</w:t>
      </w:r>
      <w:r w:rsidR="0039507B" w:rsidRPr="002C3E85">
        <w:rPr>
          <w:rFonts w:ascii="Times New Roman" w:hAnsi="Times New Roman" w:cs="Times New Roman"/>
          <w:noProof/>
          <w:sz w:val="24"/>
          <w:szCs w:val="24"/>
          <w:lang w:val="en-GB"/>
        </w:rPr>
        <w:t xml:space="preserve"> a</w:t>
      </w:r>
      <w:r w:rsidR="00D376D9" w:rsidRPr="002C3E85">
        <w:rPr>
          <w:rFonts w:ascii="Times New Roman" w:hAnsi="Times New Roman" w:cs="Times New Roman"/>
          <w:noProof/>
          <w:sz w:val="24"/>
          <w:szCs w:val="24"/>
          <w:lang w:val="en-GB"/>
        </w:rPr>
        <w:t xml:space="preserve"> ROI approach)</w:t>
      </w:r>
      <w:r w:rsidR="00D376D9" w:rsidRPr="002C3E85">
        <w:rPr>
          <w:rFonts w:ascii="Times New Roman" w:hAnsi="Times New Roman" w:cs="Times New Roman"/>
          <w:sz w:val="24"/>
          <w:szCs w:val="24"/>
          <w:lang w:val="en-GB"/>
        </w:rPr>
        <w:fldChar w:fldCharType="end"/>
      </w:r>
      <w:r w:rsidR="00CB20CA" w:rsidRPr="002C3E85">
        <w:rPr>
          <w:rFonts w:ascii="Times New Roman" w:hAnsi="Times New Roman" w:cs="Times New Roman"/>
          <w:sz w:val="24"/>
          <w:szCs w:val="24"/>
          <w:lang w:val="en-GB"/>
        </w:rPr>
        <w:t xml:space="preserve">, the </w:t>
      </w:r>
      <w:r w:rsidR="00BA0895" w:rsidRPr="002C3E85">
        <w:rPr>
          <w:rFonts w:ascii="Times New Roman" w:hAnsi="Times New Roman" w:cs="Times New Roman"/>
          <w:sz w:val="24"/>
          <w:szCs w:val="24"/>
          <w:lang w:val="en-GB"/>
        </w:rPr>
        <w:t>reported</w:t>
      </w:r>
      <w:r w:rsidR="000F6267" w:rsidRPr="002C3E85">
        <w:rPr>
          <w:rFonts w:ascii="Times New Roman" w:hAnsi="Times New Roman" w:cs="Times New Roman"/>
          <w:sz w:val="24"/>
          <w:szCs w:val="24"/>
          <w:lang w:val="en-GB"/>
        </w:rPr>
        <w:t xml:space="preserve"> </w:t>
      </w:r>
      <w:r w:rsidR="005A10F5" w:rsidRPr="002C3E85">
        <w:rPr>
          <w:rFonts w:ascii="Times New Roman" w:hAnsi="Times New Roman" w:cs="Times New Roman"/>
          <w:sz w:val="24"/>
          <w:szCs w:val="24"/>
          <w:lang w:val="en-GB"/>
        </w:rPr>
        <w:t xml:space="preserve">effects </w:t>
      </w:r>
      <w:r w:rsidR="00BA0895" w:rsidRPr="002C3E85">
        <w:rPr>
          <w:rFonts w:ascii="Times New Roman" w:hAnsi="Times New Roman" w:cs="Times New Roman"/>
          <w:sz w:val="24"/>
          <w:szCs w:val="24"/>
          <w:lang w:val="en-GB"/>
        </w:rPr>
        <w:t>have been</w:t>
      </w:r>
      <w:r w:rsidR="000F6267" w:rsidRPr="002C3E85">
        <w:rPr>
          <w:rFonts w:ascii="Times New Roman" w:hAnsi="Times New Roman" w:cs="Times New Roman"/>
          <w:sz w:val="24"/>
          <w:szCs w:val="24"/>
          <w:lang w:val="en-GB"/>
        </w:rPr>
        <w:t xml:space="preserve"> scattered across the brain, showing little </w:t>
      </w:r>
      <w:r w:rsidR="00174317" w:rsidRPr="002C3E85">
        <w:rPr>
          <w:rFonts w:ascii="Times New Roman" w:hAnsi="Times New Roman" w:cs="Times New Roman"/>
          <w:sz w:val="24"/>
          <w:szCs w:val="24"/>
          <w:lang w:val="en-GB"/>
        </w:rPr>
        <w:t xml:space="preserve">or no </w:t>
      </w:r>
      <w:r w:rsidR="000F6267" w:rsidRPr="002C3E85">
        <w:rPr>
          <w:rFonts w:ascii="Times New Roman" w:hAnsi="Times New Roman" w:cs="Times New Roman"/>
          <w:sz w:val="24"/>
          <w:szCs w:val="24"/>
          <w:lang w:val="en-GB"/>
        </w:rPr>
        <w:t xml:space="preserve">consistency between </w:t>
      </w:r>
      <w:r w:rsidR="00174317" w:rsidRPr="002C3E85">
        <w:rPr>
          <w:rFonts w:ascii="Times New Roman" w:hAnsi="Times New Roman" w:cs="Times New Roman"/>
          <w:sz w:val="24"/>
          <w:szCs w:val="24"/>
          <w:lang w:val="en-GB"/>
        </w:rPr>
        <w:t>studies</w:t>
      </w:r>
      <w:r w:rsidR="00F4442B" w:rsidRPr="002C3E85">
        <w:rPr>
          <w:rFonts w:ascii="Times New Roman" w:hAnsi="Times New Roman" w:cs="Times New Roman"/>
          <w:sz w:val="24"/>
          <w:szCs w:val="24"/>
          <w:lang w:val="en-GB"/>
        </w:rPr>
        <w:t xml:space="preserve"> in general</w:t>
      </w:r>
      <w:r w:rsidR="000F6267" w:rsidRPr="002C3E85">
        <w:rPr>
          <w:rFonts w:ascii="Times New Roman" w:hAnsi="Times New Roman" w:cs="Times New Roman"/>
          <w:sz w:val="24"/>
          <w:szCs w:val="24"/>
          <w:lang w:val="en-GB"/>
        </w:rPr>
        <w:t xml:space="preserve">. </w:t>
      </w:r>
    </w:p>
    <w:p w14:paraId="1E36EACA" w14:textId="77777777" w:rsidR="0075753D" w:rsidRPr="002C3E85" w:rsidRDefault="0075753D" w:rsidP="00B16091">
      <w:pPr>
        <w:spacing w:line="480" w:lineRule="auto"/>
        <w:jc w:val="both"/>
        <w:rPr>
          <w:rFonts w:ascii="Times New Roman" w:hAnsi="Times New Roman" w:cs="Times New Roman"/>
          <w:sz w:val="24"/>
          <w:szCs w:val="24"/>
          <w:lang w:val="en-GB"/>
        </w:rPr>
      </w:pPr>
    </w:p>
    <w:p w14:paraId="3BDA069F" w14:textId="60765B01" w:rsidR="00F26B4C" w:rsidRPr="002C3E85" w:rsidRDefault="0074598C" w:rsidP="00C15E00">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In addition to VBM studies</w:t>
      </w:r>
      <w:r w:rsidR="00FA0780" w:rsidRPr="002C3E85">
        <w:rPr>
          <w:rFonts w:ascii="Times New Roman" w:hAnsi="Times New Roman" w:cs="Times New Roman"/>
          <w:sz w:val="24"/>
          <w:szCs w:val="24"/>
          <w:lang w:val="en-GB"/>
        </w:rPr>
        <w:t xml:space="preserve"> and mean volume analyses</w:t>
      </w:r>
      <w:r w:rsidRPr="002C3E85">
        <w:rPr>
          <w:rFonts w:ascii="Times New Roman" w:hAnsi="Times New Roman" w:cs="Times New Roman"/>
          <w:sz w:val="24"/>
          <w:szCs w:val="24"/>
          <w:lang w:val="en-GB"/>
        </w:rPr>
        <w:t>, structural GM modulations</w:t>
      </w:r>
      <w:r w:rsidR="007D1327" w:rsidRPr="002C3E85">
        <w:rPr>
          <w:rFonts w:ascii="Times New Roman" w:hAnsi="Times New Roman" w:cs="Times New Roman"/>
          <w:sz w:val="24"/>
          <w:szCs w:val="24"/>
          <w:lang w:val="en-GB"/>
        </w:rPr>
        <w:t xml:space="preserve"> </w:t>
      </w:r>
      <w:r w:rsidR="006D71AE" w:rsidRPr="002C3E85">
        <w:rPr>
          <w:rFonts w:ascii="Times New Roman" w:hAnsi="Times New Roman" w:cs="Times New Roman"/>
          <w:sz w:val="24"/>
          <w:szCs w:val="24"/>
          <w:lang w:val="en-GB"/>
        </w:rPr>
        <w:t>can also be</w:t>
      </w:r>
      <w:r w:rsidRPr="002C3E85">
        <w:rPr>
          <w:rFonts w:ascii="Times New Roman" w:hAnsi="Times New Roman" w:cs="Times New Roman"/>
          <w:sz w:val="24"/>
          <w:szCs w:val="24"/>
          <w:lang w:val="en-GB"/>
        </w:rPr>
        <w:t xml:space="preserve"> investigated by using </w:t>
      </w:r>
      <w:r w:rsidR="00B50A75" w:rsidRPr="002C3E85">
        <w:rPr>
          <w:rFonts w:ascii="Times New Roman" w:hAnsi="Times New Roman" w:cs="Times New Roman"/>
          <w:sz w:val="24"/>
          <w:szCs w:val="24"/>
          <w:lang w:val="en-GB"/>
        </w:rPr>
        <w:t xml:space="preserve">a </w:t>
      </w:r>
      <w:r w:rsidR="002D2A64" w:rsidRPr="002C3E85">
        <w:rPr>
          <w:rFonts w:ascii="Times New Roman" w:hAnsi="Times New Roman" w:cs="Times New Roman"/>
          <w:sz w:val="24"/>
          <w:szCs w:val="24"/>
          <w:lang w:val="en-GB"/>
        </w:rPr>
        <w:t xml:space="preserve">surface-based </w:t>
      </w:r>
      <w:r w:rsidRPr="002C3E85">
        <w:rPr>
          <w:rFonts w:ascii="Times New Roman" w:hAnsi="Times New Roman" w:cs="Times New Roman"/>
          <w:sz w:val="24"/>
          <w:szCs w:val="24"/>
          <w:lang w:val="en-GB"/>
        </w:rPr>
        <w:t>analysis</w:t>
      </w:r>
      <w:r w:rsidR="007D1327" w:rsidRPr="002C3E85">
        <w:rPr>
          <w:rFonts w:ascii="Times New Roman" w:hAnsi="Times New Roman" w:cs="Times New Roman"/>
          <w:sz w:val="24"/>
          <w:szCs w:val="24"/>
          <w:lang w:val="en-GB"/>
        </w:rPr>
        <w:t xml:space="preserve"> (SBA)</w:t>
      </w:r>
      <w:r w:rsidRPr="002C3E85">
        <w:rPr>
          <w:rFonts w:ascii="Times New Roman" w:hAnsi="Times New Roman" w:cs="Times New Roman"/>
          <w:sz w:val="24"/>
          <w:szCs w:val="24"/>
          <w:lang w:val="en-GB"/>
        </w:rPr>
        <w:t xml:space="preserve"> approach</w:t>
      </w:r>
      <w:r w:rsidR="002D2A64" w:rsidRPr="002C3E85">
        <w:rPr>
          <w:rFonts w:ascii="Times New Roman" w:hAnsi="Times New Roman" w:cs="Times New Roman"/>
          <w:sz w:val="24"/>
          <w:szCs w:val="24"/>
          <w:lang w:val="en-GB"/>
        </w:rPr>
        <w:t xml:space="preserve">. </w:t>
      </w:r>
      <w:r w:rsidR="007D1327" w:rsidRPr="002C3E85">
        <w:rPr>
          <w:rFonts w:ascii="Times New Roman" w:hAnsi="Times New Roman" w:cs="Times New Roman"/>
          <w:sz w:val="24"/>
          <w:szCs w:val="24"/>
          <w:lang w:val="en-GB"/>
        </w:rPr>
        <w:t>SBA approach</w:t>
      </w:r>
      <w:r w:rsidR="006464C1" w:rsidRPr="002C3E85">
        <w:rPr>
          <w:rFonts w:ascii="Times New Roman" w:hAnsi="Times New Roman" w:cs="Times New Roman"/>
          <w:sz w:val="24"/>
          <w:szCs w:val="24"/>
          <w:lang w:val="en-GB"/>
        </w:rPr>
        <w:t xml:space="preserve"> </w:t>
      </w:r>
      <w:r w:rsidR="00FA0780" w:rsidRPr="002C3E85">
        <w:rPr>
          <w:rFonts w:ascii="Times New Roman" w:hAnsi="Times New Roman" w:cs="Times New Roman"/>
          <w:sz w:val="24"/>
          <w:szCs w:val="24"/>
          <w:lang w:val="en-GB"/>
        </w:rPr>
        <w:t>defines</w:t>
      </w:r>
      <w:r w:rsidR="006464C1" w:rsidRPr="002C3E85">
        <w:rPr>
          <w:rFonts w:ascii="Times New Roman" w:hAnsi="Times New Roman" w:cs="Times New Roman"/>
          <w:sz w:val="24"/>
          <w:szCs w:val="24"/>
          <w:lang w:val="en-GB"/>
        </w:rPr>
        <w:t xml:space="preserve"> </w:t>
      </w:r>
      <w:r w:rsidR="00FA0780" w:rsidRPr="002C3E85">
        <w:rPr>
          <w:rFonts w:ascii="Times New Roman" w:hAnsi="Times New Roman" w:cs="Times New Roman"/>
          <w:sz w:val="24"/>
          <w:szCs w:val="24"/>
          <w:lang w:val="en-GB"/>
        </w:rPr>
        <w:t xml:space="preserve">the </w:t>
      </w:r>
      <w:r w:rsidR="006464C1" w:rsidRPr="002C3E85">
        <w:rPr>
          <w:rFonts w:ascii="Times New Roman" w:hAnsi="Times New Roman" w:cs="Times New Roman"/>
          <w:sz w:val="24"/>
          <w:szCs w:val="24"/>
          <w:lang w:val="en-GB"/>
        </w:rPr>
        <w:t xml:space="preserve">cortical surface </w:t>
      </w:r>
      <w:r w:rsidR="00FA0780" w:rsidRPr="002C3E85">
        <w:rPr>
          <w:rFonts w:ascii="Times New Roman" w:hAnsi="Times New Roman" w:cs="Times New Roman"/>
          <w:sz w:val="24"/>
          <w:szCs w:val="24"/>
          <w:lang w:val="en-GB"/>
        </w:rPr>
        <w:t xml:space="preserve">as a </w:t>
      </w:r>
      <w:r w:rsidR="006464C1" w:rsidRPr="002C3E85">
        <w:rPr>
          <w:rFonts w:ascii="Times New Roman" w:hAnsi="Times New Roman" w:cs="Times New Roman"/>
          <w:sz w:val="24"/>
          <w:szCs w:val="24"/>
          <w:lang w:val="en-GB"/>
        </w:rPr>
        <w:t>geometrical</w:t>
      </w:r>
      <w:r w:rsidR="00FA0780" w:rsidRPr="002C3E85">
        <w:rPr>
          <w:rFonts w:ascii="Times New Roman" w:hAnsi="Times New Roman" w:cs="Times New Roman"/>
          <w:sz w:val="24"/>
          <w:szCs w:val="24"/>
          <w:lang w:val="en-GB"/>
        </w:rPr>
        <w:t xml:space="preserve"> </w:t>
      </w:r>
      <w:r w:rsidR="00010A95" w:rsidRPr="002C3E85">
        <w:rPr>
          <w:rFonts w:ascii="Times New Roman" w:hAnsi="Times New Roman" w:cs="Times New Roman"/>
          <w:sz w:val="24"/>
          <w:szCs w:val="24"/>
          <w:lang w:val="en-GB"/>
        </w:rPr>
        <w:t xml:space="preserve">mesh </w:t>
      </w:r>
      <w:r w:rsidR="00FA0780" w:rsidRPr="002C3E85">
        <w:rPr>
          <w:rFonts w:ascii="Times New Roman" w:hAnsi="Times New Roman" w:cs="Times New Roman"/>
          <w:sz w:val="24"/>
          <w:szCs w:val="24"/>
          <w:lang w:val="en-GB"/>
        </w:rPr>
        <w:t>model</w:t>
      </w:r>
      <w:r w:rsidR="00010A95" w:rsidRPr="002C3E85">
        <w:rPr>
          <w:rFonts w:ascii="Times New Roman" w:hAnsi="Times New Roman" w:cs="Times New Roman"/>
          <w:sz w:val="24"/>
          <w:szCs w:val="24"/>
          <w:lang w:val="en-GB"/>
        </w:rPr>
        <w:t>, created</w:t>
      </w:r>
      <w:r w:rsidR="006464C1" w:rsidRPr="002C3E85">
        <w:rPr>
          <w:rFonts w:ascii="Times New Roman" w:hAnsi="Times New Roman" w:cs="Times New Roman"/>
          <w:sz w:val="24"/>
          <w:szCs w:val="24"/>
          <w:lang w:val="en-GB"/>
        </w:rPr>
        <w:t xml:space="preserve"> by </w:t>
      </w:r>
      <w:r w:rsidR="00FA0780" w:rsidRPr="002C3E85">
        <w:rPr>
          <w:rFonts w:ascii="Times New Roman" w:hAnsi="Times New Roman" w:cs="Times New Roman"/>
          <w:sz w:val="24"/>
          <w:szCs w:val="24"/>
          <w:lang w:val="en-GB"/>
        </w:rPr>
        <w:t>extracting</w:t>
      </w:r>
      <w:r w:rsidR="006464C1" w:rsidRPr="002C3E85">
        <w:rPr>
          <w:rFonts w:ascii="Times New Roman" w:hAnsi="Times New Roman" w:cs="Times New Roman"/>
          <w:sz w:val="24"/>
          <w:szCs w:val="24"/>
          <w:lang w:val="en-GB"/>
        </w:rPr>
        <w:t xml:space="preserve"> </w:t>
      </w:r>
      <w:r w:rsidR="00F2499D" w:rsidRPr="002C3E85">
        <w:rPr>
          <w:rFonts w:ascii="Times New Roman" w:hAnsi="Times New Roman" w:cs="Times New Roman"/>
          <w:sz w:val="24"/>
          <w:szCs w:val="24"/>
          <w:lang w:val="en-GB"/>
        </w:rPr>
        <w:t xml:space="preserve">the </w:t>
      </w:r>
      <w:r w:rsidR="006464C1" w:rsidRPr="002C3E85">
        <w:rPr>
          <w:rFonts w:ascii="Times New Roman" w:hAnsi="Times New Roman" w:cs="Times New Roman"/>
          <w:sz w:val="24"/>
          <w:szCs w:val="24"/>
          <w:lang w:val="en-GB"/>
        </w:rPr>
        <w:t>inne</w:t>
      </w:r>
      <w:r w:rsidR="00EF3822" w:rsidRPr="002C3E85">
        <w:rPr>
          <w:rFonts w:ascii="Times New Roman" w:hAnsi="Times New Roman" w:cs="Times New Roman"/>
          <w:sz w:val="24"/>
          <w:szCs w:val="24"/>
          <w:lang w:val="en-GB"/>
        </w:rPr>
        <w:t xml:space="preserve">r and outer </w:t>
      </w:r>
      <w:r w:rsidR="0001464F" w:rsidRPr="002C3E85">
        <w:rPr>
          <w:rFonts w:ascii="Times New Roman" w:hAnsi="Times New Roman" w:cs="Times New Roman"/>
          <w:sz w:val="24"/>
          <w:szCs w:val="24"/>
          <w:lang w:val="en-GB"/>
        </w:rPr>
        <w:t>GM</w:t>
      </w:r>
      <w:r w:rsidR="00EF3822" w:rsidRPr="002C3E85">
        <w:rPr>
          <w:rFonts w:ascii="Times New Roman" w:hAnsi="Times New Roman" w:cs="Times New Roman"/>
          <w:sz w:val="24"/>
          <w:szCs w:val="24"/>
          <w:lang w:val="en-GB"/>
        </w:rPr>
        <w:t xml:space="preserve"> boundaries.</w:t>
      </w:r>
      <w:r w:rsidR="0084137C" w:rsidRPr="002C3E85">
        <w:rPr>
          <w:rFonts w:ascii="Times New Roman" w:hAnsi="Times New Roman" w:cs="Times New Roman"/>
          <w:sz w:val="24"/>
          <w:szCs w:val="24"/>
          <w:lang w:val="en-GB"/>
        </w:rPr>
        <w:t xml:space="preserve"> </w:t>
      </w:r>
      <w:r w:rsidR="009C02D3" w:rsidRPr="002C3E85">
        <w:rPr>
          <w:rFonts w:ascii="Times New Roman" w:hAnsi="Times New Roman" w:cs="Times New Roman"/>
          <w:sz w:val="24"/>
          <w:szCs w:val="24"/>
          <w:lang w:val="en-GB"/>
        </w:rPr>
        <w:t>Several c</w:t>
      </w:r>
      <w:r w:rsidR="00E400BD" w:rsidRPr="002C3E85">
        <w:rPr>
          <w:rFonts w:ascii="Times New Roman" w:hAnsi="Times New Roman" w:cs="Times New Roman"/>
          <w:sz w:val="24"/>
          <w:szCs w:val="24"/>
          <w:lang w:val="en-GB"/>
        </w:rPr>
        <w:t xml:space="preserve">ortical </w:t>
      </w:r>
      <w:r w:rsidR="009C02D3" w:rsidRPr="002C3E85">
        <w:rPr>
          <w:rFonts w:ascii="Times New Roman" w:hAnsi="Times New Roman" w:cs="Times New Roman"/>
          <w:sz w:val="24"/>
          <w:szCs w:val="24"/>
          <w:lang w:val="en-GB"/>
        </w:rPr>
        <w:t xml:space="preserve">measures such as thickness, </w:t>
      </w:r>
      <w:r w:rsidR="007213B1" w:rsidRPr="002C3E85">
        <w:rPr>
          <w:rFonts w:ascii="Times New Roman" w:hAnsi="Times New Roman" w:cs="Times New Roman"/>
          <w:sz w:val="24"/>
          <w:szCs w:val="24"/>
          <w:lang w:val="en-GB"/>
        </w:rPr>
        <w:t xml:space="preserve">surface </w:t>
      </w:r>
      <w:r w:rsidR="009C02D3" w:rsidRPr="002C3E85">
        <w:rPr>
          <w:rFonts w:ascii="Times New Roman" w:hAnsi="Times New Roman" w:cs="Times New Roman"/>
          <w:sz w:val="24"/>
          <w:szCs w:val="24"/>
          <w:lang w:val="en-GB"/>
        </w:rPr>
        <w:t xml:space="preserve">area, </w:t>
      </w:r>
      <w:r w:rsidR="00E400BD" w:rsidRPr="002C3E85">
        <w:rPr>
          <w:rFonts w:ascii="Times New Roman" w:hAnsi="Times New Roman" w:cs="Times New Roman"/>
          <w:sz w:val="24"/>
          <w:szCs w:val="24"/>
          <w:lang w:val="en-GB"/>
        </w:rPr>
        <w:t>volume</w:t>
      </w:r>
      <w:r w:rsidR="009C02D3" w:rsidRPr="002C3E85">
        <w:rPr>
          <w:rFonts w:ascii="Times New Roman" w:hAnsi="Times New Roman" w:cs="Times New Roman"/>
          <w:sz w:val="24"/>
          <w:szCs w:val="24"/>
          <w:lang w:val="en-GB"/>
        </w:rPr>
        <w:t xml:space="preserve"> and mean curvature</w:t>
      </w:r>
      <w:r w:rsidR="00E400BD" w:rsidRPr="002C3E85">
        <w:rPr>
          <w:rFonts w:ascii="Times New Roman" w:hAnsi="Times New Roman" w:cs="Times New Roman"/>
          <w:sz w:val="24"/>
          <w:szCs w:val="24"/>
          <w:lang w:val="en-GB"/>
        </w:rPr>
        <w:t xml:space="preserve"> can b</w:t>
      </w:r>
      <w:r w:rsidR="003C5A6D" w:rsidRPr="002C3E85">
        <w:rPr>
          <w:rFonts w:ascii="Times New Roman" w:hAnsi="Times New Roman" w:cs="Times New Roman"/>
          <w:sz w:val="24"/>
          <w:szCs w:val="24"/>
          <w:lang w:val="en-GB"/>
        </w:rPr>
        <w:t>e estimated from the mesh model</w:t>
      </w:r>
      <w:r w:rsidR="00E400BD" w:rsidRPr="002C3E85">
        <w:rPr>
          <w:rFonts w:ascii="Times New Roman" w:hAnsi="Times New Roman" w:cs="Times New Roman"/>
          <w:sz w:val="24"/>
          <w:szCs w:val="24"/>
          <w:lang w:val="en-GB"/>
        </w:rPr>
        <w:t xml:space="preserve"> by calculating distances between the vertices. </w:t>
      </w:r>
      <w:r w:rsidR="006C1595" w:rsidRPr="002C3E85">
        <w:rPr>
          <w:rFonts w:ascii="Times New Roman" w:hAnsi="Times New Roman" w:cs="Times New Roman"/>
          <w:sz w:val="24"/>
          <w:szCs w:val="24"/>
          <w:lang w:val="en-GB"/>
        </w:rPr>
        <w:t xml:space="preserve">While </w:t>
      </w:r>
      <w:r w:rsidR="00EF3822" w:rsidRPr="002C3E85">
        <w:rPr>
          <w:rFonts w:ascii="Times New Roman" w:hAnsi="Times New Roman" w:cs="Times New Roman"/>
          <w:sz w:val="24"/>
          <w:szCs w:val="24"/>
          <w:lang w:val="en-GB"/>
        </w:rPr>
        <w:lastRenderedPageBreak/>
        <w:t xml:space="preserve">SBA has been </w:t>
      </w:r>
      <w:r w:rsidR="00AA19C4" w:rsidRPr="002C3E85">
        <w:rPr>
          <w:rFonts w:ascii="Times New Roman" w:hAnsi="Times New Roman" w:cs="Times New Roman"/>
          <w:sz w:val="24"/>
          <w:szCs w:val="24"/>
          <w:lang w:val="en-GB"/>
        </w:rPr>
        <w:t xml:space="preserve">regularly </w:t>
      </w:r>
      <w:r w:rsidR="00EF3822" w:rsidRPr="002C3E85">
        <w:rPr>
          <w:rFonts w:ascii="Times New Roman" w:hAnsi="Times New Roman" w:cs="Times New Roman"/>
          <w:sz w:val="24"/>
          <w:szCs w:val="24"/>
          <w:lang w:val="en-GB"/>
        </w:rPr>
        <w:t xml:space="preserve">used </w:t>
      </w:r>
      <w:r w:rsidR="005654E5" w:rsidRPr="002C3E85">
        <w:rPr>
          <w:rFonts w:ascii="Times New Roman" w:hAnsi="Times New Roman" w:cs="Times New Roman"/>
          <w:sz w:val="24"/>
          <w:szCs w:val="24"/>
          <w:lang w:val="en-GB"/>
        </w:rPr>
        <w:t>to investigate</w:t>
      </w:r>
      <w:r w:rsidR="00A304D3" w:rsidRPr="002C3E85">
        <w:rPr>
          <w:rFonts w:ascii="Times New Roman" w:hAnsi="Times New Roman" w:cs="Times New Roman"/>
          <w:sz w:val="24"/>
          <w:szCs w:val="24"/>
          <w:lang w:val="en-GB"/>
        </w:rPr>
        <w:t>,</w:t>
      </w:r>
      <w:r w:rsidR="00727046" w:rsidRPr="002C3E85">
        <w:rPr>
          <w:rFonts w:ascii="Times New Roman" w:hAnsi="Times New Roman" w:cs="Times New Roman"/>
          <w:sz w:val="24"/>
          <w:szCs w:val="24"/>
          <w:lang w:val="en-GB"/>
        </w:rPr>
        <w:t xml:space="preserve"> </w:t>
      </w:r>
      <w:r w:rsidR="00AA19C4" w:rsidRPr="002C3E85">
        <w:rPr>
          <w:rFonts w:ascii="Times New Roman" w:hAnsi="Times New Roman" w:cs="Times New Roman"/>
          <w:sz w:val="24"/>
          <w:szCs w:val="24"/>
          <w:lang w:val="en-GB"/>
        </w:rPr>
        <w:t>for instance</w:t>
      </w:r>
      <w:r w:rsidR="00A304D3" w:rsidRPr="002C3E85">
        <w:rPr>
          <w:rFonts w:ascii="Times New Roman" w:hAnsi="Times New Roman" w:cs="Times New Roman"/>
          <w:sz w:val="24"/>
          <w:szCs w:val="24"/>
          <w:lang w:val="en-GB"/>
        </w:rPr>
        <w:t>,</w:t>
      </w:r>
      <w:r w:rsidR="005654E5" w:rsidRPr="002C3E85">
        <w:rPr>
          <w:rFonts w:ascii="Times New Roman" w:hAnsi="Times New Roman" w:cs="Times New Roman"/>
          <w:sz w:val="24"/>
          <w:szCs w:val="24"/>
          <w:lang w:val="en-GB"/>
        </w:rPr>
        <w:t xml:space="preserve"> </w:t>
      </w:r>
      <w:r w:rsidR="00A751DC" w:rsidRPr="002C3E85">
        <w:rPr>
          <w:rFonts w:ascii="Times New Roman" w:hAnsi="Times New Roman" w:cs="Times New Roman"/>
          <w:sz w:val="24"/>
          <w:szCs w:val="24"/>
          <w:lang w:val="en-GB"/>
        </w:rPr>
        <w:t xml:space="preserve">changes in cortical volume and thickness associated with typical and atypical development </w:t>
      </w:r>
      <w:r w:rsidR="00A751DC"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"10.1016/j.neuroimage.2013.11.010", "ISSN" : "10538119", "author" : [ { "dropping-particle" : "", "family" : "Wierenga", "given" : "Lara M.", "non-dropping-particle" : "", "parse-names" : false, "suffix" : "" }, { "dropping-particle" : "", "family" : "Langen", "given" : "Marieke", "non-dropping-particle" : "", "parse-names" : false, "suffix" : "" }, { "dropping-particle" : "", "family" : "Oranje", "given" : "Bob", "non-dropping-particle" : "", "parse-names" : false, "suffix" : "" }, { "dropping-particle" : "", "family" : "Durston", "given" : "Sarah", "non-dropping-particle" : "", "parse-names" : false, "suffix" : "" } ], "container-title" : "NeuroImage", "id" : "ITEM-1", "issued" : { "date-parts" : [ [ "2014", "2" ] ] }, "page" : "120-126", "title" : "Unique developmental trajectories of cortical thickness and surface area", "type" : "article-journal", "volume" : "87" }, "uris" : [ "http://www.mendeley.com/documents/?uuid=2306b421-3d88-39fb-9d3d-d426bad0b32c" ] }, { "id" : "ITEM-2", "itemData" : { "DOI" : "10.1093/brain/awu083", "ISSN" : "0006-8950", "PMID" : "24755274", "abstract" : "The natural history of brain growth in autism spectrum disorders remains unclear. Cross-sectional studies have identified regional abnormalities in brain volume and cortical thickness in autism, although substantial discrepancies have been reported. Preliminary longitudinal studies using two time points and small samples have identified specific regional differences in cortical thickness in the disorder. To clarify age-related trajectories of cortical development, we examined longitudinal changes in cortical thickness within a large mixed cross-sectional and longitudinal sample of autistic subjects and age- and gender-matched typically developing controls. Three hundred and forty-five magnetic resonance imaging scans were examined from 97 males with autism (mean age = 16.8 years; range 3-36 years) and 60 males with typical development (mean age = 18 years; range 4-39 years), with an average interscan interval of 2.6 years. FreeSurfer image analysis software was used to parcellate the cortex into 34 regions of interest per hemisphere and to calculate mean cortical thickness for each region. Longitudinal linear mixed effects models were used to further characterize these findings and identify regions with between-group differences in longitudinal age-related trajectories. Using mean age at time of first scan as a reference (15 years), differences were observed in bilateral inferior frontal gyrus, pars opercularis and pars triangularis, right caudal middle frontal and left rostral middle frontal regions, and left frontal pole. However, group differences in cortical thickness varied by developmental stage, and were influenced by IQ. Differences in age-related trajectories emerged in bilateral parietal and occipital regions (postcentral gyrus, cuneus, lingual gyrus, pericalcarine cortex), left frontal regions (pars opercularis, rostral middle frontal and frontal pole), left supramarginal gyrus, and right transverse temporal gyrus, superior parietal lobule, and paracentral, lateral orbitofrontal, and lateral occipital regions. We suggest that abnormal cortical development in autism spectrum disorders undergoes three distinct phases: accelerated expansion in early childhood, accelerated thinning in later childhood and adolescence, and decelerated thinning in early adulthood. Moreover, cortical thickness abnormalities in autism spectrum disorders are region-specific, vary with age, and may remain dynamic well into adulthood.", "author" : [ { "dropping-particle" : "", "family" : "Zielinski", "given" : "B. A.", "non-dropping-particle" : "", "parse-names" : false, "suffix" : "" }, { "dropping-particle" : "", "family" : "Prigge", "given" : "M. B. D.", "non-dropping-particle" : "", "parse-names" : false, "suffix" : "" }, { "dropping-particle" : "", "family" : "Nielsen", "given" : "J. A.", "non-dropping-particle" : "", "parse-names" : false, "suffix" : "" }, { "dropping-particle" : "", "family" : "Froehlich", "given" : "A. L.", "non-dropping-particle" : "", "parse-names" : false, "suffix" : "" }, { "dropping-particle" : "", "family" : "Abildskov", "given" : "T. J.", "non-dropping-particle" : "", "parse-names" : false, "suffix" : "" }, { "dropping-particle" : "", "family" : "Anderson", "given" : "J. S.", "non-dropping-particle" : "", "parse-names" : false, "suffix" : "" }, { "dropping-particle" : "", "family" : "Fletcher", "given" : "P. T.", "non-dropping-particle" : "", "parse-names" : false, "suffix" : "" }, { "dropping-particle" : "", "family" : "Zygmunt", "given" : "K. M.", "non-dropping-particle" : "", "parse-names" : false, "suffix" : "" }, { "dropping-particle" : "", "family" : "Travers", "given" : "B. G.", "non-dropping-particle" : "", "parse-names" : false, "suffix" : "" }, { "dropping-particle" : "", "family" : "Lange", "given" : "N.", "non-dropping-particle" : "", "parse-names" : false, "suffix" : "" }, { "dropping-particle" : "", "family" : "Alexander", "given" : "A. L.", "non-dropping-particle" : "", "parse-names" : false, "suffix" : "" }, { "dropping-particle" : "", "family" : "Bigler", "given" : "E. D.", "non-dropping-particle" : "", "parse-names" : false, "suffix" : "" }, { "dropping-particle" : "", "family" : "Lainhart", "given" : "J. E.", "non-dropping-particle" : "", "parse-names" : false, "suffix" : "" } ], "container-title" : "Brain", "id" : "ITEM-2", "issue" : "6", "issued" : { "date-parts" : [ [ "2014", "6", "1" ] ] }, "page" : "1799-1812", "title" : "Longitudinal changes in cortical thickness in autism and typical development", "type" : "article-journal", "volume" : "137" }, "uris" : [ "http://www.mendeley.com/documents/?uuid=a550eaff-b794-38d1-9b6b-42454789506f" ] }, { "id" : "ITEM-3", "itemData" : { "DOI" : "10.1016/j.jaac.2015.03.007", "ISSN" : "08908567", "PMID" : "26004661", "abstract" : "OBJECTIVE Prior reports suggest that autism spectrum disorder (ASD) is associated with atypically excessive early brain growth. Recent cross-sectional studies suggest that later cortical development during adolescence/adulthood might also be aberrant, although longitudinal designs are required to evaluate atypical growth trajectories. The present study sought to examine longitudinal changes in cortical thickness and surface area among adolescents and young adults with ASD. METHOD Two high-resolution anatomic magnetic resonance imaging scans approximately 2 years apart were acquired from 17 adolescents with ASD and 18 typically developing (TD) adolescents, matched on age (range = 14-24 years), IQ, sex ratio, and handedness (70 scans total). The FreeSurfer image analysis suite was used to quantify longitudinal changes in cortical thickness and surface area. RESULTS Accelerated cortical thinning for the ASD group as compared to the TD group was found in 2 areas in the left hemisphere, the posterior portion of ventral temporal cortex and superior parietal cortex (cluster corrected p &lt; .01). For ventral temporal cortex, cortical thinning was associated with everyday executive function impairments, and thinner cortex at time 2 was correlated with ASD social symptoms. Differences in surface area changes were not detected. CONCLUSION The present longitudinal study extends prior cross-sectional research by demonstrating increased cortical thinning (in portions of temporal and parietal cortex) but comparable surface area growth rates in participants with ASD compared to TD controls during adolescence and into young adulthood. These findings provide further evidence for atypical cortical development beyond the early years in ASD, marked by increased cortical thinning in late adolescence/young adulthood.", "author" : [ { "dropping-particle" : "", "family" : "Wallace", "given" : "Gregory L.", "non-dropping-particle" : "", "parse-names" : false, "suffix" : "" }, { "dropping-particle" : "", "family" : "Eisenberg", "given" : "Ian W.", "non-dropping-particle" : "", "parse-names" : false, "suffix" : "" }, { "dropping-particle" : "", "family" : "Robustelli", "given" : "Briana", "non-dropping-particle" : "", "parse-names" : false, "suffix" : "" }, { "dropping-particle" : "", "family" : "Dankner", "given" : "Nathan", "non-dropping-particle" : "", "parse-names" : false, "suffix" : "" }, { "dropping-particle" : "", "family" : "Kenworthy", "given" : "Lauren", "non-dropping-particle" : "", "parse-names" : false, "suffix" : "" }, { "dropping-particle" : "", "family" : "Giedd", "given" : "Jay N.", "non-dropping-particle" : "", "parse-names" : false, "suffix" : "" }, { "dropping-particle" : "", "family" : "Martin", "given" : "Alex", "non-dropping-particle" : "", "parse-names" : false, "suffix" : "" } ], "container-title" : "Journal of the American Academy of Child &amp; Adolescent Psychiatry", "id" : "ITEM-3", "issue" : "6", "issued" : { "date-parts" : [ [ "2015", "6" ] ] }, "page" : "464-469", "title" : "Longitudinal Cortical Development During Adolescence and Young Adulthood in Autism Spectrum Disorder: Increased Cortical Thinning but Comparable Surface Area Changes", "type" : "article-journal", "volume" : "54" }, "uris" : [ "http://www.mendeley.com/documents/?uuid=b1e2a506-7641-3749-a422-84da048b578e" ] } ], "mendeley" : { "formattedCitation" : "(Wallace et al., 2015; Wierenga et al., 2014; Zielinski et al., 2014)", "manualFormatting" : "(Wierenga et al. 2014; Zielinski et al. 2014; Wallace et al. 2015)", "plainTextFormattedCitation" : "(Wallace et al., 2015; Wierenga et al., 2014; Zielinski et al., 2014)", "previouslyFormattedCitation" : "(Wallace et al., 2015; Wierenga et al., 2014; Zielinski et al., 2014)" }, "properties" : {  }, "schema" : "https://github.com/citation-style-language/schema/raw/master/csl-citation.json" }</w:instrText>
      </w:r>
      <w:r w:rsidR="00A751DC" w:rsidRPr="002C3E85">
        <w:rPr>
          <w:rFonts w:ascii="Times New Roman" w:hAnsi="Times New Roman" w:cs="Times New Roman"/>
          <w:sz w:val="24"/>
          <w:szCs w:val="24"/>
          <w:lang w:val="en-GB"/>
        </w:rPr>
        <w:fldChar w:fldCharType="separate"/>
      </w:r>
      <w:r w:rsidR="00A751DC" w:rsidRPr="002C3E85">
        <w:rPr>
          <w:rFonts w:ascii="Times New Roman" w:hAnsi="Times New Roman" w:cs="Times New Roman"/>
          <w:noProof/>
          <w:sz w:val="24"/>
          <w:szCs w:val="24"/>
          <w:lang w:val="en-GB"/>
        </w:rPr>
        <w:t>(Wierenga et al. 2014; Zielinski et al. 2014; Wallace et al. 2015)</w:t>
      </w:r>
      <w:r w:rsidR="00A751DC" w:rsidRPr="002C3E85">
        <w:rPr>
          <w:rFonts w:ascii="Times New Roman" w:hAnsi="Times New Roman" w:cs="Times New Roman"/>
          <w:sz w:val="24"/>
          <w:szCs w:val="24"/>
          <w:lang w:val="en-GB"/>
        </w:rPr>
        <w:fldChar w:fldCharType="end"/>
      </w:r>
      <w:r w:rsidR="00A751DC" w:rsidRPr="002C3E85">
        <w:rPr>
          <w:rFonts w:ascii="Times New Roman" w:hAnsi="Times New Roman" w:cs="Times New Roman"/>
          <w:sz w:val="24"/>
          <w:szCs w:val="24"/>
          <w:lang w:val="en-GB"/>
        </w:rPr>
        <w:t xml:space="preserve">, </w:t>
      </w:r>
      <w:r w:rsidR="00383B1D" w:rsidRPr="002C3E85">
        <w:rPr>
          <w:rFonts w:ascii="Times New Roman" w:hAnsi="Times New Roman" w:cs="Times New Roman"/>
          <w:sz w:val="24"/>
          <w:szCs w:val="24"/>
          <w:lang w:val="en-GB"/>
        </w:rPr>
        <w:t xml:space="preserve">only </w:t>
      </w:r>
      <w:r w:rsidR="00F4442B" w:rsidRPr="002C3E85">
        <w:rPr>
          <w:rFonts w:ascii="Times New Roman" w:hAnsi="Times New Roman" w:cs="Times New Roman"/>
          <w:sz w:val="24"/>
          <w:szCs w:val="24"/>
          <w:lang w:val="en-GB"/>
        </w:rPr>
        <w:t>two</w:t>
      </w:r>
      <w:r w:rsidR="00383B1D" w:rsidRPr="002C3E85">
        <w:rPr>
          <w:rFonts w:ascii="Times New Roman" w:hAnsi="Times New Roman" w:cs="Times New Roman"/>
          <w:sz w:val="24"/>
          <w:szCs w:val="24"/>
          <w:lang w:val="en-GB"/>
        </w:rPr>
        <w:t xml:space="preserve"> </w:t>
      </w:r>
      <w:r w:rsidR="006F4508" w:rsidRPr="002C3E85">
        <w:rPr>
          <w:rFonts w:ascii="Times New Roman" w:hAnsi="Times New Roman" w:cs="Times New Roman"/>
          <w:sz w:val="24"/>
          <w:szCs w:val="24"/>
          <w:lang w:val="en-GB"/>
        </w:rPr>
        <w:t xml:space="preserve">prior </w:t>
      </w:r>
      <w:r w:rsidR="00383B1D" w:rsidRPr="002C3E85">
        <w:rPr>
          <w:rFonts w:ascii="Times New Roman" w:hAnsi="Times New Roman" w:cs="Times New Roman"/>
          <w:sz w:val="24"/>
          <w:szCs w:val="24"/>
          <w:lang w:val="en-GB"/>
        </w:rPr>
        <w:t xml:space="preserve">studies </w:t>
      </w:r>
      <w:r w:rsidR="003C5A6D" w:rsidRPr="002C3E85">
        <w:rPr>
          <w:rFonts w:ascii="Times New Roman" w:hAnsi="Times New Roman" w:cs="Times New Roman"/>
          <w:sz w:val="24"/>
          <w:szCs w:val="24"/>
          <w:lang w:val="en-GB"/>
        </w:rPr>
        <w:t>have implemented it</w:t>
      </w:r>
      <w:r w:rsidR="00383B1D" w:rsidRPr="002C3E85">
        <w:rPr>
          <w:rFonts w:ascii="Times New Roman" w:hAnsi="Times New Roman" w:cs="Times New Roman"/>
          <w:sz w:val="24"/>
          <w:szCs w:val="24"/>
          <w:lang w:val="en-GB"/>
        </w:rPr>
        <w:t xml:space="preserve"> to investigate bilingualism-induced GM modulations.</w:t>
      </w:r>
      <w:r w:rsidR="00E400BD" w:rsidRPr="002C3E85">
        <w:rPr>
          <w:rFonts w:ascii="Times New Roman" w:hAnsi="Times New Roman" w:cs="Times New Roman"/>
          <w:sz w:val="24"/>
          <w:szCs w:val="24"/>
          <w:lang w:val="en-GB"/>
        </w:rPr>
        <w:t xml:space="preserve"> </w:t>
      </w:r>
      <w:r w:rsidR="001C53E9" w:rsidRPr="002C3E85">
        <w:rPr>
          <w:rFonts w:ascii="Times New Roman" w:hAnsi="Times New Roman" w:cs="Times New Roman"/>
          <w:sz w:val="24"/>
          <w:szCs w:val="24"/>
          <w:lang w:val="en-GB"/>
        </w:rPr>
        <w:fldChar w:fldCharType="begin" w:fldLock="1"/>
      </w:r>
      <w:r w:rsidR="00B41D73" w:rsidRPr="002C3E85">
        <w:rPr>
          <w:rFonts w:ascii="Times New Roman" w:hAnsi="Times New Roman" w:cs="Times New Roman"/>
          <w:sz w:val="24"/>
          <w:szCs w:val="24"/>
          <w:lang w:val="en-GB"/>
        </w:rPr>
        <w:instrText>ADDIN CSL_CITATION { "citationItems" : [ { "id" : "ITEM-1", "itemData" : { "DOI" : "10.1016/j.bandl.2013.05.014", "ISBN" : "1090-2155 (Electronic)\\r0093-934X (Linking)", "ISSN" : "10902155", "PMID" : "23819901", "abstract" : "We examined the effects of learning a second language (L2) on brain structure. Cortical thickness was measured in the MRI datasets of 22 monolinguals and 66 bilinguals. Some bilingual subjects had learned both languages simultaneously (0-3. years) while some had learned their L2 after achieving proficiency in their first language during either early (4-7. years) or late childhood (8-13. years). Later acquisition of L2 was associated with significantly thicker cortex in the left inferior frontal gyrus (IFG) and thinner cortex in the right IFG. These effects were seen in the group comparisons of monolinguals, simultaneous bilinguals and early and late bilinguals. Within the bilingual group, significant correlations between age of acquisition of L2 and cortical thickness were seen in the same regions: cortical thickness correlated with age of acquisition positively in the left IFG and negatively in the right IFG. Interestingly, the monolinguals and simultaneous bilinguals did not differ in cortical thickness in any region. Our results show that learning a second language after gaining proficiency in the first language modifies brain structure in an age-dependent manner whereas simultaneous acquisition of two languages has no additional effect on brain development. \u00a9 2013 Elsevier Inc.", "author" : [ { "dropping-particle" : "", "family" : "Klein", "given" : "Denise", "non-dropping-particle" : "", "parse-names" : false, "suffix" : "" }, { "dropping-particle" : "", "family" : "Mok", "given" : "Kelvin", "non-dropping-particle" : "", "parse-names" : false, "suffix" : "" }, { "dropping-particle" : "", "family" : "Chen", "given" : "Jen Kai", "non-dropping-particle" : "", "parse-names" : false, "suffix" : "" }, { "dropping-particle" : "", "family" : "Watkins", "given" : "Kate E.", "non-dropping-particle" : "", "parse-names" : false, "suffix" : "" } ], "container-title" : "Brain and Language", "id" : "ITEM-1", "issued" : { "date-parts" : [ [ "2014" ] ] }, "page" : "20-24", "title" : "Age of language learning shapes brain structure: A cortical thickness study of bilingual and monolingual individuals", "type" : "article-journal", "volume" : "131" }, "uris" : [ "http://www.mendeley.com/documents/?uuid=9c45a157-1e3e-346f-980b-c61bf8ec0511" ] } ], "mendeley" : { "formattedCitation" : "(Klein et al., 2014)", "manualFormatting" : "Klein and colleagues (2014)", "plainTextFormattedCitation" : "(Klein et al., 2014)", "previouslyFormattedCitation" : "(Klein et al., 2014)" }, "properties" : {  }, "schema" : "https://github.com/citation-style-language/schema/raw/master/csl-citation.json" }</w:instrText>
      </w:r>
      <w:r w:rsidR="001C53E9" w:rsidRPr="002C3E85">
        <w:rPr>
          <w:rFonts w:ascii="Times New Roman" w:hAnsi="Times New Roman" w:cs="Times New Roman"/>
          <w:sz w:val="24"/>
          <w:szCs w:val="24"/>
          <w:lang w:val="en-GB"/>
        </w:rPr>
        <w:fldChar w:fldCharType="separate"/>
      </w:r>
      <w:r w:rsidR="001C53E9" w:rsidRPr="002C3E85">
        <w:rPr>
          <w:rFonts w:ascii="Times New Roman" w:hAnsi="Times New Roman" w:cs="Times New Roman"/>
          <w:noProof/>
          <w:sz w:val="24"/>
          <w:szCs w:val="24"/>
          <w:lang w:val="en-GB"/>
        </w:rPr>
        <w:t>Klein and colleagues (2014)</w:t>
      </w:r>
      <w:r w:rsidR="001C53E9" w:rsidRPr="002C3E85">
        <w:rPr>
          <w:rFonts w:ascii="Times New Roman" w:hAnsi="Times New Roman" w:cs="Times New Roman"/>
          <w:sz w:val="24"/>
          <w:szCs w:val="24"/>
          <w:lang w:val="en-GB"/>
        </w:rPr>
        <w:fldChar w:fldCharType="end"/>
      </w:r>
      <w:r w:rsidR="001C53E9" w:rsidRPr="002C3E85">
        <w:rPr>
          <w:rFonts w:ascii="Times New Roman" w:hAnsi="Times New Roman" w:cs="Times New Roman"/>
          <w:sz w:val="24"/>
          <w:szCs w:val="24"/>
          <w:lang w:val="en-GB"/>
        </w:rPr>
        <w:t xml:space="preserve"> performed a cross-sectional study on cortical thickness </w:t>
      </w:r>
      <w:r w:rsidR="00E7058E" w:rsidRPr="002C3E85">
        <w:rPr>
          <w:rFonts w:ascii="Times New Roman" w:hAnsi="Times New Roman" w:cs="Times New Roman"/>
          <w:sz w:val="24"/>
          <w:szCs w:val="24"/>
          <w:lang w:val="en-GB"/>
        </w:rPr>
        <w:t>between monolinguals vs. simultaneous</w:t>
      </w:r>
      <w:r w:rsidR="00601F32" w:rsidRPr="002C3E85">
        <w:rPr>
          <w:rFonts w:ascii="Times New Roman" w:hAnsi="Times New Roman" w:cs="Times New Roman"/>
          <w:sz w:val="24"/>
          <w:szCs w:val="24"/>
          <w:lang w:val="en-GB"/>
        </w:rPr>
        <w:t xml:space="preserve"> (age of acquisition</w:t>
      </w:r>
      <w:r w:rsidR="00975DE4" w:rsidRPr="002C3E85">
        <w:rPr>
          <w:rFonts w:ascii="Times New Roman" w:hAnsi="Times New Roman" w:cs="Times New Roman"/>
          <w:sz w:val="24"/>
          <w:szCs w:val="24"/>
          <w:lang w:val="en-GB"/>
        </w:rPr>
        <w:t xml:space="preserve"> of L2</w:t>
      </w:r>
      <w:r w:rsidR="00601F32" w:rsidRPr="002C3E85">
        <w:rPr>
          <w:rFonts w:ascii="Times New Roman" w:hAnsi="Times New Roman" w:cs="Times New Roman"/>
          <w:sz w:val="24"/>
          <w:szCs w:val="24"/>
          <w:lang w:val="en-GB"/>
        </w:rPr>
        <w:t>, AoA = &lt; 3 years)</w:t>
      </w:r>
      <w:r w:rsidR="00E7058E" w:rsidRPr="002C3E85">
        <w:rPr>
          <w:rFonts w:ascii="Times New Roman" w:hAnsi="Times New Roman" w:cs="Times New Roman"/>
          <w:sz w:val="24"/>
          <w:szCs w:val="24"/>
          <w:lang w:val="en-GB"/>
        </w:rPr>
        <w:t>, early sequential</w:t>
      </w:r>
      <w:r w:rsidR="00601F32" w:rsidRPr="002C3E85">
        <w:rPr>
          <w:rFonts w:ascii="Times New Roman" w:hAnsi="Times New Roman" w:cs="Times New Roman"/>
          <w:sz w:val="24"/>
          <w:szCs w:val="24"/>
          <w:lang w:val="en-GB"/>
        </w:rPr>
        <w:t xml:space="preserve"> (AoA = 4–7 years)</w:t>
      </w:r>
      <w:r w:rsidR="00E7058E" w:rsidRPr="002C3E85">
        <w:rPr>
          <w:rFonts w:ascii="Times New Roman" w:hAnsi="Times New Roman" w:cs="Times New Roman"/>
          <w:sz w:val="24"/>
          <w:szCs w:val="24"/>
          <w:lang w:val="en-GB"/>
        </w:rPr>
        <w:t xml:space="preserve"> and late sequential bilinguals</w:t>
      </w:r>
      <w:r w:rsidR="00601F32" w:rsidRPr="002C3E85">
        <w:rPr>
          <w:rFonts w:ascii="Times New Roman" w:hAnsi="Times New Roman" w:cs="Times New Roman"/>
          <w:sz w:val="24"/>
          <w:szCs w:val="24"/>
          <w:lang w:val="en-GB"/>
        </w:rPr>
        <w:t xml:space="preserve"> (AoA = 8–13 years) </w:t>
      </w:r>
      <w:r w:rsidR="001C53E9" w:rsidRPr="002C3E85">
        <w:rPr>
          <w:rFonts w:ascii="Times New Roman" w:hAnsi="Times New Roman" w:cs="Times New Roman"/>
          <w:sz w:val="24"/>
          <w:szCs w:val="24"/>
          <w:lang w:val="en-GB"/>
        </w:rPr>
        <w:t xml:space="preserve">and </w:t>
      </w:r>
      <w:r w:rsidR="00932720" w:rsidRPr="002C3E85">
        <w:rPr>
          <w:rFonts w:ascii="Times New Roman" w:hAnsi="Times New Roman" w:cs="Times New Roman"/>
          <w:sz w:val="24"/>
          <w:szCs w:val="24"/>
          <w:lang w:val="en-GB"/>
        </w:rPr>
        <w:t>observed</w:t>
      </w:r>
      <w:r w:rsidR="00BC15FA" w:rsidRPr="002C3E85">
        <w:rPr>
          <w:rFonts w:ascii="Times New Roman" w:hAnsi="Times New Roman" w:cs="Times New Roman"/>
          <w:sz w:val="24"/>
          <w:szCs w:val="24"/>
          <w:lang w:val="en-GB"/>
        </w:rPr>
        <w:t xml:space="preserve"> differences </w:t>
      </w:r>
      <w:r w:rsidR="001C53E9" w:rsidRPr="002C3E85">
        <w:rPr>
          <w:rFonts w:ascii="Times New Roman" w:hAnsi="Times New Roman" w:cs="Times New Roman"/>
          <w:sz w:val="24"/>
          <w:szCs w:val="24"/>
          <w:lang w:val="en-GB"/>
        </w:rPr>
        <w:t xml:space="preserve">in </w:t>
      </w:r>
      <w:r w:rsidR="00E7058E" w:rsidRPr="002C3E85">
        <w:rPr>
          <w:rFonts w:ascii="Times New Roman" w:hAnsi="Times New Roman" w:cs="Times New Roman"/>
          <w:sz w:val="24"/>
          <w:szCs w:val="24"/>
          <w:lang w:val="en-GB"/>
        </w:rPr>
        <w:t>the left</w:t>
      </w:r>
      <w:r w:rsidR="00975DE4" w:rsidRPr="002C3E85">
        <w:rPr>
          <w:rFonts w:ascii="Times New Roman" w:hAnsi="Times New Roman" w:cs="Times New Roman"/>
          <w:sz w:val="24"/>
          <w:szCs w:val="24"/>
          <w:lang w:val="en-GB"/>
        </w:rPr>
        <w:t xml:space="preserve"> and </w:t>
      </w:r>
      <w:r w:rsidR="00932720" w:rsidRPr="002C3E85">
        <w:rPr>
          <w:rFonts w:ascii="Times New Roman" w:hAnsi="Times New Roman" w:cs="Times New Roman"/>
          <w:sz w:val="24"/>
          <w:szCs w:val="24"/>
          <w:lang w:val="en-GB"/>
        </w:rPr>
        <w:t>right</w:t>
      </w:r>
      <w:r w:rsidR="00E7058E" w:rsidRPr="002C3E85">
        <w:rPr>
          <w:rFonts w:ascii="Times New Roman" w:hAnsi="Times New Roman" w:cs="Times New Roman"/>
          <w:sz w:val="24"/>
          <w:szCs w:val="24"/>
          <w:lang w:val="en-GB"/>
        </w:rPr>
        <w:t xml:space="preserve"> </w:t>
      </w:r>
      <w:r w:rsidR="00BC15FA" w:rsidRPr="002C3E85">
        <w:rPr>
          <w:rFonts w:ascii="Times New Roman" w:hAnsi="Times New Roman" w:cs="Times New Roman"/>
          <w:sz w:val="24"/>
          <w:szCs w:val="24"/>
          <w:lang w:val="en-GB"/>
        </w:rPr>
        <w:t>IFG</w:t>
      </w:r>
      <w:r w:rsidR="00932720" w:rsidRPr="002C3E85">
        <w:rPr>
          <w:rFonts w:ascii="Times New Roman" w:hAnsi="Times New Roman" w:cs="Times New Roman"/>
          <w:sz w:val="24"/>
          <w:szCs w:val="24"/>
          <w:lang w:val="en-GB"/>
        </w:rPr>
        <w:t xml:space="preserve">. In the left IFG, the early and late </w:t>
      </w:r>
      <w:r w:rsidR="00601F32" w:rsidRPr="002C3E85">
        <w:rPr>
          <w:rFonts w:ascii="Times New Roman" w:hAnsi="Times New Roman" w:cs="Times New Roman"/>
          <w:sz w:val="24"/>
          <w:szCs w:val="24"/>
          <w:lang w:val="en-GB"/>
        </w:rPr>
        <w:t xml:space="preserve">sequential </w:t>
      </w:r>
      <w:r w:rsidR="00932720" w:rsidRPr="002C3E85">
        <w:rPr>
          <w:rFonts w:ascii="Times New Roman" w:hAnsi="Times New Roman" w:cs="Times New Roman"/>
          <w:sz w:val="24"/>
          <w:szCs w:val="24"/>
          <w:lang w:val="en-GB"/>
        </w:rPr>
        <w:t>bilinguals had significantly increased cortical thickness compared to monolinguals and simultaneous bilinguals</w:t>
      </w:r>
      <w:r w:rsidR="00217E21" w:rsidRPr="002C3E85">
        <w:rPr>
          <w:rFonts w:ascii="Times New Roman" w:hAnsi="Times New Roman" w:cs="Times New Roman"/>
          <w:sz w:val="24"/>
          <w:szCs w:val="24"/>
          <w:lang w:val="en-GB"/>
        </w:rPr>
        <w:t>.</w:t>
      </w:r>
      <w:r w:rsidR="00932720" w:rsidRPr="002C3E85">
        <w:rPr>
          <w:rFonts w:ascii="Times New Roman" w:hAnsi="Times New Roman" w:cs="Times New Roman"/>
          <w:sz w:val="24"/>
          <w:szCs w:val="24"/>
          <w:lang w:val="en-GB"/>
        </w:rPr>
        <w:t xml:space="preserve"> </w:t>
      </w:r>
      <w:r w:rsidR="00217E21" w:rsidRPr="002C3E85">
        <w:rPr>
          <w:rFonts w:ascii="Times New Roman" w:hAnsi="Times New Roman" w:cs="Times New Roman"/>
          <w:sz w:val="24"/>
          <w:szCs w:val="24"/>
          <w:lang w:val="en-GB"/>
        </w:rPr>
        <w:t>I</w:t>
      </w:r>
      <w:r w:rsidR="00932720" w:rsidRPr="002C3E85">
        <w:rPr>
          <w:rFonts w:ascii="Times New Roman" w:hAnsi="Times New Roman" w:cs="Times New Roman"/>
          <w:sz w:val="24"/>
          <w:szCs w:val="24"/>
          <w:lang w:val="en-GB"/>
        </w:rPr>
        <w:t xml:space="preserve">n the right IFG, </w:t>
      </w:r>
      <w:r w:rsidR="00217E21" w:rsidRPr="002C3E85">
        <w:rPr>
          <w:rFonts w:ascii="Times New Roman" w:hAnsi="Times New Roman" w:cs="Times New Roman"/>
          <w:sz w:val="24"/>
          <w:szCs w:val="24"/>
          <w:lang w:val="en-GB"/>
        </w:rPr>
        <w:t xml:space="preserve">however, </w:t>
      </w:r>
      <w:r w:rsidR="00932720" w:rsidRPr="002C3E85">
        <w:rPr>
          <w:rFonts w:ascii="Times New Roman" w:hAnsi="Times New Roman" w:cs="Times New Roman"/>
          <w:sz w:val="24"/>
          <w:szCs w:val="24"/>
          <w:lang w:val="en-GB"/>
        </w:rPr>
        <w:t>the effect was reversed</w:t>
      </w:r>
      <w:r w:rsidR="0001681E" w:rsidRPr="002C3E85">
        <w:rPr>
          <w:rFonts w:ascii="Times New Roman" w:hAnsi="Times New Roman" w:cs="Times New Roman"/>
          <w:sz w:val="24"/>
          <w:szCs w:val="24"/>
          <w:lang w:val="en-GB"/>
        </w:rPr>
        <w:t>,</w:t>
      </w:r>
      <w:r w:rsidR="00932720" w:rsidRPr="002C3E85">
        <w:rPr>
          <w:rFonts w:ascii="Times New Roman" w:hAnsi="Times New Roman" w:cs="Times New Roman"/>
          <w:sz w:val="24"/>
          <w:szCs w:val="24"/>
          <w:lang w:val="en-GB"/>
        </w:rPr>
        <w:t xml:space="preserve"> and </w:t>
      </w:r>
      <w:r w:rsidR="0001681E" w:rsidRPr="002C3E85">
        <w:rPr>
          <w:rFonts w:ascii="Times New Roman" w:hAnsi="Times New Roman" w:cs="Times New Roman"/>
          <w:sz w:val="24"/>
          <w:szCs w:val="24"/>
          <w:lang w:val="en-GB"/>
        </w:rPr>
        <w:t xml:space="preserve">the difference </w:t>
      </w:r>
      <w:r w:rsidR="00932720" w:rsidRPr="002C3E85">
        <w:rPr>
          <w:rFonts w:ascii="Times New Roman" w:hAnsi="Times New Roman" w:cs="Times New Roman"/>
          <w:sz w:val="24"/>
          <w:szCs w:val="24"/>
          <w:lang w:val="en-GB"/>
        </w:rPr>
        <w:t xml:space="preserve">was significant </w:t>
      </w:r>
      <w:r w:rsidR="008E0F22" w:rsidRPr="002C3E85">
        <w:rPr>
          <w:rFonts w:ascii="Times New Roman" w:hAnsi="Times New Roman" w:cs="Times New Roman"/>
          <w:sz w:val="24"/>
          <w:szCs w:val="24"/>
          <w:lang w:val="en-GB"/>
        </w:rPr>
        <w:t xml:space="preserve">only </w:t>
      </w:r>
      <w:r w:rsidR="00932720" w:rsidRPr="002C3E85">
        <w:rPr>
          <w:rFonts w:ascii="Times New Roman" w:hAnsi="Times New Roman" w:cs="Times New Roman"/>
          <w:sz w:val="24"/>
          <w:szCs w:val="24"/>
          <w:lang w:val="en-GB"/>
        </w:rPr>
        <w:t xml:space="preserve">between the late </w:t>
      </w:r>
      <w:r w:rsidR="00932720" w:rsidRPr="002C3E85">
        <w:rPr>
          <w:rFonts w:ascii="Times New Roman" w:hAnsi="Times New Roman" w:cs="Times New Roman"/>
          <w:sz w:val="24"/>
          <w:szCs w:val="24"/>
          <w:lang w:val="en-GB"/>
        </w:rPr>
        <w:lastRenderedPageBreak/>
        <w:t xml:space="preserve">bilinguals and monolinguals (i.e., late bilinguals had thinner cortex than monolinguals). </w:t>
      </w:r>
      <w:r w:rsidR="008E0F22" w:rsidRPr="002C3E85">
        <w:rPr>
          <w:rFonts w:ascii="Times New Roman" w:hAnsi="Times New Roman" w:cs="Times New Roman"/>
          <w:sz w:val="24"/>
          <w:szCs w:val="24"/>
          <w:lang w:val="en-GB"/>
        </w:rPr>
        <w:t xml:space="preserve">In another study, cortical thickness was investigated in participants who underwent intensive language training during three months </w:t>
      </w:r>
      <w:r w:rsidR="008E0F22"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"10.1016/j.neuroimage.2012.06.043", "ISSN" : "10538119", "abstract" : "The influence of adult foreign-language acquisition on human brain organization is poorly understood. We studied cortical thickness and hippocampal volumes of conscript interpreters before and after three months of intense language studies. Results revealed increases in hippocampus volume and in cortical thickness of the left middle frontal gyrus, inferior frontal gyrus, and superior temporal gyrus for interpreters relative to controls. The right hippocampus and the left superior temporal gyrus were structurally more malleable in interpreters acquiring higher proficiency in the foreign language. Interpreters struggling relatively more to master the language displayed larger gray matter increases in the middle frontal gyrus. These findings confirm structural changes in brain regions known to serve language functions during foreign-language acquisition.", "author" : [ { "dropping-particle" : "", "family" : "M\u00e5rtensson", "given" : "Johan", "non-dropping-particle" : "", "parse-names" : false, "suffix" : "" }, { "dropping-particle" : "", "family" : "Eriksson", "given" : "Johan", "non-dropping-particle" : "", "parse-names" : false, "suffix" : "" }, { "dropping-particle" : "", "family" : "Bodammer", "given" : "Nils Christian", "non-dropping-particle" : "", "parse-names" : false, "suffix" : "" }, { "dropping-particle" : "", "family" : "Lindgren", "given" : "Magnus", "non-dropping-particle" : "", "parse-names" : false, "suffix" : "" }, { "dropping-particle" : "", "family" : "Johansson", "given" : "Mikael", "non-dropping-particle" : "", "parse-names" : false, "suffix" : "" }, { "dropping-particle" : "", "family" : "Nyberg", "given" : "Lars", "non-dropping-particle" : "", "parse-names" : false, "suffix" : "" }, { "dropping-particle" : "", "family" : "L\u00f6vd\u00e9n", "given" : "Martin", "non-dropping-particle" : "", "parse-names" : false, "suffix" : "" } ], "container-title" : "NeuroImage", "id" : "ITEM-1", "issue" : "1", "issued" : { "date-parts" : [ [ "2012" ] ] }, "page" : "240-244", "title" : "Growth of language-related brain areas after foreign language learning", "type" : "article-journal", "volume" : "63" }, "uris" : [ "http://www.mendeley.com/documents/?uuid=1310e852-b331-352b-9ee9-b254c412c291" ] } ], "mendeley" : { "formattedCitation" : "(M\u00e5rtensson et al., 2012)", "plainTextFormattedCitation" : "(M\u00e5rtensson et al., 2012)", "previouslyFormattedCitation" : "(M\u00e5rtensson et al., 2012)" }, "properties" : {  }, "schema" : "https://github.com/citation-style-language/schema/raw/master/csl-citation.json" }</w:instrText>
      </w:r>
      <w:r w:rsidR="008E0F22"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(Mårtensson et al., 2012)</w:t>
      </w:r>
      <w:r w:rsidR="008E0F22" w:rsidRPr="002C3E85">
        <w:rPr>
          <w:rFonts w:ascii="Times New Roman" w:hAnsi="Times New Roman" w:cs="Times New Roman"/>
          <w:sz w:val="24"/>
          <w:szCs w:val="24"/>
          <w:lang w:val="en-GB"/>
        </w:rPr>
        <w:fldChar w:fldCharType="end"/>
      </w:r>
      <w:r w:rsidR="0071259D" w:rsidRPr="002C3E85">
        <w:rPr>
          <w:rFonts w:ascii="Times New Roman" w:hAnsi="Times New Roman" w:cs="Times New Roman"/>
          <w:sz w:val="24"/>
          <w:szCs w:val="24"/>
          <w:lang w:val="en-GB"/>
        </w:rPr>
        <w:t>.</w:t>
      </w:r>
      <w:r w:rsidR="00CD6AFE" w:rsidRPr="002C3E85">
        <w:rPr>
          <w:rFonts w:ascii="Times New Roman" w:hAnsi="Times New Roman" w:cs="Times New Roman"/>
          <w:sz w:val="24"/>
          <w:szCs w:val="24"/>
          <w:lang w:val="en-GB"/>
        </w:rPr>
        <w:t xml:space="preserve"> They showed that g</w:t>
      </w:r>
      <w:r w:rsidR="0071259D" w:rsidRPr="002C3E85">
        <w:rPr>
          <w:rFonts w:ascii="Times New Roman" w:hAnsi="Times New Roman" w:cs="Times New Roman"/>
          <w:sz w:val="24"/>
          <w:szCs w:val="24"/>
          <w:lang w:val="en-GB"/>
        </w:rPr>
        <w:t xml:space="preserve">aining proficiency in </w:t>
      </w:r>
      <w:r w:rsidR="00CD6AFE" w:rsidRPr="002C3E85">
        <w:rPr>
          <w:rFonts w:ascii="Times New Roman" w:hAnsi="Times New Roman" w:cs="Times New Roman"/>
          <w:sz w:val="24"/>
          <w:szCs w:val="24"/>
          <w:lang w:val="en-GB"/>
        </w:rPr>
        <w:t>the target</w:t>
      </w:r>
      <w:r w:rsidR="0071259D" w:rsidRPr="002C3E85">
        <w:rPr>
          <w:rFonts w:ascii="Times New Roman" w:hAnsi="Times New Roman" w:cs="Times New Roman"/>
          <w:sz w:val="24"/>
          <w:szCs w:val="24"/>
          <w:lang w:val="en-GB"/>
        </w:rPr>
        <w:t xml:space="preserve"> language was associated with </w:t>
      </w:r>
      <w:r w:rsidR="00CA55F0" w:rsidRPr="002C3E85">
        <w:rPr>
          <w:rFonts w:ascii="Times New Roman" w:hAnsi="Times New Roman" w:cs="Times New Roman"/>
          <w:sz w:val="24"/>
          <w:szCs w:val="24"/>
          <w:lang w:val="en-GB"/>
        </w:rPr>
        <w:t>increased</w:t>
      </w:r>
      <w:r w:rsidR="00CD6AFE" w:rsidRPr="002C3E85">
        <w:rPr>
          <w:rFonts w:ascii="Times New Roman" w:hAnsi="Times New Roman" w:cs="Times New Roman"/>
          <w:sz w:val="24"/>
          <w:szCs w:val="24"/>
          <w:lang w:val="en-GB"/>
        </w:rPr>
        <w:t xml:space="preserve"> cortical thickness in </w:t>
      </w:r>
      <w:r w:rsidR="00CA55F0" w:rsidRPr="002C3E85">
        <w:rPr>
          <w:rFonts w:ascii="Times New Roman" w:hAnsi="Times New Roman" w:cs="Times New Roman"/>
          <w:sz w:val="24"/>
          <w:szCs w:val="24"/>
          <w:lang w:val="en-GB"/>
        </w:rPr>
        <w:t xml:space="preserve">the </w:t>
      </w:r>
      <w:r w:rsidR="008065E5" w:rsidRPr="002C3E85">
        <w:rPr>
          <w:rFonts w:ascii="Times New Roman" w:hAnsi="Times New Roman" w:cs="Times New Roman"/>
          <w:sz w:val="24"/>
          <w:szCs w:val="24"/>
          <w:lang w:val="en-GB"/>
        </w:rPr>
        <w:t xml:space="preserve">left </w:t>
      </w:r>
      <w:r w:rsidR="00CA55F0" w:rsidRPr="002C3E85">
        <w:rPr>
          <w:rFonts w:ascii="Times New Roman" w:hAnsi="Times New Roman" w:cs="Times New Roman"/>
          <w:sz w:val="24"/>
          <w:szCs w:val="24"/>
          <w:lang w:val="en-GB"/>
        </w:rPr>
        <w:t xml:space="preserve">fronto-temporal </w:t>
      </w:r>
      <w:r w:rsidR="00FB4B88" w:rsidRPr="002C3E85">
        <w:rPr>
          <w:rFonts w:ascii="Times New Roman" w:hAnsi="Times New Roman" w:cs="Times New Roman"/>
          <w:sz w:val="24"/>
          <w:szCs w:val="24"/>
          <w:lang w:val="en-GB"/>
        </w:rPr>
        <w:t>cortices</w:t>
      </w:r>
      <w:r w:rsidR="00CA55F0" w:rsidRPr="002C3E85">
        <w:rPr>
          <w:rFonts w:ascii="Times New Roman" w:hAnsi="Times New Roman" w:cs="Times New Roman"/>
          <w:sz w:val="24"/>
          <w:szCs w:val="24"/>
          <w:lang w:val="en-GB"/>
        </w:rPr>
        <w:t xml:space="preserve">. More specifically, changes were observed in the left IFG, </w:t>
      </w:r>
      <w:r w:rsidR="0085475B" w:rsidRPr="002C3E85">
        <w:rPr>
          <w:rFonts w:ascii="Times New Roman" w:hAnsi="Times New Roman" w:cs="Times New Roman"/>
          <w:sz w:val="24"/>
          <w:szCs w:val="24"/>
          <w:lang w:val="en-GB"/>
        </w:rPr>
        <w:t xml:space="preserve">the </w:t>
      </w:r>
      <w:r w:rsidR="00CA55F0" w:rsidRPr="002C3E85">
        <w:rPr>
          <w:rFonts w:ascii="Times New Roman" w:hAnsi="Times New Roman" w:cs="Times New Roman"/>
          <w:sz w:val="24"/>
          <w:szCs w:val="24"/>
          <w:lang w:val="en-GB"/>
        </w:rPr>
        <w:t xml:space="preserve">middle frontal gyrus and </w:t>
      </w:r>
      <w:r w:rsidR="0085475B" w:rsidRPr="002C3E85">
        <w:rPr>
          <w:rFonts w:ascii="Times New Roman" w:hAnsi="Times New Roman" w:cs="Times New Roman"/>
          <w:sz w:val="24"/>
          <w:szCs w:val="24"/>
          <w:lang w:val="en-GB"/>
        </w:rPr>
        <w:t xml:space="preserve">in the </w:t>
      </w:r>
      <w:r w:rsidR="00C2480F" w:rsidRPr="002C3E85">
        <w:rPr>
          <w:rFonts w:ascii="Times New Roman" w:hAnsi="Times New Roman" w:cs="Times New Roman"/>
          <w:sz w:val="24"/>
          <w:szCs w:val="24"/>
          <w:lang w:val="en-GB"/>
        </w:rPr>
        <w:t>superior temporal gyrus (</w:t>
      </w:r>
      <w:r w:rsidR="00786030" w:rsidRPr="002C3E85">
        <w:rPr>
          <w:rFonts w:ascii="Times New Roman" w:hAnsi="Times New Roman" w:cs="Times New Roman"/>
          <w:sz w:val="24"/>
          <w:szCs w:val="24"/>
          <w:lang w:val="en-GB"/>
        </w:rPr>
        <w:t>STG</w:t>
      </w:r>
      <w:r w:rsidR="00A304D3" w:rsidRPr="002C3E85">
        <w:rPr>
          <w:rFonts w:ascii="Times New Roman" w:hAnsi="Times New Roman" w:cs="Times New Roman"/>
          <w:sz w:val="24"/>
          <w:szCs w:val="24"/>
          <w:lang w:val="en-GB"/>
        </w:rPr>
        <w:t xml:space="preserve">); </w:t>
      </w:r>
      <w:r w:rsidR="00CA55F0" w:rsidRPr="002C3E85">
        <w:rPr>
          <w:rFonts w:ascii="Times New Roman" w:hAnsi="Times New Roman" w:cs="Times New Roman"/>
          <w:sz w:val="24"/>
          <w:szCs w:val="24"/>
          <w:lang w:val="en-GB"/>
        </w:rPr>
        <w:t>however, only</w:t>
      </w:r>
      <w:r w:rsidR="000908E9" w:rsidRPr="002C3E85">
        <w:rPr>
          <w:rFonts w:ascii="Times New Roman" w:hAnsi="Times New Roman" w:cs="Times New Roman"/>
          <w:sz w:val="24"/>
          <w:szCs w:val="24"/>
          <w:lang w:val="en-GB"/>
        </w:rPr>
        <w:t xml:space="preserve"> the</w:t>
      </w:r>
      <w:r w:rsidR="00CA55F0" w:rsidRPr="002C3E85">
        <w:rPr>
          <w:rFonts w:ascii="Times New Roman" w:hAnsi="Times New Roman" w:cs="Times New Roman"/>
          <w:sz w:val="24"/>
          <w:szCs w:val="24"/>
          <w:lang w:val="en-GB"/>
        </w:rPr>
        <w:t xml:space="preserve"> changes in the </w:t>
      </w:r>
      <w:r w:rsidR="00786030" w:rsidRPr="002C3E85">
        <w:rPr>
          <w:rFonts w:ascii="Times New Roman" w:hAnsi="Times New Roman" w:cs="Times New Roman"/>
          <w:sz w:val="24"/>
          <w:szCs w:val="24"/>
          <w:lang w:val="en-GB"/>
        </w:rPr>
        <w:t>STG</w:t>
      </w:r>
      <w:r w:rsidR="00CA55F0" w:rsidRPr="002C3E85">
        <w:rPr>
          <w:rFonts w:ascii="Times New Roman" w:hAnsi="Times New Roman" w:cs="Times New Roman"/>
          <w:sz w:val="24"/>
          <w:szCs w:val="24"/>
          <w:lang w:val="en-GB"/>
        </w:rPr>
        <w:t xml:space="preserve"> were </w:t>
      </w:r>
      <w:r w:rsidR="009C02D3" w:rsidRPr="002C3E85">
        <w:rPr>
          <w:rFonts w:ascii="Times New Roman" w:hAnsi="Times New Roman" w:cs="Times New Roman"/>
          <w:sz w:val="24"/>
          <w:szCs w:val="24"/>
          <w:lang w:val="en-GB"/>
        </w:rPr>
        <w:t xml:space="preserve">significantly </w:t>
      </w:r>
      <w:r w:rsidR="00CA55F0" w:rsidRPr="002C3E85">
        <w:rPr>
          <w:rFonts w:ascii="Times New Roman" w:hAnsi="Times New Roman" w:cs="Times New Roman"/>
          <w:sz w:val="24"/>
          <w:szCs w:val="24"/>
          <w:lang w:val="en-GB"/>
        </w:rPr>
        <w:t xml:space="preserve">correlated with </w:t>
      </w:r>
      <w:r w:rsidR="000908E9" w:rsidRPr="002C3E85">
        <w:rPr>
          <w:rFonts w:ascii="Times New Roman" w:hAnsi="Times New Roman" w:cs="Times New Roman"/>
          <w:sz w:val="24"/>
          <w:szCs w:val="24"/>
          <w:lang w:val="en-GB"/>
        </w:rPr>
        <w:t xml:space="preserve">an </w:t>
      </w:r>
      <w:r w:rsidR="00CA55F0" w:rsidRPr="002C3E85">
        <w:rPr>
          <w:rFonts w:ascii="Times New Roman" w:hAnsi="Times New Roman" w:cs="Times New Roman"/>
          <w:sz w:val="24"/>
          <w:szCs w:val="24"/>
          <w:lang w:val="en-GB"/>
        </w:rPr>
        <w:t>increase in the target language profi</w:t>
      </w:r>
      <w:r w:rsidR="00150482" w:rsidRPr="002C3E85">
        <w:rPr>
          <w:rFonts w:ascii="Times New Roman" w:hAnsi="Times New Roman" w:cs="Times New Roman"/>
          <w:sz w:val="24"/>
          <w:szCs w:val="24"/>
          <w:lang w:val="en-GB"/>
        </w:rPr>
        <w:t>ciency. Notably, these SBA results are somewhat more concor</w:t>
      </w:r>
      <w:r w:rsidR="006F4425" w:rsidRPr="002C3E85">
        <w:rPr>
          <w:rFonts w:ascii="Times New Roman" w:hAnsi="Times New Roman" w:cs="Times New Roman"/>
          <w:sz w:val="24"/>
          <w:szCs w:val="24"/>
          <w:lang w:val="en-GB"/>
        </w:rPr>
        <w:t>dant than the VBM/ROI findings in indicating</w:t>
      </w:r>
      <w:r w:rsidR="0055522B" w:rsidRPr="002C3E85">
        <w:rPr>
          <w:rFonts w:ascii="Times New Roman" w:hAnsi="Times New Roman" w:cs="Times New Roman"/>
          <w:sz w:val="24"/>
          <w:szCs w:val="24"/>
          <w:lang w:val="en-GB"/>
        </w:rPr>
        <w:t xml:space="preserve">, for example, </w:t>
      </w:r>
      <w:r w:rsidR="000337FD" w:rsidRPr="002C3E85">
        <w:rPr>
          <w:rFonts w:ascii="Times New Roman" w:hAnsi="Times New Roman" w:cs="Times New Roman"/>
          <w:sz w:val="24"/>
          <w:szCs w:val="24"/>
          <w:lang w:val="en-GB"/>
        </w:rPr>
        <w:t>t</w:t>
      </w:r>
      <w:r w:rsidR="006F4425" w:rsidRPr="002C3E85">
        <w:rPr>
          <w:rFonts w:ascii="Times New Roman" w:hAnsi="Times New Roman" w:cs="Times New Roman"/>
          <w:sz w:val="24"/>
          <w:szCs w:val="24"/>
          <w:lang w:val="en-GB"/>
        </w:rPr>
        <w:t>he</w:t>
      </w:r>
      <w:r w:rsidR="00554CB9" w:rsidRPr="002C3E85">
        <w:rPr>
          <w:rFonts w:ascii="Times New Roman" w:hAnsi="Times New Roman" w:cs="Times New Roman"/>
          <w:sz w:val="24"/>
          <w:szCs w:val="24"/>
          <w:lang w:val="en-GB"/>
        </w:rPr>
        <w:t xml:space="preserve"> left</w:t>
      </w:r>
      <w:r w:rsidR="006F4425" w:rsidRPr="002C3E85">
        <w:rPr>
          <w:rFonts w:ascii="Times New Roman" w:hAnsi="Times New Roman" w:cs="Times New Roman"/>
          <w:sz w:val="24"/>
          <w:szCs w:val="24"/>
          <w:lang w:val="en-GB"/>
        </w:rPr>
        <w:t xml:space="preserve"> IFG as a potential site for bilingualism-induced GM changes</w:t>
      </w:r>
      <w:r w:rsidR="00DB214B" w:rsidRPr="002C3E85">
        <w:rPr>
          <w:rFonts w:ascii="Times New Roman" w:hAnsi="Times New Roman" w:cs="Times New Roman"/>
          <w:sz w:val="24"/>
          <w:szCs w:val="24"/>
          <w:lang w:val="en-GB"/>
        </w:rPr>
        <w:t>.</w:t>
      </w:r>
      <w:r w:rsidR="00D93774" w:rsidRPr="002C3E85">
        <w:rPr>
          <w:rFonts w:ascii="Times New Roman" w:hAnsi="Times New Roman" w:cs="Times New Roman"/>
          <w:sz w:val="24"/>
          <w:szCs w:val="24"/>
          <w:lang w:val="en-GB"/>
        </w:rPr>
        <w:t xml:space="preserve"> </w:t>
      </w:r>
      <w:r w:rsidR="00150482" w:rsidRPr="002C3E85">
        <w:rPr>
          <w:rFonts w:ascii="Times New Roman" w:hAnsi="Times New Roman" w:cs="Times New Roman"/>
          <w:sz w:val="24"/>
          <w:szCs w:val="24"/>
          <w:lang w:val="en-GB"/>
        </w:rPr>
        <w:t xml:space="preserve"> </w:t>
      </w:r>
    </w:p>
    <w:p w14:paraId="1EA1CAFD" w14:textId="0F2D652A" w:rsidR="00D405D5" w:rsidRPr="002C3E85" w:rsidRDefault="00D405D5" w:rsidP="00C15E00">
      <w:pPr>
        <w:spacing w:line="480" w:lineRule="auto"/>
        <w:jc w:val="both"/>
        <w:rPr>
          <w:rFonts w:ascii="Times New Roman" w:hAnsi="Times New Roman" w:cs="Times New Roman"/>
          <w:sz w:val="24"/>
          <w:szCs w:val="24"/>
          <w:lang w:val="en-GB"/>
        </w:rPr>
      </w:pPr>
    </w:p>
    <w:p w14:paraId="1010A06F" w14:textId="1649A4BF" w:rsidR="00134076" w:rsidRPr="002C3E85" w:rsidRDefault="00120FB8" w:rsidP="00046508">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Considering that </w:t>
      </w:r>
      <w:r w:rsidR="00DE73C9" w:rsidRPr="002C3E85">
        <w:rPr>
          <w:rFonts w:ascii="Times New Roman" w:hAnsi="Times New Roman" w:cs="Times New Roman"/>
          <w:sz w:val="24"/>
          <w:szCs w:val="24"/>
          <w:lang w:val="en-GB"/>
        </w:rPr>
        <w:t xml:space="preserve">GM volume is </w:t>
      </w:r>
      <w:r w:rsidRPr="002C3E85">
        <w:rPr>
          <w:rFonts w:ascii="Times New Roman" w:hAnsi="Times New Roman" w:cs="Times New Roman"/>
          <w:sz w:val="24"/>
          <w:szCs w:val="24"/>
          <w:lang w:val="en-GB"/>
        </w:rPr>
        <w:t xml:space="preserve">the product of surface area and thickness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"10.1093/cercor/bhp026", "ISSN" : "1460-2199", "PMID" : "19299253", "abstract" : "Neuroimaging studies examining the effects of aging and neuropsychiatric disorders on the cerebral cortex have largely been based on measures of cortical volume. Given that cortical volume is a product of thickness and surface area, it is plausible that measures of volume capture at least 2 distinct sets of genetic influences. The present study aims to examine the genetic relationships between measures of cortical surface area and thickness. Participants were men in the Vietnam Era Twin Study of Aging (110 monozygotic pairs and 92 dizygotic pairs). Mean age was 55.8 years (range: 51-59). Bivariate twin analyses were utilized in order to estimate the heritability of cortical surface area and thickness, as well as their degree of genetic overlap. Total cortical surface area and average cortical thickness were both highly heritable (0.89 and 0.81, respectively) but were essentially unrelated genetically (genetic correlation = 0.08). This pattern was similar at the lobar and regional levels of analysis. These results demonstrate that cortical volume measures combine at least 2 distinct sources of genetic influences. We conclude that using volume in a genetically informative study, or as an endophenotype for a disorder, may confound the underlying genetic architecture of brain structure.", "author" : [ { "dropping-particle" : "", "family" : "Panizzon", "given" : "Matthew S", "non-dropping-particle" : "", "parse-names" : false, "suffix" : "" }, { "dropping-particle" : "", "family" : "Fennema-Notestine", "given" : "Christine", "non-dropping-particle" : "", "parse-names" : false, "suffix" : "" }, { "dropping-particle" : "", "family" : "Eyler", "given" : "Lisa T", "non-dropping-particle" : "", "parse-names" : false, "suffix" : "" }, { "dropping-particle" : "", "family" : "Jernigan", "given" : "Terry L", "non-dropping-particle" : "", "parse-names" : false, "suffix" : "" }, { "dropping-particle" : "", "family" : "Prom-Wormley", "given" : "Elizabeth", "non-dropping-particle" : "", "parse-names" : false, "suffix" : "" }, { "dropping-particle" : "", "family" : "Neale", "given" : "Michael", "non-dropping-particle" : "", "parse-names" : false, "suffix" : "" }, { "dropping-particle" : "", "family" : "Jacobson", "given" : "Kristen", "non-dropping-particle" : "", "parse-names" : false, "suffix" : "" }, { "dropping-particle" : "", "family" : "Lyons", "given" : "Michael J", "non-dropping-particle" : "", "parse-names" : false, "suffix" : "" }, { "dropping-particle" : "", "family" : "Grant", "given" : "Michael D", "non-dropping-particle" : "", "parse-names" : false, "suffix" : "" }, { "dropping-particle" : "", "family" : "Franz", "given" : "Carol E", "non-dropping-particle" : "", "parse-names" : false, "suffix" : "" }, { "dropping-particle" : "", "family" : "Xian", "given" : "Hong", "non-dropping-particle" : "", "parse-names" : false, "suffix" : "" }, { "dropping-particle" : "", "family" : "Tsuang", "given" : "Ming", "non-dropping-particle" : "", "parse-names" : false, "suffix" : "" }, { "dropping-particle" : "", "family" : "Fischl", "given" : "Bruce", "non-dropping-particle" : "", "parse-names" : false, "suffix" : "" }, { "dropping-particle" : "", "family" : "Seidman", "given" : "Larry", "non-dropping-particle" : "", "parse-names" : false, "suffix" : "" }, { "dropping-particle" : "", "family" : "Dale", "given" : "Anders", "non-dropping-particle" : "", "parse-names" : false, "suffix" : "" }, { "dropping-particle" : "", "family" : "Kremen", "given" : "William S", "non-dropping-particle" : "", "parse-names" : false, "suffix" : "" } ], "container-title" : "Cerebral cortex (New York, N.Y. : 1991)", "id" : "ITEM-1", "issue" : "11", "issued" : { "date-parts" : [ [ "2009", "11" ] ] }, "page" : "2728-35", "publisher" : "Oxford University Press", "title" : "Distinct genetic influences on cortical surface area and cortical thickness.", "type" : "article-journal", "volume" : "19" }, "uris" : [ "http://www.mendeley.com/documents/?uuid=2b180886-372e-36c8-b14c-41be7c599d9e" ] } ], "mendeley" : { "formattedCitation" : "(Panizzon et al., 2009)", "plainTextFormattedCitation" : "(Panizzon et al., 2009)", "previouslyFormattedCitation" : "(Panizzon et al., 2009)"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(Panizzon et al., 2009)</w:t>
      </w:r>
      <w:r w:rsidRPr="002C3E85">
        <w:rPr>
          <w:rFonts w:ascii="Times New Roman" w:hAnsi="Times New Roman" w:cs="Times New Roman"/>
          <w:sz w:val="24"/>
          <w:szCs w:val="24"/>
          <w:lang w:val="en-GB"/>
        </w:rPr>
        <w:fldChar w:fldCharType="end"/>
      </w:r>
      <w:r w:rsidR="00DE73C9" w:rsidRPr="002C3E85">
        <w:rPr>
          <w:rFonts w:ascii="Times New Roman" w:hAnsi="Times New Roman" w:cs="Times New Roman"/>
          <w:sz w:val="24"/>
          <w:szCs w:val="24"/>
          <w:lang w:val="en-GB"/>
        </w:rPr>
        <w:t xml:space="preserve">, </w:t>
      </w:r>
      <w:r w:rsidRPr="002C3E85">
        <w:rPr>
          <w:rFonts w:ascii="Times New Roman" w:hAnsi="Times New Roman" w:cs="Times New Roman"/>
          <w:sz w:val="24"/>
          <w:szCs w:val="24"/>
          <w:lang w:val="en-GB"/>
        </w:rPr>
        <w:t>a major</w:t>
      </w:r>
      <w:r w:rsidR="00C15E00" w:rsidRPr="002C3E85">
        <w:rPr>
          <w:rStyle w:val="Emphasis"/>
          <w:rFonts w:ascii="Times New Roman" w:hAnsi="Times New Roman" w:cs="Times New Roman"/>
          <w:bCs/>
          <w:i w:val="0"/>
          <w:iCs w:val="0"/>
          <w:sz w:val="24"/>
          <w:szCs w:val="24"/>
          <w:shd w:val="clear" w:color="auto" w:fill="FFFFFF"/>
          <w:lang w:val="en-GB"/>
        </w:rPr>
        <w:t xml:space="preserve"> shortcoming of the previous studies</w:t>
      </w:r>
      <w:r w:rsidR="00C15E00" w:rsidRPr="002C3E85">
        <w:rPr>
          <w:rFonts w:ascii="Times New Roman" w:hAnsi="Times New Roman" w:cs="Times New Roman"/>
          <w:sz w:val="24"/>
          <w:szCs w:val="24"/>
          <w:shd w:val="clear" w:color="auto" w:fill="FFFFFF"/>
          <w:lang w:val="en-GB"/>
        </w:rPr>
        <w:t> </w:t>
      </w:r>
      <w:r w:rsidR="00D22C55" w:rsidRPr="002C3E85">
        <w:rPr>
          <w:rFonts w:ascii="Times New Roman" w:hAnsi="Times New Roman" w:cs="Times New Roman"/>
          <w:sz w:val="24"/>
          <w:szCs w:val="24"/>
          <w:shd w:val="clear" w:color="auto" w:fill="FFFFFF"/>
          <w:lang w:val="en-GB"/>
        </w:rPr>
        <w:t>examining</w:t>
      </w:r>
      <w:r w:rsidR="00C15E00" w:rsidRPr="002C3E85">
        <w:rPr>
          <w:rFonts w:ascii="Times New Roman" w:hAnsi="Times New Roman" w:cs="Times New Roman"/>
          <w:sz w:val="24"/>
          <w:szCs w:val="24"/>
          <w:shd w:val="clear" w:color="auto" w:fill="FFFFFF"/>
          <w:lang w:val="en-GB"/>
        </w:rPr>
        <w:t xml:space="preserve"> </w:t>
      </w:r>
      <w:r w:rsidR="00C15E00" w:rsidRPr="002C3E85">
        <w:rPr>
          <w:rFonts w:ascii="Times New Roman" w:hAnsi="Times New Roman" w:cs="Times New Roman"/>
          <w:sz w:val="24"/>
          <w:szCs w:val="24"/>
          <w:lang w:val="en-GB"/>
        </w:rPr>
        <w:t>bilingualism-</w:t>
      </w:r>
      <w:r w:rsidR="008D5548" w:rsidRPr="002C3E85">
        <w:rPr>
          <w:rFonts w:ascii="Times New Roman" w:hAnsi="Times New Roman" w:cs="Times New Roman"/>
          <w:sz w:val="24"/>
          <w:szCs w:val="24"/>
          <w:lang w:val="en-GB"/>
        </w:rPr>
        <w:t>related</w:t>
      </w:r>
      <w:r w:rsidR="00C15E00" w:rsidRPr="002C3E85">
        <w:rPr>
          <w:rFonts w:ascii="Times New Roman" w:hAnsi="Times New Roman" w:cs="Times New Roman"/>
          <w:sz w:val="24"/>
          <w:szCs w:val="24"/>
          <w:lang w:val="en-GB"/>
        </w:rPr>
        <w:t xml:space="preserve"> changes in the cortical GM morphology</w:t>
      </w:r>
      <w:r w:rsidR="007958C1" w:rsidRPr="002C3E85">
        <w:rPr>
          <w:rFonts w:ascii="Times New Roman" w:hAnsi="Times New Roman" w:cs="Times New Roman"/>
          <w:sz w:val="24"/>
          <w:szCs w:val="24"/>
          <w:lang w:val="en-GB"/>
        </w:rPr>
        <w:t>,</w:t>
      </w:r>
      <w:r w:rsidR="00DE73C9" w:rsidRPr="002C3E85">
        <w:rPr>
          <w:rFonts w:ascii="Times New Roman" w:hAnsi="Times New Roman" w:cs="Times New Roman"/>
          <w:sz w:val="24"/>
          <w:szCs w:val="24"/>
          <w:lang w:val="en-GB"/>
        </w:rPr>
        <w:t xml:space="preserve"> is that these measures have not been </w:t>
      </w:r>
      <w:r w:rsidR="00046508" w:rsidRPr="002C3E85">
        <w:rPr>
          <w:rFonts w:ascii="Times New Roman" w:hAnsi="Times New Roman" w:cs="Times New Roman"/>
          <w:sz w:val="24"/>
          <w:szCs w:val="24"/>
          <w:lang w:val="en-GB"/>
        </w:rPr>
        <w:t>investigated concurrently</w:t>
      </w:r>
      <w:r w:rsidR="007213B1" w:rsidRPr="002C3E85">
        <w:rPr>
          <w:rFonts w:ascii="Times New Roman" w:hAnsi="Times New Roman" w:cs="Times New Roman"/>
          <w:sz w:val="24"/>
          <w:szCs w:val="24"/>
          <w:lang w:val="en-GB"/>
        </w:rPr>
        <w:t xml:space="preserve">. </w:t>
      </w:r>
      <w:r w:rsidR="0079643F" w:rsidRPr="002C3E85">
        <w:rPr>
          <w:rFonts w:ascii="Times New Roman" w:hAnsi="Times New Roman" w:cs="Times New Roman"/>
          <w:sz w:val="24"/>
          <w:szCs w:val="24"/>
          <w:lang w:val="en-GB"/>
        </w:rPr>
        <w:t xml:space="preserve">First, accumulating evidence from several studies on cortical development and cellular architecture suggests that surface area and thickness are </w:t>
      </w:r>
      <w:r w:rsidR="009E21C8" w:rsidRPr="002C3E85">
        <w:rPr>
          <w:rFonts w:ascii="Times New Roman" w:hAnsi="Times New Roman" w:cs="Times New Roman"/>
          <w:sz w:val="24"/>
          <w:szCs w:val="24"/>
          <w:lang w:val="en-GB"/>
        </w:rPr>
        <w:t xml:space="preserve">independent </w:t>
      </w:r>
      <w:r w:rsidR="0079643F" w:rsidRPr="002C3E85">
        <w:rPr>
          <w:rFonts w:ascii="Times New Roman" w:hAnsi="Times New Roman" w:cs="Times New Roman"/>
          <w:sz w:val="24"/>
          <w:szCs w:val="24"/>
          <w:lang w:val="en-GB"/>
        </w:rPr>
        <w:t xml:space="preserve">rather than redundant features of cortical structure </w:t>
      </w:r>
      <w:r w:rsidR="0079643F"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"10.1093/cercor/bhp026", "ISSN" : "1460-2199", "PMID" : "19299253", "abstract" : "Neuroimaging studies examining the effects of aging and neuropsychiatric disorders on the cerebral cortex have largely been based on measures of cortical volume. Given that cortical volume is a product of thickness and surface area, it is plausible that measures of volume capture at least 2 distinct sets of genetic influences. The present study aims to examine the genetic relationships between measures of cortical surface area and thickness. Participants were men in the Vietnam Era Twin Study of Aging (110 monozygotic pairs and 92 dizygotic pairs). Mean age was 55.8 years (range: 51-59). Bivariate twin analyses were utilized in order to estimate the heritability of cortical surface area and thickness, as well as their degree of genetic overlap. Total cortical surface area and average cortical thickness were both highly heritable (0.89 and 0.81, respectively) but were essentially unrelated genetically (genetic correlation = 0.08). This pattern was similar at the lobar and regional levels of analysis. These results demonstrate that cortical volume measures combine at least 2 distinct sources of genetic influences. We conclude that using volume in a genetically informative study, or as an endophenotype for a disorder, may confound the underlying genetic architecture of brain structure.", "author" : [ { "dropping-particle" : "", "family" : "Panizzon", "given" : "Matthew S", "non-dropping-particle" : "", "parse-names" : false, "suffix" : "" }, { "dropping-particle" : "", "family" : "Fennema-Notestine", "given" : "Christine", "non-dropping-particle" : "", "parse-names" : false, "suffix" : "" }, { "dropping-particle" : "", "family" : "Eyler", "given" : "Lisa T", "non-dropping-particle" : "", "parse-names" : false, "suffix" : "" }, { "dropping-particle" : "", "family" : "Jernigan", "given" : "Terry L", "non-dropping-particle" : "", "parse-names" : false, "suffix" : "" }, { "dropping-particle" : "", "family" : "Prom-Wormley", "given" : "Elizabeth", "non-dropping-particle" : "", "parse-names" : false, "suffix" : "" }, { "dropping-particle" : "", "family" : "Neale", "given" : "Michael", "non-dropping-particle" : "", "parse-names" : false, "suffix" : "" }, { "dropping-particle" : "", "family" : "Jacobson", "given" : "Kristen", "non-dropping-particle" : "", "parse-names" : false, "suffix" : "" }, { "dropping-particle" : "", "family" : "Lyons", "given" : "Michael J", "non-dropping-particle" : "", "parse-names" : false, "suffix" : "" }, { "dropping-particle" : "", "family" : "Grant", "given" : "Michael D", "non-dropping-particle" : "", "parse-names" : false, "suffix" : "" }, { "dropping-particle" : "", "family" : "Franz", "given" : "Carol E", "non-dropping-particle" : "", "parse-names" : false, "suffix" : "" }, { "dropping-particle" : "", "family" : "Xian", "given" : "Hong", "non-dropping-particle" : "", "parse-names" : false, "suffix" : "" }, { "dropping-particle" : "", "family" : "Tsuang", "given" : "Ming", "non-dropping-particle" : "", "parse-names" : false, "suffix" : "" }, { "dropping-particle" : "", "family" : "Fischl", "given" : "Bruce", "non-dropping-particle" : "", "parse-names" : false, "suffix" : "" }, { "dropping-particle" : "", "family" : "Seidman", "given" : "Larry", "non-dropping-particle" : "", "parse-names" : false, "suffix" : "" }, { "dropping-particle" : "", "family" : "Dale", "given" : "Anders", "non-dropping-particle" : "", "parse-names" : false, "suffix" : "" }, { "dropping-particle" : "", "family" : "Kremen", "given" : "William S", "non-dropping-particle" : "", "parse-names" : false, "suffix" : "" } ], "container-title" : "Cerebral cortex (New York, N.Y. : 1991)", "id" : "ITEM-1", "issue" : "11", "issued" : { "date-parts" : [ [ "2009", "11" ] ] }, "page" : "2728-35", "publisher" : "Oxford University Press", "title" : "Distinct genetic influences on cortical surface area and cortical thickness.", "type" : "article-journal", "volume" : "19" }, "uris" : [ "http://www.mendeley.com/documents/?uuid=2b180886-372e-36c8-b14c-41be7c599d9e" ] }, { "id" : "ITEM-2", "itemData" : { "DOI" : "10.1016/j.neuroimage.2008.07.016", "ISSN" : "10538119", "abstract" : "We investigated the changes of sulcal shape (average mean curvature in folded regions and sulcal depth) in mild cognitive impairment (MCI) and Alzheimer's disease (AD) using quantitative surface-based methods in a large sample of magnetic resonance imaging data. Moreover, we observed their relationships with cortical thickness and gyral white matter (WM) volume, while considering age effect. This study involved 85 normal controls (n [men/women]: 36/49, age [mean\u00b1SD]: 71.1\u00b14.9\u00a0years), and 100 MCI (44/56, 71.8\u00b16.5) and 145 AD subjects (53/92, 72.7\u00b17.3). We found significantly lower average mean curvature (greater sulcal widening) and shallower sulcal depth with disease progression from controls to MCI and MCI to AD. The most remarkable change in MCI and AD was sulcal widening observed in the temporal lobe (average mean curvature, control [mean]: 0.564, MCI: 0.534 (5.3% decrease from control), AD: 0.486 (13.8% and 9.0% decrease from control and MCI respectively)). Of the four measurements, the sulcal widening measurement showed the highest sensitivity in revealing group differences between control and MCI, which might be useful for detecting early dementia. Significant reductions in cortical thickness and gyral WM volume also occurred in MCI and AD. Multiple regression analysis demonstrated that a wider and shallower sulcal shape was primarily associated with decreased cortical thickness and gyral WM volume in each group. Age-related trends for the sulcal shape were not strongly found when cortical thickness and gyral WM volume were considered.", "author" : [ { "dropping-particle" : "", "family" : "Im", "given" : "Kiho", "non-dropping-particle" : "", "parse-names" : false, "suffix" : "" }, { "dropping-particle" : "", "family" : "Lee", "given" : "Jong-Min", "non-dropping-particle" : "", "parse-names" : false, "suffix" : "" }, { "dropping-particle" : "", "family" : "Won Seo", "given" : "Sang", "non-dropping-particle" : "", "parse-names" : false, "suffix" : "" }, { "dropping-particle" : "", "family" : "Hyung Kim", "given" : "Sun", "non-dropping-particle" : "", "parse-names" : false, "suffix" : "" }, { "dropping-particle" : "", "family" : "Kim", "given" : "Sun I.", "non-dropping-particle" : "", "parse-names" : false, "suffix" : "" }, { "dropping-particle" : "", "family" : "Na", "given" : "Duk L.", "non-dropping-particle" : "", "parse-names" : false, "suffix" : "" } ], "container-title" : "NeuroImage", "id" : "ITEM-2", "issue" : "1", "issued" : { "date-parts" : [ [ "2008" ] ] }, "page" : "103-113", "title" : "Sulcal morphology changes and their relationship with cortical thickness and gyral white matter volume in mild cognitive impairment and Alzheimer's disease", "type" : "article-journal", "volume" : "43" }, "uris" : [ "http://www.mendeley.com/documents/?uuid=a34ec3a7-8408-368c-93ab-a8f4145c9e42" ] } ], "mendeley" : { "formattedCitation" : "(Im et al., 2008; Panizzon et al., 2009)", "plainTextFormattedCitation" : "(Im et al., 2008; Panizzon et al., 2009)", "previouslyFormattedCitation" : "(Im et al., 2008; Panizzon et al., 2009)" }, "properties" : {  }, "schema" : "https://github.com/citation-style-language/schema/raw/master/csl-citation.json" }</w:instrText>
      </w:r>
      <w:r w:rsidR="0079643F" w:rsidRPr="002C3E85">
        <w:rPr>
          <w:rFonts w:ascii="Times New Roman" w:hAnsi="Times New Roman" w:cs="Times New Roman"/>
          <w:sz w:val="24"/>
          <w:szCs w:val="24"/>
          <w:lang w:val="en-GB"/>
        </w:rPr>
        <w:fldChar w:fldCharType="separate"/>
      </w:r>
      <w:r w:rsidR="009E21C8" w:rsidRPr="002C3E85">
        <w:rPr>
          <w:rFonts w:ascii="Times New Roman" w:hAnsi="Times New Roman" w:cs="Times New Roman"/>
          <w:noProof/>
          <w:sz w:val="24"/>
          <w:szCs w:val="24"/>
          <w:lang w:val="en-GB"/>
        </w:rPr>
        <w:t>(Im et al., 2008; Panizzon et al., 2009)</w:t>
      </w:r>
      <w:r w:rsidR="0079643F" w:rsidRPr="002C3E85">
        <w:rPr>
          <w:rFonts w:ascii="Times New Roman" w:hAnsi="Times New Roman" w:cs="Times New Roman"/>
          <w:sz w:val="24"/>
          <w:szCs w:val="24"/>
          <w:lang w:val="en-GB"/>
        </w:rPr>
        <w:fldChar w:fldCharType="end"/>
      </w:r>
      <w:r w:rsidR="0079643F" w:rsidRPr="002C3E85">
        <w:rPr>
          <w:rFonts w:ascii="Times New Roman" w:hAnsi="Times New Roman" w:cs="Times New Roman"/>
          <w:sz w:val="24"/>
          <w:szCs w:val="24"/>
          <w:lang w:val="en-GB"/>
        </w:rPr>
        <w:t xml:space="preserve"> with little to no covariation between them </w:t>
      </w:r>
      <w:r w:rsidR="0079643F"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"ISSN" : "0021-9967", "PMID" : "9215725", "abstract" : "Modern stereological methods provide precise and reliable estimates of the number of neurons in specific regions of the brain. We decided to estimate the total number of neocortical neurons in the normal human brain and to analyze it with respect to the major macro- and microscopical structural components, to study the internal relationships of these components, and to quantitate the influence of important physiological variables on brain structure. The 94 brains reported represent a consecutive collection of brains from the general Danish population. The average numbers of neocortical neurons were 19 billion in female brains and 23 billion in male brains, a 16% difference. In our study, which covered the age range from 20 years to 90 years, approximately 10% of all neocortical neurons are lost over the life span in both sexes. Sex and age were the main determinants of the total number of neurons in the human neocortex, whereas body size, per se, had no influence on neuron number. Some of the data presented have been analyzed by using new mathematical designs. An equation predicting the total neocortical neuron number in any individual in which sex and age are known is provided.", "author" : [ { "dropping-particle" : "", "family" : "Pakkenberg", "given" : "B", "non-dropping-particle" : "", "parse-names" : false, "suffix" : "" }, { "dropping-particle" : "", "family" : "Gundersen", "given" : "H J", "non-dropping-particle" : "", "parse-names" : false, "suffix" : "" } ], "container-title" : "The Journal of comparative neurology", "id" : "ITEM-1", "issue" : "2", "issued" : { "date-parts" : [ [ "1997", "7", "28" ] ] }, "page" : "312-20", "title" : "Neocortical neuron number in humans: effect of sex and age.", "type" : "article-journal", "volume" : "384" }, "uris" : [ "http://www.mendeley.com/documents/?uuid=60d42936-c721-35d1-b473-f3f70e177702" ] } ], "mendeley" : { "formattedCitation" : "(Pakkenberg and Gundersen, 1997)", "plainTextFormattedCitation" : "(Pakkenberg and Gundersen, 1997)", "previouslyFormattedCitation" : "(Pakkenberg and Gundersen, 1997)" }, "properties" : {  }, "schema" : "https://github.com/citation-style-language/schema/raw/master/csl-citation.json" }</w:instrText>
      </w:r>
      <w:r w:rsidR="0079643F" w:rsidRPr="002C3E85">
        <w:rPr>
          <w:rFonts w:ascii="Times New Roman" w:hAnsi="Times New Roman" w:cs="Times New Roman"/>
          <w:sz w:val="24"/>
          <w:szCs w:val="24"/>
          <w:lang w:val="en-GB"/>
        </w:rPr>
        <w:fldChar w:fldCharType="separate"/>
      </w:r>
      <w:r w:rsidR="0079643F" w:rsidRPr="002C3E85">
        <w:rPr>
          <w:rFonts w:ascii="Times New Roman" w:hAnsi="Times New Roman" w:cs="Times New Roman"/>
          <w:noProof/>
          <w:sz w:val="24"/>
          <w:szCs w:val="24"/>
          <w:lang w:val="en-GB"/>
        </w:rPr>
        <w:t>(Pakkenberg and Gundersen, 1997)</w:t>
      </w:r>
      <w:r w:rsidR="0079643F" w:rsidRPr="002C3E85">
        <w:rPr>
          <w:rFonts w:ascii="Times New Roman" w:hAnsi="Times New Roman" w:cs="Times New Roman"/>
          <w:sz w:val="24"/>
          <w:szCs w:val="24"/>
          <w:lang w:val="en-GB"/>
        </w:rPr>
        <w:fldChar w:fldCharType="end"/>
      </w:r>
      <w:r w:rsidR="0079643F" w:rsidRPr="002C3E85">
        <w:rPr>
          <w:rFonts w:ascii="Times New Roman" w:hAnsi="Times New Roman" w:cs="Times New Roman"/>
          <w:sz w:val="24"/>
          <w:szCs w:val="24"/>
          <w:lang w:val="en-GB"/>
        </w:rPr>
        <w:t xml:space="preserve">. </w:t>
      </w:r>
      <w:r w:rsidR="009E21C8" w:rsidRPr="002C3E85">
        <w:rPr>
          <w:rFonts w:ascii="Times New Roman" w:hAnsi="Times New Roman" w:cs="Times New Roman"/>
          <w:sz w:val="24"/>
          <w:szCs w:val="24"/>
          <w:lang w:val="en-GB"/>
        </w:rPr>
        <w:t xml:space="preserve">Consequently, </w:t>
      </w:r>
      <w:r w:rsidR="002629D4" w:rsidRPr="002C3E85">
        <w:rPr>
          <w:rFonts w:ascii="Times New Roman" w:hAnsi="Times New Roman" w:cs="Times New Roman"/>
          <w:sz w:val="24"/>
          <w:szCs w:val="24"/>
          <w:lang w:val="en-GB"/>
        </w:rPr>
        <w:t xml:space="preserve">comparisons </w:t>
      </w:r>
      <w:r w:rsidR="009019FD" w:rsidRPr="002C3E85">
        <w:rPr>
          <w:rFonts w:ascii="Times New Roman" w:hAnsi="Times New Roman" w:cs="Times New Roman"/>
          <w:sz w:val="24"/>
          <w:szCs w:val="24"/>
          <w:lang w:val="en-GB"/>
        </w:rPr>
        <w:t>restricted to the</w:t>
      </w:r>
      <w:r w:rsidR="002629D4" w:rsidRPr="002C3E85">
        <w:rPr>
          <w:rFonts w:ascii="Times New Roman" w:hAnsi="Times New Roman" w:cs="Times New Roman"/>
          <w:sz w:val="24"/>
          <w:szCs w:val="24"/>
          <w:lang w:val="en-GB"/>
        </w:rPr>
        <w:t xml:space="preserve"> GM volume </w:t>
      </w:r>
      <w:r w:rsidR="009019FD" w:rsidRPr="002C3E85">
        <w:rPr>
          <w:rFonts w:ascii="Times New Roman" w:hAnsi="Times New Roman" w:cs="Times New Roman"/>
          <w:sz w:val="24"/>
          <w:szCs w:val="24"/>
          <w:lang w:val="en-GB"/>
        </w:rPr>
        <w:t xml:space="preserve">alone </w:t>
      </w:r>
      <w:r w:rsidR="002629D4" w:rsidRPr="002C3E85">
        <w:rPr>
          <w:rFonts w:ascii="Times New Roman" w:hAnsi="Times New Roman" w:cs="Times New Roman"/>
          <w:sz w:val="24"/>
          <w:szCs w:val="24"/>
          <w:lang w:val="en-GB"/>
        </w:rPr>
        <w:t xml:space="preserve">risk </w:t>
      </w:r>
      <w:r w:rsidR="009019FD" w:rsidRPr="002C3E85">
        <w:rPr>
          <w:rFonts w:ascii="Times New Roman" w:hAnsi="Times New Roman" w:cs="Times New Roman"/>
          <w:sz w:val="24"/>
          <w:szCs w:val="24"/>
          <w:lang w:val="en-GB"/>
        </w:rPr>
        <w:t xml:space="preserve">obstructing bilingualism-related modulations that might be specific to </w:t>
      </w:r>
      <w:r w:rsidR="009019FD" w:rsidRPr="002C3E85">
        <w:rPr>
          <w:rFonts w:ascii="Times New Roman" w:hAnsi="Times New Roman" w:cs="Times New Roman"/>
          <w:sz w:val="24"/>
          <w:szCs w:val="24"/>
          <w:lang w:val="en-GB"/>
        </w:rPr>
        <w:lastRenderedPageBreak/>
        <w:t xml:space="preserve">either surface area or cortical thickness. In other words, two groups </w:t>
      </w:r>
      <w:r w:rsidR="00345FD2" w:rsidRPr="002C3E85">
        <w:rPr>
          <w:rFonts w:ascii="Times New Roman" w:hAnsi="Times New Roman" w:cs="Times New Roman"/>
          <w:sz w:val="24"/>
          <w:szCs w:val="24"/>
          <w:lang w:val="en-GB"/>
        </w:rPr>
        <w:t>could, in theory,</w:t>
      </w:r>
      <w:r w:rsidR="009019FD" w:rsidRPr="002C3E85">
        <w:rPr>
          <w:rFonts w:ascii="Times New Roman" w:hAnsi="Times New Roman" w:cs="Times New Roman"/>
          <w:sz w:val="24"/>
          <w:szCs w:val="24"/>
          <w:lang w:val="en-GB"/>
        </w:rPr>
        <w:t xml:space="preserve"> </w:t>
      </w:r>
      <w:r w:rsidR="00942EA6" w:rsidRPr="002C3E85">
        <w:rPr>
          <w:rFonts w:ascii="Times New Roman" w:hAnsi="Times New Roman" w:cs="Times New Roman"/>
          <w:sz w:val="24"/>
          <w:szCs w:val="24"/>
          <w:lang w:val="en-GB"/>
        </w:rPr>
        <w:t>exhibit</w:t>
      </w:r>
      <w:r w:rsidR="009019FD" w:rsidRPr="002C3E85">
        <w:rPr>
          <w:rFonts w:ascii="Times New Roman" w:hAnsi="Times New Roman" w:cs="Times New Roman"/>
          <w:sz w:val="24"/>
          <w:szCs w:val="24"/>
          <w:lang w:val="en-GB"/>
        </w:rPr>
        <w:t xml:space="preserve"> identical</w:t>
      </w:r>
      <w:r w:rsidR="00BE0E09" w:rsidRPr="002C3E85">
        <w:rPr>
          <w:rFonts w:ascii="Times New Roman" w:hAnsi="Times New Roman" w:cs="Times New Roman"/>
          <w:sz w:val="24"/>
          <w:szCs w:val="24"/>
          <w:lang w:val="en-GB"/>
        </w:rPr>
        <w:t xml:space="preserve"> GM volume and </w:t>
      </w:r>
      <w:r w:rsidR="009019FD" w:rsidRPr="002C3E85">
        <w:rPr>
          <w:rFonts w:ascii="Times New Roman" w:hAnsi="Times New Roman" w:cs="Times New Roman"/>
          <w:sz w:val="24"/>
          <w:szCs w:val="24"/>
          <w:lang w:val="en-GB"/>
        </w:rPr>
        <w:t xml:space="preserve">still differ significantly from each other with respect to the </w:t>
      </w:r>
      <w:r w:rsidR="006A1863" w:rsidRPr="002C3E85">
        <w:rPr>
          <w:rFonts w:ascii="Times New Roman" w:hAnsi="Times New Roman" w:cs="Times New Roman"/>
          <w:sz w:val="24"/>
          <w:szCs w:val="24"/>
          <w:lang w:val="en-GB"/>
        </w:rPr>
        <w:t xml:space="preserve">underlying </w:t>
      </w:r>
      <w:r w:rsidR="009019FD" w:rsidRPr="002C3E85">
        <w:rPr>
          <w:rFonts w:ascii="Times New Roman" w:hAnsi="Times New Roman" w:cs="Times New Roman"/>
          <w:sz w:val="24"/>
          <w:szCs w:val="24"/>
          <w:lang w:val="en-GB"/>
        </w:rPr>
        <w:t xml:space="preserve">surface area </w:t>
      </w:r>
      <w:r w:rsidR="00942EA6" w:rsidRPr="002C3E85">
        <w:rPr>
          <w:rFonts w:ascii="Times New Roman" w:hAnsi="Times New Roman" w:cs="Times New Roman"/>
          <w:sz w:val="24"/>
          <w:szCs w:val="24"/>
          <w:lang w:val="en-GB"/>
        </w:rPr>
        <w:t>to</w:t>
      </w:r>
      <w:r w:rsidR="009019FD" w:rsidRPr="002C3E85">
        <w:rPr>
          <w:rFonts w:ascii="Times New Roman" w:hAnsi="Times New Roman" w:cs="Times New Roman"/>
          <w:sz w:val="24"/>
          <w:szCs w:val="24"/>
          <w:lang w:val="en-GB"/>
        </w:rPr>
        <w:t xml:space="preserve"> thickness</w:t>
      </w:r>
      <w:r w:rsidR="00942EA6" w:rsidRPr="002C3E85">
        <w:rPr>
          <w:rFonts w:ascii="Times New Roman" w:hAnsi="Times New Roman" w:cs="Times New Roman"/>
          <w:sz w:val="24"/>
          <w:szCs w:val="24"/>
          <w:lang w:val="en-GB"/>
        </w:rPr>
        <w:t xml:space="preserve"> </w:t>
      </w:r>
      <w:r w:rsidR="006A1863" w:rsidRPr="002C3E85">
        <w:rPr>
          <w:rFonts w:ascii="Times New Roman" w:hAnsi="Times New Roman" w:cs="Times New Roman"/>
          <w:sz w:val="24"/>
          <w:szCs w:val="24"/>
          <w:lang w:val="en-GB"/>
        </w:rPr>
        <w:t xml:space="preserve">ratio </w:t>
      </w:r>
      <w:r w:rsidR="009019FD" w:rsidRPr="002C3E85">
        <w:rPr>
          <w:rFonts w:ascii="Times New Roman" w:hAnsi="Times New Roman" w:cs="Times New Roman"/>
          <w:sz w:val="24"/>
          <w:szCs w:val="24"/>
          <w:lang w:val="en-GB"/>
        </w:rPr>
        <w:t>(for illustration, see Fig. 1).</w:t>
      </w:r>
      <w:r w:rsidR="007A7B5E" w:rsidRPr="002C3E85">
        <w:rPr>
          <w:rFonts w:ascii="Times New Roman" w:hAnsi="Times New Roman" w:cs="Times New Roman"/>
          <w:sz w:val="24"/>
          <w:szCs w:val="24"/>
          <w:lang w:val="en-GB"/>
        </w:rPr>
        <w:t xml:space="preserve"> Conversely, two studies conducted with different bilingual samples could reveal seemingly concordant GM volume findings, while, in fact, the </w:t>
      </w:r>
      <w:r w:rsidR="00BD59C3" w:rsidRPr="002C3E85">
        <w:rPr>
          <w:rFonts w:ascii="Times New Roman" w:hAnsi="Times New Roman" w:cs="Times New Roman"/>
          <w:sz w:val="24"/>
          <w:szCs w:val="24"/>
          <w:lang w:val="en-GB"/>
        </w:rPr>
        <w:t>underlying</w:t>
      </w:r>
      <w:r w:rsidR="007A7B5E" w:rsidRPr="002C3E85">
        <w:rPr>
          <w:rFonts w:ascii="Times New Roman" w:hAnsi="Times New Roman" w:cs="Times New Roman"/>
          <w:sz w:val="24"/>
          <w:szCs w:val="24"/>
          <w:lang w:val="en-GB"/>
        </w:rPr>
        <w:t xml:space="preserve"> cause for the</w:t>
      </w:r>
      <w:r w:rsidR="008D5548" w:rsidRPr="002C3E85">
        <w:rPr>
          <w:rFonts w:ascii="Times New Roman" w:hAnsi="Times New Roman" w:cs="Times New Roman"/>
          <w:sz w:val="24"/>
          <w:szCs w:val="24"/>
          <w:lang w:val="en-GB"/>
        </w:rPr>
        <w:t xml:space="preserve"> observed</w:t>
      </w:r>
      <w:r w:rsidR="007A7B5E" w:rsidRPr="002C3E85">
        <w:rPr>
          <w:rFonts w:ascii="Times New Roman" w:hAnsi="Times New Roman" w:cs="Times New Roman"/>
          <w:sz w:val="24"/>
          <w:szCs w:val="24"/>
          <w:lang w:val="en-GB"/>
        </w:rPr>
        <w:t xml:space="preserve"> GM </w:t>
      </w:r>
      <w:r w:rsidR="008D5548" w:rsidRPr="002C3E85">
        <w:rPr>
          <w:rFonts w:ascii="Times New Roman" w:hAnsi="Times New Roman" w:cs="Times New Roman"/>
          <w:sz w:val="24"/>
          <w:szCs w:val="24"/>
          <w:lang w:val="en-GB"/>
        </w:rPr>
        <w:t>difference (surface area vs. thickness-driven)</w:t>
      </w:r>
      <w:r w:rsidR="007A7B5E" w:rsidRPr="002C3E85">
        <w:rPr>
          <w:rFonts w:ascii="Times New Roman" w:hAnsi="Times New Roman" w:cs="Times New Roman"/>
          <w:sz w:val="24"/>
          <w:szCs w:val="24"/>
          <w:lang w:val="en-GB"/>
        </w:rPr>
        <w:t xml:space="preserve"> </w:t>
      </w:r>
      <w:r w:rsidR="008D5548" w:rsidRPr="002C3E85">
        <w:rPr>
          <w:rFonts w:ascii="Times New Roman" w:hAnsi="Times New Roman" w:cs="Times New Roman"/>
          <w:sz w:val="24"/>
          <w:szCs w:val="24"/>
          <w:lang w:val="en-GB"/>
        </w:rPr>
        <w:t xml:space="preserve">might differ </w:t>
      </w:r>
      <w:r w:rsidR="00093603" w:rsidRPr="002C3E85">
        <w:rPr>
          <w:rFonts w:ascii="Times New Roman" w:hAnsi="Times New Roman" w:cs="Times New Roman"/>
          <w:sz w:val="24"/>
          <w:szCs w:val="24"/>
          <w:lang w:val="en-GB"/>
        </w:rPr>
        <w:t>substantially</w:t>
      </w:r>
      <w:r w:rsidR="008D5548" w:rsidRPr="002C3E85">
        <w:rPr>
          <w:rFonts w:ascii="Times New Roman" w:hAnsi="Times New Roman" w:cs="Times New Roman"/>
          <w:sz w:val="24"/>
          <w:szCs w:val="24"/>
          <w:lang w:val="en-GB"/>
        </w:rPr>
        <w:t xml:space="preserve"> between the studies. </w:t>
      </w:r>
    </w:p>
    <w:p w14:paraId="3C247400" w14:textId="77777777" w:rsidR="00266D53" w:rsidRPr="002C3E85" w:rsidRDefault="00266D53" w:rsidP="00B16091">
      <w:pPr>
        <w:spacing w:line="480" w:lineRule="auto"/>
        <w:jc w:val="both"/>
        <w:rPr>
          <w:rFonts w:ascii="Times New Roman" w:hAnsi="Times New Roman" w:cs="Times New Roman"/>
          <w:sz w:val="24"/>
          <w:szCs w:val="24"/>
          <w:lang w:val="en-GB"/>
        </w:rPr>
      </w:pPr>
    </w:p>
    <w:p w14:paraId="227B35CF" w14:textId="6A63DFF9" w:rsidR="00586EBF" w:rsidRPr="002C3E85" w:rsidRDefault="00CB144B"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Second</w:t>
      </w:r>
      <w:r w:rsidR="00120F9C" w:rsidRPr="002C3E85">
        <w:rPr>
          <w:rFonts w:ascii="Times New Roman" w:hAnsi="Times New Roman" w:cs="Times New Roman"/>
          <w:sz w:val="24"/>
          <w:szCs w:val="24"/>
          <w:lang w:val="en-GB"/>
        </w:rPr>
        <w:t xml:space="preserve">, </w:t>
      </w:r>
      <w:r w:rsidR="002E5261" w:rsidRPr="002C3E85">
        <w:rPr>
          <w:rFonts w:ascii="Times New Roman" w:hAnsi="Times New Roman" w:cs="Times New Roman"/>
          <w:sz w:val="24"/>
          <w:szCs w:val="24"/>
          <w:lang w:val="en-GB"/>
        </w:rPr>
        <w:t xml:space="preserve">cortical </w:t>
      </w:r>
      <w:r w:rsidR="00D22C55" w:rsidRPr="002C3E85">
        <w:rPr>
          <w:rFonts w:ascii="Times New Roman" w:hAnsi="Times New Roman" w:cs="Times New Roman"/>
          <w:sz w:val="24"/>
          <w:szCs w:val="24"/>
          <w:lang w:val="en-GB"/>
        </w:rPr>
        <w:t xml:space="preserve">surface area and thickness </w:t>
      </w:r>
      <w:r w:rsidR="00356F9D" w:rsidRPr="002C3E85">
        <w:rPr>
          <w:rFonts w:ascii="Times New Roman" w:hAnsi="Times New Roman" w:cs="Times New Roman"/>
          <w:sz w:val="24"/>
          <w:szCs w:val="24"/>
          <w:lang w:val="en-GB"/>
        </w:rPr>
        <w:t xml:space="preserve">have been suggested to </w:t>
      </w:r>
      <w:r w:rsidR="00D22C55" w:rsidRPr="002C3E85">
        <w:rPr>
          <w:rFonts w:ascii="Times New Roman" w:hAnsi="Times New Roman" w:cs="Times New Roman"/>
          <w:sz w:val="24"/>
          <w:szCs w:val="24"/>
          <w:lang w:val="en-GB"/>
        </w:rPr>
        <w:t xml:space="preserve">reflect distinct cellular mechanisms </w:t>
      </w:r>
      <w:r w:rsidR="00D22C5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"10.1523/JNEUROSCI.0054-11.2011", "ISSN" : "1529-2401", "PMID" : "21562281", "abstract" : "Understanding human cortical maturation is a central goal for developmental neuroscience. Significant advances toward this goal have come from two recent strands of in vivo structural magnetic resonance imaging research: (1) longitudinal study designs have revealed that factors such as sex, cognitive ability, and disease are often better related to variations in the tempo of anatomical change than to variations in anatomy at any one time point; (2) largely cross-sectional applications of new surface-based morphometry (SBM) methods have shown how the traditional focus on cortical volume (CV) can obscure information about the two evolutionarily and genetically distinct determinants of CV: cortical thickness (CT) and surface area (SA). Here, by combining these two strategies for the first time and applying SBM in &gt;1250 longitudinally acquired brain scans from 647 healthy individuals aged 3-30 years, we deconstruct cortical development to reveal that distinct trajectories of anatomical change are hidden within, and give rise to, a curvilinear pattern of CV maturation. Developmental changes in CV emerge through the sexually dimorphic and age-dependent interaction of changes in CT and SA. Moreover, SA change itself actually reflects complex interactions between brain size-related changes in exposed cortical convex hull area, and changes in the degree of cortical gyrification, which again vary by age and sex. Knowing of these developmental dissociations, and further specifying their timing and sex-biases, provides potent new research targets for basic and clinical neuroscience.", "author" : [ { "dropping-particle" : "", "family" : "Raznahan", "given" : "Armin", "non-dropping-particle" : "", "parse-names" : false, "suffix" : "" }, { "dropping-particle" : "", "family" : "Shaw", "given" : "Phillip", "non-dropping-particle" : "", "parse-names" : false, "suffix" : "" }, { "dropping-particle" : "", "family" : "Lalonde", "given" : "Francois", "non-dropping-particle" : "", "parse-names" : false, "suffix" : "" }, { "dropping-particle" : "", "family" : "Stockman", "given" : "Mike", "non-dropping-particle" : "", "parse-names" : false, "suffix" : "" }, { "dropping-particle" : "", "family" : "Wallace", "given" : "Gregory L", "non-dropping-particle" : "", "parse-names" : false, "suffix" : "" }, { "dropping-particle" : "", "family" : "Greenstein", "given" : "Dede", "non-dropping-particle" : "", "parse-names" : false, "suffix" : "" }, { "dropping-particle" : "", "family" : "Clasen", "given" : "Liv", "non-dropping-particle" : "", "parse-names" : false, "suffix" : "" }, { "dropping-particle" : "", "family" : "Gogtay", "given" : "Nitin", "non-dropping-particle" : "", "parse-names" : false, "suffix" : "" }, { "dropping-particle" : "", "family" : "Giedd", "given" : "Jay N", "non-dropping-particle" : "", "parse-names" : false, "suffix" : "" } ], "container-title" : "The Journal of neuroscience : the official journal of the Society for Neuroscience", "id" : "ITEM-1", "issue" : "19", "issued" : { "date-parts" : [ [ "2011", "5", "11" ] ] }, "page" : "7174-7", "publisher" : "NIH Public Access", "title" : "How does your cortex grow?", "type" : "article-journal", "volume" : "31" }, "uris" : [ "http://www.mendeley.com/documents/?uuid=a3fd9367-16ef-3005-85ac-8680c2336f25" ] }, { "id" : "ITEM-2", "itemData" : { "DOI" : "10.1038/nrn2719", "ISBN" : "1471-0048 (Electronic) 1471-003X (Linking)", "ISSN" : "1471-003X", "PMID" : "19763105", "abstract" : "Nature Reviews Neuroscience 10, 724 (2009). doi:10.1038/nrn2719", "author" : [ { "dropping-particle" : "", "family" : "Rakic", "given" : "Pasko", "non-dropping-particle" : "", "parse-names" : false, "suffix" : "" } ], "container-title" : "Nature Reviews Neuroscience", "id" : "ITEM-2", "issue" : "10", "issued" : { "date-parts" : [ [ "2009", "10" ] ] }, "page" : "724-735", "publisher" : "Nature Publishing Group", "title" : "Evolution of the neocortex: a perspective from developmental biology", "type" : "article-journal", "volume" : "10" }, "uris" : [ "http://www.mendeley.com/documents/?uuid=4daed86f-7da2-3321-868b-6eec19742feb" ] } ], "mendeley" : { "formattedCitation" : "(Rakic, 2009; Raznahan et al., 2011)", "plainTextFormattedCitation" : "(Rakic, 2009; Raznahan et al., 2011)", "previouslyFormattedCitation" : "(Rakic, 2009; Raznahan et al., 2011)" }, "properties" : {  }, "schema" : "https://github.com/citation-style-language/schema/raw/master/csl-citation.json" }</w:instrText>
      </w:r>
      <w:r w:rsidR="00D22C55" w:rsidRPr="002C3E85">
        <w:rPr>
          <w:rFonts w:ascii="Times New Roman" w:hAnsi="Times New Roman" w:cs="Times New Roman"/>
          <w:sz w:val="24"/>
          <w:szCs w:val="24"/>
          <w:lang w:val="en-GB"/>
        </w:rPr>
        <w:fldChar w:fldCharType="separate"/>
      </w:r>
      <w:r w:rsidR="00D22C55" w:rsidRPr="002C3E85">
        <w:rPr>
          <w:rFonts w:ascii="Times New Roman" w:hAnsi="Times New Roman" w:cs="Times New Roman"/>
          <w:noProof/>
          <w:sz w:val="24"/>
          <w:szCs w:val="24"/>
          <w:lang w:val="en-GB"/>
        </w:rPr>
        <w:t xml:space="preserve">(Rakic, 2009; Raznahan et al., </w:t>
      </w:r>
      <w:r w:rsidR="00D22C55" w:rsidRPr="002C3E85">
        <w:rPr>
          <w:rFonts w:ascii="Times New Roman" w:hAnsi="Times New Roman" w:cs="Times New Roman"/>
          <w:noProof/>
          <w:sz w:val="24"/>
          <w:szCs w:val="24"/>
          <w:lang w:val="en-GB"/>
        </w:rPr>
        <w:lastRenderedPageBreak/>
        <w:t>2011)</w:t>
      </w:r>
      <w:r w:rsidR="00D22C55" w:rsidRPr="002C3E85">
        <w:rPr>
          <w:rFonts w:ascii="Times New Roman" w:hAnsi="Times New Roman" w:cs="Times New Roman"/>
          <w:sz w:val="24"/>
          <w:szCs w:val="24"/>
          <w:lang w:val="en-GB"/>
        </w:rPr>
        <w:fldChar w:fldCharType="end"/>
      </w:r>
      <w:r w:rsidR="00D22C55" w:rsidRPr="002C3E85">
        <w:rPr>
          <w:rFonts w:ascii="Times New Roman" w:hAnsi="Times New Roman" w:cs="Times New Roman"/>
          <w:sz w:val="24"/>
          <w:szCs w:val="24"/>
          <w:lang w:val="en-GB"/>
        </w:rPr>
        <w:t>,</w:t>
      </w:r>
      <w:r w:rsidR="006327B9" w:rsidRPr="002C3E85">
        <w:rPr>
          <w:rFonts w:ascii="Times New Roman" w:hAnsi="Times New Roman" w:cs="Times New Roman"/>
          <w:sz w:val="24"/>
          <w:szCs w:val="24"/>
          <w:lang w:val="en-GB"/>
        </w:rPr>
        <w:t xml:space="preserve"> inasmuch as</w:t>
      </w:r>
      <w:r w:rsidR="00D22C55" w:rsidRPr="002C3E85">
        <w:rPr>
          <w:rFonts w:ascii="Times New Roman" w:hAnsi="Times New Roman" w:cs="Times New Roman"/>
          <w:sz w:val="24"/>
          <w:szCs w:val="24"/>
          <w:lang w:val="en-GB"/>
        </w:rPr>
        <w:t xml:space="preserve"> cortical surface area is thought to reflect the number of neuronal columns perpendicular to the pial surface, whereas cortical thickness relates to the number </w:t>
      </w:r>
      <w:r w:rsidR="00D22C5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"10.1038/nrn2719", "ISBN" : "1471-0048 (Electronic) 1471-003X (Linking)", "ISSN" : "1471-003X", "PMID" : "19763105", "abstract" : "Nature Reviews Neuroscience 10, 724 (2009). doi:10.1038/nrn2719", "author" : [ { "dropping-particle" : "", "family" : "Rakic", "given" : "Pasko", "non-dropping-particle" : "", "parse-names" : false, "suffix" : "" } ], "container-title" : "Nature Reviews Neuroscience", "id" : "ITEM-1", "issue" : "10", "issued" : { "date-parts" : [ [ "2009", "10" ] ] }, "page" : "724-735", "publisher" : "Nature Publishing Group", "title" : "Evolution of the neocortex: a perspective from developmental biology", "type" : "article-journal", "volume" : "10" }, "uris" : [ "http://www.mendeley.com/documents/?uuid=4daed86f-7da2-3321-868b-6eec19742feb" ] } ], "mendeley" : { "formattedCitation" : "(Rakic, 2009)", "plainTextFormattedCitation" : "(Rakic, 2009)", "previouslyFormattedCitation" : "(Rakic, 2009)" }, "properties" : {  }, "schema" : "https://github.com/citation-style-language/schema/raw/master/csl-citation.json" }</w:instrText>
      </w:r>
      <w:r w:rsidR="00D22C55" w:rsidRPr="002C3E85">
        <w:rPr>
          <w:rFonts w:ascii="Times New Roman" w:hAnsi="Times New Roman" w:cs="Times New Roman"/>
          <w:sz w:val="24"/>
          <w:szCs w:val="24"/>
          <w:lang w:val="en-GB"/>
        </w:rPr>
        <w:fldChar w:fldCharType="separate"/>
      </w:r>
      <w:r w:rsidR="00D22C55" w:rsidRPr="002C3E85">
        <w:rPr>
          <w:rFonts w:ascii="Times New Roman" w:hAnsi="Times New Roman" w:cs="Times New Roman"/>
          <w:noProof/>
          <w:sz w:val="24"/>
          <w:szCs w:val="24"/>
          <w:lang w:val="en-GB"/>
        </w:rPr>
        <w:t>(Rakic, 2009)</w:t>
      </w:r>
      <w:r w:rsidR="00D22C55" w:rsidRPr="002C3E85">
        <w:rPr>
          <w:rFonts w:ascii="Times New Roman" w:hAnsi="Times New Roman" w:cs="Times New Roman"/>
          <w:sz w:val="24"/>
          <w:szCs w:val="24"/>
          <w:lang w:val="en-GB"/>
        </w:rPr>
        <w:fldChar w:fldCharType="end"/>
      </w:r>
      <w:r w:rsidR="00D22C55" w:rsidRPr="002C3E85">
        <w:rPr>
          <w:rFonts w:ascii="Times New Roman" w:hAnsi="Times New Roman" w:cs="Times New Roman"/>
          <w:sz w:val="24"/>
          <w:szCs w:val="24"/>
          <w:lang w:val="en-GB"/>
        </w:rPr>
        <w:t xml:space="preserve"> and, possibly, to the size of cells within these columns </w:t>
      </w:r>
      <w:r w:rsidR="00D22C5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"10.1093/cercor/bhp026", "ISSN" : "1460-2199", "PMID" : "19299253", "abstract" : "Neuroimaging studies examining the effects of aging and neuropsychiatric disorders on the cerebral cortex have largely been based on measures of cortical volume. Given that cortical volume is a product of thickness and surface area, it is plausible that measures of volume capture at least 2 distinct sets of genetic influences. The present study aims to examine the genetic relationships between measures of cortical surface area and thickness. Participants were men in the Vietnam Era Twin Study of Aging (110 monozygotic pairs and 92 dizygotic pairs). Mean age was 55.8 years (range: 51-59). Bivariate twin analyses were utilized in order to estimate the heritability of cortical surface area and thickness, as well as their degree of genetic overlap. Total cortical surface area and average cortical thickness were both highly heritable (0.89 and 0.81, respectively) but were essentially unrelated genetically (genetic correlation = 0.08). This pattern was similar at the lobar and regional levels of analysis. These results demonstrate that cortical volume measures combine at least 2 distinct sources of genetic influences. We conclude that using volume in a genetically informative study, or as an endophenotype for a disorder, may confound the underlying genetic architecture of brain structure.", "author" : [ { "dropping-particle" : "", "family" : "Panizzon", "given" : "Matthew S", "non-dropping-particle" : "", "parse-names" : false, "suffix" : "" }, { "dropping-particle" : "", "family" : "Fennema-Notestine", "given" : "Christine", "non-dropping-particle" : "", "parse-names" : false, "suffix" : "" }, { "dropping-particle" : "", "family" : "Eyler", "given" : "Lisa T", "non-dropping-particle" : "", "parse-names" : false, "suffix" : "" }, { "dropping-particle" : "", "family" : "Jernigan", "given" : "Terry L", "non-dropping-particle" : "", "parse-names" : false, "suffix" : "" }, { "dropping-particle" : "", "family" : "Prom-Wormley", "given" : "Elizabeth", "non-dropping-particle" : "", "parse-names" : false, "suffix" : "" }, { "dropping-particle" : "", "family" : "Neale", "given" : "Michael", "non-dropping-particle" : "", "parse-names" : false, "suffix" : "" }, { "dropping-particle" : "", "family" : "Jacobson", "given" : "Kristen", "non-dropping-particle" : "", "parse-names" : false, "suffix" : "" }, { "dropping-particle" : "", "family" : "Lyons", "given" : "Michael J", "non-dropping-particle" : "", "parse-names" : false, "suffix" : "" }, { "dropping-particle" : "", "family" : "Grant", "given" : "Michael D", "non-dropping-particle" : "", "parse-names" : false, "suffix" : "" }, { "dropping-particle" : "", "family" : "Franz", "given" : "Carol E", "non-dropping-particle" : "", "parse-names" : false, "suffix" : "" }, { "dropping-particle" : "", "family" : "Xian", "given" : "Hong", "non-dropping-particle" : "", "parse-names" : false, "suffix" : "" }, { "dropping-particle" : "", "family" : "Tsuang", "given" : "Ming", "non-dropping-particle" : "", "parse-names" : false, "suffix" : "" }, { "dropping-particle" : "", "family" : "Fischl", "given" : "Bruce", "non-dropping-particle" : "", "parse-names" : false, "suffix" : "" }, { "dropping-particle" : "", "family" : "Seidman", "given" : "Larry", "non-dropping-particle" : "", "parse-names" : false, "suffix" : "" }, { "dropping-particle" : "", "family" : "Dale", "given" : "Anders", "non-dropping-particle" : "", "parse-names" : false, "suffix" : "" }, { "dropping-particle" : "", "family" : "Kremen", "given" : "William S", "non-dropping-particle" : "", "parse-names" : false, "suffix" : "" } ], "container-title" : "Cerebral cortex (New York, N.Y. : 1991)", "id" : "ITEM-1", "issue" : "11", "issued" : { "date-parts" : [ [ "2009", "11" ] ] }, "page" : "2728-35", "publisher" : "Oxford University Press", "title" : "Distinct genetic influences on cortical surface area and cortical thickness.", "type" : "article-journal", "volume" : "19" }, "uris" : [ "http://www.mendeley.com/documents/?uuid=2b180886-372e-36c8-b14c-41be7c599d9e" ] } ], "mendeley" : { "formattedCitation" : "(Panizzon et al., 2009)", "plainTextFormattedCitation" : "(Panizzon et al., 2009)", "previouslyFormattedCitation" : "(Panizzon et al., 2009)" }, "properties" : {  }, "schema" : "https://github.com/citation-style-language/schema/raw/master/csl-citation.json" }</w:instrText>
      </w:r>
      <w:r w:rsidR="00D22C55" w:rsidRPr="002C3E85">
        <w:rPr>
          <w:rFonts w:ascii="Times New Roman" w:hAnsi="Times New Roman" w:cs="Times New Roman"/>
          <w:sz w:val="24"/>
          <w:szCs w:val="24"/>
          <w:lang w:val="en-GB"/>
        </w:rPr>
        <w:fldChar w:fldCharType="separate"/>
      </w:r>
      <w:r w:rsidR="00D22C55" w:rsidRPr="002C3E85">
        <w:rPr>
          <w:rFonts w:ascii="Times New Roman" w:hAnsi="Times New Roman" w:cs="Times New Roman"/>
          <w:noProof/>
          <w:sz w:val="24"/>
          <w:szCs w:val="24"/>
          <w:lang w:val="en-GB"/>
        </w:rPr>
        <w:t>(Panizzon et al., 2009)</w:t>
      </w:r>
      <w:r w:rsidR="00D22C55" w:rsidRPr="002C3E85">
        <w:rPr>
          <w:rFonts w:ascii="Times New Roman" w:hAnsi="Times New Roman" w:cs="Times New Roman"/>
          <w:sz w:val="24"/>
          <w:szCs w:val="24"/>
          <w:lang w:val="en-GB"/>
        </w:rPr>
        <w:fldChar w:fldCharType="end"/>
      </w:r>
      <w:r w:rsidR="00D22C55" w:rsidRPr="002C3E85">
        <w:rPr>
          <w:rFonts w:ascii="Times New Roman" w:hAnsi="Times New Roman" w:cs="Times New Roman"/>
          <w:sz w:val="24"/>
          <w:szCs w:val="24"/>
          <w:lang w:val="en-GB"/>
        </w:rPr>
        <w:t>.</w:t>
      </w:r>
      <w:r w:rsidR="00046508" w:rsidRPr="002C3E85">
        <w:rPr>
          <w:rFonts w:ascii="Times New Roman" w:hAnsi="Times New Roman" w:cs="Times New Roman"/>
          <w:sz w:val="24"/>
          <w:szCs w:val="24"/>
          <w:lang w:val="en-GB"/>
        </w:rPr>
        <w:t xml:space="preserve"> </w:t>
      </w:r>
      <w:r w:rsidR="00120F9C" w:rsidRPr="002C3E85">
        <w:rPr>
          <w:rFonts w:ascii="Times New Roman" w:hAnsi="Times New Roman" w:cs="Times New Roman"/>
          <w:sz w:val="24"/>
          <w:szCs w:val="24"/>
          <w:lang w:val="en-GB"/>
        </w:rPr>
        <w:t>Crucially</w:t>
      </w:r>
      <w:r w:rsidR="00046508" w:rsidRPr="002C3E85">
        <w:rPr>
          <w:rFonts w:ascii="Times New Roman" w:hAnsi="Times New Roman" w:cs="Times New Roman"/>
          <w:sz w:val="24"/>
          <w:szCs w:val="24"/>
          <w:lang w:val="en-GB"/>
        </w:rPr>
        <w:t xml:space="preserve">, cortical surface area </w:t>
      </w:r>
      <w:r w:rsidR="00880C1C" w:rsidRPr="002C3E85">
        <w:rPr>
          <w:rFonts w:ascii="Times New Roman" w:hAnsi="Times New Roman" w:cs="Times New Roman"/>
          <w:sz w:val="24"/>
          <w:szCs w:val="24"/>
          <w:lang w:val="en-GB"/>
        </w:rPr>
        <w:t>has been shown to increase rapidly</w:t>
      </w:r>
      <w:r w:rsidR="00872905" w:rsidRPr="002C3E85">
        <w:rPr>
          <w:rFonts w:ascii="Times New Roman" w:hAnsi="Times New Roman" w:cs="Times New Roman"/>
          <w:sz w:val="24"/>
          <w:szCs w:val="24"/>
          <w:lang w:val="en-GB"/>
        </w:rPr>
        <w:t xml:space="preserve"> through maturation</w:t>
      </w:r>
      <w:r w:rsidR="00880C1C" w:rsidRPr="002C3E85">
        <w:rPr>
          <w:rFonts w:ascii="Times New Roman" w:hAnsi="Times New Roman" w:cs="Times New Roman"/>
          <w:sz w:val="24"/>
          <w:szCs w:val="24"/>
          <w:lang w:val="en-GB"/>
        </w:rPr>
        <w:t xml:space="preserve"> during </w:t>
      </w:r>
      <w:r w:rsidR="000144F5" w:rsidRPr="002C3E85">
        <w:rPr>
          <w:rFonts w:ascii="Times New Roman" w:hAnsi="Times New Roman" w:cs="Times New Roman"/>
          <w:sz w:val="24"/>
          <w:szCs w:val="24"/>
          <w:lang w:val="en-GB"/>
        </w:rPr>
        <w:t>infancy</w:t>
      </w:r>
      <w:r w:rsidR="00723146" w:rsidRPr="002C3E85">
        <w:rPr>
          <w:rFonts w:ascii="Times New Roman" w:hAnsi="Times New Roman" w:cs="Times New Roman"/>
          <w:sz w:val="24"/>
          <w:szCs w:val="24"/>
          <w:lang w:val="en-GB"/>
        </w:rPr>
        <w:t xml:space="preserve"> </w:t>
      </w:r>
      <w:r w:rsidR="00046508" w:rsidRPr="002C3E85">
        <w:rPr>
          <w:rFonts w:ascii="Times New Roman" w:hAnsi="Times New Roman" w:cs="Times New Roman"/>
          <w:sz w:val="24"/>
          <w:szCs w:val="24"/>
          <w:lang w:val="en-GB"/>
        </w:rPr>
        <w:fldChar w:fldCharType="begin" w:fldLock="1"/>
      </w:r>
      <w:r w:rsidR="00762B27" w:rsidRPr="002C3E85">
        <w:rPr>
          <w:rFonts w:ascii="Times New Roman" w:hAnsi="Times New Roman" w:cs="Times New Roman"/>
          <w:sz w:val="24"/>
          <w:szCs w:val="24"/>
          <w:lang w:val="en-GB"/>
        </w:rPr>
        <w:instrText>ADDIN CSL_CITATION { "citationItems" : [ { "id" : "ITEM-1", "itemData" : { "DOI" : "10.1093/cercor/bhu027", "ISSN" : "14602199", "PMID" : "24591525", "abstract" : "Cortical thickness (CT) and surface area (SA) are altered in many neuropsychiatric disorders and are correlated with cognitive functioning. Little is known about how these components of cortical gray matter develop in the first years of life. We studied the longitudinal development of regional CT and SA expansion in healthy infants from birth to 2 years. CT and SA have distinct and heterogeneous patterns of development that are exceptionally dynamic; overall CT increases by an average of 36.1%, while cortical SA increases 114.6%. By age 2, CT is on average 97% of adult values, compared with SA, which is 69%. This suggests that early identification, prevention, and intervention strategies for neuropsychiatric illness need to be targeted to this period of rapid postnatal brain development, and that SA expansion is the principal driving factor in cortical volume after 2 years of age.", "author" : [ { "dropping-particle" : "", "family" : "Lyall", "given" : "Amanda E", "non-dropping-particle" : "", "parse-names" : false, "suffix" : "" }, { "dropping-particle" : "", "family" : "Shi", "given" : "Feng", "non-dropping-particle" : "", "parse-names" : false, "suffix" : "" }, { "dropping-particle" : "", "family" : "Geng", "given" : "Xiujuan", "non-dropping-particle" : "", "parse-names" : false, "suffix" : "" }, { "dropping-particle" : "", "family" : "Woolson", "given" : "Sandra", "non-dropping-particle" : "", "parse-names" : false, "suffix" : "" }, { "dropping-particle" : "", "family" : "Li", "given" : "Gang", "non-dropping-particle" : "", "parse-names" : false, "suffix" : "" }, { "dropping-particle" : "", "family" : "Wang", "given" : "Li", "non-dropping-particle" : "", "parse-names" : false, "suffix" : "" }, { "dropping-particle" : "", "family" : "Hamer", "given" : "Robert M", "non-dropping-particle" : "", "parse-names" : false, "suffix" : "" }, { "dropping-particle" : "", "family" : "Shen", "given" : "Dinggang", "non-dropping-particle" : "", "parse-names" : false, "suffix" : "" }, { "dropping-particle" : "", "family" : "Gilmore", "given" : "John H", "non-dropping-particle" : "", "parse-names" : false, "suffix" : "" } ], "container-title" : "Cerebral Cortex", "id" : "ITEM-1", "issue" : "8", "issued" : { "date-parts" : [ [ "2015", "8" ] ] }, "page" : "2204-2212", "publisher" : "Oxford University Press", "title" : "Dynamic Development of Regional Cortical Thickness and Surface Area in Early Childhood", "type" : "article-journal", "volume" : "25" }, "uris" : [ "http://www.mendeley.com/documents/?uuid=11ae4384-e94a-3bed-8378-3a84fac82b1e" ] } ], "mendeley" : { "formattedCitation" : "(Lyall et al., 2015)", "manualFormatting" : "(0-2 years of age; Lyall et al., 2015)", "plainTextFormattedCitation" : "(Lyall et al., 2015)", "previouslyFormattedCitation" : "(Lyall et al., 2015)" }, "properties" : {  }, "schema" : "https://github.com/citation-style-language/schema/raw/master/csl-citation.json" }</w:instrText>
      </w:r>
      <w:r w:rsidR="00046508" w:rsidRPr="002C3E85">
        <w:rPr>
          <w:rFonts w:ascii="Times New Roman" w:hAnsi="Times New Roman" w:cs="Times New Roman"/>
          <w:sz w:val="24"/>
          <w:szCs w:val="24"/>
          <w:lang w:val="en-GB"/>
        </w:rPr>
        <w:fldChar w:fldCharType="separate"/>
      </w:r>
      <w:r w:rsidR="000144F5" w:rsidRPr="002C3E85">
        <w:rPr>
          <w:rFonts w:ascii="Times New Roman" w:hAnsi="Times New Roman" w:cs="Times New Roman"/>
          <w:noProof/>
          <w:sz w:val="24"/>
          <w:szCs w:val="24"/>
          <w:lang w:val="en-GB"/>
        </w:rPr>
        <w:t>(</w:t>
      </w:r>
      <w:r w:rsidR="00762B27" w:rsidRPr="002C3E85">
        <w:rPr>
          <w:rFonts w:ascii="Times New Roman" w:hAnsi="Times New Roman" w:cs="Times New Roman"/>
          <w:noProof/>
          <w:sz w:val="24"/>
          <w:szCs w:val="24"/>
          <w:lang w:val="en-GB"/>
        </w:rPr>
        <w:t xml:space="preserve">0-2 years of age; </w:t>
      </w:r>
      <w:r w:rsidR="000144F5" w:rsidRPr="002C3E85">
        <w:rPr>
          <w:rFonts w:ascii="Times New Roman" w:hAnsi="Times New Roman" w:cs="Times New Roman"/>
          <w:noProof/>
          <w:sz w:val="24"/>
          <w:szCs w:val="24"/>
          <w:lang w:val="en-GB"/>
        </w:rPr>
        <w:t>Lyall et al., 2015)</w:t>
      </w:r>
      <w:r w:rsidR="00046508" w:rsidRPr="002C3E85">
        <w:rPr>
          <w:rFonts w:ascii="Times New Roman" w:hAnsi="Times New Roman" w:cs="Times New Roman"/>
          <w:sz w:val="24"/>
          <w:szCs w:val="24"/>
          <w:lang w:val="en-GB"/>
        </w:rPr>
        <w:fldChar w:fldCharType="end"/>
      </w:r>
      <w:r w:rsidR="00046508" w:rsidRPr="002C3E85">
        <w:rPr>
          <w:rFonts w:ascii="Times New Roman" w:hAnsi="Times New Roman" w:cs="Times New Roman"/>
          <w:sz w:val="24"/>
          <w:szCs w:val="24"/>
          <w:lang w:val="en-GB"/>
        </w:rPr>
        <w:t xml:space="preserve"> and</w:t>
      </w:r>
      <w:r w:rsidR="000144F5" w:rsidRPr="002C3E85">
        <w:rPr>
          <w:rFonts w:ascii="Times New Roman" w:hAnsi="Times New Roman" w:cs="Times New Roman"/>
          <w:sz w:val="24"/>
          <w:szCs w:val="24"/>
          <w:lang w:val="en-GB"/>
        </w:rPr>
        <w:t xml:space="preserve"> early childhood </w:t>
      </w:r>
      <w:r w:rsidR="000144F5" w:rsidRPr="002C3E85">
        <w:rPr>
          <w:rFonts w:ascii="Times New Roman" w:hAnsi="Times New Roman" w:cs="Times New Roman"/>
          <w:sz w:val="24"/>
          <w:szCs w:val="24"/>
          <w:lang w:val="en-GB"/>
        </w:rPr>
        <w:fldChar w:fldCharType="begin" w:fldLock="1"/>
      </w:r>
      <w:r w:rsidR="00762B27" w:rsidRPr="002C3E85">
        <w:rPr>
          <w:rFonts w:ascii="Times New Roman" w:hAnsi="Times New Roman" w:cs="Times New Roman"/>
          <w:sz w:val="24"/>
          <w:szCs w:val="24"/>
          <w:lang w:val="en-GB"/>
        </w:rPr>
        <w:instrText>ADDIN CSL_CITATION { "citationItems" : [ { "id" : "ITEM-1", "itemData" : { "DOI" : "10.1016/j.neuroimage.2017.04.010", "ISSN" : "10959572", "PMID" : "28392489", "abstract" : "Cortical maturation, including age-related changes in thickness, volume, surface area, and folding (gyrification), play a central role in developing brain function and plasticity. Further, abnormal cortical maturation is a suspected substrate in various behavioral, intellectual, and psychiatric disorders. However, in order to characterize the altered development associated with these disorders, appreciation of the normative patterns of cortical development in neurotypical children between 1 and 6 years of age, a period of peak brain development during which many behavioral and developmental disorders emerge, is necessary. To this end, we examined measures of cortical thickness, surface area, mean curvature, and gray matter volume across 34 bilateral regions in a cohort of 140 healthy children devoid of major risk factors for abnormal development. From these data, we observed linear, logarithmic, and quadratic patterns of change with age depending on brain region. Cortical thinning, ranging from 10% to 20%, was observed throughout most of the brain, with the exception of posterior brain structures, which showed initial cortical thinning from 1 to 5 years, followed by thickening. Cortical surface area expansion ranged from 20% to 108%, and cortical curvature varied by 1\u201320% across the investigated age range. Right-left hemisphere asymmetry was observed across development for each of the 4 cortical measures. Our results present new insight into the normative patterns of cortical development across an important but under studied developmental window, and provide a valuable reference to which trajectories observed in neurodevelopmental disorders may be compared.", "author" : [ { "dropping-particle" : "", "family" : "Remer", "given" : "Justin", "non-dropping-particle" : "", "parse-names" : false, "suffix" : "" }, { "dropping-particle" : "", "family" : "Croteau-Chonka", "given" : "Elise", "non-dropping-particle" : "", "parse-names" : false, "suffix" : "" }, { "dropping-particle" : "", "family" : "Dean", "given" : "Douglas C.", "non-dropping-particle" : "", "parse-names" : false, "suffix" : "" }, { "dropping-particle" : "", "family" : "D'Arpino", "given" : "Sara", "non-dropping-particle" : "", "parse-names" : false, "suffix" : "" }, { "dropping-particle" : "", "family" : "Dirks", "given" : "Holly", "non-dropping-particle" : "", "parse-names" : false, "suffix" : "" }, { "dropping-particle" : "", "family" : "Whiley", "given" : "Dannielle", "non-dropping-particle" : "", "parse-names" : false, "suffix" : "" }, { "dropping-particle" : "", "family" : "Deoni", "given" : "Sean C.L.", "non-dropping-particle" : "", "parse-names" : false, "suffix" : "" } ], "container-title" : "NeuroImage", "id" : "ITEM-1", "issued" : { "date-parts" : [ [ "2017", "6" ] ] }, "page" : "246-261", "title" : "Quantifying cortical development in typically developing toddlers and young children, 1\u20136 years of age", "type" : "article-journal", "volume" : "153" }, "uris" : [ "http://www.mendeley.com/documents/?uuid=3ef0185e-b84e-33dd-854e-cf9d3bbcacc0" ] } ], "mendeley" : { "formattedCitation" : "(Remer et al., 2017)", "manualFormatting" : "(1-6 years of age; Remer et al., 2017)", "plainTextFormattedCitation" : "(Remer et al., 2017)", "previouslyFormattedCitation" : "(Remer et al., 2017)" }, "properties" : {  }, "schema" : "https://github.com/citation-style-language/schema/raw/master/csl-citation.json" }</w:instrText>
      </w:r>
      <w:r w:rsidR="000144F5" w:rsidRPr="002C3E85">
        <w:rPr>
          <w:rFonts w:ascii="Times New Roman" w:hAnsi="Times New Roman" w:cs="Times New Roman"/>
          <w:sz w:val="24"/>
          <w:szCs w:val="24"/>
          <w:lang w:val="en-GB"/>
        </w:rPr>
        <w:fldChar w:fldCharType="separate"/>
      </w:r>
      <w:r w:rsidR="000144F5" w:rsidRPr="002C3E85">
        <w:rPr>
          <w:rFonts w:ascii="Times New Roman" w:hAnsi="Times New Roman" w:cs="Times New Roman"/>
          <w:noProof/>
          <w:sz w:val="24"/>
          <w:szCs w:val="24"/>
          <w:lang w:val="en-GB"/>
        </w:rPr>
        <w:t>(</w:t>
      </w:r>
      <w:r w:rsidR="00762B27" w:rsidRPr="002C3E85">
        <w:rPr>
          <w:rFonts w:ascii="Times New Roman" w:hAnsi="Times New Roman" w:cs="Times New Roman"/>
          <w:noProof/>
          <w:sz w:val="24"/>
          <w:szCs w:val="24"/>
          <w:lang w:val="en-GB"/>
        </w:rPr>
        <w:t xml:space="preserve">1-6 years of age; </w:t>
      </w:r>
      <w:r w:rsidR="000144F5" w:rsidRPr="002C3E85">
        <w:rPr>
          <w:rFonts w:ascii="Times New Roman" w:hAnsi="Times New Roman" w:cs="Times New Roman"/>
          <w:noProof/>
          <w:sz w:val="24"/>
          <w:szCs w:val="24"/>
          <w:lang w:val="en-GB"/>
        </w:rPr>
        <w:t>Remer et al., 2017)</w:t>
      </w:r>
      <w:r w:rsidR="000144F5" w:rsidRPr="002C3E85">
        <w:rPr>
          <w:rFonts w:ascii="Times New Roman" w:hAnsi="Times New Roman" w:cs="Times New Roman"/>
          <w:sz w:val="24"/>
          <w:szCs w:val="24"/>
          <w:lang w:val="en-GB"/>
        </w:rPr>
        <w:fldChar w:fldCharType="end"/>
      </w:r>
      <w:r w:rsidR="000144F5" w:rsidRPr="002C3E85">
        <w:rPr>
          <w:rFonts w:ascii="Times New Roman" w:hAnsi="Times New Roman" w:cs="Times New Roman"/>
          <w:sz w:val="24"/>
          <w:szCs w:val="24"/>
          <w:lang w:val="en-GB"/>
        </w:rPr>
        <w:t>, and</w:t>
      </w:r>
      <w:r w:rsidR="00046508" w:rsidRPr="002C3E85">
        <w:rPr>
          <w:rFonts w:ascii="Times New Roman" w:hAnsi="Times New Roman" w:cs="Times New Roman"/>
          <w:sz w:val="24"/>
          <w:szCs w:val="24"/>
          <w:lang w:val="en-GB"/>
        </w:rPr>
        <w:t xml:space="preserve"> to remain relatively stable from thereafter</w:t>
      </w:r>
      <w:r w:rsidR="00AF3035" w:rsidRPr="002C3E85">
        <w:rPr>
          <w:rFonts w:ascii="Times New Roman" w:hAnsi="Times New Roman" w:cs="Times New Roman"/>
          <w:sz w:val="24"/>
          <w:szCs w:val="24"/>
          <w:lang w:val="en-GB"/>
        </w:rPr>
        <w:t xml:space="preserve"> </w:t>
      </w:r>
      <w:r w:rsidR="00AF303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"10.1523/JNEUROSCI.3302-16.2017", "ISSN" : "0270-6474", "PMID" : "28242797", "abstract" : "Before we can assess and interpret how developmental changes in human brain structure relate to cognition, affect, and motivation, and how these processes are perturbed in clinical or at-risk populations, we must first precisely understand typical brain development and how changes in different structural components relate to each other. We conducted a multisample magnetic resonance imaging study to investigate the development of cortical volume, surface area, and thickness, as well as their inter-relationships, from late childhood to early adulthood (7-29 years) using four separate longitudinal samples including 388 participants and 854 total scans. These independent datasets were processed and quality-controlled using the same methods, but analyzed separately to study the replicability of the results across sample and image-acquisition characteristics. The results consistently showed widespread and regionally variable nonlinear decreases in cortical volume and thickness and comparably smaller steady decreases in surface area. Further, the dominant contributor to cortical volume reductions during adolescence was thinning. Finally, complex regional and topological patterns of associations between changes in surface area and thickness were observed. Positive relationships were seen in sulcal regions in prefrontal and temporal cortices, while negative relationships were seen mainly in gyral regions in more posterior cortices. Collectively, these results help resolve previous inconsistencies regarding the structural development of the cerebral cortex from childhood to adulthood, and provide novel insight into how changes in the different dimensions of the cortex in this period of life are inter-related.SIGNIFICANCE STATEMENTDifferent measures of brain anatomy develop differently across adolescence. Their precise trajectories and how they relate to each other throughout development are important to know if we are to fully understand both typical development and disorders involving aberrant brain development. However, our understanding of such trajectories and relationships is still incomplete. To provide accurate characterizations of how different measures of cortical structure develop, we performed an MRI investigation across four independent datasets. The most profound anatomical change in the cortex during adolescence was thinning, with the largest decreases observed in the parietal lobe. There were complex regional patterns of associations between change\u2026", "author" : [ { "dropping-particle" : "", "family" : "Tamnes", "given" : "Christian K.", "non-dropping-particle" : "", "parse-names" : false, "suffix" : "" }, { "dropping-particle" : "", "family" : "Herting", "given" : "Megan M.", "non-dropping-particle" : "", "parse-names" : false, "suffix" : "" }, { "dropping-particle" : "", "family" : "Goddings", "given" : "Anne-Lise", "non-dropping-particle" : "", "parse-names" : false, "suffix" : "" }, { "dropping-particle" : "", "family" : "Meuwese", "given" : "Rosa", "non-dropping-particle" : "", "parse-names" : false, "suffix" : "" }, { "dropping-particle" : "", "family" : "Blakemore", "given" : "Sarah-Jayne", "non-dropping-particle" : "", "parse-names" : false, "suffix" : "" }, { "dropping-particle" : "", "family" : "Dahl", "given" : "Ronald E.", "non-dropping-particle" : "", "parse-names" : false, "suffix" : "" }, { "dropping-particle" : "", "family" : "G\u00fcro\u011flu", "given" : "Berna", "non-dropping-particle" : "", "parse-names" : false, "suffix" : "" }, { "dropping-particle" : "", "family" : "Raznahan", "given" : "Armin", "non-dropping-particle" : "", "parse-names" : false, "suffix" : "" }, { "dropping-particle" : "", "family" : "Sowell", "given" : "Elizabeth R.", "non-dropping-particle" : "", "parse-names" : false, "suffix" : "" }, { "dropping-particle" : "", "family" : "Crone", "given" : "Eveline A.", "non-dropping-particle" : "", "parse-names" : false, "suffix" : "" }, { "dropping-particle" : "", "family" : "Mills", "given" : "Kathryn L.", "non-dropping-particle" : "", "parse-names" : false, "suffix" : "" } ], "container-title" : "The Journal of Neuroscience", "id" : "ITEM-1", "issue" : "12", "issued" : { "date-parts" : [ [ "2017", "3", "22" ] ] }, "page" : "3402-3412", "title" : "Development of the Cerebral Cortex across Adolescence: A Multisample Study of Inter-Related Longitudinal Changes in Cortical Volume, Surface Area, and Thickness", "type" : "article-journal", "volume" : "37" }, "uris" : [ "http://www.mendeley.com/documents/?uuid=8221229d-8f38-3559-92e2-232a95e10540" ] } ], "mendeley" : { "formattedCitation" : "(Tamnes et al., 2017)", "plainTextFormattedCitation" : "(Tamnes et al., 2017)", "previouslyFormattedCitation" : "(Tamnes et al., 2017)" }, "properties" : {  }, "schema" : "https://github.com/citation-style-language/schema/raw/master/csl-citation.json" }</w:instrText>
      </w:r>
      <w:r w:rsidR="00AF3035" w:rsidRPr="002C3E85">
        <w:rPr>
          <w:rFonts w:ascii="Times New Roman" w:hAnsi="Times New Roman" w:cs="Times New Roman"/>
          <w:sz w:val="24"/>
          <w:szCs w:val="24"/>
          <w:lang w:val="en-GB"/>
        </w:rPr>
        <w:fldChar w:fldCharType="separate"/>
      </w:r>
      <w:r w:rsidR="00AF3035" w:rsidRPr="002C3E85">
        <w:rPr>
          <w:rFonts w:ascii="Times New Roman" w:hAnsi="Times New Roman" w:cs="Times New Roman"/>
          <w:noProof/>
          <w:sz w:val="24"/>
          <w:szCs w:val="24"/>
          <w:lang w:val="en-GB"/>
        </w:rPr>
        <w:t>(Tamnes et al., 2017)</w:t>
      </w:r>
      <w:r w:rsidR="00AF3035" w:rsidRPr="002C3E85">
        <w:rPr>
          <w:rFonts w:ascii="Times New Roman" w:hAnsi="Times New Roman" w:cs="Times New Roman"/>
          <w:sz w:val="24"/>
          <w:szCs w:val="24"/>
          <w:lang w:val="en-GB"/>
        </w:rPr>
        <w:fldChar w:fldCharType="end"/>
      </w:r>
      <w:r w:rsidR="00046508" w:rsidRPr="002C3E85">
        <w:rPr>
          <w:rFonts w:ascii="Times New Roman" w:hAnsi="Times New Roman" w:cs="Times New Roman"/>
          <w:sz w:val="24"/>
          <w:szCs w:val="24"/>
          <w:lang w:val="en-GB"/>
        </w:rPr>
        <w:t xml:space="preserve">. Cortical thickness, on the other hand, </w:t>
      </w:r>
      <w:r w:rsidR="00EA42A5" w:rsidRPr="002C3E85">
        <w:rPr>
          <w:rFonts w:ascii="Times New Roman" w:hAnsi="Times New Roman" w:cs="Times New Roman"/>
          <w:sz w:val="24"/>
          <w:szCs w:val="24"/>
          <w:lang w:val="en-GB"/>
        </w:rPr>
        <w:t xml:space="preserve">appears </w:t>
      </w:r>
      <w:r w:rsidR="002B131C" w:rsidRPr="002C3E85">
        <w:rPr>
          <w:rFonts w:ascii="Times New Roman" w:hAnsi="Times New Roman" w:cs="Times New Roman"/>
          <w:sz w:val="24"/>
          <w:szCs w:val="24"/>
          <w:lang w:val="en-GB"/>
        </w:rPr>
        <w:t>well</w:t>
      </w:r>
      <w:r w:rsidR="00EF2E90" w:rsidRPr="002C3E85">
        <w:rPr>
          <w:rFonts w:ascii="Times New Roman" w:hAnsi="Times New Roman" w:cs="Times New Roman"/>
          <w:sz w:val="24"/>
          <w:szCs w:val="24"/>
          <w:lang w:val="en-GB"/>
        </w:rPr>
        <w:t xml:space="preserve"> established </w:t>
      </w:r>
      <w:r w:rsidR="00EA42A5" w:rsidRPr="002C3E85">
        <w:rPr>
          <w:rFonts w:ascii="Times New Roman" w:hAnsi="Times New Roman" w:cs="Times New Roman"/>
          <w:sz w:val="24"/>
          <w:szCs w:val="24"/>
          <w:lang w:val="en-GB"/>
        </w:rPr>
        <w:t>at birth</w:t>
      </w:r>
      <w:r w:rsidR="00EF2E90" w:rsidRPr="002C3E85">
        <w:rPr>
          <w:rFonts w:ascii="Times New Roman" w:hAnsi="Times New Roman" w:cs="Times New Roman"/>
          <w:sz w:val="24"/>
          <w:szCs w:val="24"/>
          <w:lang w:val="en-GB"/>
        </w:rPr>
        <w:t xml:space="preserve"> </w:t>
      </w:r>
      <w:r w:rsidR="00EF2E90" w:rsidRPr="002C3E85">
        <w:rPr>
          <w:rFonts w:ascii="Times New Roman" w:hAnsi="Times New Roman" w:cs="Times New Roman"/>
          <w:sz w:val="24"/>
          <w:szCs w:val="24"/>
          <w:lang w:val="en-GB"/>
        </w:rPr>
        <w:fldChar w:fldCharType="begin" w:fldLock="1"/>
      </w:r>
      <w:r w:rsidR="00EF2E90" w:rsidRPr="002C3E85">
        <w:rPr>
          <w:rFonts w:ascii="Times New Roman" w:hAnsi="Times New Roman" w:cs="Times New Roman"/>
          <w:sz w:val="24"/>
          <w:szCs w:val="24"/>
          <w:lang w:val="en-GB"/>
        </w:rPr>
        <w:instrText>ADDIN CSL_CITATION { "citationItems" : [ { "id" : "ITEM-1", "itemData" : { "DOI" : "10.1093/cercor/bhu027", "ISSN" : "14602199", "PMID" : "24591525", "abstract" : "Cortical thickness (CT) and surface area (SA) are altered in many neuropsychiatric disorders and are correlated with cognitive functioning. Little is known about how these components of cortical gray matter develop in the first years of life. We studied the longitudinal development of regional CT and SA expansion in healthy infants from birth to 2 years. CT and SA have distinct and heterogeneous patterns of development that are exceptionally dynamic; overall CT increases by an average of 36.1%, while cortical SA increases 114.6%. By age 2, CT is on average 97% of adult values, compared with SA, which is 69%. This suggests that early identification, prevention, and intervention strategies for neuropsychiatric illness need to be targeted to this period of rapid postnatal brain development, and that SA expansion is the principal driving factor in cortical volume after 2 years of age.", "author" : [ { "dropping-particle" : "", "family" : "Lyall", "given" : "Amanda E", "non-dropping-particle" : "", "parse-names" : false, "suffix" : "" }, { "dropping-particle" : "", "family" : "Shi", "given" : "Feng", "non-dropping-particle" : "", "parse-names" : false, "suffix" : "" }, { "dropping-particle" : "", "family" : "Geng", "given" : "Xiujuan", "non-dropping-particle" : "", "parse-names" : false, "suffix" : "" }, { "dropping-particle" : "", "family" : "Woolson", "given" : "Sandra", "non-dropping-particle" : "", "parse-names" : false, "suffix" : "" }, { "dropping-particle" : "", "family" : "Li", "given" : "Gang", "non-dropping-particle" : "", "parse-names" : false, "suffix" : "" }, { "dropping-particle" : "", "family" : "Wang", "given" : "Li", "non-dropping-particle" : "", "parse-names" : false, "suffix" : "" }, { "dropping-particle" : "", "family" : "Hamer", "given" : "Robert M", "non-dropping-particle" : "", "parse-names" : false, "suffix" : "" }, { "dropping-particle" : "", "family" : "Shen", "given" : "Dinggang", "non-dropping-particle" : "", "parse-names" : false, "suffix" : "" }, { "dropping-particle" : "", "family" : "Gilmore", "given" : "John H", "non-dropping-particle" : "", "parse-names" : false, "suffix" : "" } ], "container-title" : "Cerebral Cortex", "id" : "ITEM-1", "issue" : "8", "issued" : { "date-parts" : [ [ "2015", "8" ] ] }, "page" : "2204-2212", "publisher" : "Oxford University Press", "title" : "Dynamic Development of Regional Cortical Thickness and Surface Area in Early Childhood", "type" : "article-journal", "volume" : "25" }, "uris" : [ "http://www.mendeley.com/documents/?uuid=11ae4384-e94a-3bed-8378-3a84fac82b1e" ] } ], "mendeley" : { "formattedCitation" : "(Lyall et al., 2015)", "plainTextFormattedCitation" : "(Lyall et al., 2015)", "previouslyFormattedCitation" : "(Lyall et al., 2015)" }, "properties" : {  }, "schema" : "https://github.com/citation-style-language/schema/raw/master/csl-citation.json" }</w:instrText>
      </w:r>
      <w:r w:rsidR="00EF2E90" w:rsidRPr="002C3E85">
        <w:rPr>
          <w:rFonts w:ascii="Times New Roman" w:hAnsi="Times New Roman" w:cs="Times New Roman"/>
          <w:sz w:val="24"/>
          <w:szCs w:val="24"/>
          <w:lang w:val="en-GB"/>
        </w:rPr>
        <w:fldChar w:fldCharType="separate"/>
      </w:r>
      <w:r w:rsidR="00EF2E90" w:rsidRPr="002C3E85">
        <w:rPr>
          <w:rFonts w:ascii="Times New Roman" w:hAnsi="Times New Roman" w:cs="Times New Roman"/>
          <w:noProof/>
          <w:sz w:val="24"/>
          <w:szCs w:val="24"/>
          <w:lang w:val="en-GB"/>
        </w:rPr>
        <w:t>(Lyall et al., 2015)</w:t>
      </w:r>
      <w:r w:rsidR="00EF2E90" w:rsidRPr="002C3E85">
        <w:rPr>
          <w:rFonts w:ascii="Times New Roman" w:hAnsi="Times New Roman" w:cs="Times New Roman"/>
          <w:sz w:val="24"/>
          <w:szCs w:val="24"/>
          <w:lang w:val="en-GB"/>
        </w:rPr>
        <w:fldChar w:fldCharType="end"/>
      </w:r>
      <w:r w:rsidR="00774F15" w:rsidRPr="002C3E85">
        <w:rPr>
          <w:rFonts w:ascii="Times New Roman" w:hAnsi="Times New Roman" w:cs="Times New Roman"/>
          <w:sz w:val="24"/>
          <w:szCs w:val="24"/>
          <w:lang w:val="en-GB"/>
        </w:rPr>
        <w:t>,</w:t>
      </w:r>
      <w:r w:rsidR="00EF2E90" w:rsidRPr="002C3E85">
        <w:rPr>
          <w:rFonts w:ascii="Times New Roman" w:hAnsi="Times New Roman" w:cs="Times New Roman"/>
          <w:sz w:val="24"/>
          <w:szCs w:val="24"/>
          <w:lang w:val="en-GB"/>
        </w:rPr>
        <w:t xml:space="preserve"> bu</w:t>
      </w:r>
      <w:r w:rsidR="00774F15" w:rsidRPr="002C3E85">
        <w:rPr>
          <w:rFonts w:ascii="Times New Roman" w:hAnsi="Times New Roman" w:cs="Times New Roman"/>
          <w:sz w:val="24"/>
          <w:szCs w:val="24"/>
          <w:lang w:val="en-GB"/>
        </w:rPr>
        <w:t xml:space="preserve">t has been </w:t>
      </w:r>
      <w:r w:rsidR="00304CE1" w:rsidRPr="002C3E85">
        <w:rPr>
          <w:rFonts w:ascii="Times New Roman" w:hAnsi="Times New Roman" w:cs="Times New Roman"/>
          <w:sz w:val="24"/>
          <w:szCs w:val="24"/>
          <w:lang w:val="en-GB"/>
        </w:rPr>
        <w:t>suggested</w:t>
      </w:r>
      <w:r w:rsidR="00774F15" w:rsidRPr="002C3E85">
        <w:rPr>
          <w:rFonts w:ascii="Times New Roman" w:hAnsi="Times New Roman" w:cs="Times New Roman"/>
          <w:sz w:val="24"/>
          <w:szCs w:val="24"/>
          <w:lang w:val="en-GB"/>
        </w:rPr>
        <w:t xml:space="preserve"> </w:t>
      </w:r>
      <w:r w:rsidR="00046508" w:rsidRPr="002C3E85">
        <w:rPr>
          <w:rFonts w:ascii="Times New Roman" w:hAnsi="Times New Roman" w:cs="Times New Roman"/>
          <w:sz w:val="24"/>
          <w:szCs w:val="24"/>
          <w:lang w:val="en-GB"/>
        </w:rPr>
        <w:t xml:space="preserve">to alter dynamically across the entire life span in response to experience-dependent learning </w:t>
      </w:r>
      <w:r w:rsidR="00046508"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"10.1093/cercor/bht094", "ISBN" : "1460-2199 (Electronic)\\r1047-3211 (Linking)", "ISSN" : "14602199", "PMID" : "23645712", "abstract" : "This investigation provides an analysis of structural asymmetries in 5 anatomically defined regions (Heschl's gyrus, HG; Heschl's sulcus, HS; planum temporale, PT; planum polare, PP; superior temporal gyrus, STG) within the human auditory-related cortex. Volumetric 3-dimensional T1-weighted magnetic resonance imaging scans were collected from 104 participants (52 males). Cortical volume (CV), cortical thickness (CT), and cortical surface area (CSA) were calculated based on individual scans of these anatomical traits. This investigation demonstrates a leftward asymmetry for CV and CSA that is observed in the HG, STG, and PT regions. As regards CT, we note a rightward asymmetry in the HG and HS. A correlation analysis of asymmetry indices between measurements for distinct regions of interest (ROIs) yields significant correlations between CT and CV in 4 of 5 ROIs (HG, HS, PT, and STG). Significant correlation values between CSA and CV are observed for all 5 ROIs. The findings suggest that auditory-related cortical areas demonstrate larger leftward asymmetry with respect to the CSA, while a clear rightward asymmetry with respect to CT is salient in both the primary and the secondary auditory cortex only. In addition, we propose that CV is not an ideal neuromarker for anatomical measurements. CT and CSA should be considered independent traits of anatomical asymmetries in the auditory-related cortex.", "author" : [ { "dropping-particle" : "", "family" : "Meyer", "given" : "Martin", "non-dropping-particle" : "", "parse-names" : false, "suffix" : "" }, { "dropping-particle" : "", "family" : "Liem", "given" : "Franziskus", "non-dropping-particle" : "", "parse-names" : false, "suffix" : "" }, { "dropping-particle" : "", "family" : "Hirsiger", "given" : "Sarah", "non-dropping-particle" : "", "parse-names" : false, "suffix" : "" }, { "dropping-particle" : "", "family" : "J??ncke", "given" : "Lutz", "non-dropping-particle" : "", "parse-names" : false, "suffix" : "" }, { "dropping-particle" : "", "family" : "H??nggi", "given" : "J??rgen", "non-dropping-particle" : "", "parse-names" : false, "suffix" : "" } ], "container-title" : "Cerebral Cortex", "id" : "ITEM-1", "issue" : "10", "issued" : { "date-parts" : [ [ "2014" ] ] }, "page" : "2541-2552", "title" : "Cortical surface area and cortical thickness demonstrate differential structural asymmetry in auditory-related areas of the human cortex", "type" : "article-journal", "volume" : "24" }, "uris" : [ "http://www.mendeley.com/documents/?uuid=ca8c032a-cf1e-42b2-8c78-53acfade6f2e" ] } ], "mendeley" : { "formattedCitation" : "(Meyer et al., 2014)", "plainTextFormattedCitation" : "(Meyer et al., 2014)", "previouslyFormattedCitation" : "(Meyer et al., 2014)" }, "properties" : {  }, "schema" : "https://github.com/citation-style-language/schema/raw/master/csl-citation.json" }</w:instrText>
      </w:r>
      <w:r w:rsidR="00046508" w:rsidRPr="002C3E85">
        <w:rPr>
          <w:rFonts w:ascii="Times New Roman" w:hAnsi="Times New Roman" w:cs="Times New Roman"/>
          <w:sz w:val="24"/>
          <w:szCs w:val="24"/>
          <w:lang w:val="en-GB"/>
        </w:rPr>
        <w:fldChar w:fldCharType="separate"/>
      </w:r>
      <w:r w:rsidR="009E21C8" w:rsidRPr="002C3E85">
        <w:rPr>
          <w:rFonts w:ascii="Times New Roman" w:hAnsi="Times New Roman" w:cs="Times New Roman"/>
          <w:noProof/>
          <w:sz w:val="24"/>
          <w:szCs w:val="24"/>
          <w:lang w:val="en-GB"/>
        </w:rPr>
        <w:t>(Meyer et al., 2014)</w:t>
      </w:r>
      <w:r w:rsidR="00046508" w:rsidRPr="002C3E85">
        <w:rPr>
          <w:rFonts w:ascii="Times New Roman" w:hAnsi="Times New Roman" w:cs="Times New Roman"/>
          <w:sz w:val="24"/>
          <w:szCs w:val="24"/>
          <w:lang w:val="en-GB"/>
        </w:rPr>
        <w:fldChar w:fldCharType="end"/>
      </w:r>
      <w:r w:rsidR="00046508" w:rsidRPr="002C3E85">
        <w:rPr>
          <w:rFonts w:ascii="Times New Roman" w:hAnsi="Times New Roman" w:cs="Times New Roman"/>
          <w:sz w:val="24"/>
          <w:szCs w:val="24"/>
          <w:lang w:val="en-GB"/>
        </w:rPr>
        <w:t>.</w:t>
      </w:r>
      <w:r w:rsidR="00120F9C" w:rsidRPr="002C3E85">
        <w:rPr>
          <w:rFonts w:ascii="Times New Roman" w:hAnsi="Times New Roman" w:cs="Times New Roman"/>
          <w:sz w:val="24"/>
          <w:szCs w:val="24"/>
          <w:lang w:val="en-GB"/>
        </w:rPr>
        <w:t xml:space="preserve"> </w:t>
      </w:r>
      <w:r w:rsidR="00D954FF" w:rsidRPr="002C3E85">
        <w:rPr>
          <w:rFonts w:ascii="Times New Roman" w:hAnsi="Times New Roman" w:cs="Times New Roman"/>
          <w:sz w:val="24"/>
          <w:szCs w:val="24"/>
          <w:lang w:val="en-GB"/>
        </w:rPr>
        <w:t>As</w:t>
      </w:r>
      <w:r w:rsidR="00CF2212" w:rsidRPr="002C3E85">
        <w:rPr>
          <w:rFonts w:ascii="Times New Roman" w:hAnsi="Times New Roman" w:cs="Times New Roman"/>
          <w:sz w:val="24"/>
          <w:szCs w:val="24"/>
          <w:lang w:val="en-GB"/>
        </w:rPr>
        <w:t xml:space="preserve"> the brain is considered to be particularly susceptible to the effects of the environment during periods of rapid </w:t>
      </w:r>
      <w:r w:rsidR="00CF2212" w:rsidRPr="002C3E85">
        <w:rPr>
          <w:rFonts w:ascii="Times New Roman" w:hAnsi="Times New Roman" w:cs="Times New Roman"/>
          <w:sz w:val="24"/>
          <w:szCs w:val="24"/>
          <w:lang w:val="en-GB"/>
        </w:rPr>
        <w:lastRenderedPageBreak/>
        <w:t>growth</w:t>
      </w:r>
      <w:r w:rsidR="006B4036" w:rsidRPr="002C3E85">
        <w:rPr>
          <w:rFonts w:ascii="Times New Roman" w:hAnsi="Times New Roman" w:cs="Times New Roman"/>
          <w:sz w:val="24"/>
          <w:szCs w:val="24"/>
          <w:lang w:val="en-GB"/>
        </w:rPr>
        <w:t xml:space="preserve"> </w:t>
      </w:r>
      <w:r w:rsidR="006B4036" w:rsidRPr="002C3E85">
        <w:rPr>
          <w:rFonts w:ascii="Times New Roman" w:hAnsi="Times New Roman" w:cs="Times New Roman"/>
          <w:sz w:val="24"/>
          <w:szCs w:val="24"/>
          <w:lang w:val="en-GB"/>
        </w:rPr>
        <w:fldChar w:fldCharType="begin" w:fldLock="1"/>
      </w:r>
      <w:r w:rsidR="006B4036" w:rsidRPr="002C3E85">
        <w:rPr>
          <w:rFonts w:ascii="Times New Roman" w:hAnsi="Times New Roman" w:cs="Times New Roman"/>
          <w:sz w:val="24"/>
          <w:szCs w:val="24"/>
          <w:lang w:val="en-GB"/>
        </w:rPr>
        <w:instrText>ADDIN CSL_CITATION { "citationItems" : [ { "id" : "ITEM-1", "itemData" : { "DOI" : "10.1093/cercor/bhu027", "ISSN" : "14602199", "PMID" : "24591525", "abstract" : "Cortical thickness (CT) and surface area (SA) are altered in many neuropsychiatric disorders and are correlated with cognitive functioning. Little is known about how these components of cortical gray matter develop in the first years of life. We studied the longitudinal development of regional CT and SA expansion in healthy infants from birth to 2 years. CT and SA have distinct and heterogeneous patterns of development that are exceptionally dynamic; overall CT increases by an average of 36.1%, while cortical SA increases 114.6%. By age 2, CT is on average 97% of adult values, compared with SA, which is 69%. This suggests that early identification, prevention, and intervention strategies for neuropsychiatric illness need to be targeted to this period of rapid postnatal brain development, and that SA expansion is the principal driving factor in cortical volume after 2 years of age.", "author" : [ { "dropping-particle" : "", "family" : "Lyall", "given" : "Amanda E", "non-dropping-particle" : "", "parse-names" : false, "suffix" : "" }, { "dropping-particle" : "", "family" : "Shi", "given" : "Feng", "non-dropping-particle" : "", "parse-names" : false, "suffix" : "" }, { "dropping-particle" : "", "family" : "Geng", "given" : "Xiujuan", "non-dropping-particle" : "", "parse-names" : false, "suffix" : "" }, { "dropping-particle" : "", "family" : "Woolson", "given" : "Sandra", "non-dropping-particle" : "", "parse-names" : false, "suffix" : "" }, { "dropping-particle" : "", "family" : "Li", "given" : "Gang", "non-dropping-particle" : "", "parse-names" : false, "suffix" : "" }, { "dropping-particle" : "", "family" : "Wang", "given" : "Li", "non-dropping-particle" : "", "parse-names" : false, "suffix" : "" }, { "dropping-particle" : "", "family" : "Hamer", "given" : "Robert M", "non-dropping-particle" : "", "parse-names" : false, "suffix" : "" }, { "dropping-particle" : "", "family" : "Shen", "given" : "Dinggang", "non-dropping-particle" : "", "parse-names" : false, "suffix" : "" }, { "dropping-particle" : "", "family" : "Gilmore", "given" : "John H", "non-dropping-particle" : "", "parse-names" : false, "suffix" : "" } ], "container-title" : "Cerebral Cortex", "id" : "ITEM-1", "issue" : "8", "issued" : { "date-parts" : [ [ "2015", "8" ] ] }, "page" : "2204-2212", "publisher" : "Oxford University Press", "title" : "Dynamic Development of Regional Cortical Thickness and Surface Area in Early Childhood", "type" : "article-journal", "volume" : "25" }, "uris" : [ "http://www.mendeley.com/documents/?uuid=11ae4384-e94a-3bed-8378-3a84fac82b1e" ] } ], "mendeley" : { "formattedCitation" : "(Lyall et al., 2015)", "plainTextFormattedCitation" : "(Lyall et al., 2015)", "previouslyFormattedCitation" : "(Lyall et al., 2015)" }, "properties" : {  }, "schema" : "https://github.com/citation-style-language/schema/raw/master/csl-citation.json" }</w:instrText>
      </w:r>
      <w:r w:rsidR="006B4036" w:rsidRPr="002C3E85">
        <w:rPr>
          <w:rFonts w:ascii="Times New Roman" w:hAnsi="Times New Roman" w:cs="Times New Roman"/>
          <w:sz w:val="24"/>
          <w:szCs w:val="24"/>
          <w:lang w:val="en-GB"/>
        </w:rPr>
        <w:fldChar w:fldCharType="separate"/>
      </w:r>
      <w:r w:rsidR="006B4036" w:rsidRPr="002C3E85">
        <w:rPr>
          <w:rFonts w:ascii="Times New Roman" w:hAnsi="Times New Roman" w:cs="Times New Roman"/>
          <w:noProof/>
          <w:sz w:val="24"/>
          <w:szCs w:val="24"/>
          <w:lang w:val="en-GB"/>
        </w:rPr>
        <w:t>(Lyall et al., 2015)</w:t>
      </w:r>
      <w:r w:rsidR="006B4036" w:rsidRPr="002C3E85">
        <w:rPr>
          <w:rFonts w:ascii="Times New Roman" w:hAnsi="Times New Roman" w:cs="Times New Roman"/>
          <w:sz w:val="24"/>
          <w:szCs w:val="24"/>
          <w:lang w:val="en-GB"/>
        </w:rPr>
        <w:fldChar w:fldCharType="end"/>
      </w:r>
      <w:r w:rsidR="00CF2212" w:rsidRPr="002C3E85">
        <w:rPr>
          <w:rFonts w:ascii="Times New Roman" w:hAnsi="Times New Roman" w:cs="Times New Roman"/>
          <w:sz w:val="24"/>
          <w:szCs w:val="24"/>
          <w:lang w:val="en-GB"/>
        </w:rPr>
        <w:t>,</w:t>
      </w:r>
      <w:r w:rsidR="000D08DA" w:rsidRPr="002C3E85">
        <w:rPr>
          <w:rFonts w:ascii="Times New Roman" w:hAnsi="Times New Roman" w:cs="Times New Roman"/>
          <w:sz w:val="24"/>
          <w:szCs w:val="24"/>
          <w:lang w:val="en-GB"/>
        </w:rPr>
        <w:t xml:space="preserve"> </w:t>
      </w:r>
      <w:r w:rsidR="00A225B9" w:rsidRPr="002C3E85">
        <w:rPr>
          <w:rFonts w:ascii="Times New Roman" w:hAnsi="Times New Roman" w:cs="Times New Roman"/>
          <w:sz w:val="24"/>
          <w:szCs w:val="24"/>
          <w:lang w:val="en-GB"/>
        </w:rPr>
        <w:t xml:space="preserve">early acquisition of two languages could </w:t>
      </w:r>
      <w:r w:rsidR="00FB055A" w:rsidRPr="002C3E85">
        <w:rPr>
          <w:rFonts w:ascii="Times New Roman" w:hAnsi="Times New Roman" w:cs="Times New Roman"/>
          <w:sz w:val="24"/>
          <w:szCs w:val="24"/>
          <w:lang w:val="en-GB"/>
        </w:rPr>
        <w:t xml:space="preserve">be </w:t>
      </w:r>
      <w:r w:rsidR="000D08DA" w:rsidRPr="002C3E85">
        <w:rPr>
          <w:rFonts w:ascii="Times New Roman" w:hAnsi="Times New Roman" w:cs="Times New Roman"/>
          <w:sz w:val="24"/>
          <w:szCs w:val="24"/>
          <w:lang w:val="en-GB"/>
        </w:rPr>
        <w:t>hypothesised</w:t>
      </w:r>
      <w:r w:rsidR="00FB055A" w:rsidRPr="002C3E85">
        <w:rPr>
          <w:rFonts w:ascii="Times New Roman" w:hAnsi="Times New Roman" w:cs="Times New Roman"/>
          <w:sz w:val="24"/>
          <w:szCs w:val="24"/>
          <w:lang w:val="en-GB"/>
        </w:rPr>
        <w:t xml:space="preserve"> to induce GM changes that are predominantly surface area-driven, whereas acqui</w:t>
      </w:r>
      <w:r w:rsidR="00FE5238" w:rsidRPr="002C3E85">
        <w:rPr>
          <w:rFonts w:ascii="Times New Roman" w:hAnsi="Times New Roman" w:cs="Times New Roman"/>
          <w:sz w:val="24"/>
          <w:szCs w:val="24"/>
          <w:lang w:val="en-GB"/>
        </w:rPr>
        <w:t>ring an L2</w:t>
      </w:r>
      <w:r w:rsidR="003E2F03" w:rsidRPr="002C3E85">
        <w:rPr>
          <w:rFonts w:ascii="Times New Roman" w:hAnsi="Times New Roman" w:cs="Times New Roman"/>
          <w:sz w:val="24"/>
          <w:szCs w:val="24"/>
          <w:lang w:val="en-GB"/>
        </w:rPr>
        <w:t xml:space="preserve"> </w:t>
      </w:r>
      <w:r w:rsidR="00FE5238" w:rsidRPr="002C3E85">
        <w:rPr>
          <w:rFonts w:ascii="Times New Roman" w:hAnsi="Times New Roman" w:cs="Times New Roman"/>
          <w:sz w:val="24"/>
          <w:szCs w:val="24"/>
          <w:lang w:val="en-GB"/>
        </w:rPr>
        <w:t xml:space="preserve">later in life, </w:t>
      </w:r>
      <w:r w:rsidR="003E2F03" w:rsidRPr="002C3E85">
        <w:rPr>
          <w:rFonts w:ascii="Times New Roman" w:hAnsi="Times New Roman" w:cs="Times New Roman"/>
          <w:sz w:val="24"/>
          <w:szCs w:val="24"/>
          <w:lang w:val="en-GB"/>
        </w:rPr>
        <w:t>after</w:t>
      </w:r>
      <w:r w:rsidR="00FE5238" w:rsidRPr="002C3E85">
        <w:rPr>
          <w:rFonts w:ascii="Times New Roman" w:hAnsi="Times New Roman" w:cs="Times New Roman"/>
          <w:sz w:val="24"/>
          <w:szCs w:val="24"/>
          <w:lang w:val="en-GB"/>
        </w:rPr>
        <w:t xml:space="preserve"> surface area development has already been largely set,</w:t>
      </w:r>
      <w:r w:rsidR="003E2F03" w:rsidRPr="002C3E85">
        <w:rPr>
          <w:rFonts w:ascii="Times New Roman" w:hAnsi="Times New Roman" w:cs="Times New Roman"/>
          <w:sz w:val="24"/>
          <w:szCs w:val="24"/>
          <w:lang w:val="en-GB"/>
        </w:rPr>
        <w:t xml:space="preserve"> </w:t>
      </w:r>
      <w:r w:rsidR="00E0072F" w:rsidRPr="002C3E85">
        <w:rPr>
          <w:rFonts w:ascii="Times New Roman" w:hAnsi="Times New Roman" w:cs="Times New Roman"/>
          <w:sz w:val="24"/>
          <w:szCs w:val="24"/>
          <w:lang w:val="en-GB"/>
        </w:rPr>
        <w:t>might</w:t>
      </w:r>
      <w:r w:rsidR="00FB055A" w:rsidRPr="002C3E85">
        <w:rPr>
          <w:rFonts w:ascii="Times New Roman" w:hAnsi="Times New Roman" w:cs="Times New Roman"/>
          <w:sz w:val="24"/>
          <w:szCs w:val="24"/>
          <w:lang w:val="en-GB"/>
        </w:rPr>
        <w:t xml:space="preserve"> </w:t>
      </w:r>
      <w:r w:rsidR="00652CE4" w:rsidRPr="002C3E85">
        <w:rPr>
          <w:rFonts w:ascii="Times New Roman" w:hAnsi="Times New Roman" w:cs="Times New Roman"/>
          <w:sz w:val="24"/>
          <w:szCs w:val="24"/>
          <w:lang w:val="en-GB"/>
        </w:rPr>
        <w:t>lead to</w:t>
      </w:r>
      <w:r w:rsidR="00FB055A" w:rsidRPr="002C3E85">
        <w:rPr>
          <w:rFonts w:ascii="Times New Roman" w:hAnsi="Times New Roman" w:cs="Times New Roman"/>
          <w:sz w:val="24"/>
          <w:szCs w:val="24"/>
          <w:lang w:val="en-GB"/>
        </w:rPr>
        <w:t xml:space="preserve"> primarily thickness-driven GM changes. To test this hypothesis,</w:t>
      </w:r>
      <w:r w:rsidR="00797538" w:rsidRPr="002C3E85">
        <w:rPr>
          <w:rFonts w:ascii="Times New Roman" w:hAnsi="Times New Roman" w:cs="Times New Roman"/>
          <w:sz w:val="24"/>
          <w:szCs w:val="24"/>
          <w:lang w:val="en-GB"/>
        </w:rPr>
        <w:t xml:space="preserve"> we </w:t>
      </w:r>
      <w:r w:rsidR="00D61796" w:rsidRPr="002C3E85">
        <w:rPr>
          <w:rFonts w:ascii="Times New Roman" w:hAnsi="Times New Roman" w:cs="Times New Roman"/>
          <w:sz w:val="24"/>
          <w:szCs w:val="24"/>
          <w:lang w:val="en-GB"/>
        </w:rPr>
        <w:t xml:space="preserve">used SBA approach to </w:t>
      </w:r>
      <w:r w:rsidR="00D8363E" w:rsidRPr="002C3E85">
        <w:rPr>
          <w:rFonts w:ascii="Times New Roman" w:hAnsi="Times New Roman" w:cs="Times New Roman"/>
          <w:sz w:val="24"/>
          <w:szCs w:val="24"/>
          <w:lang w:val="en-GB"/>
        </w:rPr>
        <w:t>investigat</w:t>
      </w:r>
      <w:r w:rsidR="00665D2D" w:rsidRPr="002C3E85">
        <w:rPr>
          <w:rFonts w:ascii="Times New Roman" w:hAnsi="Times New Roman" w:cs="Times New Roman"/>
          <w:sz w:val="24"/>
          <w:szCs w:val="24"/>
          <w:lang w:val="en-GB"/>
        </w:rPr>
        <w:t>e</w:t>
      </w:r>
      <w:r w:rsidR="00D8363E" w:rsidRPr="002C3E85">
        <w:rPr>
          <w:rFonts w:ascii="Times New Roman" w:hAnsi="Times New Roman" w:cs="Times New Roman"/>
          <w:sz w:val="24"/>
          <w:szCs w:val="24"/>
          <w:lang w:val="en-GB"/>
        </w:rPr>
        <w:t xml:space="preserve"> </w:t>
      </w:r>
      <w:r w:rsidR="00CE64F6" w:rsidRPr="002C3E85">
        <w:rPr>
          <w:rFonts w:ascii="Times New Roman" w:hAnsi="Times New Roman" w:cs="Times New Roman"/>
          <w:sz w:val="24"/>
          <w:szCs w:val="24"/>
          <w:lang w:val="en-GB"/>
        </w:rPr>
        <w:t>whether early exposure to L2 affects cortical morphology relative to late L2 exposure.</w:t>
      </w:r>
      <w:r w:rsidR="00470D89" w:rsidRPr="002C3E85">
        <w:rPr>
          <w:rFonts w:ascii="Times New Roman" w:hAnsi="Times New Roman" w:cs="Times New Roman"/>
          <w:sz w:val="24"/>
          <w:szCs w:val="24"/>
          <w:lang w:val="en-GB"/>
        </w:rPr>
        <w:t xml:space="preserve"> C</w:t>
      </w:r>
      <w:r w:rsidR="005D0B43" w:rsidRPr="002C3E85">
        <w:rPr>
          <w:rFonts w:ascii="Times New Roman" w:hAnsi="Times New Roman" w:cs="Times New Roman"/>
          <w:sz w:val="24"/>
          <w:szCs w:val="24"/>
          <w:lang w:val="en-GB"/>
        </w:rPr>
        <w:t>omparisons of several cortical measures on both whole-brain level as well as within a priori defined ROIs relevant for language processing</w:t>
      </w:r>
      <w:r w:rsidR="00FB055A" w:rsidRPr="002C3E85">
        <w:rPr>
          <w:rFonts w:ascii="Times New Roman" w:hAnsi="Times New Roman" w:cs="Times New Roman"/>
          <w:sz w:val="24"/>
          <w:szCs w:val="24"/>
          <w:lang w:val="en-GB"/>
        </w:rPr>
        <w:t xml:space="preserve"> were conducted</w:t>
      </w:r>
      <w:r w:rsidR="005D0B43" w:rsidRPr="002C3E85">
        <w:rPr>
          <w:rFonts w:ascii="Times New Roman" w:hAnsi="Times New Roman" w:cs="Times New Roman"/>
          <w:sz w:val="24"/>
          <w:szCs w:val="24"/>
          <w:lang w:val="en-GB"/>
        </w:rPr>
        <w:t>.</w:t>
      </w:r>
      <w:r w:rsidR="000D14E1" w:rsidRPr="002C3E85">
        <w:rPr>
          <w:rFonts w:ascii="Times New Roman" w:hAnsi="Times New Roman" w:cs="Times New Roman"/>
          <w:sz w:val="24"/>
          <w:szCs w:val="24"/>
          <w:lang w:val="en-GB"/>
        </w:rPr>
        <w:t xml:space="preserve"> </w:t>
      </w:r>
      <w:r w:rsidR="00FB055A" w:rsidRPr="002C3E85">
        <w:rPr>
          <w:rFonts w:ascii="Times New Roman" w:hAnsi="Times New Roman" w:cs="Times New Roman"/>
          <w:sz w:val="24"/>
          <w:szCs w:val="24"/>
          <w:lang w:val="en-GB"/>
        </w:rPr>
        <w:t xml:space="preserve">The ROI analysis </w:t>
      </w:r>
      <w:r w:rsidR="004E62B3" w:rsidRPr="002C3E85">
        <w:rPr>
          <w:rFonts w:ascii="Times New Roman" w:hAnsi="Times New Roman" w:cs="Times New Roman"/>
          <w:sz w:val="24"/>
          <w:szCs w:val="24"/>
          <w:lang w:val="en-GB"/>
        </w:rPr>
        <w:t>was motivated by</w:t>
      </w:r>
      <w:r w:rsidR="00E46C90" w:rsidRPr="002C3E85">
        <w:rPr>
          <w:rFonts w:ascii="Times New Roman" w:hAnsi="Times New Roman" w:cs="Times New Roman"/>
          <w:sz w:val="24"/>
          <w:szCs w:val="24"/>
          <w:lang w:val="en-GB"/>
        </w:rPr>
        <w:t xml:space="preserve"> </w:t>
      </w:r>
      <w:r w:rsidR="009073B3" w:rsidRPr="002C3E85">
        <w:rPr>
          <w:rFonts w:ascii="Times New Roman" w:hAnsi="Times New Roman" w:cs="Times New Roman"/>
          <w:sz w:val="24"/>
          <w:szCs w:val="24"/>
          <w:lang w:val="en-GB"/>
        </w:rPr>
        <w:t>the reviewed</w:t>
      </w:r>
      <w:r w:rsidR="00E46C90" w:rsidRPr="002C3E85">
        <w:rPr>
          <w:rFonts w:ascii="Times New Roman" w:hAnsi="Times New Roman" w:cs="Times New Roman"/>
          <w:sz w:val="24"/>
          <w:szCs w:val="24"/>
          <w:lang w:val="en-GB"/>
        </w:rPr>
        <w:t xml:space="preserve"> literature suggest</w:t>
      </w:r>
      <w:r w:rsidR="004E62B3" w:rsidRPr="002C3E85">
        <w:rPr>
          <w:rFonts w:ascii="Times New Roman" w:hAnsi="Times New Roman" w:cs="Times New Roman"/>
          <w:sz w:val="24"/>
          <w:szCs w:val="24"/>
          <w:lang w:val="en-GB"/>
        </w:rPr>
        <w:t>ing</w:t>
      </w:r>
      <w:r w:rsidR="00E46C90" w:rsidRPr="002C3E85">
        <w:rPr>
          <w:rFonts w:ascii="Times New Roman" w:hAnsi="Times New Roman" w:cs="Times New Roman"/>
          <w:sz w:val="24"/>
          <w:szCs w:val="24"/>
          <w:lang w:val="en-GB"/>
        </w:rPr>
        <w:t xml:space="preserve"> that some of the effects might be discoverable only by limiting the analysis to specific language-related regions</w:t>
      </w:r>
      <w:r w:rsidR="000337FD" w:rsidRPr="002C3E85">
        <w:rPr>
          <w:rFonts w:ascii="Times New Roman" w:hAnsi="Times New Roman" w:cs="Times New Roman"/>
          <w:sz w:val="24"/>
          <w:szCs w:val="24"/>
          <w:lang w:val="en-GB"/>
        </w:rPr>
        <w:t xml:space="preserve"> </w:t>
      </w:r>
      <w:r w:rsidR="000337FD"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"10.1016/j.neuropsychologia.2012.02.019", "ISBN" : "1873-3514 (Electronic)\\r0028-3932 (Linking)", "ISSN" : "00283932", "PMID" : "22401989", "abstract" : "We used structural magnetic resonance imaging (MRI) and voxel based morphometry (VBM) to investigate whether the efficiency of word processing in the non-native language (lexical efficiency) and the number of non-native languages spoken (2+ versus 1) were related to local differences in the brain structure of bilingual and multilingual speakers. We dissociate two different correlates for non-native language processing. Firstly, multilinguals who spoke 2 or more non-native languages had higher grey matter density in the right posterior supramarginal gyrus compared to bilinguals who only spoke one non-native language. This is interpreted in relation to previous studies that have shown that grey matter density in this region is related to the number of words learnt in bilinguals relative to monolinguals and in monolingual adolescents with high versus low vocabulary. Our second result was that, in bilinguals, grey matter density in the left pars opercularis was positively related to lexical efficiency in second language use, as measured by the speed and accuracy of lexical decisions and the number of words produced in a timed verbal fluency task. Grey matter in the same region was also negatively related to the age at which the second language was acquired. This is interpreted in terms of previous findings that associated the left pars opercularis with phonetic expertise in the native language. \u00a9 2012 Elsevier Ltd.", "author" : [ { "dropping-particle" : "", "family" : "Grogan", "given" : "A.", "non-dropping-particle" : "", "parse-names" : false, "suffix" : "" }, { "dropping-particle" : "", "family" : "'O. Parker Jones", "given" : "T.", "non-dropping-particle" : "", "parse-names" : false, "suffix" : "" }, { "dropping-particle" : "", "family" : "Ali", "given" : "N.", "non-dropping-particle" : "", "parse-names" : false, "suffix" : "" }, { "dropping-particle" : "", "family" : "Crinion", "given" : "J.", "non-dropping-particle" : "", "parse-names" : false, "suffix" : "" }, { "dropping-particle" : "", "family" : "Orabona", "given" : "S.", "non-dropping-particle" : "", "parse-names" : false, "suffix" : "" }, { "dropping-particle" : "", "family" : "Mechias", "given" : "M. L.", "non-dropping-particle" : "", "parse-names" : false, "suffix" : "" }, { "dropping-particle" : "", "family" : "Ramsden", "given" : "S.", "non-dropping-particle" : "", "parse-names" : false, "suffix" : "" }, { "dropping-particle" : "", "family" : "Green", "given" : "D. W.", "non-dropping-particle" : "", "parse-names" : false, "suffix" : "" }, { "dropping-particle" : "", "family" : "Price", "given" : "C. J.", "non-dropping-particle" : "", "parse-names" : false, "suffix" : "" } ], "container-title" : "Neuropsychologia", "id" : "ITEM-1", "issue" : "7", "issued" : { "date-parts" : [ [ "2012" ] ] }, "page" : "1347-1352", "title" : "Structural correlates for lexical efficiency and number of languages in non-native speakers of English", "type" : "article-journal", "volume" : "50" }, "uris" : [ "http://www.mendeley.com/documents/?uuid=4111ad98-fef1-37d0-aadc-8a43837b6bcd" ] }, { "id" : "ITEM-2", "itemData" : { "DOI" : "10.1523/JNEUROSCI.1996-12.2012", "ISSN" : "1529-2401", "PMID" : "23175815", "abstract" : "Two studies (Golestani et al., 2007; Wong et al., 2008) have reported a positive correlation between the ability to perceive foreign speech sounds and the volume of Heschl's gyrus (HG), the structure that houses the auditory cortex. More precisely, participants with larger left Heschl's gyri learned consonantal or tonal contrasts faster than those with smaller HG. These studies leave open the question of the impact of experience on HG volumes. In the current research, we investigated the effect of early language exposure on Heschl's gyrus by comparing Spanish-Catalan bilinguals who have been exposed to two languages since childhood, to a group of Spanish monolinguals matched in education, socio-economic status, and musical experience. Manual volumetric measurements of HG revealed that bilinguals have, on average, larger Heschl's gyri than monolinguals. This was corroborated, for the left Heschl's gyrus, by a voxel-based morphometry analysis showing larger gray matter volumes in bilinguals than in monolinguals. Since the bilinguals in this study were not a self-selected group, this observation provides a clear demonstration that learning a second language is a causal factor in the increased size of the auditory cortex.", "author" : [ { "dropping-particle" : "", "family" : "Ressel", "given" : "Volker", "non-dropping-particle" : "", "parse-names" : false, "suffix" : "" }, { "dropping-particle" : "", "family" : "Pallier", "given" : "Christophe", "non-dropping-particle" : "", "parse-names" : false, "suffix" : "" }, { "dropping-particle" : "", "family" : "Ventura-Campos", "given" : "Noelia", "non-dropping-particle" : "", "parse-names" : false, "suffix" : "" }, { "dropping-particle" : "", "family" : "D\u00edaz", "given" : "Bego\u00f1a", "non-dropping-particle" : "", "parse-names" : false, "suffix" : "" }, { "dropping-particle" : "", "family" : "Roessler", "given" : "Abeba", "non-dropping-particle" : "", "parse-names" : false, "suffix" : "" }, { "dropping-particle" : "", "family" : "\u00c1vila", "given" : "C\u00e9sar", "non-dropping-particle" : "", "parse-names" : false, "suffix" : "" }, { "dropping-particle" : "", "family" : "Sebasti\u00e1n-Gall\u00e9s", "given" : "N\u00faria", "non-dropping-particle" : "", "parse-names" : false, "suffix" : "" } ], "container-title" : "The Journal of neuroscience : the official journal of the Society for Neuroscience", "id" : "ITEM-2", "issue" : "47", "issued" : { "date-parts" : [ [ "2012", "11", "21" ] ] }, "page" : "16597-601", "publisher" : "Society for Neuroscience", "title" : "An effect of bilingualism on the auditory cortex.", "type" : "article-journal", "volume" : "32" }, "uris" : [ "http://www.mendeley.com/documents/?uuid=0f05f17b-efd1-3fbc-87e8-6c52878ef08a" ] } ], "mendeley" : { "formattedCitation" : "(Grogan et al., 2012; Ressel et al., 2012)", "plainTextFormattedCitation" : "(Grogan et al., 2012; Ressel et al., 2012)", "previouslyFormattedCitation" : "(Grogan et al., 2012; Ressel et al., 2012)" }, "properties" : {  }, "schema" : "https://github.com/citation-style-language/schema/raw/master/csl-citation.json" }</w:instrText>
      </w:r>
      <w:r w:rsidR="000337FD"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(Grogan et al., 2012; Ressel et al., 2012)</w:t>
      </w:r>
      <w:r w:rsidR="000337FD" w:rsidRPr="002C3E85">
        <w:rPr>
          <w:rFonts w:ascii="Times New Roman" w:hAnsi="Times New Roman" w:cs="Times New Roman"/>
          <w:sz w:val="24"/>
          <w:szCs w:val="24"/>
          <w:lang w:val="en-GB"/>
        </w:rPr>
        <w:fldChar w:fldCharType="end"/>
      </w:r>
      <w:r w:rsidR="00E46C90" w:rsidRPr="002C3E85">
        <w:rPr>
          <w:rFonts w:ascii="Times New Roman" w:hAnsi="Times New Roman" w:cs="Times New Roman"/>
          <w:sz w:val="24"/>
          <w:szCs w:val="24"/>
          <w:lang w:val="en-GB"/>
        </w:rPr>
        <w:t xml:space="preserve">. </w:t>
      </w:r>
      <w:r w:rsidR="007745C9" w:rsidRPr="002C3E85">
        <w:rPr>
          <w:rFonts w:ascii="Times New Roman" w:hAnsi="Times New Roman" w:cs="Times New Roman"/>
          <w:sz w:val="24"/>
          <w:szCs w:val="24"/>
          <w:lang w:val="en-GB"/>
        </w:rPr>
        <w:t>W</w:t>
      </w:r>
      <w:r w:rsidR="009073B3" w:rsidRPr="002C3E85">
        <w:rPr>
          <w:rFonts w:ascii="Times New Roman" w:hAnsi="Times New Roman" w:cs="Times New Roman"/>
          <w:sz w:val="24"/>
          <w:szCs w:val="24"/>
          <w:lang w:val="en-GB"/>
        </w:rPr>
        <w:t xml:space="preserve">e </w:t>
      </w:r>
      <w:r w:rsidR="007745C9" w:rsidRPr="002C3E85">
        <w:rPr>
          <w:rFonts w:ascii="Times New Roman" w:hAnsi="Times New Roman" w:cs="Times New Roman"/>
          <w:sz w:val="24"/>
          <w:szCs w:val="24"/>
          <w:lang w:val="en-GB"/>
        </w:rPr>
        <w:t xml:space="preserve">therefore </w:t>
      </w:r>
      <w:r w:rsidR="00B56628" w:rsidRPr="002C3E85">
        <w:rPr>
          <w:rFonts w:ascii="Times New Roman" w:hAnsi="Times New Roman" w:cs="Times New Roman"/>
          <w:sz w:val="24"/>
          <w:szCs w:val="24"/>
          <w:lang w:val="en-GB"/>
        </w:rPr>
        <w:t xml:space="preserve">included five bilateral </w:t>
      </w:r>
      <w:r w:rsidR="00B56628" w:rsidRPr="002C3E85">
        <w:rPr>
          <w:rFonts w:ascii="Times New Roman" w:hAnsi="Times New Roman" w:cs="Times New Roman"/>
          <w:sz w:val="24"/>
          <w:szCs w:val="24"/>
          <w:lang w:val="en-GB"/>
        </w:rPr>
        <w:lastRenderedPageBreak/>
        <w:t xml:space="preserve">ROIs encompassing areas where structural effects related to bilingualism or language processing have </w:t>
      </w:r>
      <w:r w:rsidR="001C65B7" w:rsidRPr="002C3E85">
        <w:rPr>
          <w:rFonts w:ascii="Times New Roman" w:hAnsi="Times New Roman" w:cs="Times New Roman"/>
          <w:sz w:val="24"/>
          <w:szCs w:val="24"/>
          <w:lang w:val="en-GB"/>
        </w:rPr>
        <w:t xml:space="preserve">typically </w:t>
      </w:r>
      <w:r w:rsidR="00B56628" w:rsidRPr="002C3E85">
        <w:rPr>
          <w:rFonts w:ascii="Times New Roman" w:hAnsi="Times New Roman" w:cs="Times New Roman"/>
          <w:sz w:val="24"/>
          <w:szCs w:val="24"/>
          <w:lang w:val="en-GB"/>
        </w:rPr>
        <w:t>appeared</w:t>
      </w:r>
      <w:r w:rsidR="007745C9" w:rsidRPr="002C3E85">
        <w:rPr>
          <w:rFonts w:ascii="Times New Roman" w:hAnsi="Times New Roman" w:cs="Times New Roman"/>
          <w:sz w:val="24"/>
          <w:szCs w:val="24"/>
          <w:lang w:val="en-GB"/>
        </w:rPr>
        <w:t>;</w:t>
      </w:r>
      <w:r w:rsidR="00DC33CA" w:rsidRPr="002C3E85">
        <w:rPr>
          <w:rFonts w:ascii="Times New Roman" w:hAnsi="Times New Roman" w:cs="Times New Roman"/>
          <w:sz w:val="24"/>
          <w:szCs w:val="24"/>
          <w:lang w:val="en-GB"/>
        </w:rPr>
        <w:t xml:space="preserve"> </w:t>
      </w:r>
      <w:r w:rsidR="00B56628" w:rsidRPr="002C3E85">
        <w:rPr>
          <w:rFonts w:ascii="Times New Roman" w:hAnsi="Times New Roman" w:cs="Times New Roman"/>
          <w:sz w:val="24"/>
          <w:szCs w:val="24"/>
          <w:lang w:val="en-GB"/>
        </w:rPr>
        <w:t xml:space="preserve">the inferior parietal cortex </w:t>
      </w:r>
      <w:r w:rsidR="00B56628"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"author" : [ { "dropping-particle" : "", "family" : "Mechelli", "given" : "A", "non-dropping-particle" : "", "parse-names" : false, "suffix" : "" }, { "dropping-particle" : "", "family" : "Crinion", "given" : "J T", "non-dropping-particle" : "", "parse-names" : false, "suffix" : "" }, { "dropping-particle" : "", "family" : "O'Doherty", "given" : "U Noppeneyand J", "non-dropping-particle" : "", "parse-names" : false, "suffix" : "" }, { "dropping-particle" : "", "family" : "Ashburner", "given" : "J", "non-dropping-particle" : "", "parse-names" : false, "suffix" : "" }, { "dropping-particle" : "", "family" : "R S Frackowiak", "given" : "S Richard", "non-dropping-particle" : "", "parse-names" : false, "suffix" : "" }, { "dropping-particle" : "", "family" : "Price", "given" : "C J", "non-dropping-particle" : "", "parse-names" : false, "suffix" : "" } ], "container-title" : "Nature", "id" : "ITEM-1", "issued" : { "date-parts" : [ [ "2004" ] ] }, "page" : "757", "title" : "Neurolinguistics: structural plasticity in the bilingual brain", "type" : "article-journal", "volume" : "431" }, "uris" : [ "http://www.mendeley.com/documents/?uuid=f5a06421-10c0-4762-b0d5-b5efbb11f542" ] } ], "mendeley" : { "formattedCitation" : "(Mechelli et al., 2004)", "manualFormatting" : "(IPC; Mechelli et al., 2004)", "plainTextFormattedCitation" : "(Mechelli et al., 2004)", "previouslyFormattedCitation" : "(Mechelli et al., 2004)" }, "properties" : {  }, "schema" : "https://github.com/citation-style-language/schema/raw/master/csl-citation.json" }</w:instrText>
      </w:r>
      <w:r w:rsidR="00B56628"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w:t>
      </w:r>
      <w:r w:rsidR="00034AED" w:rsidRPr="002C3E85">
        <w:rPr>
          <w:rFonts w:ascii="Times New Roman" w:hAnsi="Times New Roman" w:cs="Times New Roman"/>
          <w:noProof/>
          <w:sz w:val="24"/>
          <w:szCs w:val="24"/>
          <w:lang w:val="en-GB"/>
        </w:rPr>
        <w:t xml:space="preserve">IPC; </w:t>
      </w:r>
      <w:r w:rsidR="00F00EA8" w:rsidRPr="002C3E85">
        <w:rPr>
          <w:rFonts w:ascii="Times New Roman" w:hAnsi="Times New Roman" w:cs="Times New Roman"/>
          <w:noProof/>
          <w:sz w:val="24"/>
          <w:szCs w:val="24"/>
          <w:lang w:val="en-GB"/>
        </w:rPr>
        <w:t>Mechelli et al., 2004)</w:t>
      </w:r>
      <w:r w:rsidR="00B56628" w:rsidRPr="002C3E85">
        <w:rPr>
          <w:rFonts w:ascii="Times New Roman" w:hAnsi="Times New Roman" w:cs="Times New Roman"/>
          <w:sz w:val="24"/>
          <w:szCs w:val="24"/>
          <w:lang w:val="en-GB"/>
        </w:rPr>
        <w:fldChar w:fldCharType="end"/>
      </w:r>
      <w:r w:rsidR="00EF2CEB" w:rsidRPr="002C3E85">
        <w:rPr>
          <w:rFonts w:ascii="Times New Roman" w:hAnsi="Times New Roman" w:cs="Times New Roman"/>
          <w:sz w:val="24"/>
          <w:szCs w:val="24"/>
          <w:lang w:val="en-GB"/>
        </w:rPr>
        <w:t>,</w:t>
      </w:r>
      <w:r w:rsidR="00B56628" w:rsidRPr="002C3E85">
        <w:rPr>
          <w:rFonts w:ascii="Times New Roman" w:hAnsi="Times New Roman" w:cs="Times New Roman"/>
          <w:sz w:val="24"/>
          <w:szCs w:val="24"/>
          <w:lang w:val="en-GB"/>
        </w:rPr>
        <w:t xml:space="preserve"> the adjacent supramarginal gyrus </w:t>
      </w:r>
      <w:r w:rsidR="00B56628"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"10.1016/j.neuropsychologia.2012.02.019", "ISBN" : "1873-3514 (Electronic)\\r0028-3932 (Linking)", "ISSN" : "00283932", "PMID" : "22401989", "abstract" : "We used structural magnetic resonance imaging (MRI) and voxel based morphometry (VBM) to investigate whether the efficiency of word processing in the non-native language (lexical efficiency) and the number of non-native languages spoken (2+ versus 1) were related to local differences in the brain structure of bilingual and multilingual speakers. We dissociate two different correlates for non-native language processing. Firstly, multilinguals who spoke 2 or more non-native languages had higher grey matter density in the right posterior supramarginal gyrus compared to bilinguals who only spoke one non-native language. This is interpreted in relation to previous studies that have shown that grey matter density in this region is related to the number of words learnt in bilinguals relative to monolinguals and in monolingual adolescents with high versus low vocabulary. Our second result was that, in bilinguals, grey matter density in the left pars opercularis was positively related to lexical efficiency in second language use, as measured by the speed and accuracy of lexical decisions and the number of words produced in a timed verbal fluency task. Grey matter in the same region was also negatively related to the age at which the second language was acquired. This is interpreted in terms of previous findings that associated the left pars opercularis with phonetic expertise in the native language. \u00a9 2012 Elsevier Ltd.", "author" : [ { "dropping-particle" : "", "family" : "Grogan", "given" : "A.", "non-dropping-particle" : "", "parse-names" : false, "suffix" : "" }, { "dropping-particle" : "", "family" : "'O. Parker Jones", "given" : "T.", "non-dropping-particle" : "", "parse-names" : false, "suffix" : "" }, { "dropping-particle" : "", "family" : "Ali", "given" : "N.", "non-dropping-particle" : "", "parse-names" : false, "suffix" : "" }, { "dropping-particle" : "", "family" : "Crinion", "given" : "J.", "non-dropping-particle" : "", "parse-names" : false, "suffix" : "" }, { "dropping-particle" : "", "family" : "Orabona", "given" : "S.", "non-dropping-particle" : "", "parse-names" : false, "suffix" : "" }, { "dropping-particle" : "", "family" : "Mechias", "given" : "M. L.", "non-dropping-particle" : "", "parse-names" : false, "suffix" : "" }, { "dropping-particle" : "", "family" : "Ramsden", "given" : "S.", "non-dropping-particle" : "", "parse-names" : false, "suffix" : "" }, { "dropping-particle" : "", "family" : "Green", "given" : "D. W.", "non-dropping-particle" : "", "parse-names" : false, "suffix" : "" }, { "dropping-particle" : "", "family" : "Price", "given" : "C. J.", "non-dropping-particle" : "", "parse-names" : false, "suffix" : "" } ], "container-title" : "Neuropsychologia", "id" : "ITEM-1", "issue" : "7", "issued" : { "date-parts" : [ [ "2012" ] ] }, "page" : "1347-1352", "title" : "Structural correlates for lexical efficiency and number of languages in non-native speakers of English", "type" : "article-journal", "volume" : "50" }, "uris" : [ "http://www.mendeley.com/documents/?uuid=4111ad98-fef1-37d0-aadc-8a43837b6bcd" ] } ], "mendeley" : { "formattedCitation" : "(Grogan et al., 2012)", "manualFormatting" : "(SMG; Grogan et al., 2012)", "plainTextFormattedCitation" : "(Grogan et al., 2012)", "previouslyFormattedCitation" : "(Grogan et al., 2012)" }, "properties" : {  }, "schema" : "https://github.com/citation-style-language/schema/raw/master/csl-citation.json" }</w:instrText>
      </w:r>
      <w:r w:rsidR="00B56628"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w:t>
      </w:r>
      <w:r w:rsidR="00034AED" w:rsidRPr="002C3E85">
        <w:rPr>
          <w:rFonts w:ascii="Times New Roman" w:hAnsi="Times New Roman" w:cs="Times New Roman"/>
          <w:noProof/>
          <w:sz w:val="24"/>
          <w:szCs w:val="24"/>
          <w:lang w:val="en-GB"/>
        </w:rPr>
        <w:t xml:space="preserve">SMG; </w:t>
      </w:r>
      <w:r w:rsidR="00F00EA8" w:rsidRPr="002C3E85">
        <w:rPr>
          <w:rFonts w:ascii="Times New Roman" w:hAnsi="Times New Roman" w:cs="Times New Roman"/>
          <w:noProof/>
          <w:sz w:val="24"/>
          <w:szCs w:val="24"/>
          <w:lang w:val="en-GB"/>
        </w:rPr>
        <w:t>Grogan et al., 2012)</w:t>
      </w:r>
      <w:r w:rsidR="00B56628" w:rsidRPr="002C3E85">
        <w:rPr>
          <w:rFonts w:ascii="Times New Roman" w:hAnsi="Times New Roman" w:cs="Times New Roman"/>
          <w:sz w:val="24"/>
          <w:szCs w:val="24"/>
          <w:lang w:val="en-GB"/>
        </w:rPr>
        <w:fldChar w:fldCharType="end"/>
      </w:r>
      <w:r w:rsidR="00B56628" w:rsidRPr="002C3E85">
        <w:rPr>
          <w:rFonts w:ascii="Times New Roman" w:hAnsi="Times New Roman" w:cs="Times New Roman"/>
          <w:sz w:val="24"/>
          <w:szCs w:val="24"/>
          <w:lang w:val="en-GB"/>
        </w:rPr>
        <w:t>, the inferior frontal gyrus (pars opercularis and triangularis</w:t>
      </w:r>
      <w:r w:rsidR="00034AED" w:rsidRPr="002C3E85">
        <w:rPr>
          <w:rFonts w:ascii="Times New Roman" w:hAnsi="Times New Roman" w:cs="Times New Roman"/>
          <w:sz w:val="24"/>
          <w:szCs w:val="24"/>
          <w:lang w:val="en-GB"/>
        </w:rPr>
        <w:t xml:space="preserve">, </w:t>
      </w:r>
      <w:r w:rsidR="00BB0AF8" w:rsidRPr="002C3E85">
        <w:rPr>
          <w:rFonts w:ascii="Times New Roman" w:hAnsi="Times New Roman" w:cs="Times New Roman"/>
          <w:sz w:val="24"/>
          <w:szCs w:val="24"/>
          <w:lang w:val="en-GB"/>
        </w:rPr>
        <w:t>POp</w:t>
      </w:r>
      <w:r w:rsidR="00034AED" w:rsidRPr="002C3E85">
        <w:rPr>
          <w:rFonts w:ascii="Times New Roman" w:hAnsi="Times New Roman" w:cs="Times New Roman"/>
          <w:sz w:val="24"/>
          <w:szCs w:val="24"/>
          <w:lang w:val="en-GB"/>
        </w:rPr>
        <w:t xml:space="preserve"> and </w:t>
      </w:r>
      <w:r w:rsidR="008F5931" w:rsidRPr="002C3E85">
        <w:rPr>
          <w:rFonts w:ascii="Times New Roman" w:hAnsi="Times New Roman" w:cs="Times New Roman"/>
          <w:sz w:val="24"/>
          <w:szCs w:val="24"/>
          <w:lang w:val="en-GB"/>
        </w:rPr>
        <w:t>PTr</w:t>
      </w:r>
      <w:r w:rsidR="00B56628" w:rsidRPr="002C3E85">
        <w:rPr>
          <w:rFonts w:ascii="Times New Roman" w:hAnsi="Times New Roman" w:cs="Times New Roman"/>
          <w:sz w:val="24"/>
          <w:szCs w:val="24"/>
          <w:lang w:val="en-GB"/>
        </w:rPr>
        <w:t xml:space="preserve">) </w:t>
      </w:r>
      <w:r w:rsidR="00B56628" w:rsidRPr="002C3E85">
        <w:rPr>
          <w:rFonts w:ascii="Times New Roman" w:hAnsi="Times New Roman" w:cs="Times New Roman"/>
          <w:sz w:val="24"/>
          <w:szCs w:val="24"/>
          <w:lang w:val="en-GB"/>
        </w:rPr>
        <w:fldChar w:fldCharType="begin" w:fldLock="1"/>
      </w:r>
      <w:r w:rsidR="00B41D73" w:rsidRPr="002C3E85">
        <w:rPr>
          <w:rFonts w:ascii="Times New Roman" w:hAnsi="Times New Roman" w:cs="Times New Roman"/>
          <w:sz w:val="24"/>
          <w:szCs w:val="24"/>
          <w:lang w:val="en-GB"/>
        </w:rPr>
        <w:instrText>ADDIN CSL_CITATION { "citationItems" : [ { "id" : "ITEM-1", "itemData" : { "DOI" : "10.1016/j.cortex.2010.10.007", "ISSN" : "00109452", "abstract" : "While functional changes linked to second language learning have been subject to extensive investigation, the issue of learning-dependent structural plasticity in the fields of bilingualism and language comprehension has so far received less notice. In the present study we used voxel-based morphometry to monitor structural changes occurring within five months of second language learning. Native English-speaking exchange students learning German in Switzerland were examined once at the beginning of their stay and once about five months later, when their German language skills had significantly increased. We show that structural changes in the left inferior frontal gyrus are correlated with the increase in second language proficiency as measured by a paper-and-pencil language test. Contrary to the increase in proficiency and grey matter, the absolute values of grey matter density and second language proficiency did not correlate (neither on first nor on second measurement). This indicates that the individual amount of learning is reflected in brain structure changes, regardless of absolute proficiency.", "author" : [ { "dropping-particle" : "", "family" : "Stein", "given" : "Maria", "non-dropping-particle" : "", "parse-names" : false, "suffix" : "" }, { "dropping-particle" : "", "family" : "Federspiel", "given" : "Andrea", "non-dropping-particle" : "", "parse-names" : false, "suffix" : "" }, { "dropping-particle" : "", "family" : "Koenig", "given" : "Thomas", "non-dropping-particle" : "", "parse-names" : false, "suffix" : "" }, { "dropping-particle" : "", "family" : "Wirth", "given" : "Miranka", "non-dropping-particle" : "", "parse-names" : false, "suffix" : "" }, { "dropping-particle" : "", "family" : "Strik", "given" : "Werner", "non-dropping-particle" : "", "parse-names" : false, "suffix" : "" }, { "dropping-particle" : "", "family" : "Wiest", "given" : "Roland", "non-dropping-particle" : "", "parse-names" : false, "suffix" : "" }, { "dropping-particle" : "", "family" : "Brandeis", "given" : "Daniel", "non-dropping-particle" : "", "parse-names" : false, "suffix" : "" }, { "dropping-particle" : "", "family" : "Dierks", "given" : "Thomas", "non-dropping-particle" : "", "parse-names" : false, "suffix" : "" } ], "container-title" : "Cortex", "id" : "ITEM-1", "issue" : "4", "issued" : { "date-parts" : [ [ "2012" ] ] }, "page" : "458-465", "title" : "Structural plasticity in the language system related to increased second language proficiency", "type" : "article-journal", "volume" : "48" }, "uris" : [ "http://www.mendeley.com/documents/?uuid=b8d83b8a-31f8-3d79-a338-efef97889cbc" ] }, { "id" : "ITEM-2", "itemData" : { "DOI" : "10.1016/j.neuroimage.2012.06.043", "ISSN" : "10538119", "abstract" : "The influence of adult foreign-language acquisition on human brain organization is poorly understood. We studied cortical thickness and hippocampal volumes of conscript interpreters before and after three months of intense language studies. Results revealed increases in hippocampus volume and in cortical thickness of the left middle frontal gyrus, inferior frontal gyrus, and superior temporal gyrus for interpreters relative to controls. The right hippocampus and the left superior temporal gyrus were structurally more malleable in interpreters acquiring higher proficiency in the foreign language. Interpreters struggling relatively more to master the language displayed larger gray matter increases in the middle frontal gyrus. These findings confirm structural changes in brain regions known to serve language functions during foreign-language acquisition.", "author" : [ { "dropping-particle" : "", "family" : "M\u00e5rtensson", "given" : "Johan", "non-dropping-particle" : "", "parse-names" : false, "suffix" : "" }, { "dropping-particle" : "", "family" : "Eriksson", "given" : "Johan", "non-dropping-particle" : "", "parse-names" : false, "suffix" : "" }, { "dropping-particle" : "", "family" : "Bodammer", "given" : "Nils Christian", "non-dropping-particle" : "", "parse-names" : false, "suffix" : "" }, { "dropping-particle" : "", "family" : "Lindgren", "given" : "Magnus", "non-dropping-particle" : "", "parse-names" : false, "suffix" : "" }, { "dropping-particle" : "", "family" : "Johansson", "given" : "Mikael", "non-dropping-particle" : "", "parse-names" : false, "suffix" : "" }, { "dropping-particle" : "", "family" : "Nyberg", "given" : "Lars", "non-dropping-particle" : "", "parse-names" : false, "suffix" : "" }, { "dropping-particle" : "", "family" : "L\u00f6vd\u00e9n", "given" : "Martin", "non-dropping-particle" : "", "parse-names" : false, "suffix" : "" } ], "container-title" : "NeuroImage", "id" : "ITEM-2", "issue" : "1", "issued" : { "date-parts" : [ [ "2012" ] ] }, "page" : "240-244", "title" : "Growth of language-related brain areas after foreign language learning", "type" : "article-journal", "volume" : "63" }, "uris" : [ "http://www.mendeley.com/documents/?uuid=1310e852-b331-352b-9ee9-b254c412c291" ] }, { "id" : "ITEM-3", "itemData" : { "DOI" : "10.1016/j.bandl.2013.05.014", "ISBN" : "1090-2155 (Electronic)\\r0093-934X (Linking)", "ISSN" : "10902155", "PMID" : "23819901", "abstract" : "We examined the effects of learning a second language (L2) on brain structure. Cortical thickness was measured in the MRI datasets of 22 monolinguals and 66 bilinguals. Some bilingual subjects had learned both languages simultaneously (0-3. years) while some had learned their L2 after achieving proficiency in their first language during either early (4-7. years) or late childhood (8-13. years). Later acquisition of L2 was associated with significantly thicker cortex in the left inferior frontal gyrus (IFG) and thinner cortex in the right IFG. These effects were seen in the group comparisons of monolinguals, simultaneous bilinguals and early and late bilinguals. Within the bilingual group, significant correlations between age of acquisition of L2 and cortical thickness were seen in the same regions: cortical thickness correlated with age of acquisition positively in the left IFG and negatively in the right IFG. Interestingly, the monolinguals and simultaneous bilinguals did not differ in cortical thickness in any region. Our results show that learning a second language after gaining proficiency in the first language modifies brain structure in an age-dependent manner whereas simultaneous acquisition of two languages has no additional effect on brain development. \u00a9 2013 Elsevier Inc.", "author" : [ { "dropping-particle" : "", "family" : "Klein", "given" : "Denise", "non-dropping-particle" : "", "parse-names" : false, "suffix" : "" }, { "dropping-particle" : "", "family" : "Mok", "given" : "Kelvin", "non-dropping-particle" : "", "parse-names" : false, "suffix" : "" }, { "dropping-particle" : "", "family" : "Chen", "given" : "Jen Kai", "non-dropping-particle" : "", "parse-names" : false, "suffix" : "" }, { "dropping-particle" : "", "family" : "Watkins", "given" : "Kate E.", "non-dropping-particle" : "", "parse-names" : false, "suffix" : "" } ], "container-title" : "Brain and Language", "id" : "ITEM-3", "issued" : { "date-parts" : [ [ "2014" ] ] }, "page" : "20-24", "title" : "Age of language learning shapes brain structure: A cortical thickness study of bilingual and monolingual individuals", "type" : "article-journal", "volume" : "131" }, "uris" : [ "http://www.mendeley.com/documents/?uuid=9c45a157-1e3e-346f-980b-c61bf8ec0511" ] }, { "id" : "ITEM-4", "itemData" : { "DOI" : "10.3389/fpsyg.2015.00638", "ISSN" : "16641078", "PMID" : "26106338", "abstract" : "Numerous structural studies have established that experience shapes and reshapes the brain throughout a lifetime. The impact of early development, however, is still a matter of debate. Further clues may come from studying multilinguals who acquired their second language at different ages. We investigated adult multilinguals who spoke three languages fluently, where the third language was learned in classroom settings, not before the age of 9 years. Multilinguals exposed to two languages simultaneously from birth (SiM) were contrasted with multinguals who acquired their first two languages successively (SuM). Whole brain voxel based morphometry revealed that, relative to SuM, SiM have significantly lower gray matter volume in several language-associated cortical areas in both hemispheres: bilaterally in medial and inferior frontal gyrus, in the right medial temporal gyrus and inferior posterior parietal gyrus, as well as in the left inferior temporal gyrus. Thus, as shown by others, successive language learning increases the volume of language-associated cortical areas. In brains exposed early on and simultaneously to more than one language, however, learning of additional languages seems to have less impact. We conclude that - at least with respect to language acquisition - early developmental influences are maintained and have an effect on experience-dependent plasticity well into adulthood.", "author" : [ { "dropping-particle" : "", "family" : "Kaiser", "given" : "Anelis", "non-dropping-particle" : "", "parse-names" : false, "suffix" : "" }, { "dropping-particle" : "", "family" : "Eppenberger", "given" : "Leila S", "non-dropping-particle" : "", "parse-names" : false, "suffix" : "" }, { "dropping-particle" : "", "family" : "Smieskova", "given" : "Renata", "non-dropping-particle" : "", "parse-names" : false, "suffix" : "" }, { "dropping-particle" : "", "family" : "Borgwardt", "given" : "Stefan", "non-dropping-particle" : "", "parse-names" : false, "suffix" : "" }, { "dropping-particle" : "", "f</w:instrText>
      </w:r>
      <w:r w:rsidR="00B41D73" w:rsidRPr="00FC4E49">
        <w:rPr>
          <w:rFonts w:ascii="Times New Roman" w:hAnsi="Times New Roman" w:cs="Times New Roman"/>
          <w:sz w:val="24"/>
          <w:szCs w:val="24"/>
        </w:rPr>
        <w:instrText>amily" : "Kuenzli", "given" : "Esther", "non-dropping-particle" : "", "parse-names" : false, "suffix" : "" }, { "dropping-particle" : "", "family" : "Radue", "given" : "Ernst Wilhelm", "non-dropping-particle" : "", "parse-names" : false, "suffix" : "" }, { "dropping-particle" : "", "family" : "Nitsch", "given" : "Cordula", "non-dropping-particle" : "", "parse-names" : false, "suffix" : "" }, { "dropping-particle" : "", "family" : "Bendfeldt", "given" : "Kerstin", "non-dropping-particle" : "", "parse-names" : false, "suffix" : "" } ], "container-title" : "Frontiers in Psychology", "id" : "ITEM-4", "issue" : "JUN", "issued" : { "date-parts" : [ [ "2015" ] ] }, "page" : "638", "publisher" : "Frontiers Media SA", "title" : "Age of second language acquisition in multilinguals has an impact on gray matter volume in language-associated brain areas", "type" : "article-journal", "volume" : "6" }, "uris" : [ "http://www.mendeley.com/documents/?uuid=ee5eaada-b5b0-33ee-8d3a-c6483d0047a0" ] } ], "mendeley" : { "formattedCitation" : "(Kaiser et al., 2015; Klein et al., 2014; M\u00e5rtensson et al., 2012; Stein et al., 2012)", "plainTextFormattedCitation" : "(Kaiser et al., 2015; Klein et al., 2014; M\u00e5rtensson et al., 2012; Stein et al., 2012)", "previouslyFormattedCitation" : "(Kaiser et al., 2015; Klein et al., 2014; M\u00e5rtensson et al., 2012; Stein et al., 2012)" }, "properties" : {  }, "schema" : "https://github.com/citation-style-language/schema/raw/master/csl-citation.json" }</w:instrText>
      </w:r>
      <w:r w:rsidR="00B56628" w:rsidRPr="002C3E85">
        <w:rPr>
          <w:rFonts w:ascii="Times New Roman" w:hAnsi="Times New Roman" w:cs="Times New Roman"/>
          <w:sz w:val="24"/>
          <w:szCs w:val="24"/>
          <w:lang w:val="en-GB"/>
        </w:rPr>
        <w:fldChar w:fldCharType="separate"/>
      </w:r>
      <w:r w:rsidR="00F00EA8" w:rsidRPr="00FC4E49">
        <w:rPr>
          <w:rFonts w:ascii="Times New Roman" w:hAnsi="Times New Roman" w:cs="Times New Roman"/>
          <w:noProof/>
          <w:sz w:val="24"/>
          <w:szCs w:val="24"/>
        </w:rPr>
        <w:t>(Kaiser et al., 2015; Klein et al., 2014; Mårtensson et al., 2012; Stein et al., 2012)</w:t>
      </w:r>
      <w:r w:rsidR="00B56628" w:rsidRPr="002C3E85">
        <w:rPr>
          <w:rFonts w:ascii="Times New Roman" w:hAnsi="Times New Roman" w:cs="Times New Roman"/>
          <w:sz w:val="24"/>
          <w:szCs w:val="24"/>
          <w:lang w:val="en-GB"/>
        </w:rPr>
        <w:fldChar w:fldCharType="end"/>
      </w:r>
      <w:r w:rsidR="00B56628" w:rsidRPr="00FC4E49">
        <w:rPr>
          <w:rFonts w:ascii="Times New Roman" w:hAnsi="Times New Roman" w:cs="Times New Roman"/>
          <w:sz w:val="24"/>
          <w:szCs w:val="24"/>
        </w:rPr>
        <w:t xml:space="preserve"> and </w:t>
      </w:r>
      <w:r w:rsidR="000337FD" w:rsidRPr="00FC4E49">
        <w:rPr>
          <w:rFonts w:ascii="Times New Roman" w:hAnsi="Times New Roman" w:cs="Times New Roman"/>
          <w:sz w:val="24"/>
          <w:szCs w:val="24"/>
        </w:rPr>
        <w:t xml:space="preserve">the STG </w:t>
      </w:r>
      <w:r w:rsidR="000337FD" w:rsidRPr="002C3E85">
        <w:rPr>
          <w:rFonts w:ascii="Times New Roman" w:hAnsi="Times New Roman" w:cs="Times New Roman"/>
          <w:sz w:val="24"/>
          <w:szCs w:val="24"/>
          <w:lang w:val="en-GB"/>
        </w:rPr>
        <w:fldChar w:fldCharType="begin" w:fldLock="1"/>
      </w:r>
      <w:r w:rsidR="00AF3035" w:rsidRPr="00FC4E49">
        <w:rPr>
          <w:rFonts w:ascii="Times New Roman" w:hAnsi="Times New Roman" w:cs="Times New Roman"/>
          <w:sz w:val="24"/>
          <w:szCs w:val="24"/>
        </w:rPr>
        <w:instrText>ADDIN CSL_CITATION { "citationItems" : [ { "id" : "ITEM-1", "itemData" : { "DOI" : "10.1016/j.neuroimage.2012.06.043", "ISSN" : "10538119", "abstract" : "The influence of adult foreign-language acquisition on human brain organization is poorly understood. We studied cortical thickness and hippocampal volumes of conscript interpreters before and after three months of intense language studies. Results revealed increases in hippocampus volume and in cortical thickness of the left middle frontal gyrus, inferior frontal gyrus, and superior temporal gyrus for interpreters relative to controls. The right hippocampus and the left superior temporal gyrus were structurally more malleable in interpreters acquiring higher proficiency in the foreign language. Interpreters struggling relatively more to master the language displayed larger gray matter increases in the middle frontal gyrus. These findings confirm structural changes in brain regions known to serve language functions during foreign-language acquisition.", "author" : [ { "dropping-particle" : "", "family" : "M\u00e5rtensson", "given" : "Johan", "non-dropping-particle" : "", "parse-names" : false, "suffix" : "" }, { "dropping-particle" : "", "family" : "Eriksson", "given" : "Johan", "non-dropping-particle" : "", "parse-names</w:instrText>
      </w:r>
      <w:r w:rsidR="00AF3035" w:rsidRPr="00FC4E49">
        <w:rPr>
          <w:rFonts w:ascii="Times New Roman" w:hAnsi="Times New Roman" w:cs="Times New Roman"/>
          <w:sz w:val="24"/>
          <w:szCs w:val="24"/>
          <w:lang w:val="en-US"/>
        </w:rPr>
        <w:instrText>" : false, "suffix" : "" }, { "dropping-particle" : "", "family" : "Bodammer", "given" : "Nils Christian", "non-dropping-particle" : "", "parse-names" : false, "suffix" : "" }, { "dropping-parti</w:instrText>
      </w:r>
      <w:r w:rsidR="00AF3035" w:rsidRPr="002C3E85">
        <w:rPr>
          <w:rFonts w:ascii="Times New Roman" w:hAnsi="Times New Roman" w:cs="Times New Roman"/>
          <w:sz w:val="24"/>
          <w:szCs w:val="24"/>
          <w:lang w:val="en-GB"/>
        </w:rPr>
        <w:instrText>cle" : "", "family" : "Lindgren", "given" : "Magnus", "non-dropping-particle" : "", "parse-names" : false, "suffix" : "" }, { "dropping-particle" : "", "family" : "Johansson", "given" : "Mikael", "non-dropping-particle" : "", "parse-names" : false, "suffix" : "" }, { "dropping-particle" : "", "family" : "Nyberg", "given" : "Lars", "non-dropping-particle" : "", "parse-names" : false, "suffix" : "" }, { "dropping-particle" : "", "family" : "L\u00f6vd\u00e9n", "given" : "Martin", "non-dropping-particle" : "", "parse-names" : false, "suffix" : "" } ], "container-title" : "NeuroImage", "id" : "ITEM-1", "issue" : "1", "issued" : { "date-parts" : [ [ "2012" ] ] }, "page" : "240-244", "title" : "Growth of language-related brain areas after foreign language learning", "type" : "article-journal", "volume" : "63" }, "uris" : [ "http://www.mendeley.com/documents/?uuid=1310e852-b331-352b-9ee9-b254c412c291" ] } ], "mendeley" : { "formattedCitation" : "(M\u00e5rtensson et al., 2012)", "manualFormatting" : "(M\u00e5rtensson et al. 2012)", "plainTextFormattedCitation" : "(M\u00e5rtensson et al., 2012)", "previouslyFormattedCitation" : "(M\u00e5rtensson et al., 2012)" }, "properties" : {  }, "schema" : "https://github.com/citation-style-language/schema/raw/master/csl-citation.json" }</w:instrText>
      </w:r>
      <w:r w:rsidR="000337FD" w:rsidRPr="002C3E85">
        <w:rPr>
          <w:rFonts w:ascii="Times New Roman" w:hAnsi="Times New Roman" w:cs="Times New Roman"/>
          <w:sz w:val="24"/>
          <w:szCs w:val="24"/>
          <w:lang w:val="en-GB"/>
        </w:rPr>
        <w:fldChar w:fldCharType="separate"/>
      </w:r>
      <w:r w:rsidR="000337FD" w:rsidRPr="002C3E85">
        <w:rPr>
          <w:rFonts w:ascii="Times New Roman" w:hAnsi="Times New Roman" w:cs="Times New Roman"/>
          <w:noProof/>
          <w:sz w:val="24"/>
          <w:szCs w:val="24"/>
          <w:lang w:val="en-GB"/>
        </w:rPr>
        <w:t>(Mårtensson et al. 2012)</w:t>
      </w:r>
      <w:r w:rsidR="000337FD" w:rsidRPr="002C3E85">
        <w:rPr>
          <w:rFonts w:ascii="Times New Roman" w:hAnsi="Times New Roman" w:cs="Times New Roman"/>
          <w:sz w:val="24"/>
          <w:szCs w:val="24"/>
          <w:lang w:val="en-GB"/>
        </w:rPr>
        <w:fldChar w:fldCharType="end"/>
      </w:r>
      <w:r w:rsidR="000337FD" w:rsidRPr="002C3E85">
        <w:rPr>
          <w:rFonts w:ascii="Times New Roman" w:hAnsi="Times New Roman" w:cs="Times New Roman"/>
          <w:sz w:val="24"/>
          <w:szCs w:val="24"/>
          <w:lang w:val="en-GB"/>
        </w:rPr>
        <w:t xml:space="preserve">, which includes, for instance, the primary auditory cortex and Heschl's gyrus </w:t>
      </w:r>
      <w:r w:rsidR="000337FD"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"10.1523/JNEUROSCI.1996-12.2012", "ISSN" : "1529-2401", "PMID" : "23175815", "abstract" : "Two studies (Golestani et al., 2007; Wong et al., 2008) have reported a positive correlation between the ability to perceive foreign speech sounds and the volume of Heschl's gyrus (HG), the structure that houses the auditory cortex. More precisely, participants with larger left Heschl's gyri learned consonantal or tonal contrasts faster than those with smaller HG. These studies leave open the question of the impact of experience on HG volumes. In the current research, we investigated the effect of early language exposure on Heschl's gyrus by comparing Spanish-Catalan bilinguals who have been exposed to two languages since childhood, to a group of Spanish monolinguals matched in education, socio-economic status, and musical experience. Manual volumetric measurements of HG revealed that bilinguals have, on average, larger Heschl's gyri than monolinguals. This was corroborated, for the left Heschl's gyrus, by a voxel-based morphometry analysis showing larger gray matter volumes in bilinguals than in monolinguals. Since the bilinguals in this study were not a self-selected group, this observation provides a clear demonstration that learning a second language is a causal factor in the increased size of the auditory cortex.", "author" : [ { "dropping-particle" : "", "family" : "Ressel", "given" : "Volker", "non-dropping-particle" : "", "parse-names" : false, "suffix" : "" }, { "dropping-particle" : "", "family" : "Pallier", "given" : "Christophe", "non-dropping-particle" : "", "parse-names" : false, "suffix" : "" }, { "dropping-particle" : "", "family" : "Ventura-Campos", "given" : "Noelia", "non-dropping-particle" : "", "parse-names" : false, "suffix" : "" }, { "dropping-particle" : "", "family" : "D\u00edaz", "given" : "Bego\u00f1a", "non-dropping-particle" : "", "parse-names" : false, "suffix" : "" }, { "dropping-particle" : "", "family" : "Roessler", "given" : "Abeba", "non-dropping-particle" : "", "parse-names" : false, "suffix" : "" }, { "dropping-particle" : "", "family" : "\u00c1vila", "given" : "C\u00e9sar", "non-dropping-particle" : "", "parse-names" : false, "suffix" : "" }, { "dropping-particle" : "", "family" : "Sebasti\u00e1n-Gall\u00e9s", "given" : "N\u00faria", "non-dropping-particle" : "", "parse-names" : false, "suffix" : "" } ], "container-title" : "The Journal of neuroscience : the official journal of the Society for Neuroscience", "id" : "ITEM-1", "issue" : "47", "issued" : { "date-parts" : [ [ "2012", "11", "21" ] ] }, "page" : "16597-601", "publisher" : "Society for Neuroscience", "title" : "An effect of bilingualism on the auditory cortex.", "type" : "article-journal", "volume" : "32" }, "uris" : [ "http://www.mendeley.com/documents/?uuid=0f05f17b-efd1-3fbc-87e8-6c52878ef08a" ] } ], "mendeley" : { "formattedCitation" : "(Ressel et al., 2012)", "plainTextFormattedCitation" : "(Ressel et al., 2012)", "previouslyFormattedCitation" : "(Ressel et al., 2012)" }, "properties" : {  }, "schema" : "https://github.com/citation-style-language/schema/raw/master/csl-citation.json" }</w:instrText>
      </w:r>
      <w:r w:rsidR="000337FD" w:rsidRPr="002C3E85">
        <w:rPr>
          <w:rFonts w:ascii="Times New Roman" w:hAnsi="Times New Roman" w:cs="Times New Roman"/>
          <w:sz w:val="24"/>
          <w:szCs w:val="24"/>
          <w:lang w:val="en-GB"/>
        </w:rPr>
        <w:fldChar w:fldCharType="separate"/>
      </w:r>
      <w:r w:rsidR="00F00EA8" w:rsidRPr="002C3E85">
        <w:rPr>
          <w:rFonts w:ascii="Times New Roman" w:hAnsi="Times New Roman" w:cs="Times New Roman"/>
          <w:noProof/>
          <w:sz w:val="24"/>
          <w:szCs w:val="24"/>
          <w:lang w:val="en-GB"/>
        </w:rPr>
        <w:t>(Ressel et al., 2012)</w:t>
      </w:r>
      <w:r w:rsidR="000337FD" w:rsidRPr="002C3E85">
        <w:rPr>
          <w:rFonts w:ascii="Times New Roman" w:hAnsi="Times New Roman" w:cs="Times New Roman"/>
          <w:sz w:val="24"/>
          <w:szCs w:val="24"/>
          <w:lang w:val="en-GB"/>
        </w:rPr>
        <w:fldChar w:fldCharType="end"/>
      </w:r>
      <w:r w:rsidR="000337FD" w:rsidRPr="002C3E85">
        <w:rPr>
          <w:rFonts w:ascii="Times New Roman" w:hAnsi="Times New Roman" w:cs="Times New Roman"/>
          <w:sz w:val="24"/>
          <w:szCs w:val="24"/>
          <w:lang w:val="en-GB"/>
        </w:rPr>
        <w:t>. Th</w:t>
      </w:r>
      <w:r w:rsidR="009019FD" w:rsidRPr="002C3E85">
        <w:rPr>
          <w:rFonts w:ascii="Times New Roman" w:hAnsi="Times New Roman" w:cs="Times New Roman"/>
          <w:sz w:val="24"/>
          <w:szCs w:val="24"/>
          <w:lang w:val="en-GB"/>
        </w:rPr>
        <w:t>e ROIs are illustrated in Fig. 2</w:t>
      </w:r>
      <w:r w:rsidR="000337FD" w:rsidRPr="002C3E85">
        <w:rPr>
          <w:rFonts w:ascii="Times New Roman" w:hAnsi="Times New Roman" w:cs="Times New Roman"/>
          <w:sz w:val="24"/>
          <w:szCs w:val="24"/>
          <w:lang w:val="en-GB"/>
        </w:rPr>
        <w:t>A.</w:t>
      </w:r>
    </w:p>
    <w:p w14:paraId="0CC008BB" w14:textId="77777777" w:rsidR="00470D89" w:rsidRPr="002C3E85" w:rsidRDefault="00470D89" w:rsidP="00B16091">
      <w:pPr>
        <w:spacing w:line="480" w:lineRule="auto"/>
        <w:jc w:val="both"/>
        <w:rPr>
          <w:rFonts w:ascii="Times New Roman" w:hAnsi="Times New Roman" w:cs="Times New Roman"/>
          <w:sz w:val="24"/>
          <w:szCs w:val="24"/>
          <w:lang w:val="en-GB"/>
        </w:rPr>
      </w:pPr>
    </w:p>
    <w:p w14:paraId="2146BDAF" w14:textId="07EBC674" w:rsidR="0078444A" w:rsidRPr="002C3E85" w:rsidRDefault="00B20CD6"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lastRenderedPageBreak/>
        <w:t>Regarding the</w:t>
      </w:r>
      <w:r w:rsidR="008B3B4B" w:rsidRPr="002C3E85">
        <w:rPr>
          <w:rFonts w:ascii="Times New Roman" w:hAnsi="Times New Roman" w:cs="Times New Roman"/>
          <w:sz w:val="24"/>
          <w:szCs w:val="24"/>
          <w:lang w:val="en-GB"/>
        </w:rPr>
        <w:t xml:space="preserve"> participant</w:t>
      </w:r>
      <w:r w:rsidRPr="002C3E85">
        <w:rPr>
          <w:rFonts w:ascii="Times New Roman" w:hAnsi="Times New Roman" w:cs="Times New Roman"/>
          <w:sz w:val="24"/>
          <w:szCs w:val="24"/>
          <w:lang w:val="en-GB"/>
        </w:rPr>
        <w:t xml:space="preserve"> selection, </w:t>
      </w:r>
      <w:r w:rsidR="00FC0409" w:rsidRPr="002C3E85">
        <w:rPr>
          <w:rFonts w:ascii="Times New Roman" w:hAnsi="Times New Roman" w:cs="Times New Roman"/>
          <w:sz w:val="24"/>
          <w:szCs w:val="24"/>
          <w:lang w:val="en-GB"/>
        </w:rPr>
        <w:t xml:space="preserve">our </w:t>
      </w:r>
      <w:r w:rsidR="002A79B0" w:rsidRPr="002C3E85">
        <w:rPr>
          <w:rFonts w:ascii="Times New Roman" w:hAnsi="Times New Roman" w:cs="Times New Roman"/>
          <w:sz w:val="24"/>
          <w:szCs w:val="24"/>
          <w:lang w:val="en-GB"/>
        </w:rPr>
        <w:t>early</w:t>
      </w:r>
      <w:r w:rsidR="00FC0409" w:rsidRPr="002C3E85">
        <w:rPr>
          <w:rFonts w:ascii="Times New Roman" w:hAnsi="Times New Roman" w:cs="Times New Roman"/>
          <w:sz w:val="24"/>
          <w:szCs w:val="24"/>
          <w:lang w:val="en-GB"/>
        </w:rPr>
        <w:t xml:space="preserve"> and late bilingual participants </w:t>
      </w:r>
      <w:r w:rsidR="007D024E" w:rsidRPr="002C3E85">
        <w:rPr>
          <w:rFonts w:ascii="Times New Roman" w:hAnsi="Times New Roman" w:cs="Times New Roman"/>
          <w:sz w:val="24"/>
          <w:szCs w:val="24"/>
          <w:lang w:val="en-GB"/>
        </w:rPr>
        <w:t xml:space="preserve">were </w:t>
      </w:r>
      <w:r w:rsidR="00E942F4" w:rsidRPr="002C3E85">
        <w:rPr>
          <w:rFonts w:ascii="Times New Roman" w:hAnsi="Times New Roman" w:cs="Times New Roman"/>
          <w:sz w:val="24"/>
          <w:szCs w:val="24"/>
          <w:lang w:val="en-GB"/>
        </w:rPr>
        <w:t>highly similar to</w:t>
      </w:r>
      <w:r w:rsidR="00E87A44" w:rsidRPr="002C3E85">
        <w:rPr>
          <w:rFonts w:ascii="Times New Roman" w:hAnsi="Times New Roman" w:cs="Times New Roman"/>
          <w:sz w:val="24"/>
          <w:szCs w:val="24"/>
          <w:lang w:val="en-GB"/>
        </w:rPr>
        <w:t xml:space="preserve"> Kaiser and colleagues</w:t>
      </w:r>
      <w:r w:rsidR="00E942F4" w:rsidRPr="002C3E85">
        <w:rPr>
          <w:rFonts w:ascii="Times New Roman" w:hAnsi="Times New Roman" w:cs="Times New Roman"/>
          <w:sz w:val="24"/>
          <w:szCs w:val="24"/>
          <w:lang w:val="en-GB"/>
        </w:rPr>
        <w:t>’</w:t>
      </w:r>
      <w:r w:rsidR="00E87A44" w:rsidRPr="002C3E85">
        <w:rPr>
          <w:rFonts w:ascii="Times New Roman" w:hAnsi="Times New Roman" w:cs="Times New Roman"/>
          <w:sz w:val="24"/>
          <w:szCs w:val="24"/>
          <w:lang w:val="en-GB"/>
        </w:rPr>
        <w:t xml:space="preserve"> (2015)</w:t>
      </w:r>
      <w:r w:rsidR="006035C4" w:rsidRPr="002C3E85">
        <w:rPr>
          <w:rFonts w:ascii="Times New Roman" w:hAnsi="Times New Roman" w:cs="Times New Roman"/>
          <w:sz w:val="24"/>
          <w:szCs w:val="24"/>
          <w:lang w:val="en-GB"/>
        </w:rPr>
        <w:t xml:space="preserve"> </w:t>
      </w:r>
      <w:r w:rsidR="007A4B77" w:rsidRPr="002C3E85">
        <w:rPr>
          <w:rFonts w:ascii="Times New Roman" w:hAnsi="Times New Roman" w:cs="Times New Roman"/>
          <w:sz w:val="24"/>
          <w:szCs w:val="24"/>
          <w:lang w:val="en-GB"/>
        </w:rPr>
        <w:t xml:space="preserve">participants </w:t>
      </w:r>
      <w:r w:rsidR="004C1170" w:rsidRPr="002C3E85">
        <w:rPr>
          <w:rFonts w:ascii="Times New Roman" w:hAnsi="Times New Roman" w:cs="Times New Roman"/>
          <w:sz w:val="24"/>
          <w:szCs w:val="24"/>
          <w:lang w:val="en-GB"/>
        </w:rPr>
        <w:t xml:space="preserve">(early vs. late bilinguals) </w:t>
      </w:r>
      <w:r w:rsidR="007A4B77" w:rsidRPr="002C3E85">
        <w:rPr>
          <w:rFonts w:ascii="Times New Roman" w:hAnsi="Times New Roman" w:cs="Times New Roman"/>
          <w:sz w:val="24"/>
          <w:szCs w:val="24"/>
          <w:lang w:val="en-GB"/>
        </w:rPr>
        <w:t xml:space="preserve">and relatively similar to </w:t>
      </w:r>
      <w:r w:rsidR="006035C4" w:rsidRPr="002C3E85">
        <w:rPr>
          <w:rFonts w:ascii="Times New Roman" w:hAnsi="Times New Roman" w:cs="Times New Roman"/>
          <w:sz w:val="24"/>
          <w:szCs w:val="24"/>
          <w:lang w:val="en-GB"/>
        </w:rPr>
        <w:t>Klein and colleagues’ (201</w:t>
      </w:r>
      <w:r w:rsidR="00B900E6" w:rsidRPr="002C3E85">
        <w:rPr>
          <w:rFonts w:ascii="Times New Roman" w:hAnsi="Times New Roman" w:cs="Times New Roman"/>
          <w:sz w:val="24"/>
          <w:szCs w:val="24"/>
          <w:lang w:val="en-GB"/>
        </w:rPr>
        <w:t>4</w:t>
      </w:r>
      <w:r w:rsidR="006035C4" w:rsidRPr="002C3E85">
        <w:rPr>
          <w:rFonts w:ascii="Times New Roman" w:hAnsi="Times New Roman" w:cs="Times New Roman"/>
          <w:sz w:val="24"/>
          <w:szCs w:val="24"/>
          <w:lang w:val="en-GB"/>
        </w:rPr>
        <w:t>)</w:t>
      </w:r>
      <w:r w:rsidR="00E87A44" w:rsidRPr="002C3E85">
        <w:rPr>
          <w:rFonts w:ascii="Times New Roman" w:hAnsi="Times New Roman" w:cs="Times New Roman"/>
          <w:sz w:val="24"/>
          <w:szCs w:val="24"/>
          <w:lang w:val="en-GB"/>
        </w:rPr>
        <w:t xml:space="preserve"> </w:t>
      </w:r>
      <w:r w:rsidR="00E942F4" w:rsidRPr="002C3E85">
        <w:rPr>
          <w:rFonts w:ascii="Times New Roman" w:hAnsi="Times New Roman" w:cs="Times New Roman"/>
          <w:sz w:val="24"/>
          <w:szCs w:val="24"/>
          <w:lang w:val="en-GB"/>
        </w:rPr>
        <w:t>participants</w:t>
      </w:r>
      <w:r w:rsidR="004C1170" w:rsidRPr="002C3E85">
        <w:rPr>
          <w:rFonts w:ascii="Times New Roman" w:hAnsi="Times New Roman" w:cs="Times New Roman"/>
          <w:sz w:val="24"/>
          <w:szCs w:val="24"/>
          <w:lang w:val="en-GB"/>
        </w:rPr>
        <w:t xml:space="preserve"> (simultaneous/early sequential vs. late sequential bilinguals)</w:t>
      </w:r>
      <w:r w:rsidR="00794A14" w:rsidRPr="002C3E85">
        <w:rPr>
          <w:rFonts w:ascii="Times New Roman" w:hAnsi="Times New Roman" w:cs="Times New Roman"/>
          <w:sz w:val="24"/>
          <w:szCs w:val="24"/>
          <w:lang w:val="en-GB"/>
        </w:rPr>
        <w:t xml:space="preserve">. Based on </w:t>
      </w:r>
      <w:r w:rsidR="00BD59C3" w:rsidRPr="002C3E85">
        <w:rPr>
          <w:rFonts w:ascii="Times New Roman" w:hAnsi="Times New Roman" w:cs="Times New Roman"/>
          <w:sz w:val="24"/>
          <w:szCs w:val="24"/>
          <w:lang w:val="en-GB"/>
        </w:rPr>
        <w:t xml:space="preserve">Kaiser and colleagues’ </w:t>
      </w:r>
      <w:r w:rsidR="0078444A" w:rsidRPr="002C3E85">
        <w:rPr>
          <w:rFonts w:ascii="Times New Roman" w:hAnsi="Times New Roman" w:cs="Times New Roman"/>
          <w:sz w:val="24"/>
          <w:szCs w:val="24"/>
          <w:lang w:val="en-GB"/>
        </w:rPr>
        <w:t xml:space="preserve">VBM </w:t>
      </w:r>
      <w:r w:rsidR="00E87508" w:rsidRPr="002C3E85">
        <w:rPr>
          <w:rFonts w:ascii="Times New Roman" w:hAnsi="Times New Roman" w:cs="Times New Roman"/>
          <w:sz w:val="24"/>
          <w:szCs w:val="24"/>
          <w:lang w:val="en-GB"/>
        </w:rPr>
        <w:t>findings</w:t>
      </w:r>
      <w:r w:rsidR="00794A14" w:rsidRPr="002C3E85">
        <w:rPr>
          <w:rFonts w:ascii="Times New Roman" w:hAnsi="Times New Roman" w:cs="Times New Roman"/>
          <w:sz w:val="24"/>
          <w:szCs w:val="24"/>
          <w:lang w:val="en-GB"/>
        </w:rPr>
        <w:t xml:space="preserve">, group differences </w:t>
      </w:r>
      <w:r w:rsidR="006035C4" w:rsidRPr="002C3E85">
        <w:rPr>
          <w:rFonts w:ascii="Times New Roman" w:hAnsi="Times New Roman" w:cs="Times New Roman"/>
          <w:sz w:val="24"/>
          <w:szCs w:val="24"/>
          <w:lang w:val="en-GB"/>
        </w:rPr>
        <w:t xml:space="preserve">in GM </w:t>
      </w:r>
      <w:r w:rsidR="00EC396C" w:rsidRPr="002C3E85">
        <w:rPr>
          <w:rFonts w:ascii="Times New Roman" w:hAnsi="Times New Roman" w:cs="Times New Roman"/>
          <w:sz w:val="24"/>
          <w:szCs w:val="24"/>
          <w:lang w:val="en-GB"/>
        </w:rPr>
        <w:t>architecture</w:t>
      </w:r>
      <w:r w:rsidR="006035C4" w:rsidRPr="002C3E85">
        <w:rPr>
          <w:rFonts w:ascii="Times New Roman" w:hAnsi="Times New Roman" w:cs="Times New Roman"/>
          <w:sz w:val="24"/>
          <w:szCs w:val="24"/>
          <w:lang w:val="en-GB"/>
        </w:rPr>
        <w:t xml:space="preserve"> </w:t>
      </w:r>
      <w:r w:rsidR="00E87508" w:rsidRPr="002C3E85">
        <w:rPr>
          <w:rFonts w:ascii="Times New Roman" w:hAnsi="Times New Roman" w:cs="Times New Roman"/>
          <w:sz w:val="24"/>
          <w:szCs w:val="24"/>
          <w:lang w:val="en-GB"/>
        </w:rPr>
        <w:t>should be observable</w:t>
      </w:r>
      <w:r w:rsidR="003A003D" w:rsidRPr="002C3E85">
        <w:rPr>
          <w:rFonts w:ascii="Times New Roman" w:hAnsi="Times New Roman" w:cs="Times New Roman"/>
          <w:sz w:val="24"/>
          <w:szCs w:val="24"/>
          <w:lang w:val="en-GB"/>
        </w:rPr>
        <w:t xml:space="preserve"> bilaterally</w:t>
      </w:r>
      <w:r w:rsidR="00E87508" w:rsidRPr="002C3E85">
        <w:rPr>
          <w:rFonts w:ascii="Times New Roman" w:hAnsi="Times New Roman" w:cs="Times New Roman"/>
          <w:sz w:val="24"/>
          <w:szCs w:val="24"/>
          <w:lang w:val="en-GB"/>
        </w:rPr>
        <w:t xml:space="preserve"> </w:t>
      </w:r>
      <w:r w:rsidR="00794A14" w:rsidRPr="002C3E85">
        <w:rPr>
          <w:rFonts w:ascii="Times New Roman" w:hAnsi="Times New Roman" w:cs="Times New Roman"/>
          <w:sz w:val="24"/>
          <w:szCs w:val="24"/>
          <w:lang w:val="en-GB"/>
        </w:rPr>
        <w:t xml:space="preserve">in </w:t>
      </w:r>
      <w:r w:rsidR="00E87508" w:rsidRPr="002C3E85">
        <w:rPr>
          <w:rFonts w:ascii="Times New Roman" w:hAnsi="Times New Roman" w:cs="Times New Roman"/>
          <w:sz w:val="24"/>
          <w:szCs w:val="24"/>
          <w:lang w:val="en-GB"/>
        </w:rPr>
        <w:t>fronto-temporal and parietal regions</w:t>
      </w:r>
      <w:r w:rsidR="006035C4" w:rsidRPr="002C3E85">
        <w:rPr>
          <w:rFonts w:ascii="Times New Roman" w:hAnsi="Times New Roman" w:cs="Times New Roman"/>
          <w:sz w:val="24"/>
          <w:szCs w:val="24"/>
          <w:lang w:val="en-GB"/>
        </w:rPr>
        <w:t xml:space="preserve">, where </w:t>
      </w:r>
      <w:r w:rsidR="00E87508" w:rsidRPr="002C3E85">
        <w:rPr>
          <w:rFonts w:ascii="Times New Roman" w:hAnsi="Times New Roman" w:cs="Times New Roman"/>
          <w:sz w:val="24"/>
          <w:szCs w:val="24"/>
          <w:lang w:val="en-GB"/>
        </w:rPr>
        <w:t>late sequential bilinguals are expected to have increased GM volume</w:t>
      </w:r>
      <w:r w:rsidR="00160184" w:rsidRPr="002C3E85">
        <w:rPr>
          <w:rFonts w:ascii="Times New Roman" w:hAnsi="Times New Roman" w:cs="Times New Roman"/>
          <w:sz w:val="24"/>
          <w:szCs w:val="24"/>
          <w:lang w:val="en-GB"/>
        </w:rPr>
        <w:t xml:space="preserve"> (</w:t>
      </w:r>
      <w:r w:rsidR="00000B44" w:rsidRPr="002C3E85">
        <w:rPr>
          <w:rFonts w:ascii="Times New Roman" w:hAnsi="Times New Roman" w:cs="Times New Roman"/>
          <w:sz w:val="24"/>
          <w:szCs w:val="24"/>
          <w:lang w:val="en-GB"/>
        </w:rPr>
        <w:t xml:space="preserve">possibly </w:t>
      </w:r>
      <w:r w:rsidR="00160184" w:rsidRPr="002C3E85">
        <w:rPr>
          <w:rFonts w:ascii="Times New Roman" w:hAnsi="Times New Roman" w:cs="Times New Roman"/>
          <w:sz w:val="24"/>
          <w:szCs w:val="24"/>
          <w:lang w:val="en-GB"/>
        </w:rPr>
        <w:t>due to thicker cortex)</w:t>
      </w:r>
      <w:r w:rsidR="00E87508" w:rsidRPr="002C3E85">
        <w:rPr>
          <w:rFonts w:ascii="Times New Roman" w:hAnsi="Times New Roman" w:cs="Times New Roman"/>
          <w:sz w:val="24"/>
          <w:szCs w:val="24"/>
          <w:lang w:val="en-GB"/>
        </w:rPr>
        <w:t xml:space="preserve"> compared to early bilinguals</w:t>
      </w:r>
      <w:r w:rsidR="006035C4" w:rsidRPr="002C3E85">
        <w:rPr>
          <w:rFonts w:ascii="Times New Roman" w:hAnsi="Times New Roman" w:cs="Times New Roman"/>
          <w:sz w:val="24"/>
          <w:szCs w:val="24"/>
          <w:lang w:val="en-GB"/>
        </w:rPr>
        <w:t>.</w:t>
      </w:r>
      <w:r w:rsidR="00BD59C3" w:rsidRPr="002C3E85">
        <w:rPr>
          <w:rFonts w:ascii="Times New Roman" w:hAnsi="Times New Roman" w:cs="Times New Roman"/>
          <w:sz w:val="24"/>
          <w:szCs w:val="24"/>
          <w:lang w:val="en-GB"/>
        </w:rPr>
        <w:t xml:space="preserve"> VBM and SBA have, </w:t>
      </w:r>
      <w:r w:rsidR="0078444A" w:rsidRPr="002C3E85">
        <w:rPr>
          <w:rFonts w:ascii="Times New Roman" w:hAnsi="Times New Roman" w:cs="Times New Roman"/>
          <w:sz w:val="24"/>
          <w:szCs w:val="24"/>
          <w:lang w:val="en-GB"/>
        </w:rPr>
        <w:t>however,</w:t>
      </w:r>
      <w:r w:rsidR="00BD59C3" w:rsidRPr="002C3E85">
        <w:rPr>
          <w:rFonts w:ascii="Times New Roman" w:hAnsi="Times New Roman" w:cs="Times New Roman"/>
          <w:sz w:val="24"/>
          <w:szCs w:val="24"/>
          <w:lang w:val="en-GB"/>
        </w:rPr>
        <w:t xml:space="preserve"> been </w:t>
      </w:r>
      <w:r w:rsidR="0078444A" w:rsidRPr="002C3E85">
        <w:rPr>
          <w:rFonts w:ascii="Times New Roman" w:hAnsi="Times New Roman" w:cs="Times New Roman"/>
          <w:sz w:val="24"/>
          <w:szCs w:val="24"/>
          <w:lang w:val="en-GB"/>
        </w:rPr>
        <w:t xml:space="preserve">occasionally </w:t>
      </w:r>
      <w:r w:rsidR="00BD59C3" w:rsidRPr="002C3E85">
        <w:rPr>
          <w:rFonts w:ascii="Times New Roman" w:hAnsi="Times New Roman" w:cs="Times New Roman"/>
          <w:sz w:val="24"/>
          <w:szCs w:val="24"/>
          <w:lang w:val="en-GB"/>
        </w:rPr>
        <w:t>shown to produce slightly differing results</w:t>
      </w:r>
      <w:r w:rsidR="007F4E67" w:rsidRPr="002C3E85">
        <w:rPr>
          <w:rFonts w:ascii="Times New Roman" w:hAnsi="Times New Roman" w:cs="Times New Roman"/>
          <w:sz w:val="24"/>
          <w:szCs w:val="24"/>
          <w:lang w:val="en-GB"/>
        </w:rPr>
        <w:t xml:space="preserve"> </w:t>
      </w:r>
      <w:r w:rsidR="007F4E67"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"10.1093/cercor/bhn196", "ISBN" : "1460-2199 (Electronic)\\n1047-3211 (Linking)", "ISSN" : "10473211", "PMID" : "19073623", "abstract" : "We used a multimethod approach to investigate the neuroanatomical correlates of musicianship and absolute pitch (AP). Cortical thickness measures, interregional correlations applied to these thicknesses, and voxel-based morphometry (VBM) were applied to the same magnetic resonance imaging data set of 71 musicians (27 with AP) and 64 nonmusicians. Cortical thickness was greater in musicians with peaks in superior temporal and dorsolateral frontal regions. Correlations between 2 seed points, centered on peaks of thickness difference within the right frontal cortex, and all other points across the cortex showed greater specificity of significant correlations among musicians, with fewer and more discrete areas correlating with the frontal seeds, including the superior temporal cortex. VBM of gray matter (GM)-classified voxels yielded a strongly right-lateralized focus of greater GM concentration in musicians centered on the posterolateral aspect of Heschl's gyrus. Together, these results are consistent with functional evidence emphasizing the importance of a frontotemporal network of areas heavily relied upon in the performance of musical tasks. Among musicians, contrasts of AP possessors and nonpossessors showed significantly thinner cortex among possessors in a number of areas, including the posterior dorsal frontal cortices that have been previously implicated in the performance of AP tasks.", "author" : [ { "dropping-particle" : "", "family" : "Bermudez", "given" : "Patrick", "non-dropping-particle" : "", "parse-names" : false, "suffix" : "" }, { "dropping-particle" : "", "family" : "Lerch", "given" : "Jason P.", "non-dropping-particle" : "", "parse-names" : false, "suffix" : "" }, { "dropping-particle" : "", "family" : "Evans", "given" : "Alan C.", "non-dropping-particle" : "", "parse-names" : false, "suffix" : "" }, { "dropping-particle" : "", "family" : "Zatorre", "given" : "Robert J.", "non-dropping-particle" : "", "parse-names" : false, "suffix" : "" } ], "container-title" : "Cerebral Cortex", "id" : "ITEM-1", "issue" : "7", "issued" : { "date-parts" : [ [ "2009", "7", "1" ] ] }, "page" : "1583-1596", "title" : "Neuroanatomical correlates of musicianship as revealed by cortical thickness and voxel-based morphometry", "type" : "article-journal", "volume" : "19" }, "uris" : [ "http://www.mendeley.com/documents/?uuid=29151136-4c40-35c9-a2a8-5cb33dbd270e" ] } ], "mendeley" : { "formattedCitation" : "(Bermudez et al., 2009)", "manualFormatting" : "(e.g., Bermudez et al., 2009)", "plainTextFormattedCitation" : "(Bermudez et al., 2009)", "previouslyFormattedCitation" : "(Bermudez et al., 2009)" }, "properties" : {  }, "schema" : "https://github.com/citation-style-language/schema/raw/master/csl-citation.json" }</w:instrText>
      </w:r>
      <w:r w:rsidR="007F4E67" w:rsidRPr="002C3E85">
        <w:rPr>
          <w:rFonts w:ascii="Times New Roman" w:hAnsi="Times New Roman" w:cs="Times New Roman"/>
          <w:sz w:val="24"/>
          <w:szCs w:val="24"/>
          <w:lang w:val="en-GB"/>
        </w:rPr>
        <w:fldChar w:fldCharType="separate"/>
      </w:r>
      <w:r w:rsidR="007F4E67" w:rsidRPr="002C3E85">
        <w:rPr>
          <w:rFonts w:ascii="Times New Roman" w:hAnsi="Times New Roman" w:cs="Times New Roman"/>
          <w:noProof/>
          <w:sz w:val="24"/>
          <w:szCs w:val="24"/>
          <w:lang w:val="en-GB"/>
        </w:rPr>
        <w:t>(</w:t>
      </w:r>
      <w:r w:rsidR="0078444A" w:rsidRPr="002C3E85">
        <w:rPr>
          <w:rFonts w:ascii="Times New Roman" w:hAnsi="Times New Roman" w:cs="Times New Roman"/>
          <w:noProof/>
          <w:sz w:val="24"/>
          <w:szCs w:val="24"/>
          <w:lang w:val="en-GB"/>
        </w:rPr>
        <w:t xml:space="preserve">e.g., </w:t>
      </w:r>
      <w:r w:rsidR="007F4E67" w:rsidRPr="002C3E85">
        <w:rPr>
          <w:rFonts w:ascii="Times New Roman" w:hAnsi="Times New Roman" w:cs="Times New Roman"/>
          <w:noProof/>
          <w:sz w:val="24"/>
          <w:szCs w:val="24"/>
          <w:lang w:val="en-GB"/>
        </w:rPr>
        <w:t>Bermudez et al., 2009)</w:t>
      </w:r>
      <w:r w:rsidR="007F4E67" w:rsidRPr="002C3E85">
        <w:rPr>
          <w:rFonts w:ascii="Times New Roman" w:hAnsi="Times New Roman" w:cs="Times New Roman"/>
          <w:sz w:val="24"/>
          <w:szCs w:val="24"/>
          <w:lang w:val="en-GB"/>
        </w:rPr>
        <w:fldChar w:fldCharType="end"/>
      </w:r>
      <w:r w:rsidR="00BD59C3" w:rsidRPr="002C3E85">
        <w:rPr>
          <w:rFonts w:ascii="Times New Roman" w:hAnsi="Times New Roman" w:cs="Times New Roman"/>
          <w:sz w:val="24"/>
          <w:szCs w:val="24"/>
          <w:lang w:val="en-GB"/>
        </w:rPr>
        <w:t xml:space="preserve">, </w:t>
      </w:r>
      <w:r w:rsidR="0078444A" w:rsidRPr="002C3E85">
        <w:rPr>
          <w:rFonts w:ascii="Times New Roman" w:hAnsi="Times New Roman" w:cs="Times New Roman"/>
          <w:sz w:val="24"/>
          <w:szCs w:val="24"/>
          <w:lang w:val="en-GB"/>
        </w:rPr>
        <w:t xml:space="preserve">bringing into question the extent to which SBA findings can be predicted from the prior VBM observations. Thus, </w:t>
      </w:r>
      <w:r w:rsidR="00897C36" w:rsidRPr="002C3E85">
        <w:rPr>
          <w:rFonts w:ascii="Times New Roman" w:hAnsi="Times New Roman" w:cs="Times New Roman"/>
          <w:sz w:val="24"/>
          <w:szCs w:val="24"/>
          <w:lang w:val="en-GB"/>
        </w:rPr>
        <w:t xml:space="preserve">based on Klein and colleagues’ (2014) SBA findings </w:t>
      </w:r>
      <w:r w:rsidR="00897C36" w:rsidRPr="002C3E85">
        <w:rPr>
          <w:rFonts w:ascii="Times New Roman" w:hAnsi="Times New Roman" w:cs="Times New Roman"/>
          <w:sz w:val="24"/>
          <w:szCs w:val="24"/>
          <w:lang w:val="en-GB"/>
        </w:rPr>
        <w:lastRenderedPageBreak/>
        <w:t xml:space="preserve">in particular, we expect to see </w:t>
      </w:r>
      <w:r w:rsidR="00DD0D44" w:rsidRPr="002C3E85">
        <w:rPr>
          <w:rFonts w:ascii="Times New Roman" w:hAnsi="Times New Roman" w:cs="Times New Roman"/>
          <w:sz w:val="24"/>
          <w:szCs w:val="24"/>
          <w:lang w:val="en-GB"/>
        </w:rPr>
        <w:t>between-group</w:t>
      </w:r>
      <w:r w:rsidR="00F125E6" w:rsidRPr="002C3E85">
        <w:rPr>
          <w:rFonts w:ascii="Times New Roman" w:hAnsi="Times New Roman" w:cs="Times New Roman"/>
          <w:sz w:val="24"/>
          <w:szCs w:val="24"/>
          <w:lang w:val="en-GB"/>
        </w:rPr>
        <w:t xml:space="preserve"> d</w:t>
      </w:r>
      <w:r w:rsidR="006035C4" w:rsidRPr="002C3E85">
        <w:rPr>
          <w:rFonts w:ascii="Times New Roman" w:hAnsi="Times New Roman" w:cs="Times New Roman"/>
          <w:sz w:val="24"/>
          <w:szCs w:val="24"/>
          <w:lang w:val="en-GB"/>
        </w:rPr>
        <w:t xml:space="preserve">ifferences in cortical thickness </w:t>
      </w:r>
      <w:r w:rsidR="002A5819" w:rsidRPr="002C3E85">
        <w:rPr>
          <w:rFonts w:ascii="Times New Roman" w:hAnsi="Times New Roman" w:cs="Times New Roman"/>
          <w:sz w:val="24"/>
          <w:szCs w:val="24"/>
          <w:lang w:val="en-GB"/>
        </w:rPr>
        <w:t>in</w:t>
      </w:r>
      <w:r w:rsidR="00C62D25" w:rsidRPr="002C3E85">
        <w:rPr>
          <w:rFonts w:ascii="Times New Roman" w:hAnsi="Times New Roman" w:cs="Times New Roman"/>
          <w:sz w:val="24"/>
          <w:szCs w:val="24"/>
          <w:lang w:val="en-GB"/>
        </w:rPr>
        <w:t xml:space="preserve"> </w:t>
      </w:r>
      <w:r w:rsidR="002A5819" w:rsidRPr="002C3E85">
        <w:rPr>
          <w:rFonts w:ascii="Times New Roman" w:hAnsi="Times New Roman" w:cs="Times New Roman"/>
          <w:sz w:val="24"/>
          <w:szCs w:val="24"/>
          <w:lang w:val="en-GB"/>
        </w:rPr>
        <w:t>the left</w:t>
      </w:r>
      <w:r w:rsidR="006035C4" w:rsidRPr="002C3E85">
        <w:rPr>
          <w:rFonts w:ascii="Times New Roman" w:hAnsi="Times New Roman" w:cs="Times New Roman"/>
          <w:sz w:val="24"/>
          <w:szCs w:val="24"/>
          <w:lang w:val="en-GB"/>
        </w:rPr>
        <w:t xml:space="preserve"> IFG</w:t>
      </w:r>
      <w:r w:rsidR="002A5819" w:rsidRPr="002C3E85">
        <w:rPr>
          <w:rFonts w:ascii="Times New Roman" w:hAnsi="Times New Roman" w:cs="Times New Roman"/>
          <w:sz w:val="24"/>
          <w:szCs w:val="24"/>
          <w:lang w:val="en-GB"/>
        </w:rPr>
        <w:t>,</w:t>
      </w:r>
      <w:r w:rsidR="00160184" w:rsidRPr="002C3E85">
        <w:rPr>
          <w:rFonts w:ascii="Times New Roman" w:hAnsi="Times New Roman" w:cs="Times New Roman"/>
          <w:sz w:val="24"/>
          <w:szCs w:val="24"/>
          <w:lang w:val="en-GB"/>
        </w:rPr>
        <w:t xml:space="preserve"> </w:t>
      </w:r>
      <w:r w:rsidR="002A5819" w:rsidRPr="002C3E85">
        <w:rPr>
          <w:rFonts w:ascii="Times New Roman" w:hAnsi="Times New Roman" w:cs="Times New Roman"/>
          <w:sz w:val="24"/>
          <w:szCs w:val="24"/>
          <w:lang w:val="en-GB"/>
        </w:rPr>
        <w:t>where</w:t>
      </w:r>
      <w:r w:rsidR="006035C4" w:rsidRPr="002C3E85">
        <w:rPr>
          <w:rFonts w:ascii="Times New Roman" w:hAnsi="Times New Roman" w:cs="Times New Roman"/>
          <w:sz w:val="24"/>
          <w:szCs w:val="24"/>
          <w:lang w:val="en-GB"/>
        </w:rPr>
        <w:t xml:space="preserve"> increased </w:t>
      </w:r>
      <w:r w:rsidR="002A5819" w:rsidRPr="002C3E85">
        <w:rPr>
          <w:rFonts w:ascii="Times New Roman" w:hAnsi="Times New Roman" w:cs="Times New Roman"/>
          <w:sz w:val="24"/>
          <w:szCs w:val="24"/>
          <w:lang w:val="en-GB"/>
        </w:rPr>
        <w:t>thickness</w:t>
      </w:r>
      <w:r w:rsidR="00C62D25" w:rsidRPr="002C3E85">
        <w:rPr>
          <w:rFonts w:ascii="Times New Roman" w:hAnsi="Times New Roman" w:cs="Times New Roman"/>
          <w:sz w:val="24"/>
          <w:szCs w:val="24"/>
          <w:lang w:val="en-GB"/>
        </w:rPr>
        <w:t xml:space="preserve"> </w:t>
      </w:r>
      <w:r w:rsidR="00B31395" w:rsidRPr="002C3E85">
        <w:rPr>
          <w:rFonts w:ascii="Times New Roman" w:hAnsi="Times New Roman" w:cs="Times New Roman"/>
          <w:sz w:val="24"/>
          <w:szCs w:val="24"/>
          <w:lang w:val="en-GB"/>
        </w:rPr>
        <w:t>is</w:t>
      </w:r>
      <w:r w:rsidR="00824D13" w:rsidRPr="002C3E85">
        <w:rPr>
          <w:rFonts w:ascii="Times New Roman" w:hAnsi="Times New Roman" w:cs="Times New Roman"/>
          <w:sz w:val="24"/>
          <w:szCs w:val="24"/>
          <w:lang w:val="en-GB"/>
        </w:rPr>
        <w:t xml:space="preserve"> </w:t>
      </w:r>
      <w:r w:rsidR="00C62D25" w:rsidRPr="002C3E85">
        <w:rPr>
          <w:rFonts w:ascii="Times New Roman" w:hAnsi="Times New Roman" w:cs="Times New Roman"/>
          <w:sz w:val="24"/>
          <w:szCs w:val="24"/>
          <w:lang w:val="en-GB"/>
        </w:rPr>
        <w:t xml:space="preserve">expected for late vs. </w:t>
      </w:r>
      <w:r w:rsidR="002A79B0" w:rsidRPr="002C3E85">
        <w:rPr>
          <w:rFonts w:ascii="Times New Roman" w:hAnsi="Times New Roman" w:cs="Times New Roman"/>
          <w:sz w:val="24"/>
          <w:szCs w:val="24"/>
          <w:lang w:val="en-GB"/>
        </w:rPr>
        <w:t>early</w:t>
      </w:r>
      <w:r w:rsidR="00C62D25" w:rsidRPr="002C3E85">
        <w:rPr>
          <w:rFonts w:ascii="Times New Roman" w:hAnsi="Times New Roman" w:cs="Times New Roman"/>
          <w:sz w:val="24"/>
          <w:szCs w:val="24"/>
          <w:lang w:val="en-GB"/>
        </w:rPr>
        <w:t xml:space="preserve"> bilinguals.</w:t>
      </w:r>
      <w:r w:rsidR="00E87508" w:rsidRPr="002C3E85">
        <w:rPr>
          <w:rFonts w:ascii="Times New Roman" w:hAnsi="Times New Roman" w:cs="Times New Roman"/>
          <w:sz w:val="24"/>
          <w:szCs w:val="24"/>
          <w:lang w:val="en-GB"/>
        </w:rPr>
        <w:t xml:space="preserve"> </w:t>
      </w:r>
    </w:p>
    <w:p w14:paraId="3E07FCB6" w14:textId="77777777" w:rsidR="0078444A" w:rsidRPr="002C3E85" w:rsidRDefault="0078444A" w:rsidP="00B16091">
      <w:pPr>
        <w:spacing w:line="480" w:lineRule="auto"/>
        <w:jc w:val="both"/>
        <w:rPr>
          <w:rFonts w:ascii="Times New Roman" w:hAnsi="Times New Roman" w:cs="Times New Roman"/>
          <w:sz w:val="24"/>
          <w:szCs w:val="24"/>
          <w:lang w:val="en-GB"/>
        </w:rPr>
      </w:pPr>
    </w:p>
    <w:p w14:paraId="6E35D2AB" w14:textId="65527931" w:rsidR="003B370C" w:rsidRPr="002C3E85" w:rsidRDefault="00560E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 xml:space="preserve">2 </w:t>
      </w:r>
      <w:r w:rsidR="003B370C" w:rsidRPr="002C3E85">
        <w:rPr>
          <w:rFonts w:ascii="Times New Roman" w:hAnsi="Times New Roman" w:cs="Times New Roman"/>
          <w:b/>
          <w:sz w:val="24"/>
          <w:szCs w:val="24"/>
          <w:lang w:val="en-GB"/>
        </w:rPr>
        <w:t>Methods</w:t>
      </w:r>
    </w:p>
    <w:p w14:paraId="21DFE1DC" w14:textId="5BA9A4FD" w:rsidR="00912BC4" w:rsidRPr="002C3E85" w:rsidRDefault="00560E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 xml:space="preserve">2.1 </w:t>
      </w:r>
      <w:r w:rsidR="00C83F5B" w:rsidRPr="002C3E85">
        <w:rPr>
          <w:rFonts w:ascii="Times New Roman" w:hAnsi="Times New Roman" w:cs="Times New Roman"/>
          <w:b/>
          <w:sz w:val="24"/>
          <w:szCs w:val="24"/>
          <w:lang w:val="en-GB"/>
        </w:rPr>
        <w:t xml:space="preserve">Participants </w:t>
      </w:r>
    </w:p>
    <w:p w14:paraId="4C2ECE9B" w14:textId="37428A93" w:rsidR="00F7197D" w:rsidRPr="002C3E85" w:rsidRDefault="00CD6742" w:rsidP="00697335">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Forty-eight</w:t>
      </w:r>
      <w:r w:rsidR="00B06C80" w:rsidRPr="002C3E85">
        <w:rPr>
          <w:rFonts w:ascii="Times New Roman" w:hAnsi="Times New Roman" w:cs="Times New Roman"/>
          <w:sz w:val="24"/>
          <w:szCs w:val="24"/>
          <w:lang w:val="en-GB"/>
        </w:rPr>
        <w:t xml:space="preserve"> young right-handed adults (21 </w:t>
      </w:r>
      <w:r w:rsidR="002A79B0" w:rsidRPr="002C3E85">
        <w:rPr>
          <w:rFonts w:ascii="Times New Roman" w:hAnsi="Times New Roman" w:cs="Times New Roman"/>
          <w:sz w:val="24"/>
          <w:szCs w:val="24"/>
          <w:lang w:val="en-GB"/>
        </w:rPr>
        <w:t>early</w:t>
      </w:r>
      <w:r w:rsidR="00670459" w:rsidRPr="002C3E85">
        <w:rPr>
          <w:rFonts w:ascii="Times New Roman" w:hAnsi="Times New Roman" w:cs="Times New Roman"/>
          <w:sz w:val="24"/>
          <w:szCs w:val="24"/>
          <w:lang w:val="en-GB"/>
        </w:rPr>
        <w:t xml:space="preserve"> </w:t>
      </w:r>
      <w:r w:rsidR="00B06C80" w:rsidRPr="002C3E85">
        <w:rPr>
          <w:rFonts w:ascii="Times New Roman" w:hAnsi="Times New Roman" w:cs="Times New Roman"/>
          <w:sz w:val="24"/>
          <w:szCs w:val="24"/>
          <w:lang w:val="en-GB"/>
        </w:rPr>
        <w:t>Finnish-Swedish bilinguals; 27 late English second language speakers</w:t>
      </w:r>
      <w:r w:rsidR="00933F71" w:rsidRPr="002C3E85">
        <w:rPr>
          <w:rFonts w:ascii="Times New Roman" w:hAnsi="Times New Roman" w:cs="Times New Roman"/>
          <w:sz w:val="24"/>
          <w:szCs w:val="24"/>
          <w:lang w:val="en-GB"/>
        </w:rPr>
        <w:t>, Finnish as a native language</w:t>
      </w:r>
      <w:r w:rsidR="00B06C80" w:rsidRPr="002C3E85">
        <w:rPr>
          <w:rFonts w:ascii="Times New Roman" w:hAnsi="Times New Roman" w:cs="Times New Roman"/>
          <w:sz w:val="24"/>
          <w:szCs w:val="24"/>
          <w:lang w:val="en-GB"/>
        </w:rPr>
        <w:t>)</w:t>
      </w:r>
      <w:r w:rsidR="002B4A67" w:rsidRPr="002C3E85">
        <w:rPr>
          <w:rFonts w:ascii="Times New Roman" w:hAnsi="Times New Roman" w:cs="Times New Roman"/>
          <w:sz w:val="24"/>
          <w:szCs w:val="24"/>
          <w:lang w:val="en-GB"/>
        </w:rPr>
        <w:t>,</w:t>
      </w:r>
      <w:r w:rsidR="00B06C80" w:rsidRPr="002C3E85">
        <w:rPr>
          <w:rFonts w:ascii="Times New Roman" w:hAnsi="Times New Roman" w:cs="Times New Roman"/>
          <w:sz w:val="24"/>
          <w:szCs w:val="24"/>
          <w:lang w:val="en-GB"/>
        </w:rPr>
        <w:t xml:space="preserve"> </w:t>
      </w:r>
      <w:r w:rsidR="00933F71" w:rsidRPr="002C3E85">
        <w:rPr>
          <w:rFonts w:ascii="Times New Roman" w:hAnsi="Times New Roman" w:cs="Times New Roman"/>
          <w:sz w:val="24"/>
          <w:szCs w:val="24"/>
          <w:lang w:val="en-GB"/>
        </w:rPr>
        <w:t xml:space="preserve">recruited via university mailing lists and matched for age (early bilinguals: M = </w:t>
      </w:r>
      <w:r w:rsidR="00BC1968" w:rsidRPr="002C3E85">
        <w:rPr>
          <w:rFonts w:ascii="Times New Roman" w:hAnsi="Times New Roman" w:cs="Times New Roman"/>
          <w:sz w:val="24"/>
          <w:szCs w:val="24"/>
          <w:lang w:val="en-GB"/>
        </w:rPr>
        <w:t>26</w:t>
      </w:r>
      <w:r w:rsidR="00D62440" w:rsidRPr="002C3E85">
        <w:rPr>
          <w:rFonts w:ascii="Times New Roman" w:hAnsi="Times New Roman" w:cs="Times New Roman"/>
          <w:sz w:val="24"/>
          <w:szCs w:val="24"/>
          <w:lang w:val="en-GB"/>
        </w:rPr>
        <w:t>.</w:t>
      </w:r>
      <w:r w:rsidR="00BC1968" w:rsidRPr="002C3E85">
        <w:rPr>
          <w:rFonts w:ascii="Times New Roman" w:hAnsi="Times New Roman" w:cs="Times New Roman"/>
          <w:sz w:val="24"/>
          <w:szCs w:val="24"/>
          <w:lang w:val="en-GB"/>
        </w:rPr>
        <w:t>5</w:t>
      </w:r>
      <w:r w:rsidR="00933F71" w:rsidRPr="002C3E85">
        <w:rPr>
          <w:rFonts w:ascii="Times New Roman" w:hAnsi="Times New Roman" w:cs="Times New Roman"/>
          <w:sz w:val="24"/>
          <w:szCs w:val="24"/>
          <w:lang w:val="en-GB"/>
        </w:rPr>
        <w:t xml:space="preserve"> years, SD = </w:t>
      </w:r>
      <w:r w:rsidR="00BC1968" w:rsidRPr="002C3E85">
        <w:rPr>
          <w:rFonts w:ascii="Times New Roman" w:hAnsi="Times New Roman" w:cs="Times New Roman"/>
          <w:sz w:val="24"/>
          <w:szCs w:val="24"/>
          <w:lang w:val="en-GB"/>
        </w:rPr>
        <w:t>5.5</w:t>
      </w:r>
      <w:r w:rsidR="00933F71" w:rsidRPr="002C3E85">
        <w:rPr>
          <w:rFonts w:ascii="Times New Roman" w:hAnsi="Times New Roman" w:cs="Times New Roman"/>
          <w:sz w:val="24"/>
          <w:szCs w:val="24"/>
          <w:lang w:val="en-GB"/>
        </w:rPr>
        <w:t xml:space="preserve">, late bilinguals: M = </w:t>
      </w:r>
      <w:r w:rsidR="00BC1968" w:rsidRPr="002C3E85">
        <w:rPr>
          <w:rFonts w:ascii="Times New Roman" w:hAnsi="Times New Roman" w:cs="Times New Roman"/>
          <w:sz w:val="24"/>
          <w:szCs w:val="24"/>
          <w:lang w:val="en-GB"/>
        </w:rPr>
        <w:t>27.5</w:t>
      </w:r>
      <w:r w:rsidR="00933F71" w:rsidRPr="002C3E85">
        <w:rPr>
          <w:rFonts w:ascii="Times New Roman" w:hAnsi="Times New Roman" w:cs="Times New Roman"/>
          <w:sz w:val="24"/>
          <w:szCs w:val="24"/>
          <w:lang w:val="en-GB"/>
        </w:rPr>
        <w:t xml:space="preserve"> years, SD = 4.</w:t>
      </w:r>
      <w:r w:rsidR="00BC1968" w:rsidRPr="002C3E85">
        <w:rPr>
          <w:rFonts w:ascii="Times New Roman" w:hAnsi="Times New Roman" w:cs="Times New Roman"/>
          <w:sz w:val="24"/>
          <w:szCs w:val="24"/>
          <w:lang w:val="en-GB"/>
        </w:rPr>
        <w:t>4</w:t>
      </w:r>
      <w:r w:rsidR="003D2B92" w:rsidRPr="002C3E85">
        <w:rPr>
          <w:rFonts w:ascii="Times New Roman" w:hAnsi="Times New Roman" w:cs="Times New Roman"/>
          <w:sz w:val="24"/>
          <w:szCs w:val="24"/>
          <w:lang w:val="en-GB"/>
        </w:rPr>
        <w:t xml:space="preserve">, </w:t>
      </w:r>
      <w:r w:rsidR="00777959" w:rsidRPr="002C3E85">
        <w:rPr>
          <w:rFonts w:ascii="Times New Roman" w:hAnsi="Times New Roman" w:cs="Times New Roman"/>
          <w:sz w:val="24"/>
          <w:szCs w:val="24"/>
          <w:lang w:val="en-GB"/>
        </w:rPr>
        <w:t>t(46</w:t>
      </w:r>
      <w:r w:rsidR="00B56407" w:rsidRPr="002C3E85">
        <w:rPr>
          <w:rFonts w:ascii="Times New Roman" w:hAnsi="Times New Roman" w:cs="Times New Roman"/>
          <w:sz w:val="24"/>
          <w:szCs w:val="24"/>
          <w:lang w:val="en-GB"/>
        </w:rPr>
        <w:t xml:space="preserve">) = </w:t>
      </w:r>
      <w:r w:rsidR="008B383B" w:rsidRPr="002C3E85">
        <w:rPr>
          <w:rFonts w:ascii="Times New Roman" w:hAnsi="Times New Roman" w:cs="Times New Roman"/>
          <w:sz w:val="24"/>
          <w:szCs w:val="24"/>
          <w:lang w:val="en-GB"/>
        </w:rPr>
        <w:t>0</w:t>
      </w:r>
      <w:r w:rsidR="00B56407" w:rsidRPr="002C3E85">
        <w:rPr>
          <w:rFonts w:ascii="Times New Roman" w:hAnsi="Times New Roman" w:cs="Times New Roman"/>
          <w:sz w:val="24"/>
          <w:szCs w:val="24"/>
          <w:lang w:val="en-GB"/>
        </w:rPr>
        <w:t>.6</w:t>
      </w:r>
      <w:r w:rsidR="003D2B92" w:rsidRPr="002C3E85">
        <w:rPr>
          <w:rFonts w:ascii="Times New Roman" w:hAnsi="Times New Roman" w:cs="Times New Roman"/>
          <w:sz w:val="24"/>
          <w:szCs w:val="24"/>
          <w:lang w:val="en-GB"/>
        </w:rPr>
        <w:t>7</w:t>
      </w:r>
      <w:r w:rsidR="00B56407" w:rsidRPr="002C3E85">
        <w:rPr>
          <w:rFonts w:ascii="Times New Roman" w:hAnsi="Times New Roman" w:cs="Times New Roman"/>
          <w:sz w:val="24"/>
          <w:szCs w:val="24"/>
          <w:lang w:val="en-GB"/>
        </w:rPr>
        <w:t>1</w:t>
      </w:r>
      <w:r w:rsidR="003D2B92" w:rsidRPr="002C3E85">
        <w:rPr>
          <w:rFonts w:ascii="Times New Roman" w:hAnsi="Times New Roman" w:cs="Times New Roman"/>
          <w:sz w:val="24"/>
          <w:szCs w:val="24"/>
          <w:lang w:val="en-GB"/>
        </w:rPr>
        <w:t xml:space="preserve">, p &gt; </w:t>
      </w:r>
      <w:r w:rsidR="008B383B" w:rsidRPr="002C3E85">
        <w:rPr>
          <w:rFonts w:ascii="Times New Roman" w:hAnsi="Times New Roman" w:cs="Times New Roman"/>
          <w:sz w:val="24"/>
          <w:szCs w:val="24"/>
          <w:lang w:val="en-GB"/>
        </w:rPr>
        <w:t>0</w:t>
      </w:r>
      <w:r w:rsidR="003D2B92" w:rsidRPr="002C3E85">
        <w:rPr>
          <w:rFonts w:ascii="Times New Roman" w:hAnsi="Times New Roman" w:cs="Times New Roman"/>
          <w:sz w:val="24"/>
          <w:szCs w:val="24"/>
          <w:lang w:val="en-GB"/>
        </w:rPr>
        <w:t>.05</w:t>
      </w:r>
      <w:r w:rsidR="00933F71" w:rsidRPr="002C3E85">
        <w:rPr>
          <w:rFonts w:ascii="Times New Roman" w:hAnsi="Times New Roman" w:cs="Times New Roman"/>
          <w:sz w:val="24"/>
          <w:szCs w:val="24"/>
          <w:lang w:val="en-GB"/>
        </w:rPr>
        <w:t xml:space="preserve">) and gender (early bilinguals: </w:t>
      </w:r>
      <w:r w:rsidR="00D62440" w:rsidRPr="002C3E85">
        <w:rPr>
          <w:rFonts w:ascii="Times New Roman" w:hAnsi="Times New Roman" w:cs="Times New Roman"/>
          <w:sz w:val="24"/>
          <w:szCs w:val="24"/>
          <w:lang w:val="en-GB"/>
        </w:rPr>
        <w:t>38</w:t>
      </w:r>
      <w:r w:rsidR="00933F71" w:rsidRPr="002C3E85">
        <w:rPr>
          <w:rFonts w:ascii="Times New Roman" w:hAnsi="Times New Roman" w:cs="Times New Roman"/>
          <w:sz w:val="24"/>
          <w:szCs w:val="24"/>
          <w:lang w:val="en-GB"/>
        </w:rPr>
        <w:t xml:space="preserve"> % males, late bilinguals: </w:t>
      </w:r>
      <w:r w:rsidR="00D62440" w:rsidRPr="002C3E85">
        <w:rPr>
          <w:rFonts w:ascii="Times New Roman" w:hAnsi="Times New Roman" w:cs="Times New Roman"/>
          <w:sz w:val="24"/>
          <w:szCs w:val="24"/>
          <w:lang w:val="en-GB"/>
        </w:rPr>
        <w:t>55</w:t>
      </w:r>
      <w:r w:rsidR="00933F71" w:rsidRPr="002C3E85">
        <w:rPr>
          <w:rFonts w:ascii="Times New Roman" w:hAnsi="Times New Roman" w:cs="Times New Roman"/>
          <w:sz w:val="24"/>
          <w:szCs w:val="24"/>
          <w:lang w:val="en-GB"/>
        </w:rPr>
        <w:t xml:space="preserve"> % males</w:t>
      </w:r>
      <w:r w:rsidR="003D2B92" w:rsidRPr="002C3E85">
        <w:rPr>
          <w:rFonts w:ascii="Times New Roman" w:hAnsi="Times New Roman" w:cs="Times New Roman"/>
          <w:sz w:val="24"/>
          <w:szCs w:val="24"/>
          <w:lang w:val="en-GB"/>
        </w:rPr>
        <w:t xml:space="preserve">, Fisher’s exact test </w:t>
      </w:r>
      <w:r w:rsidR="00C63FFA" w:rsidRPr="002C3E85">
        <w:rPr>
          <w:rFonts w:ascii="Times New Roman" w:hAnsi="Times New Roman" w:cs="Times New Roman"/>
          <w:sz w:val="24"/>
          <w:szCs w:val="24"/>
          <w:lang w:val="en-GB"/>
        </w:rPr>
        <w:lastRenderedPageBreak/>
        <w:t>p</w:t>
      </w:r>
      <w:r w:rsidR="008407CC" w:rsidRPr="002C3E85">
        <w:rPr>
          <w:rFonts w:ascii="Times New Roman" w:hAnsi="Times New Roman" w:cs="Times New Roman"/>
          <w:sz w:val="24"/>
          <w:szCs w:val="24"/>
          <w:lang w:val="en-GB"/>
        </w:rPr>
        <w:t xml:space="preserve"> &gt; </w:t>
      </w:r>
      <w:r w:rsidR="008B383B" w:rsidRPr="002C3E85">
        <w:rPr>
          <w:rFonts w:ascii="Times New Roman" w:hAnsi="Times New Roman" w:cs="Times New Roman"/>
          <w:sz w:val="24"/>
          <w:szCs w:val="24"/>
          <w:lang w:val="en-GB"/>
        </w:rPr>
        <w:t>0</w:t>
      </w:r>
      <w:r w:rsidR="008407CC" w:rsidRPr="002C3E85">
        <w:rPr>
          <w:rFonts w:ascii="Times New Roman" w:hAnsi="Times New Roman" w:cs="Times New Roman"/>
          <w:sz w:val="24"/>
          <w:szCs w:val="24"/>
          <w:lang w:val="en-GB"/>
        </w:rPr>
        <w:t>.05</w:t>
      </w:r>
      <w:r w:rsidR="00933F71" w:rsidRPr="002C3E85">
        <w:rPr>
          <w:rFonts w:ascii="Times New Roman" w:hAnsi="Times New Roman" w:cs="Times New Roman"/>
          <w:sz w:val="24"/>
          <w:szCs w:val="24"/>
          <w:lang w:val="en-GB"/>
        </w:rPr>
        <w:t>)</w:t>
      </w:r>
      <w:r w:rsidR="002B4A67" w:rsidRPr="002C3E85">
        <w:rPr>
          <w:rFonts w:ascii="Times New Roman" w:hAnsi="Times New Roman" w:cs="Times New Roman"/>
          <w:sz w:val="24"/>
          <w:szCs w:val="24"/>
          <w:lang w:val="en-GB"/>
        </w:rPr>
        <w:t>,</w:t>
      </w:r>
      <w:r w:rsidR="00933F71" w:rsidRPr="002C3E85">
        <w:rPr>
          <w:rFonts w:ascii="Times New Roman" w:hAnsi="Times New Roman" w:cs="Times New Roman"/>
          <w:sz w:val="24"/>
          <w:szCs w:val="24"/>
          <w:lang w:val="en-GB"/>
        </w:rPr>
        <w:t xml:space="preserve"> participated in the study</w:t>
      </w:r>
      <w:r w:rsidR="00B06C80" w:rsidRPr="002C3E85">
        <w:rPr>
          <w:rFonts w:ascii="Times New Roman" w:hAnsi="Times New Roman" w:cs="Times New Roman"/>
          <w:sz w:val="24"/>
          <w:szCs w:val="24"/>
          <w:lang w:val="en-GB"/>
        </w:rPr>
        <w:t>.</w:t>
      </w:r>
      <w:r w:rsidR="00612A50" w:rsidRPr="002C3E85">
        <w:rPr>
          <w:rFonts w:ascii="Times New Roman" w:hAnsi="Times New Roman" w:cs="Times New Roman"/>
          <w:sz w:val="24"/>
          <w:szCs w:val="24"/>
          <w:lang w:val="en-GB"/>
        </w:rPr>
        <w:t xml:space="preserve"> </w:t>
      </w:r>
      <w:r w:rsidR="00DF6EB0" w:rsidRPr="002C3E85">
        <w:rPr>
          <w:rFonts w:ascii="Times New Roman" w:hAnsi="Times New Roman" w:cs="Times New Roman"/>
          <w:sz w:val="24"/>
          <w:szCs w:val="24"/>
          <w:lang w:val="en-GB"/>
        </w:rPr>
        <w:t xml:space="preserve">The </w:t>
      </w:r>
      <w:r w:rsidR="002A79B0" w:rsidRPr="002C3E85">
        <w:rPr>
          <w:rFonts w:ascii="Times New Roman" w:hAnsi="Times New Roman" w:cs="Times New Roman"/>
          <w:sz w:val="24"/>
          <w:szCs w:val="24"/>
          <w:lang w:val="en-GB"/>
        </w:rPr>
        <w:t>early</w:t>
      </w:r>
      <w:r w:rsidR="00DF6EB0" w:rsidRPr="002C3E85">
        <w:rPr>
          <w:rFonts w:ascii="Times New Roman" w:hAnsi="Times New Roman" w:cs="Times New Roman"/>
          <w:sz w:val="24"/>
          <w:szCs w:val="24"/>
          <w:lang w:val="en-GB"/>
        </w:rPr>
        <w:t xml:space="preserve"> bilinguals had learned both Finnish</w:t>
      </w:r>
      <w:r w:rsidR="00205BBE" w:rsidRPr="002C3E85">
        <w:rPr>
          <w:rFonts w:ascii="Times New Roman" w:hAnsi="Times New Roman" w:cs="Times New Roman"/>
          <w:sz w:val="24"/>
          <w:szCs w:val="24"/>
          <w:lang w:val="en-GB"/>
        </w:rPr>
        <w:t xml:space="preserve"> and Swedish before the age of </w:t>
      </w:r>
      <w:r w:rsidR="00AE1EF4" w:rsidRPr="002C3E85">
        <w:rPr>
          <w:rFonts w:ascii="Times New Roman" w:hAnsi="Times New Roman" w:cs="Times New Roman"/>
          <w:sz w:val="24"/>
          <w:szCs w:val="24"/>
          <w:lang w:val="en-GB"/>
        </w:rPr>
        <w:t>6</w:t>
      </w:r>
      <w:r w:rsidR="00DF6EB0" w:rsidRPr="002C3E85">
        <w:rPr>
          <w:rFonts w:ascii="Times New Roman" w:hAnsi="Times New Roman" w:cs="Times New Roman"/>
          <w:sz w:val="24"/>
          <w:szCs w:val="24"/>
          <w:lang w:val="en-GB"/>
        </w:rPr>
        <w:t xml:space="preserve"> (mean L2</w:t>
      </w:r>
      <w:r w:rsidR="001B655E" w:rsidRPr="002C3E85">
        <w:rPr>
          <w:rFonts w:ascii="Times New Roman" w:hAnsi="Times New Roman" w:cs="Times New Roman"/>
          <w:sz w:val="24"/>
          <w:szCs w:val="24"/>
          <w:lang w:val="en-GB"/>
        </w:rPr>
        <w:t xml:space="preserve"> AoA = 2.4</w:t>
      </w:r>
      <w:r w:rsidR="00DF6EB0" w:rsidRPr="002C3E85">
        <w:rPr>
          <w:rFonts w:ascii="Times New Roman" w:hAnsi="Times New Roman" w:cs="Times New Roman"/>
          <w:sz w:val="24"/>
          <w:szCs w:val="24"/>
          <w:lang w:val="en-GB"/>
        </w:rPr>
        <w:t>, SD = 1.</w:t>
      </w:r>
      <w:r w:rsidR="001B655E" w:rsidRPr="002C3E85">
        <w:rPr>
          <w:rFonts w:ascii="Times New Roman" w:hAnsi="Times New Roman" w:cs="Times New Roman"/>
          <w:sz w:val="24"/>
          <w:szCs w:val="24"/>
          <w:lang w:val="en-GB"/>
        </w:rPr>
        <w:t>7</w:t>
      </w:r>
      <w:r w:rsidR="00DF6EB0" w:rsidRPr="002C3E85">
        <w:rPr>
          <w:rFonts w:ascii="Times New Roman" w:hAnsi="Times New Roman" w:cs="Times New Roman"/>
          <w:sz w:val="24"/>
          <w:szCs w:val="24"/>
          <w:lang w:val="en-GB"/>
        </w:rPr>
        <w:t xml:space="preserve">), while the late sequential bilinguals had had no bilingual exposure before school, i.e., before the age of </w:t>
      </w:r>
      <w:r w:rsidR="00A5246B" w:rsidRPr="002C3E85">
        <w:rPr>
          <w:rFonts w:ascii="Times New Roman" w:hAnsi="Times New Roman" w:cs="Times New Roman"/>
          <w:sz w:val="24"/>
          <w:szCs w:val="24"/>
          <w:lang w:val="en-GB"/>
        </w:rPr>
        <w:t>7</w:t>
      </w:r>
      <w:r w:rsidR="001B655E" w:rsidRPr="002C3E85">
        <w:rPr>
          <w:rFonts w:ascii="Times New Roman" w:hAnsi="Times New Roman" w:cs="Times New Roman"/>
          <w:sz w:val="24"/>
          <w:szCs w:val="24"/>
          <w:lang w:val="en-GB"/>
        </w:rPr>
        <w:t xml:space="preserve"> (mean L2 AoA = 9.0</w:t>
      </w:r>
      <w:r w:rsidR="00DF6EB0" w:rsidRPr="002C3E85">
        <w:rPr>
          <w:rFonts w:ascii="Times New Roman" w:hAnsi="Times New Roman" w:cs="Times New Roman"/>
          <w:sz w:val="24"/>
          <w:szCs w:val="24"/>
          <w:lang w:val="en-GB"/>
        </w:rPr>
        <w:t>, SD =</w:t>
      </w:r>
      <w:r w:rsidR="00DF6EB0" w:rsidRPr="002C3E85">
        <w:rPr>
          <w:lang w:val="en-GB"/>
        </w:rPr>
        <w:t xml:space="preserve"> </w:t>
      </w:r>
      <w:r w:rsidR="00975E65" w:rsidRPr="002C3E85">
        <w:rPr>
          <w:rFonts w:ascii="Times New Roman" w:hAnsi="Times New Roman" w:cs="Times New Roman"/>
          <w:sz w:val="24"/>
          <w:szCs w:val="24"/>
          <w:lang w:val="en-GB"/>
        </w:rPr>
        <w:t>1.1)</w:t>
      </w:r>
      <w:r w:rsidR="00670459" w:rsidRPr="002C3E85">
        <w:rPr>
          <w:rFonts w:ascii="Times New Roman" w:hAnsi="Times New Roman" w:cs="Times New Roman"/>
          <w:sz w:val="24"/>
          <w:szCs w:val="24"/>
          <w:lang w:val="en-GB"/>
        </w:rPr>
        <w:t xml:space="preserve">. </w:t>
      </w:r>
      <w:r w:rsidR="004B15CB" w:rsidRPr="002C3E85">
        <w:rPr>
          <w:rFonts w:ascii="Times New Roman" w:hAnsi="Times New Roman" w:cs="Times New Roman"/>
          <w:sz w:val="24"/>
          <w:szCs w:val="24"/>
          <w:lang w:val="en-GB"/>
        </w:rPr>
        <w:t xml:space="preserve">Both groups reported using their L2 languages </w:t>
      </w:r>
      <w:r w:rsidR="0008220D" w:rsidRPr="002C3E85">
        <w:rPr>
          <w:rFonts w:ascii="Times New Roman" w:hAnsi="Times New Roman" w:cs="Times New Roman"/>
          <w:sz w:val="24"/>
          <w:szCs w:val="24"/>
          <w:lang w:val="en-GB"/>
        </w:rPr>
        <w:t>actively in their everyday lives</w:t>
      </w:r>
      <w:r w:rsidR="004B15CB" w:rsidRPr="002C3E85">
        <w:rPr>
          <w:rFonts w:ascii="Times New Roman" w:hAnsi="Times New Roman" w:cs="Times New Roman"/>
          <w:sz w:val="24"/>
          <w:szCs w:val="24"/>
          <w:lang w:val="en-GB"/>
        </w:rPr>
        <w:t>;</w:t>
      </w:r>
      <w:r w:rsidR="00456B2A" w:rsidRPr="002C3E85">
        <w:rPr>
          <w:rFonts w:ascii="Times New Roman" w:hAnsi="Times New Roman" w:cs="Times New Roman"/>
          <w:sz w:val="24"/>
          <w:szCs w:val="24"/>
          <w:lang w:val="en-GB"/>
        </w:rPr>
        <w:t xml:space="preserve"> </w:t>
      </w:r>
      <w:r w:rsidR="00ED5DFE" w:rsidRPr="002C3E85">
        <w:rPr>
          <w:rFonts w:ascii="Times New Roman" w:hAnsi="Times New Roman" w:cs="Times New Roman"/>
          <w:sz w:val="24"/>
          <w:szCs w:val="24"/>
          <w:lang w:val="en-GB"/>
        </w:rPr>
        <w:t xml:space="preserve">on a weekly basis, </w:t>
      </w:r>
      <w:r w:rsidR="0079494D" w:rsidRPr="002C3E85">
        <w:rPr>
          <w:rFonts w:ascii="Times New Roman" w:hAnsi="Times New Roman" w:cs="Times New Roman"/>
          <w:sz w:val="24"/>
          <w:szCs w:val="24"/>
          <w:lang w:val="en-GB"/>
        </w:rPr>
        <w:t>the early bilinguals estimated using their L2</w:t>
      </w:r>
      <w:r w:rsidR="00C84C2C" w:rsidRPr="002C3E85">
        <w:rPr>
          <w:rFonts w:ascii="Times New Roman" w:hAnsi="Times New Roman" w:cs="Times New Roman"/>
          <w:sz w:val="24"/>
          <w:szCs w:val="24"/>
          <w:lang w:val="en-GB"/>
        </w:rPr>
        <w:t xml:space="preserve"> on average</w:t>
      </w:r>
      <w:r w:rsidR="0079494D" w:rsidRPr="002C3E85">
        <w:rPr>
          <w:rFonts w:ascii="Times New Roman" w:hAnsi="Times New Roman" w:cs="Times New Roman"/>
          <w:sz w:val="24"/>
          <w:szCs w:val="24"/>
          <w:lang w:val="en-GB"/>
        </w:rPr>
        <w:t xml:space="preserve"> 40 % of the time and the late bilinguals </w:t>
      </w:r>
      <w:r w:rsidR="00C84C2C" w:rsidRPr="002C3E85">
        <w:rPr>
          <w:rFonts w:ascii="Times New Roman" w:hAnsi="Times New Roman" w:cs="Times New Roman"/>
          <w:sz w:val="24"/>
          <w:szCs w:val="24"/>
          <w:lang w:val="en-GB"/>
        </w:rPr>
        <w:t xml:space="preserve">on average 30 </w:t>
      </w:r>
      <w:r w:rsidR="0079494D" w:rsidRPr="002C3E85">
        <w:rPr>
          <w:rFonts w:ascii="Times New Roman" w:hAnsi="Times New Roman" w:cs="Times New Roman"/>
          <w:sz w:val="24"/>
          <w:szCs w:val="24"/>
          <w:lang w:val="en-GB"/>
        </w:rPr>
        <w:t xml:space="preserve">% of </w:t>
      </w:r>
      <w:r w:rsidR="00205BBE" w:rsidRPr="002C3E85">
        <w:rPr>
          <w:rFonts w:ascii="Times New Roman" w:hAnsi="Times New Roman" w:cs="Times New Roman"/>
          <w:sz w:val="24"/>
          <w:szCs w:val="24"/>
          <w:lang w:val="en-GB"/>
        </w:rPr>
        <w:t xml:space="preserve">the </w:t>
      </w:r>
      <w:r w:rsidR="0079494D" w:rsidRPr="002C3E85">
        <w:rPr>
          <w:rFonts w:ascii="Times New Roman" w:hAnsi="Times New Roman" w:cs="Times New Roman"/>
          <w:sz w:val="24"/>
          <w:szCs w:val="24"/>
          <w:lang w:val="en-GB"/>
        </w:rPr>
        <w:t xml:space="preserve">time. </w:t>
      </w:r>
      <w:r w:rsidR="00903F99" w:rsidRPr="002C3E85">
        <w:rPr>
          <w:rFonts w:ascii="Times New Roman" w:hAnsi="Times New Roman" w:cs="Times New Roman"/>
          <w:sz w:val="24"/>
          <w:szCs w:val="24"/>
          <w:lang w:val="en-GB"/>
        </w:rPr>
        <w:t>Although the groups had different L2 languages (Swedish and English for the early and late bilingual groups, respectively),</w:t>
      </w:r>
      <w:r w:rsidR="00205BBE" w:rsidRPr="002C3E85">
        <w:rPr>
          <w:rFonts w:ascii="Times New Roman" w:hAnsi="Times New Roman" w:cs="Times New Roman"/>
          <w:sz w:val="24"/>
          <w:szCs w:val="24"/>
          <w:lang w:val="en-GB"/>
        </w:rPr>
        <w:t xml:space="preserve"> </w:t>
      </w:r>
      <w:r w:rsidR="00903F99" w:rsidRPr="002C3E85">
        <w:rPr>
          <w:rFonts w:ascii="Times New Roman" w:hAnsi="Times New Roman" w:cs="Times New Roman"/>
          <w:sz w:val="24"/>
          <w:szCs w:val="24"/>
          <w:lang w:val="en-GB"/>
        </w:rPr>
        <w:t xml:space="preserve">both Swedish and English belong </w:t>
      </w:r>
      <w:r w:rsidR="00F9278A" w:rsidRPr="002C3E85">
        <w:rPr>
          <w:rFonts w:ascii="Times New Roman" w:hAnsi="Times New Roman" w:cs="Times New Roman"/>
          <w:sz w:val="24"/>
          <w:szCs w:val="24"/>
          <w:lang w:val="en-GB"/>
        </w:rPr>
        <w:t xml:space="preserve">to </w:t>
      </w:r>
      <w:r w:rsidR="00903F99" w:rsidRPr="002C3E85">
        <w:rPr>
          <w:rFonts w:ascii="Times New Roman" w:hAnsi="Times New Roman" w:cs="Times New Roman"/>
          <w:sz w:val="24"/>
          <w:szCs w:val="24"/>
          <w:lang w:val="en-GB"/>
        </w:rPr>
        <w:t xml:space="preserve">the Germanic language </w:t>
      </w:r>
      <w:r w:rsidR="00205BBE" w:rsidRPr="002C3E85">
        <w:rPr>
          <w:rFonts w:ascii="Times New Roman" w:hAnsi="Times New Roman" w:cs="Times New Roman"/>
          <w:sz w:val="24"/>
          <w:szCs w:val="24"/>
          <w:lang w:val="en-GB"/>
        </w:rPr>
        <w:t>branch</w:t>
      </w:r>
      <w:r w:rsidR="00903F99" w:rsidRPr="002C3E85">
        <w:rPr>
          <w:rFonts w:ascii="Times New Roman" w:hAnsi="Times New Roman" w:cs="Times New Roman"/>
          <w:sz w:val="24"/>
          <w:szCs w:val="24"/>
          <w:lang w:val="en-GB"/>
        </w:rPr>
        <w:t xml:space="preserve"> and thus</w:t>
      </w:r>
      <w:r w:rsidR="00205BBE" w:rsidRPr="002C3E85">
        <w:rPr>
          <w:rFonts w:ascii="Times New Roman" w:hAnsi="Times New Roman" w:cs="Times New Roman"/>
          <w:sz w:val="24"/>
          <w:szCs w:val="24"/>
          <w:lang w:val="en-GB"/>
        </w:rPr>
        <w:t xml:space="preserve"> share </w:t>
      </w:r>
      <w:r w:rsidR="00FC572B" w:rsidRPr="002C3E85">
        <w:rPr>
          <w:rFonts w:ascii="Times New Roman" w:hAnsi="Times New Roman" w:cs="Times New Roman"/>
          <w:sz w:val="24"/>
          <w:szCs w:val="24"/>
          <w:lang w:val="en-GB"/>
        </w:rPr>
        <w:t>many linguistic features</w:t>
      </w:r>
      <w:r w:rsidR="007D2596" w:rsidRPr="002C3E85">
        <w:rPr>
          <w:rFonts w:ascii="Times New Roman" w:hAnsi="Times New Roman" w:cs="Times New Roman"/>
          <w:sz w:val="24"/>
          <w:szCs w:val="24"/>
          <w:lang w:val="en-GB"/>
        </w:rPr>
        <w:t xml:space="preserve"> </w:t>
      </w:r>
      <w:r w:rsidR="007D2596"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"ISBN" : "0415280796", "abstract" : "Originally published as hbk.: 1994. The Germanic languages / Carol Henriksen and Johan van der Auwera -- Gothic and the reconstruction of Proto-Germanic / Winfred P. Lehmann -- Old and Middle Scandinavian / Jan Terje Faarlund -- Old and Middle Continental West Germanic / Marijke J. van der Wal and Aad Quak -- Old and Middle English / Ans van Kemenade -- Icelandic / Ho\u0308skuldur Thra\u0301insson -- Faroese / Michael P. Barnes and Eivind Weyhe -- Norwegian / John Ole Askedal -- Swedish / Erik Andersson -- Danish / Hartmut Haberland -- German / Peter Eisenberg -- Yiddish / Neil G. Jacobs, Ellen F. Prince and Johan van der Auwera --Pennsylvania German / Silke Van Ness -- Dutch / Georges De Schutter -- Afrikaans / Bruce Donaldson -- Frisian / Jarich Hoekstra and Peter Meijes Tiersma -- English / Ekkehard Ko\u0308nig -- Germanic Creoles / Suzanne Romaine.", "author" : [ { "dropping-particle" : "", "family" : "Ko\u0308nig", "given" : "Ekkehard.", "non-dropping-particle" : "", "parse-names" : false, "suffix" : "" }, { "dropping-particle" : "", "family" : "Auwera", "given" : "Johan van der.", "non-dropping-particle" : "", "parse-names" : false, "suffix" : "" } ], "id" : "ITEM-1", "issued" : { "date-parts" : [ [ "2002" ] ] }, "number-of-pages" : "631", "publisher" : "Routledge", "title" : "The Germanic languages", "type" : "book" }, "uris" : [ "http://www.mendeley.com/documents/?uuid=84965a86-fb21-3290-bf78-16d1080f489e" ] } ], "mendeley" : { "formattedCitation" : "(Ko\u0308nig and Auwera, 2002)", "plainTextFormattedCitation" : "(Ko\u0308nig and Auwera, 2002)", "previouslyFormattedCitation" : "(Ko\u0308nig and Auwera, 2002)" }, "properties" : {  }, "schema" : "https://github.com/citation-style-language/schema/raw/master/csl-citation.json" }</w:instrText>
      </w:r>
      <w:r w:rsidR="007D2596" w:rsidRPr="002C3E85">
        <w:rPr>
          <w:rFonts w:ascii="Times New Roman" w:hAnsi="Times New Roman" w:cs="Times New Roman"/>
          <w:sz w:val="24"/>
          <w:szCs w:val="24"/>
          <w:lang w:val="en-GB"/>
        </w:rPr>
        <w:fldChar w:fldCharType="separate"/>
      </w:r>
      <w:r w:rsidR="007D2596" w:rsidRPr="002C3E85">
        <w:rPr>
          <w:rFonts w:ascii="Times New Roman" w:hAnsi="Times New Roman" w:cs="Times New Roman"/>
          <w:noProof/>
          <w:sz w:val="24"/>
          <w:szCs w:val="24"/>
          <w:lang w:val="en-GB"/>
        </w:rPr>
        <w:t>(König and Auwera, 2002)</w:t>
      </w:r>
      <w:r w:rsidR="007D2596" w:rsidRPr="002C3E85">
        <w:rPr>
          <w:rFonts w:ascii="Times New Roman" w:hAnsi="Times New Roman" w:cs="Times New Roman"/>
          <w:sz w:val="24"/>
          <w:szCs w:val="24"/>
          <w:lang w:val="en-GB"/>
        </w:rPr>
        <w:fldChar w:fldCharType="end"/>
      </w:r>
      <w:r w:rsidR="00205BBE" w:rsidRPr="002C3E85">
        <w:rPr>
          <w:rFonts w:ascii="Times New Roman" w:hAnsi="Times New Roman" w:cs="Times New Roman"/>
          <w:sz w:val="24"/>
          <w:szCs w:val="24"/>
          <w:lang w:val="en-GB"/>
        </w:rPr>
        <w:t xml:space="preserve">, </w:t>
      </w:r>
      <w:r w:rsidR="001741EB" w:rsidRPr="002C3E85">
        <w:rPr>
          <w:rFonts w:ascii="Times New Roman" w:hAnsi="Times New Roman" w:cs="Times New Roman"/>
          <w:sz w:val="24"/>
          <w:szCs w:val="24"/>
          <w:lang w:val="en-GB"/>
        </w:rPr>
        <w:t xml:space="preserve">ensuring a high comparability </w:t>
      </w:r>
      <w:r w:rsidR="00FC572B" w:rsidRPr="002C3E85">
        <w:rPr>
          <w:rFonts w:ascii="Times New Roman" w:hAnsi="Times New Roman" w:cs="Times New Roman"/>
          <w:sz w:val="24"/>
          <w:szCs w:val="24"/>
          <w:lang w:val="en-GB"/>
        </w:rPr>
        <w:t>between</w:t>
      </w:r>
      <w:r w:rsidR="001741EB" w:rsidRPr="002C3E85">
        <w:rPr>
          <w:rFonts w:ascii="Times New Roman" w:hAnsi="Times New Roman" w:cs="Times New Roman"/>
          <w:sz w:val="24"/>
          <w:szCs w:val="24"/>
          <w:lang w:val="en-GB"/>
        </w:rPr>
        <w:t xml:space="preserve"> the groups</w:t>
      </w:r>
      <w:r w:rsidR="007D2596" w:rsidRPr="002C3E85">
        <w:rPr>
          <w:rFonts w:ascii="Times New Roman" w:hAnsi="Times New Roman" w:cs="Times New Roman"/>
          <w:sz w:val="24"/>
          <w:szCs w:val="24"/>
          <w:lang w:val="en-GB"/>
        </w:rPr>
        <w:t>.</w:t>
      </w:r>
    </w:p>
    <w:p w14:paraId="0F5B6FB5" w14:textId="77777777" w:rsidR="00F7197D" w:rsidRPr="002C3E85" w:rsidRDefault="00F7197D" w:rsidP="00697335">
      <w:pPr>
        <w:spacing w:line="480" w:lineRule="auto"/>
        <w:jc w:val="both"/>
        <w:rPr>
          <w:rFonts w:ascii="Times New Roman" w:hAnsi="Times New Roman" w:cs="Times New Roman"/>
          <w:sz w:val="24"/>
          <w:szCs w:val="24"/>
          <w:lang w:val="en-GB"/>
        </w:rPr>
      </w:pPr>
    </w:p>
    <w:p w14:paraId="57B97F56" w14:textId="4880B304" w:rsidR="00DA7AAA" w:rsidRPr="002C3E85" w:rsidRDefault="00F7197D"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In addition to acquiring their L2 languages, both the early and late bilinguals had studied some additional foreign languages within the Finnish basic education system. The first language introduced at school was English at the age of 9 for both groups. For early bilinguals, English is thus their L3 </w:t>
      </w:r>
      <w:r w:rsidR="000E3704" w:rsidRPr="002C3E85">
        <w:rPr>
          <w:rFonts w:ascii="Times New Roman" w:hAnsi="Times New Roman" w:cs="Times New Roman"/>
          <w:sz w:val="24"/>
          <w:szCs w:val="24"/>
          <w:lang w:val="en-GB"/>
        </w:rPr>
        <w:t>(mean L3 AoA = 9.4 years, SD = 0.</w:t>
      </w:r>
      <w:r w:rsidR="001B655E" w:rsidRPr="002C3E85">
        <w:rPr>
          <w:rFonts w:ascii="Times New Roman" w:hAnsi="Times New Roman" w:cs="Times New Roman"/>
          <w:sz w:val="24"/>
          <w:szCs w:val="24"/>
          <w:lang w:val="en-GB"/>
        </w:rPr>
        <w:t>7</w:t>
      </w:r>
      <w:r w:rsidR="000E3704" w:rsidRPr="002C3E85">
        <w:rPr>
          <w:rFonts w:ascii="Times New Roman" w:hAnsi="Times New Roman" w:cs="Times New Roman"/>
          <w:sz w:val="24"/>
          <w:szCs w:val="24"/>
          <w:lang w:val="en-GB"/>
        </w:rPr>
        <w:t>)</w:t>
      </w:r>
      <w:r w:rsidRPr="002C3E85">
        <w:rPr>
          <w:rFonts w:ascii="Times New Roman" w:hAnsi="Times New Roman" w:cs="Times New Roman"/>
          <w:sz w:val="24"/>
          <w:szCs w:val="24"/>
          <w:lang w:val="en-GB"/>
        </w:rPr>
        <w:t xml:space="preserve">, whereas for </w:t>
      </w:r>
      <w:r w:rsidR="000E3704" w:rsidRPr="002C3E85">
        <w:rPr>
          <w:rFonts w:ascii="Times New Roman" w:hAnsi="Times New Roman" w:cs="Times New Roman"/>
          <w:sz w:val="24"/>
          <w:szCs w:val="24"/>
          <w:lang w:val="en-GB"/>
        </w:rPr>
        <w:t xml:space="preserve">the </w:t>
      </w:r>
      <w:r w:rsidRPr="002C3E85">
        <w:rPr>
          <w:rFonts w:ascii="Times New Roman" w:hAnsi="Times New Roman" w:cs="Times New Roman"/>
          <w:sz w:val="24"/>
          <w:szCs w:val="24"/>
          <w:lang w:val="en-GB"/>
        </w:rPr>
        <w:t xml:space="preserve">late bilinguals it is L2. Moreover, the late bilinguals started learning the obligatory Swedish as their L3 on average at the age of 11 </w:t>
      </w:r>
      <w:r w:rsidR="001B655E" w:rsidRPr="002C3E85">
        <w:rPr>
          <w:rFonts w:ascii="Times New Roman" w:hAnsi="Times New Roman" w:cs="Times New Roman"/>
          <w:sz w:val="24"/>
          <w:szCs w:val="24"/>
          <w:lang w:val="en-GB"/>
        </w:rPr>
        <w:t>(mean L3 AoA = 12.4</w:t>
      </w:r>
      <w:r w:rsidR="000E3704" w:rsidRPr="002C3E85">
        <w:rPr>
          <w:rFonts w:ascii="Times New Roman" w:hAnsi="Times New Roman" w:cs="Times New Roman"/>
          <w:sz w:val="24"/>
          <w:szCs w:val="24"/>
          <w:lang w:val="en-GB"/>
        </w:rPr>
        <w:t xml:space="preserve"> years, SD = 1.</w:t>
      </w:r>
      <w:r w:rsidR="001B655E" w:rsidRPr="002C3E85">
        <w:rPr>
          <w:rFonts w:ascii="Times New Roman" w:hAnsi="Times New Roman" w:cs="Times New Roman"/>
          <w:sz w:val="24"/>
          <w:szCs w:val="24"/>
          <w:lang w:val="en-GB"/>
        </w:rPr>
        <w:t>1</w:t>
      </w:r>
      <w:r w:rsidR="000E3704" w:rsidRPr="002C3E85">
        <w:rPr>
          <w:rFonts w:ascii="Times New Roman" w:hAnsi="Times New Roman" w:cs="Times New Roman"/>
          <w:sz w:val="24"/>
          <w:szCs w:val="24"/>
          <w:lang w:val="en-GB"/>
        </w:rPr>
        <w:t xml:space="preserve">). Thus, </w:t>
      </w:r>
      <w:r w:rsidRPr="002C3E85">
        <w:rPr>
          <w:rFonts w:ascii="Times New Roman" w:hAnsi="Times New Roman" w:cs="Times New Roman"/>
          <w:sz w:val="24"/>
          <w:szCs w:val="24"/>
          <w:lang w:val="en-GB"/>
        </w:rPr>
        <w:t xml:space="preserve">both groups </w:t>
      </w:r>
      <w:r w:rsidR="000E3704" w:rsidRPr="002C3E85">
        <w:rPr>
          <w:rFonts w:ascii="Times New Roman" w:hAnsi="Times New Roman" w:cs="Times New Roman"/>
          <w:sz w:val="24"/>
          <w:szCs w:val="24"/>
          <w:lang w:val="en-GB"/>
        </w:rPr>
        <w:lastRenderedPageBreak/>
        <w:t>had some knowledge of</w:t>
      </w:r>
      <w:r w:rsidRPr="002C3E85">
        <w:rPr>
          <w:rFonts w:ascii="Times New Roman" w:hAnsi="Times New Roman" w:cs="Times New Roman"/>
          <w:sz w:val="24"/>
          <w:szCs w:val="24"/>
          <w:lang w:val="en-GB"/>
        </w:rPr>
        <w:t xml:space="preserve"> all three languages (Finnish, Swedish, English)</w:t>
      </w:r>
      <w:r w:rsidR="000E3704" w:rsidRPr="002C3E85">
        <w:rPr>
          <w:rFonts w:ascii="Times New Roman" w:hAnsi="Times New Roman" w:cs="Times New Roman"/>
          <w:sz w:val="24"/>
          <w:szCs w:val="24"/>
          <w:lang w:val="en-GB"/>
        </w:rPr>
        <w:t>, however, all participants estimated L2 to be their strongest</w:t>
      </w:r>
      <w:r w:rsidR="002F4A16" w:rsidRPr="002C3E85">
        <w:rPr>
          <w:rStyle w:val="FootnoteReference"/>
          <w:lang w:val="en-GB"/>
        </w:rPr>
        <w:footnoteReference w:id="1"/>
      </w:r>
      <w:r w:rsidR="000E3704" w:rsidRPr="002C3E85">
        <w:rPr>
          <w:rFonts w:ascii="Times New Roman" w:hAnsi="Times New Roman" w:cs="Times New Roman"/>
          <w:sz w:val="24"/>
          <w:szCs w:val="24"/>
          <w:lang w:val="en-GB"/>
        </w:rPr>
        <w:t xml:space="preserve"> and </w:t>
      </w:r>
      <w:r w:rsidR="000E3704" w:rsidRPr="002C3E85">
        <w:rPr>
          <w:rFonts w:ascii="Times New Roman" w:hAnsi="Times New Roman" w:cs="Times New Roman"/>
          <w:sz w:val="24"/>
          <w:szCs w:val="24"/>
          <w:lang w:val="en-GB"/>
        </w:rPr>
        <w:lastRenderedPageBreak/>
        <w:t xml:space="preserve">the most </w:t>
      </w:r>
      <w:r w:rsidR="00EC15CF" w:rsidRPr="002C3E85">
        <w:rPr>
          <w:rFonts w:ascii="Times New Roman" w:hAnsi="Times New Roman" w:cs="Times New Roman"/>
          <w:sz w:val="24"/>
          <w:szCs w:val="24"/>
          <w:lang w:val="en-GB"/>
        </w:rPr>
        <w:t>used</w:t>
      </w:r>
      <w:r w:rsidR="000E3704" w:rsidRPr="002C3E85">
        <w:rPr>
          <w:rFonts w:ascii="Times New Roman" w:hAnsi="Times New Roman" w:cs="Times New Roman"/>
          <w:sz w:val="24"/>
          <w:szCs w:val="24"/>
          <w:lang w:val="en-GB"/>
        </w:rPr>
        <w:t xml:space="preserve"> language after Finnish. </w:t>
      </w:r>
      <w:r w:rsidR="005A6309" w:rsidRPr="002C3E85">
        <w:rPr>
          <w:rFonts w:ascii="Times New Roman" w:hAnsi="Times New Roman" w:cs="Times New Roman"/>
          <w:sz w:val="24"/>
          <w:szCs w:val="24"/>
          <w:lang w:val="en-GB"/>
        </w:rPr>
        <w:t>In total, the early bilingual participants reported having studied, on average, 2.2 (SD = 1.1) post-L2 languages and the late bilinguals 2.</w:t>
      </w:r>
      <w:r w:rsidR="005B7317" w:rsidRPr="002C3E85">
        <w:rPr>
          <w:rFonts w:ascii="Times New Roman" w:hAnsi="Times New Roman" w:cs="Times New Roman"/>
          <w:sz w:val="24"/>
          <w:szCs w:val="24"/>
          <w:lang w:val="en-GB"/>
        </w:rPr>
        <w:t>7</w:t>
      </w:r>
      <w:r w:rsidR="005A6309" w:rsidRPr="002C3E85">
        <w:rPr>
          <w:rFonts w:ascii="Times New Roman" w:hAnsi="Times New Roman" w:cs="Times New Roman"/>
          <w:sz w:val="24"/>
          <w:szCs w:val="24"/>
          <w:lang w:val="en-GB"/>
        </w:rPr>
        <w:t xml:space="preserve"> (SD = 1.1) post-L2 languages. The groups did not differ with regard to the number of additional languages studied (two-</w:t>
      </w:r>
      <w:r w:rsidR="000D6580" w:rsidRPr="002C3E85">
        <w:rPr>
          <w:rFonts w:ascii="Times New Roman" w:hAnsi="Times New Roman" w:cs="Times New Roman"/>
          <w:sz w:val="24"/>
          <w:szCs w:val="24"/>
          <w:lang w:val="en-GB"/>
        </w:rPr>
        <w:t>tailed</w:t>
      </w:r>
      <w:r w:rsidR="005A6309" w:rsidRPr="002C3E85">
        <w:rPr>
          <w:rFonts w:ascii="Times New Roman" w:hAnsi="Times New Roman" w:cs="Times New Roman"/>
          <w:sz w:val="24"/>
          <w:szCs w:val="24"/>
          <w:lang w:val="en-GB"/>
        </w:rPr>
        <w:t xml:space="preserve"> t(46) = 1.467, p = 0.149)</w:t>
      </w:r>
      <w:r w:rsidRPr="002C3E85">
        <w:rPr>
          <w:rFonts w:ascii="Times New Roman" w:hAnsi="Times New Roman" w:cs="Times New Roman"/>
          <w:sz w:val="24"/>
          <w:szCs w:val="24"/>
          <w:lang w:val="en-GB"/>
        </w:rPr>
        <w:t xml:space="preserve">, however, the difference in their L3 AoA </w:t>
      </w:r>
      <w:r w:rsidR="005A6309" w:rsidRPr="002C3E85">
        <w:rPr>
          <w:rFonts w:ascii="Times New Roman" w:hAnsi="Times New Roman" w:cs="Times New Roman"/>
          <w:sz w:val="24"/>
          <w:szCs w:val="24"/>
          <w:lang w:val="en-GB"/>
        </w:rPr>
        <w:t xml:space="preserve">meant that </w:t>
      </w:r>
      <w:r w:rsidR="002325C1" w:rsidRPr="002C3E85">
        <w:rPr>
          <w:rFonts w:ascii="Times New Roman" w:hAnsi="Times New Roman" w:cs="Times New Roman"/>
          <w:sz w:val="24"/>
          <w:szCs w:val="24"/>
          <w:lang w:val="en-GB"/>
        </w:rPr>
        <w:t>the groups differed with respect to the average number of years spent studying these post-L2 languages (M = 10.5 years, SD = 3.6 and M = 7.0 years, SD = 3.1 for the early and late bilinguals, respectively).</w:t>
      </w:r>
      <w:r w:rsidR="00D80317" w:rsidRPr="002C3E85">
        <w:rPr>
          <w:rFonts w:ascii="Times New Roman" w:hAnsi="Times New Roman" w:cs="Times New Roman"/>
          <w:sz w:val="24"/>
          <w:szCs w:val="24"/>
          <w:lang w:val="en-GB"/>
        </w:rPr>
        <w:t xml:space="preserve"> To </w:t>
      </w:r>
      <w:r w:rsidR="000D6580" w:rsidRPr="002C3E85">
        <w:rPr>
          <w:rFonts w:ascii="Times New Roman" w:hAnsi="Times New Roman" w:cs="Times New Roman"/>
          <w:sz w:val="24"/>
          <w:szCs w:val="24"/>
          <w:lang w:val="en-GB"/>
        </w:rPr>
        <w:t>account</w:t>
      </w:r>
      <w:r w:rsidR="00D80317" w:rsidRPr="002C3E85">
        <w:rPr>
          <w:rFonts w:ascii="Times New Roman" w:hAnsi="Times New Roman" w:cs="Times New Roman"/>
          <w:sz w:val="24"/>
          <w:szCs w:val="24"/>
          <w:lang w:val="en-GB"/>
        </w:rPr>
        <w:t xml:space="preserve"> for this difference, L3 AoA was included as a nuisance covariate in all analysis.</w:t>
      </w:r>
      <w:r w:rsidR="002325C1" w:rsidRPr="002C3E85">
        <w:rPr>
          <w:rFonts w:ascii="Times New Roman" w:hAnsi="Times New Roman" w:cs="Times New Roman"/>
          <w:sz w:val="24"/>
          <w:szCs w:val="24"/>
          <w:lang w:val="en-GB"/>
        </w:rPr>
        <w:t xml:space="preserve"> </w:t>
      </w:r>
      <w:r w:rsidR="00764644" w:rsidRPr="002C3E85">
        <w:rPr>
          <w:rFonts w:ascii="Times New Roman" w:hAnsi="Times New Roman" w:cs="Times New Roman"/>
          <w:sz w:val="24"/>
          <w:szCs w:val="24"/>
          <w:lang w:val="en-GB"/>
        </w:rPr>
        <w:lastRenderedPageBreak/>
        <w:t>Thus, in general</w:t>
      </w:r>
      <w:r w:rsidR="00A277F2" w:rsidRPr="002C3E85">
        <w:rPr>
          <w:rFonts w:ascii="Times New Roman" w:hAnsi="Times New Roman" w:cs="Times New Roman"/>
          <w:sz w:val="24"/>
          <w:szCs w:val="24"/>
          <w:lang w:val="en-GB"/>
        </w:rPr>
        <w:t>,</w:t>
      </w:r>
      <w:r w:rsidR="00812D45" w:rsidRPr="002C3E85">
        <w:rPr>
          <w:rFonts w:ascii="Times New Roman" w:hAnsi="Times New Roman" w:cs="Times New Roman"/>
          <w:sz w:val="24"/>
          <w:szCs w:val="24"/>
          <w:lang w:val="en-GB"/>
        </w:rPr>
        <w:t xml:space="preserve"> the groups were highly similar </w:t>
      </w:r>
      <w:bookmarkStart w:id="2" w:name="_Hlk512156488"/>
      <w:r w:rsidR="00812D45" w:rsidRPr="002C3E85">
        <w:rPr>
          <w:rFonts w:ascii="Times New Roman" w:hAnsi="Times New Roman" w:cs="Times New Roman"/>
          <w:sz w:val="24"/>
          <w:szCs w:val="24"/>
          <w:lang w:val="en-GB"/>
        </w:rPr>
        <w:t>in terms of their formal language learning backgrounds, but differed considerably with regards to their L2 AoA</w:t>
      </w:r>
      <w:bookmarkEnd w:id="2"/>
      <w:r w:rsidR="00812D45" w:rsidRPr="002C3E85">
        <w:rPr>
          <w:rFonts w:ascii="Times New Roman" w:hAnsi="Times New Roman" w:cs="Times New Roman"/>
          <w:sz w:val="24"/>
          <w:szCs w:val="24"/>
          <w:lang w:val="en-GB"/>
        </w:rPr>
        <w:t xml:space="preserve">. </w:t>
      </w:r>
      <w:r w:rsidR="009A63E0" w:rsidRPr="002C3E85">
        <w:rPr>
          <w:rFonts w:ascii="Times New Roman" w:hAnsi="Times New Roman" w:cs="Times New Roman"/>
          <w:sz w:val="24"/>
          <w:szCs w:val="24"/>
          <w:lang w:val="en-GB"/>
        </w:rPr>
        <w:t>As</w:t>
      </w:r>
      <w:r w:rsidR="00903F99" w:rsidRPr="002C3E85">
        <w:rPr>
          <w:rFonts w:ascii="Times New Roman" w:hAnsi="Times New Roman" w:cs="Times New Roman"/>
          <w:sz w:val="24"/>
          <w:szCs w:val="24"/>
          <w:lang w:val="en-GB"/>
        </w:rPr>
        <w:t xml:space="preserve"> </w:t>
      </w:r>
      <w:r w:rsidR="00812D45" w:rsidRPr="002C3E85">
        <w:rPr>
          <w:rFonts w:ascii="Times New Roman" w:hAnsi="Times New Roman" w:cs="Times New Roman"/>
          <w:sz w:val="24"/>
          <w:szCs w:val="24"/>
          <w:lang w:val="en-GB"/>
        </w:rPr>
        <w:t xml:space="preserve">structural </w:t>
      </w:r>
      <w:r w:rsidR="00903F99" w:rsidRPr="002C3E85">
        <w:rPr>
          <w:rFonts w:ascii="Times New Roman" w:hAnsi="Times New Roman" w:cs="Times New Roman"/>
          <w:sz w:val="24"/>
          <w:szCs w:val="24"/>
          <w:lang w:val="en-GB"/>
        </w:rPr>
        <w:t xml:space="preserve">differences based on the L2 </w:t>
      </w:r>
      <w:r w:rsidR="00F12F68" w:rsidRPr="002C3E85">
        <w:rPr>
          <w:rFonts w:ascii="Times New Roman" w:hAnsi="Times New Roman" w:cs="Times New Roman"/>
          <w:sz w:val="24"/>
          <w:szCs w:val="24"/>
          <w:lang w:val="en-GB"/>
        </w:rPr>
        <w:t>AoA</w:t>
      </w:r>
      <w:r w:rsidR="00903F99" w:rsidRPr="002C3E85">
        <w:rPr>
          <w:rFonts w:ascii="Times New Roman" w:hAnsi="Times New Roman" w:cs="Times New Roman"/>
          <w:sz w:val="24"/>
          <w:szCs w:val="24"/>
          <w:lang w:val="en-GB"/>
        </w:rPr>
        <w:t xml:space="preserve"> </w:t>
      </w:r>
      <w:r w:rsidR="00910EC5" w:rsidRPr="002C3E85">
        <w:rPr>
          <w:rFonts w:ascii="Times New Roman" w:hAnsi="Times New Roman" w:cs="Times New Roman"/>
          <w:sz w:val="24"/>
          <w:szCs w:val="24"/>
          <w:lang w:val="en-GB"/>
        </w:rPr>
        <w:t xml:space="preserve">have been shown to </w:t>
      </w:r>
      <w:r w:rsidR="00903F99" w:rsidRPr="002C3E85">
        <w:rPr>
          <w:rFonts w:ascii="Times New Roman" w:hAnsi="Times New Roman" w:cs="Times New Roman"/>
          <w:sz w:val="24"/>
          <w:szCs w:val="24"/>
          <w:lang w:val="en-GB"/>
        </w:rPr>
        <w:t>persist into adulthood and remain observable even though other languages are introduced later in life</w:t>
      </w:r>
      <w:r w:rsidR="00910EC5" w:rsidRPr="002C3E85">
        <w:rPr>
          <w:rFonts w:ascii="Times New Roman" w:hAnsi="Times New Roman" w:cs="Times New Roman"/>
          <w:sz w:val="24"/>
          <w:szCs w:val="24"/>
          <w:lang w:val="en-GB"/>
        </w:rPr>
        <w:t xml:space="preserve"> </w:t>
      </w:r>
      <w:r w:rsidR="00910EC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"10.3389/fpsyg.2015.00638", "ISSN" : "16641078", "PMID" : "26106338", "abstract" : "Numerous structural studies have established that experience shapes and reshapes the brain throughout a lifetime. The impact of early development, however, is still a matter of debate. Further clues may come from studying multilinguals who acquired their second language at different ages. We investigated adult multilinguals who spoke three languages fluently, where the third language was learned in classroom settings, not before the age of 9 years. Multilinguals exposed to two languages simultaneously from birth (SiM) were contrasted with multinguals who acquired their first two languages successively (SuM). Whole brain voxel based morphometry revealed that, relative to SuM, SiM have significantly lower gray matter volume in several language-associated cortical areas in both hemispheres: bilaterally in medial and inferior frontal gyrus, in the right medial temporal gyrus and inferior posterior parietal gyrus, as well as in the left inferior temporal gyrus. Thus, as shown by others, successive language learning increases the volume of language-associated cortical areas. In brains exposed early on and simultaneously to more than one language, however, learning of additional languages seems to have less impact. We conclude that - at least with respect to language acquisition - early developmental influences are maintained and have an effect on experience-dependent plasticity well into adulthood.", "author" : [ { "dropping-particle" : "", "family" : "Kaiser", "given" : "Anelis", "non-dropping-particle" : "", "parse-names" : false, "suffix" : "" }, { "dropping-particle" : "", "family" : "Eppenberger", "given" : "Leila S", "non-dropping-particle" : "", "parse-names" : false, "suffix" : "" }, { "dropping-particle" : "", "family" : "Smieskova", "given" : "Renata", "non-dropping-particle" : "", "parse-names" : false, "suffix" : "" }, { "dropping-particle" : "", "family" : "Borgwardt", "given" : "Stefan", "non-dropping-particle" : "", "parse-names" : false, "suffix" : "" }, { "dropping-particle" : "", "family" : "Kuenzli", "given" : "Esther", "non-dropping-particle" : "", "parse-names" : false, "suffix" : "" }, { "dropping-particle" : "", "family" : "Radue", "given" : "Ernst Wilhelm", "non-dropping-particle" : "", "parse-names" : false, "suffix" : "" }, { "dropping-particle" : "", "family" : "Nitsch", "given" : "Cordula", "non-dropping-particle" : "", "parse-names" : false, "suffix" : "" }, { "dropping-particle" : "", "family" : "Bendfeldt", "given" : "Kerstin", "non-dropping-particle" : "", "parse-names" : false, "suffix" : "" } ], "container-title" : "Frontiers in Psychology", "id" : "ITEM-1", "issue" : "JUN", "issued" : { "date-parts" : [ [ "2015" ] ] }, "page" : "638", "publisher" : "Frontiers Media SA", "title" : "Age of second language acquisition in multilinguals has an impact on gray matter volume in language-associated brain areas", "type" : "article-journal", "volume" : "6" }, "uris" : [ "http://www.mendeley.com/documents/?uuid=ee5eaada-b5b0-33ee-8d3a-c6483d0047a0" ] }, { "id" : "ITEM-2", "itemData" : { "DOI" : "10.1016/j.neuroimage.2017.02.081", "ISSN" : "10538119", "author" : [ { "dropping-particle" : "", "family" : "H\u00e4m\u00e4l\u00e4inen", "given" : "Sini", "non-dropping-particle" : "", "parse-names" : false, "suffix" : "" }, { "dropping-particle" : "", "family" : "Sairanen", "given" : "Viljami", "non-dropping-particle" : "", "parse-names" : false, "suffix" : "" }, { "dropping-particle" : "", "family" : "Leminen", "given" : "Alina", "non-dropping-particle" : "", "parse-names" : false, "suffix" : "" }, { "dropping-particle" : "", "family" : "Lehtonen", "given" : "Minna", "non-dropping-particle" : "", "parse-names" : false, "suffix" : "" } ], "container-title" : "NeuroImage", "id" : "ITEM-2", "issued" : { "date-parts" : [ [ "2017", "5" ] ] }, "note" : "NULL", "page" : "249-257", "title" : "Bilingualism modulates the white matter structure of language-related pathways", "type" : "article-journal", "volume" : "152" }, "uris" : [ "http://www.mendeley.com/documents/?uuid=e1f9a225-6cf6-3ba2-b3b1-31d3080dec15" ] } ], "mendeley" : { "formattedCitation" : "(H\u00e4m\u00e4l\u00e4inen et al., 2017; Kaiser et al., 2015)", "plainTextFormattedCitation" : "(H\u00e4m\u00e4l\u00e4inen et al., 2017; Kaiser et al., 2015)", "previouslyFormattedCitation" : "(H\u00e4m\u00e4l\u00e4inen et al., 2017; Kaiser et al., 2015)" }, "properties" : {  }, "schema" : "https://github.com/citation-style-language/schema/raw/master/csl-citation.json" }</w:instrText>
      </w:r>
      <w:r w:rsidR="00910EC5" w:rsidRPr="002C3E85">
        <w:rPr>
          <w:rFonts w:ascii="Times New Roman" w:hAnsi="Times New Roman" w:cs="Times New Roman"/>
          <w:sz w:val="24"/>
          <w:szCs w:val="24"/>
          <w:lang w:val="en-GB"/>
        </w:rPr>
        <w:fldChar w:fldCharType="separate"/>
      </w:r>
      <w:r w:rsidR="00910EC5" w:rsidRPr="002C3E85">
        <w:rPr>
          <w:rFonts w:ascii="Times New Roman" w:hAnsi="Times New Roman" w:cs="Times New Roman"/>
          <w:noProof/>
          <w:sz w:val="24"/>
          <w:szCs w:val="24"/>
          <w:lang w:val="en-GB"/>
        </w:rPr>
        <w:t>(Hämäläinen et al., 2017; Kaiser et al., 2015)</w:t>
      </w:r>
      <w:r w:rsidR="00910EC5" w:rsidRPr="002C3E85">
        <w:rPr>
          <w:rFonts w:ascii="Times New Roman" w:hAnsi="Times New Roman" w:cs="Times New Roman"/>
          <w:sz w:val="24"/>
          <w:szCs w:val="24"/>
          <w:lang w:val="en-GB"/>
        </w:rPr>
        <w:fldChar w:fldCharType="end"/>
      </w:r>
      <w:r w:rsidR="00910EC5" w:rsidRPr="002C3E85">
        <w:rPr>
          <w:rFonts w:ascii="Times New Roman" w:hAnsi="Times New Roman" w:cs="Times New Roman"/>
          <w:sz w:val="24"/>
          <w:szCs w:val="24"/>
          <w:lang w:val="en-GB"/>
        </w:rPr>
        <w:t xml:space="preserve">, </w:t>
      </w:r>
      <w:r w:rsidR="001829E1" w:rsidRPr="002C3E85">
        <w:rPr>
          <w:rFonts w:ascii="Times New Roman" w:hAnsi="Times New Roman" w:cs="Times New Roman"/>
          <w:sz w:val="24"/>
          <w:szCs w:val="24"/>
          <w:lang w:val="en-GB"/>
        </w:rPr>
        <w:t xml:space="preserve">it stands to reason that </w:t>
      </w:r>
      <w:bookmarkStart w:id="3" w:name="_Hlk512157893"/>
      <w:r w:rsidR="001829E1" w:rsidRPr="002C3E85">
        <w:rPr>
          <w:rFonts w:ascii="Times New Roman" w:hAnsi="Times New Roman" w:cs="Times New Roman"/>
          <w:sz w:val="24"/>
          <w:szCs w:val="24"/>
          <w:lang w:val="en-GB"/>
        </w:rPr>
        <w:t xml:space="preserve">any emerging </w:t>
      </w:r>
      <w:r w:rsidR="00910EC5" w:rsidRPr="002C3E85">
        <w:rPr>
          <w:rFonts w:ascii="Times New Roman" w:hAnsi="Times New Roman" w:cs="Times New Roman"/>
          <w:sz w:val="24"/>
          <w:szCs w:val="24"/>
          <w:lang w:val="en-GB"/>
        </w:rPr>
        <w:t xml:space="preserve">differences between the groups </w:t>
      </w:r>
      <w:r w:rsidR="001829E1" w:rsidRPr="002C3E85">
        <w:rPr>
          <w:rFonts w:ascii="Times New Roman" w:hAnsi="Times New Roman" w:cs="Times New Roman"/>
          <w:sz w:val="24"/>
          <w:szCs w:val="24"/>
          <w:lang w:val="en-GB"/>
        </w:rPr>
        <w:t>are likely to</w:t>
      </w:r>
      <w:bookmarkEnd w:id="3"/>
      <w:r w:rsidR="001829E1" w:rsidRPr="002C3E85">
        <w:rPr>
          <w:rFonts w:ascii="Times New Roman" w:hAnsi="Times New Roman" w:cs="Times New Roman"/>
          <w:sz w:val="24"/>
          <w:szCs w:val="24"/>
          <w:lang w:val="en-GB"/>
        </w:rPr>
        <w:t xml:space="preserve"> reflect the</w:t>
      </w:r>
      <w:r w:rsidR="00910EC5" w:rsidRPr="002C3E85">
        <w:rPr>
          <w:rFonts w:ascii="Times New Roman" w:hAnsi="Times New Roman" w:cs="Times New Roman"/>
          <w:sz w:val="24"/>
          <w:szCs w:val="24"/>
          <w:lang w:val="en-GB"/>
        </w:rPr>
        <w:t xml:space="preserve"> difference in </w:t>
      </w:r>
      <w:r w:rsidR="001829E1" w:rsidRPr="002C3E85">
        <w:rPr>
          <w:rFonts w:ascii="Times New Roman" w:hAnsi="Times New Roman" w:cs="Times New Roman"/>
          <w:sz w:val="24"/>
          <w:szCs w:val="24"/>
          <w:lang w:val="en-GB"/>
        </w:rPr>
        <w:t>the groups’</w:t>
      </w:r>
      <w:r w:rsidR="00910EC5" w:rsidRPr="002C3E85">
        <w:rPr>
          <w:rFonts w:ascii="Times New Roman" w:hAnsi="Times New Roman" w:cs="Times New Roman"/>
          <w:sz w:val="24"/>
          <w:szCs w:val="24"/>
          <w:lang w:val="en-GB"/>
        </w:rPr>
        <w:t xml:space="preserve"> bilingualism status during childhood (hence the nomenclature).</w:t>
      </w:r>
      <w:r w:rsidR="00903F99" w:rsidRPr="002C3E85">
        <w:rPr>
          <w:rFonts w:ascii="Times New Roman" w:hAnsi="Times New Roman" w:cs="Times New Roman"/>
          <w:sz w:val="24"/>
          <w:szCs w:val="24"/>
          <w:lang w:val="en-GB"/>
        </w:rPr>
        <w:t xml:space="preserve"> </w:t>
      </w:r>
      <w:r w:rsidR="00DA46F2" w:rsidRPr="002C3E85">
        <w:rPr>
          <w:rFonts w:ascii="Times New Roman" w:hAnsi="Times New Roman" w:cs="Times New Roman"/>
          <w:sz w:val="24"/>
          <w:szCs w:val="24"/>
          <w:lang w:val="en-GB"/>
        </w:rPr>
        <w:t>Information regarding p</w:t>
      </w:r>
      <w:r w:rsidR="00812D45" w:rsidRPr="002C3E85">
        <w:rPr>
          <w:rFonts w:ascii="Times New Roman" w:hAnsi="Times New Roman" w:cs="Times New Roman"/>
          <w:sz w:val="24"/>
          <w:szCs w:val="24"/>
          <w:lang w:val="en-GB"/>
        </w:rPr>
        <w:t>articipants’ detailed language learning background</w:t>
      </w:r>
      <w:r w:rsidR="00DA46F2" w:rsidRPr="002C3E85">
        <w:rPr>
          <w:rFonts w:ascii="Times New Roman" w:hAnsi="Times New Roman" w:cs="Times New Roman"/>
          <w:sz w:val="24"/>
          <w:szCs w:val="24"/>
          <w:lang w:val="en-GB"/>
        </w:rPr>
        <w:t>, including estimates of proficiency and usage,</w:t>
      </w:r>
      <w:r w:rsidR="00812D45" w:rsidRPr="002C3E85">
        <w:rPr>
          <w:rFonts w:ascii="Times New Roman" w:hAnsi="Times New Roman" w:cs="Times New Roman"/>
          <w:sz w:val="24"/>
          <w:szCs w:val="24"/>
          <w:lang w:val="en-GB"/>
        </w:rPr>
        <w:t xml:space="preserve"> </w:t>
      </w:r>
      <w:r w:rsidR="00DA46F2" w:rsidRPr="002C3E85">
        <w:rPr>
          <w:rFonts w:ascii="Times New Roman" w:hAnsi="Times New Roman" w:cs="Times New Roman"/>
          <w:sz w:val="24"/>
          <w:szCs w:val="24"/>
          <w:lang w:val="en-GB"/>
        </w:rPr>
        <w:t xml:space="preserve">was collected via self-evaluation questionnaires. This background data </w:t>
      </w:r>
      <w:r w:rsidR="00812D45" w:rsidRPr="002C3E85">
        <w:rPr>
          <w:rFonts w:ascii="Times New Roman" w:hAnsi="Times New Roman" w:cs="Times New Roman"/>
          <w:sz w:val="24"/>
          <w:szCs w:val="24"/>
          <w:lang w:val="en-GB"/>
        </w:rPr>
        <w:t>is presented in Table 1.</w:t>
      </w:r>
    </w:p>
    <w:p w14:paraId="09A5EA6C" w14:textId="77777777" w:rsidR="000E7C59" w:rsidRPr="002C3E85" w:rsidRDefault="000E7C59" w:rsidP="00B16091">
      <w:pPr>
        <w:spacing w:line="480" w:lineRule="auto"/>
        <w:jc w:val="both"/>
        <w:rPr>
          <w:rFonts w:ascii="Times New Roman" w:hAnsi="Times New Roman" w:cs="Times New Roman"/>
          <w:sz w:val="24"/>
          <w:szCs w:val="24"/>
          <w:lang w:val="en-GB"/>
        </w:rPr>
      </w:pPr>
    </w:p>
    <w:p w14:paraId="1944FE28" w14:textId="214524D9" w:rsidR="00FD40C1" w:rsidRPr="002C3E85" w:rsidRDefault="00FD40C1"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None of the participants reported any neurological or psychiatric disorders nor had </w:t>
      </w:r>
      <w:r w:rsidR="00361C32" w:rsidRPr="002C3E85">
        <w:rPr>
          <w:rFonts w:ascii="Times New Roman" w:hAnsi="Times New Roman" w:cs="Times New Roman"/>
          <w:sz w:val="24"/>
          <w:szCs w:val="24"/>
          <w:lang w:val="en-GB"/>
        </w:rPr>
        <w:t xml:space="preserve">any </w:t>
      </w:r>
      <w:r w:rsidRPr="002C3E85">
        <w:rPr>
          <w:rFonts w:ascii="Times New Roman" w:hAnsi="Times New Roman" w:cs="Times New Roman"/>
          <w:sz w:val="24"/>
          <w:szCs w:val="24"/>
          <w:lang w:val="en-GB"/>
        </w:rPr>
        <w:t xml:space="preserve">medications that might affect the central nervous system. The participants gave their written informed consent to participate in the experiments. The experiments were performed in accordance with the Declaration of Helsinki. Ethical permission for the experiment was issued by the University of Helsinki Ethical Review Board in the Humanities and Social and Behavioural Sciences. </w:t>
      </w:r>
    </w:p>
    <w:p w14:paraId="74A34DA7" w14:textId="77777777" w:rsidR="00DA7AAA" w:rsidRPr="002C3E85" w:rsidRDefault="00DA7AAA" w:rsidP="00B16091">
      <w:pPr>
        <w:spacing w:line="480" w:lineRule="auto"/>
        <w:jc w:val="both"/>
        <w:rPr>
          <w:rFonts w:ascii="Times New Roman" w:hAnsi="Times New Roman" w:cs="Times New Roman"/>
          <w:sz w:val="24"/>
          <w:szCs w:val="24"/>
          <w:lang w:val="en-GB"/>
        </w:rPr>
      </w:pPr>
    </w:p>
    <w:p w14:paraId="035C2F37" w14:textId="25AC6D7C" w:rsidR="00FD40C1" w:rsidRPr="002C3E85" w:rsidRDefault="00560E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 xml:space="preserve">2.2 </w:t>
      </w:r>
      <w:r w:rsidR="00A10D07" w:rsidRPr="002C3E85">
        <w:rPr>
          <w:rFonts w:ascii="Times New Roman" w:hAnsi="Times New Roman" w:cs="Times New Roman"/>
          <w:b/>
          <w:sz w:val="24"/>
          <w:szCs w:val="24"/>
          <w:lang w:val="en-GB"/>
        </w:rPr>
        <w:t xml:space="preserve">MRI </w:t>
      </w:r>
      <w:r w:rsidR="0054716A" w:rsidRPr="002C3E85">
        <w:rPr>
          <w:rFonts w:ascii="Times New Roman" w:hAnsi="Times New Roman" w:cs="Times New Roman"/>
          <w:b/>
          <w:sz w:val="24"/>
          <w:szCs w:val="24"/>
          <w:lang w:val="en-GB"/>
        </w:rPr>
        <w:t>acquisition</w:t>
      </w:r>
      <w:r w:rsidR="00D07501" w:rsidRPr="002C3E85">
        <w:rPr>
          <w:rFonts w:ascii="Times New Roman" w:hAnsi="Times New Roman" w:cs="Times New Roman"/>
          <w:b/>
          <w:sz w:val="24"/>
          <w:szCs w:val="24"/>
          <w:lang w:val="en-GB"/>
        </w:rPr>
        <w:t xml:space="preserve"> </w:t>
      </w:r>
    </w:p>
    <w:p w14:paraId="4065EDE5" w14:textId="16158799" w:rsidR="00B405B7" w:rsidRPr="002C3E85" w:rsidRDefault="0054716A"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Participants were scanned with Siemens Skyra 3T MR (Erlangen, Germany) scanner using a </w:t>
      </w:r>
      <w:r w:rsidR="000462DD" w:rsidRPr="002C3E85">
        <w:rPr>
          <w:rFonts w:ascii="Times New Roman" w:hAnsi="Times New Roman" w:cs="Times New Roman"/>
          <w:sz w:val="24"/>
          <w:szCs w:val="24"/>
          <w:lang w:val="en-GB"/>
        </w:rPr>
        <w:t xml:space="preserve">standard </w:t>
      </w:r>
      <w:r w:rsidRPr="002C3E85">
        <w:rPr>
          <w:rFonts w:ascii="Times New Roman" w:hAnsi="Times New Roman" w:cs="Times New Roman"/>
          <w:sz w:val="24"/>
          <w:szCs w:val="24"/>
          <w:lang w:val="en-GB"/>
        </w:rPr>
        <w:t xml:space="preserve">32-channel head matrix coil. </w:t>
      </w:r>
      <w:r w:rsidR="000D7346" w:rsidRPr="002C3E85">
        <w:rPr>
          <w:rFonts w:ascii="Times New Roman" w:hAnsi="Times New Roman" w:cs="Times New Roman"/>
          <w:sz w:val="24"/>
          <w:szCs w:val="24"/>
          <w:lang w:val="en-GB"/>
        </w:rPr>
        <w:lastRenderedPageBreak/>
        <w:t xml:space="preserve">High-resolution </w:t>
      </w:r>
      <w:r w:rsidR="007768B1" w:rsidRPr="002C3E85">
        <w:rPr>
          <w:rFonts w:ascii="Times New Roman" w:hAnsi="Times New Roman" w:cs="Times New Roman"/>
          <w:sz w:val="24"/>
          <w:szCs w:val="24"/>
          <w:lang w:val="en-GB"/>
        </w:rPr>
        <w:t xml:space="preserve">T1 </w:t>
      </w:r>
      <w:r w:rsidR="000D7346" w:rsidRPr="002C3E85">
        <w:rPr>
          <w:rFonts w:ascii="Times New Roman" w:hAnsi="Times New Roman" w:cs="Times New Roman"/>
          <w:sz w:val="24"/>
          <w:szCs w:val="24"/>
          <w:lang w:val="en-GB"/>
        </w:rPr>
        <w:t>anatomical images were obtained</w:t>
      </w:r>
      <w:r w:rsidR="007768B1" w:rsidRPr="002C3E85">
        <w:rPr>
          <w:rFonts w:ascii="Times New Roman" w:hAnsi="Times New Roman" w:cs="Times New Roman"/>
          <w:sz w:val="24"/>
          <w:szCs w:val="24"/>
          <w:lang w:val="en-GB"/>
        </w:rPr>
        <w:t xml:space="preserve"> for each participant</w:t>
      </w:r>
      <w:r w:rsidR="000D7346" w:rsidRPr="002C3E85">
        <w:rPr>
          <w:rFonts w:ascii="Times New Roman" w:hAnsi="Times New Roman" w:cs="Times New Roman"/>
          <w:sz w:val="24"/>
          <w:szCs w:val="24"/>
          <w:lang w:val="en-GB"/>
        </w:rPr>
        <w:t xml:space="preserve"> with a </w:t>
      </w:r>
      <w:r w:rsidR="00EF040B" w:rsidRPr="002C3E85">
        <w:rPr>
          <w:rFonts w:ascii="Times New Roman" w:hAnsi="Times New Roman" w:cs="Times New Roman"/>
          <w:sz w:val="24"/>
          <w:szCs w:val="24"/>
          <w:lang w:val="en-GB"/>
        </w:rPr>
        <w:t>magnetization-prepared rapid acquisition gradient echo</w:t>
      </w:r>
      <w:r w:rsidR="000D7346" w:rsidRPr="002C3E85">
        <w:rPr>
          <w:rFonts w:ascii="Times New Roman" w:hAnsi="Times New Roman" w:cs="Times New Roman"/>
          <w:sz w:val="24"/>
          <w:szCs w:val="24"/>
          <w:lang w:val="en-GB"/>
        </w:rPr>
        <w:t xml:space="preserve"> </w:t>
      </w:r>
      <w:r w:rsidR="00EF040B" w:rsidRPr="002C3E85">
        <w:rPr>
          <w:rFonts w:ascii="Times New Roman" w:hAnsi="Times New Roman" w:cs="Times New Roman"/>
          <w:sz w:val="24"/>
          <w:szCs w:val="24"/>
          <w:lang w:val="en-GB"/>
        </w:rPr>
        <w:t>(</w:t>
      </w:r>
      <w:r w:rsidR="000D7346" w:rsidRPr="002C3E85">
        <w:rPr>
          <w:rFonts w:ascii="Times New Roman" w:hAnsi="Times New Roman" w:cs="Times New Roman"/>
          <w:sz w:val="24"/>
          <w:szCs w:val="24"/>
          <w:lang w:val="en-GB"/>
        </w:rPr>
        <w:t>MPRAGE</w:t>
      </w:r>
      <w:r w:rsidR="00EF040B" w:rsidRPr="002C3E85">
        <w:rPr>
          <w:rFonts w:ascii="Times New Roman" w:hAnsi="Times New Roman" w:cs="Times New Roman"/>
          <w:sz w:val="24"/>
          <w:szCs w:val="24"/>
          <w:lang w:val="en-GB"/>
        </w:rPr>
        <w:t>)</w:t>
      </w:r>
      <w:r w:rsidR="000D7346" w:rsidRPr="002C3E85">
        <w:rPr>
          <w:rFonts w:ascii="Times New Roman" w:hAnsi="Times New Roman" w:cs="Times New Roman"/>
          <w:sz w:val="24"/>
          <w:szCs w:val="24"/>
          <w:lang w:val="en-GB"/>
        </w:rPr>
        <w:t xml:space="preserve"> sequence </w:t>
      </w:r>
      <w:r w:rsidR="00EF040B" w:rsidRPr="002C3E85">
        <w:rPr>
          <w:rFonts w:ascii="Times New Roman" w:hAnsi="Times New Roman" w:cs="Times New Roman"/>
          <w:sz w:val="24"/>
          <w:szCs w:val="24"/>
          <w:lang w:val="en-GB"/>
        </w:rPr>
        <w:t>with</w:t>
      </w:r>
      <w:r w:rsidR="000D7346" w:rsidRPr="002C3E85">
        <w:rPr>
          <w:rFonts w:ascii="Times New Roman" w:hAnsi="Times New Roman" w:cs="Times New Roman"/>
          <w:sz w:val="24"/>
          <w:szCs w:val="24"/>
          <w:lang w:val="en-GB"/>
        </w:rPr>
        <w:t xml:space="preserve"> the following parameters: repetition time (TR) </w:t>
      </w:r>
      <w:r w:rsidR="004853B9" w:rsidRPr="002C3E85">
        <w:rPr>
          <w:rFonts w:ascii="Times New Roman" w:hAnsi="Times New Roman" w:cs="Times New Roman"/>
          <w:sz w:val="24"/>
          <w:szCs w:val="24"/>
          <w:lang w:val="en-GB"/>
        </w:rPr>
        <w:t>2530 ms, echo time (TE) 3.3 ms, inversion time (TI) 1100 ms, field-of-view 256 mm, voxel size 1 x 1 x 1 mm</w:t>
      </w:r>
      <w:r w:rsidR="004853B9" w:rsidRPr="002C3E85">
        <w:rPr>
          <w:rFonts w:ascii="Times New Roman" w:hAnsi="Times New Roman" w:cs="Times New Roman"/>
          <w:sz w:val="24"/>
          <w:szCs w:val="24"/>
          <w:vertAlign w:val="superscript"/>
          <w:lang w:val="en-GB"/>
        </w:rPr>
        <w:t>3</w:t>
      </w:r>
      <w:r w:rsidR="004853B9" w:rsidRPr="002C3E85">
        <w:rPr>
          <w:rFonts w:ascii="Times New Roman" w:hAnsi="Times New Roman" w:cs="Times New Roman"/>
          <w:sz w:val="24"/>
          <w:szCs w:val="24"/>
          <w:lang w:val="en-GB"/>
        </w:rPr>
        <w:t>, flip angle 7° and number of averages 1. Total scan time was 6 mins 2 sec.</w:t>
      </w:r>
    </w:p>
    <w:p w14:paraId="52F7EEB9" w14:textId="77777777" w:rsidR="006D01F5" w:rsidRPr="002C3E85" w:rsidRDefault="006D01F5" w:rsidP="00B16091">
      <w:pPr>
        <w:spacing w:line="480" w:lineRule="auto"/>
        <w:jc w:val="both"/>
        <w:rPr>
          <w:rFonts w:ascii="Times New Roman" w:hAnsi="Times New Roman" w:cs="Times New Roman"/>
          <w:sz w:val="24"/>
          <w:szCs w:val="24"/>
          <w:lang w:val="en-GB"/>
        </w:rPr>
      </w:pPr>
    </w:p>
    <w:p w14:paraId="2EA4F67B" w14:textId="77777777" w:rsidR="0019550E" w:rsidRPr="002C3E85" w:rsidRDefault="00D61796"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2.3</w:t>
      </w:r>
      <w:r w:rsidR="00560E50" w:rsidRPr="002C3E85">
        <w:rPr>
          <w:rFonts w:ascii="Times New Roman" w:hAnsi="Times New Roman" w:cs="Times New Roman"/>
          <w:b/>
          <w:sz w:val="24"/>
          <w:szCs w:val="24"/>
          <w:lang w:val="en-GB"/>
        </w:rPr>
        <w:t xml:space="preserve"> </w:t>
      </w:r>
      <w:r w:rsidR="00C47269" w:rsidRPr="002C3E85">
        <w:rPr>
          <w:rFonts w:ascii="Times New Roman" w:hAnsi="Times New Roman" w:cs="Times New Roman"/>
          <w:b/>
          <w:sz w:val="24"/>
          <w:szCs w:val="24"/>
          <w:lang w:val="en-GB"/>
        </w:rPr>
        <w:t>S</w:t>
      </w:r>
      <w:r w:rsidR="00F60ADB" w:rsidRPr="002C3E85">
        <w:rPr>
          <w:rFonts w:ascii="Times New Roman" w:hAnsi="Times New Roman" w:cs="Times New Roman"/>
          <w:b/>
          <w:sz w:val="24"/>
          <w:szCs w:val="24"/>
          <w:lang w:val="en-GB"/>
        </w:rPr>
        <w:t xml:space="preserve">urface-based </w:t>
      </w:r>
      <w:r w:rsidR="00C47269" w:rsidRPr="002C3E85">
        <w:rPr>
          <w:rFonts w:ascii="Times New Roman" w:hAnsi="Times New Roman" w:cs="Times New Roman"/>
          <w:b/>
          <w:sz w:val="24"/>
          <w:szCs w:val="24"/>
          <w:lang w:val="en-GB"/>
        </w:rPr>
        <w:t>analysis</w:t>
      </w:r>
    </w:p>
    <w:p w14:paraId="37A816AB" w14:textId="7E021B53" w:rsidR="002C5628" w:rsidRPr="002C3E85" w:rsidRDefault="007E4D7C"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sz w:val="24"/>
          <w:szCs w:val="24"/>
          <w:lang w:val="en-GB"/>
        </w:rPr>
        <w:t xml:space="preserve">Surface-based analysis was conducted using Freesurfer software (version 5.3, </w:t>
      </w:r>
      <w:hyperlink r:id="rId9" w:history="1">
        <w:r w:rsidRPr="002C3E85">
          <w:rPr>
            <w:rStyle w:val="Hyperlink"/>
            <w:rFonts w:ascii="Times New Roman" w:hAnsi="Times New Roman" w:cs="Times New Roman"/>
            <w:sz w:val="24"/>
            <w:szCs w:val="24"/>
            <w:lang w:val="en-GB"/>
          </w:rPr>
          <w:t>http://freesurfer.net)</w:t>
        </w:r>
      </w:hyperlink>
      <w:r w:rsidRPr="002C3E85">
        <w:rPr>
          <w:rFonts w:ascii="Times New Roman" w:hAnsi="Times New Roman" w:cs="Times New Roman"/>
          <w:sz w:val="24"/>
          <w:szCs w:val="24"/>
          <w:lang w:val="en-GB"/>
        </w:rPr>
        <w:t xml:space="preserve">. The T1-weighted images were processed using the standard processing pipeline optimized for 3T scans </w:t>
      </w:r>
      <w:r w:rsidRPr="002C3E85">
        <w:rPr>
          <w:rFonts w:ascii="Times New Roman" w:hAnsi="Times New Roman" w:cs="Times New Roman"/>
          <w:sz w:val="24"/>
          <w:szCs w:val="24"/>
          <w:lang w:val="en-GB"/>
        </w:rPr>
        <w:lastRenderedPageBreak/>
        <w:t xml:space="preserve">and the output inspected visually. Briefly, this processing of the images includes brain extraction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"10.1016/j.neuroimage.2004.03.032", "ISSN" : "10538119", "PMID" : "15219578", "abstract" : "We present a novel skull-stripping algorithm based on a hybrid approach that combines watershed algorithms and deformable surface models. Our method takes advantage of the robustness of the former as well as the surface information available to the latter. The algorithm first localizes a single white matter voxel in a T1-weighted MRI image, and uses it to create a global minimum in the white matter before applying a watershed algorithm with a preflooding height. The watershed algorithm builds an initial estimate of the brain volume based on the three-dimensional connectivity of the white matter. This first step is robust, and performs well in the presence of intensity nonuniformities and noise, but may erode parts of the cortex that abut bright nonbrain structures such as the eye sockets, or may remove parts of the cerebellum. To correct these inaccuracies, a surface deformation process fits a smooth surface to the masked volume, allowing the incorporation of geometric constraints into the skull-stripping procedure. A statistical atlas, generated from a set of accurately segmented brains, is used to validate and potentially correct the segmentation, and the MRI intensity values are locally re-estimated at the boundary of the brain. Finally, a high-resolution surface deformation is performed that accurately matches the outer boundary of the brain, resulting in a robust and automated procedure. Studies by our group and others outperform other publicly available skull-stripping tools.", "author" : [ { "dropping-particle" : "", "family" : "S\u00e9gonne", "given" : "F.", "non-dropping-particle" : "", "parse-names" : false, "suffix" : "" }, { "dropping-particle" : "", "family" : "Dale", "given" : "A.M.", "non-dropping-particle" : "", "parse-names" : false, "suffix" : "" }, { "dropping-particle" : "", "family" : "Busa", "given" : "E.", "non-dropping-particle" : "", "parse-names" : false, "suffix" : "" }, { "dropping-particle" : "", "family" : "Glessner", "given" : "M.", "non-dropping-particle" : "", "parse-names" : false, "suffix" : "" }, { "dropping-particle" : "", "family" : "Salat", "given" : "D.", "non-dropping-particle" : "", "parse-names" : false, "suffix" : "" }, { "dropping-particle" : "", "family" : "Hahn", "given" : "H.K.", "non-dropping-particle" : "", "parse-names" : false, "suffix" : "" }, { "dropping-particle" : "", "family" : "Fischl", "given" : "B.", "non-dropping-particle" : "", "parse-names" : false, "suffix" : "" } ], "container-title" : "NeuroImage", "id" : "ITEM-1", "issue" : "3", "issued" : { "date-parts" : [ [ "2004", "7" ] ] }, "page" : "1060-1075", "title" : "A hybrid approach to the skull stripping problem in MRI", "type" : "article-journal", "volume" : "22" }, "uris" : [ "http://www.mendeley.com/documents/?uuid=a5113fd1-4c39-3b91-9648-f4fd3afc66fe" ] } ], "mendeley" : { "formattedCitation" : "(S\u00e9gonne et al., 2004)", "plainTextFormattedCitation" : "(S\u00e9gonne et al., 2004)", "previouslyFormattedCitation" : "(S\u00e9gonne et al., 2004)"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(Ségonne et al., 2004)</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automated Talairach transformation, intensity normalization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"10.1109/42.668698", "ISSN" : "02780062", "PMID" : "9617910", "abstract" : "A novel approach to correcting for intensity nonuniformity in magnetic resonance (MR) data is described that achieves high performance without requiring a model of the tissue classes present. The method has the advantage that it can be applied at an early stage in an automated data analysis, before a tissue model is available. Described as nonparametric nonuniform intensity normalization (N3), the method is independent of pulse sequence and insensitive to pathological data that might otherwise violate model assumptions. To eliminate the dependence of the field estimate on anatomy, an iterative approach is employed to estimate both the multiplicative bias field and the distribution of the true tissue intensities. The performance of this method is evaluated using both real and simulated MR data.", "author" : [ { "dropping-particle" : "", "family" : "Sled", "given" : "J.G.", "non-dropping-particle" : "", "parse-names" : false, "suffix" : "" }, { "dropping-particle" : "", "family" : "Zijdenbos", "given" : "A.P.", "non-dropping-particle" : "", "parse-names" : false, "suffix" : "" }, { "dropping-particle" : "", "family" : "Evans", "given" : "A.C.", "non-dropping-particle" : "", "parse-names" : false, "suffix" : "" } ], "container-title" : "IEEE Transactions on Medical Imaging", "id" : "ITEM-1", "issue" : "1", "issued" : { "date-parts" : [ [ "1998", "2" ] ] }, "page" : "87-97", "title" : "A nonparametric method for automatic correction of intensity nonuniformity in MRI data", "type" : "article-journal", "volume" : "17" }, "uris" : [ "http://www.mendeley.com/documents/?uuid=577586d9-c281-3504-a0e8-13cfefbb0e3f" ] } ], "mendeley" : { "formattedCitation" : "(Sled et al., 1998)", "plainTextFormattedCitation" : "(Sled et al., 1998)", "previouslyFormattedCitation" : "(Sled et al., 1998)"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(Sled et al., 1998)</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tessellation of the grey matter white matter boundary, automated topology correction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"10.1109/42.906426", "ISSN" : "02780062", "PMID" : "11293693", "abstract" : "Highly accurate surface models of the cerebral cortex are becoming increasingly important as tools in the investigation of the functional organization of the human brain. The construction of such models is difficult using current neuroimaging technology due to the high degree of cortical folding. Even single voxel misclassifications can result in erroneous connections being created between adjacent banks of a sulcus, resulting in a topologically inaccurate model. These topological defects cause the cortical model to no longer be homeomorphic to a sheet, preventing the accurate inflation, flattening, or spherical morphing of the reconstructed cortex. Surface deformation techniques can guarantee the topological correctness of a model, but are time-consuming and may result in geometrically inaccurate models. In order to address this need we have developed a technique for taking a model of the cortex, detecting and fixing the topological defects while leaving that majority of the model intact, resulting in a surface that is both geometrically accurate and topologically correct.", "author" : [ { "dropping-particle" : "", "family" : "Fischl", "given" : "B.", "non-dropping-particle" : "", "parse-names" : false, "suffix" : "" }, { "dropping-particle" : "", "family" : "Liu", "given" : "A.", "non-dropping-particle" : "", "parse-names" : false, "suffix" : "" }, { "dropping-particle" : "", "family" : "Dale", "given" : "A.M.", "non-dropping-particle" : "", "parse-names" : false, "suffix" : "" } ], "container-title" : "IEEE Transactions on Medical Imaging", "id" : "ITEM-1", "issue" : "1", "issued" : { "date-parts" : [ [ "2001", "1" ] ] }, "page" : "70-80", "title" : "Automated manifold surgery: constructing geometrically accurate and topologically correct models of the human cerebral cortex", "type" : "article-journal", "volume" : "20" }, "uris" : [ "http://www.mendeley.com/documents/?uuid=45563529-dd0a-3294-9d9f-e2fd185b4580" ] }, { "id" : "ITEM-2", "itemData" : { "DOI" : "10.1109/TMI.2006.887364", "ISSN" : "0278-0062", "author" : [ { "dropping-particle" : "", "family" : "Segonne", "given" : "Florent", "non-dropping-particle" : "", "parse-names" : false, "suffix" : "" }, { "dropping-particle" : "", "family" : "Pacheco", "given" : "Jenni", "non-dropping-particle" : "", "parse-names" : false, "suffix" : "" }, { "dropping-particle" : "", "family" : "Fischl", "given" : "Bruce", "non-dropping-particle" : "", "parse-names" : false, "suffix" : "" } ], "container-title" : "IEEE Transactions on Medical Imaging", "id" : "ITEM-2", "issue" : "4", "issued" : { "date-parts" : [ [ "2007", "4" ] ] }, "page" : "518-529", "title" : "Geometrically Accurate Topology-Correction of Cortical Surfaces Using Nonseparating Loops", "type" : "article-journal", "volume" : "26" }, "uris" : [ "http://www.mendeley.com/documents/?uuid=4f2fd62e-2518-3a9c-90bb-f33c03a6bc77" ] } ], "mendeley" : { "formattedCitation" : "(Fischl et al., 2001; Segonne et al., 2007)", "plainTextFormattedCitation" : "(Fischl et al., 2001; Segonne et al., 2007)", "previouslyFormattedCitation" : "(Fischl et al., 2001; Segonne et al., 2007)"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(Fischl et al., 2001; Segonne et al., 2007)</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and surface deformation following intensity gradients determining the grey/white and grey/cerebrospinal fluid borders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"10.1006/nimg.1998.0395", "ISSN" : "10538119", "PMID" : "9931268", "abstract" : "Several properties of the cerebral cortex, including its columnar and laminar organization, as well as the topographic organization of cortical areas, can only be properly understood in the context of the intrinsic two-dimensional structure of the cortical surface. In order to study such cortical properties in humans, it is necessary to obtain an accurate and explicit representation of the cortical surface in individual subjects. Here we describe a set of automated procedures for obtaining accurate reconstructions of the cortical surface, which have been applied to data from more than 100 subjects, requiring little or no manual intervention. Automated routines for unfolding and flattening the cortical surface are described in a companion paper. These procedures allow for the routine use of cortical surface-based analysis and visualization methods in functional brain imaging.", "author" : [ { "dropping-particle" : "", "family" : "Dale", "given" : "Anders M.", "non-dropping-particle" : "", "parse-names" : false, "suffix" : "" }, { "dropping-particle" : "", "family" : "Fischl", "given" : "Bruce", "non-dropping-particle" : "", "parse-names" : false, "suffix" : "" }, { "dropping-particle" : "", "family" : "Sereno", "given" : "Martin I.", "non-dropping-particle" : "", "parse-names" : false, "suffix" : "" } ], "container-title" : "NeuroImage", "id" : "ITEM-1", "issue" : "2", "issued" : { "date-parts" : [ [ "1999", "2" ] ] }, "page" : "179-194", "title" : "Cortical Surface-Based Analysis", "type" : "article-journal", "volume" : "9" }, "uris" : [ "http://www.mendeley.com/documents/?uuid=a55098b0-dc21-3a47-8b30-5da008dc3035" ] }, { "id" : "ITEM-2", "itemData" : { "DOI" : "10.1162/jocn.1993.5.2.162", "ISSN" : "0898-929X", "PMID" : "23972151", "abstract" : "Abstract We describe a comprehensive linear approach to the problem of imaging brain activity with high temporal as well as spatial resolution based on combining EEG and MEG data with anatomical constraints derived from MRI images. The \"inverse problem\" of estimating the distribution of dipole strengths over the cortical surface is highly underdetermined, even given closely spaced EEG and MEG recordings. We have obtained much better solutions to this problem by explicitly incorporating both local cortical orientation as well as spatial covariance of sources and sensors into our formulation. An explicit polygonal model of the cortical manifold is first constructed as follows: (1) slice data in three orthogonal planes of section (needle-shaped voxels) are combined with a linear deblurring technique to make a single high-resolution 3-D image (cubic voxels), (2) the image is recursively flood-filled to determine the topology of the gray-white matter border, and (3) the resulting continuous surface is refined by relaxing it against the original 3-D gray-scale image using a deformable template method, which is also used to computationally flatten the cortex for easier viewing. The explicit solution to an error minimization formulation of an optimal inverse linear operator (for a particular cortical manifold, sensor placement, noise and prior source covariance) gives rise to a compact expression that is practically computable for hundreds of sensors and thousands of sources. The inverse solution can then be weighted for a particular (averaged) event using the sensor covariance for that event. Model studies suggest that we may be able to localize multiple cortical sources with spatial resolution as good as PET with this technique, while retaining a much finer grained picture of activity over time.", "author" : [ { "dropping-particle" : "", "family" : "Dale", "given" : "Anders M.", "non-dropping-particle" : "", "parse-names" : false, "suffix" : "" }, { "dropping-particle" : "", "family" : "Sereno", "given" : "Martin I.", "non-dropping-particle" : "", "parse-names" : false, "suffix" : "" } ], "container-title" : "Journal of Cognitive Neuroscience", "id" : "ITEM-2", "issue" : "2", "issued" : { "date-parts" : [ [ "1993", "4" ] ] }, "page" : "162-176", "title" : "Improved Localizadon of Cortical Activity by Combining EEG and MEG with MRI Cortical Surface Reconstruction: A Linear Approach", "type" : "article-journal", "volume" : "5" }, "uris" : [ "http://www.mendeley.com/documents/?uuid=c6d790de-cbb2-39c4-8ff6-1dc1587f3f85" ] }, { "id" : "ITEM-3", "itemData" : { "DOI" : "10.1073/pnas.200033797", "ISSN" : "0027-8424", "PMID" : "10984517", "abstract" : "Accurate and automated methods for measuring the thickness of human cerebral cortex could provide powerful tools for diagnosing and studying a variety of neurodegenerative and psychiatric disorders. Manual methods for estimating cortical thickness from neuroimaging data are labor intensive, requiring several days of effort by a trained anatomist. Furthermore, the highly folded nature of the cortex is problematic for manual techniques, frequently resulting in measurement errors in regions in which the cortical surface is not perpendicular to any of the cardinal axes. As a consequence, it has been impractical to obtain accurate thickness estimates for the entire cortex in individual subjects, or group statistics for patient or control populations. Here, we present an automated method for accurately measuring the thickness of the cerebral cortex across the entire brain and for generating cross-subject statistics in a coordinate system based on cortical anatomy. The intersubject standard deviation of the thickness measures is shown to be less than 0.5 mm, implying the ability to detect focal atrophy in small populations or even individual subjects. The reliability and accuracy of this new method are assessed by within-subject test-retest studies, as well as by comparison of cross-subject regional thickness measures with published values.", "author" : [ { "dropping-particle" : "", "family" : "Fischl", "given" : "B.", "non-dropping-particle" : "", "parse-names" : false, "suffix" : "" }, { "dropping-particle" : "", "family" : "Dale", "given" : "A. M.", "non-dropping-particle" : "", "parse-names" : false, "suffix" : "" } ], "container-title" : "Proceedings of the National Academy of Sciences", "id" : "ITEM-3", "issue" : "20", "issued" : { "date-parts" : [ [ "2000", "9", "26" ] ] }, "page" : "11050-11055", "title" : "Measuring the thickness of the human cerebral cortex from magnetic resonance images", "type" : "article-journal", "volume" : "97" }, "uris" : [ "http://www.mendeley.com/documents/?uuid=027952fd-5fde-3e4f-a2f1-d33e27cb24fc" ] } ], "mendeley" : { "formattedCitation" : "(Dale et al., 1999; Dale and Sereno, 1993; Fischl and Dale, 2000)", "plainTextFormattedCitation" : "(Dale et al., 1999; Dale and Sereno, 1993; Fischl and Dale, 2000)", "previouslyFormattedCitation" : "(Dale et al., 1999; Dale and Sereno, 1993; Fischl and Dale, 2000)"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(Dale et al., 1999; Dale and Sereno, 1993; Fischl and Dale, 2000)</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Parcellation of the cerebral cortex is based on the gyral and sulcal geometry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"10.1016/j.neuroimage.2006.01.021", "abstract" : "In this study, we have assessed the validity and reliability of an automated labeling system that we have developed for subdividing the human cerebral cortex on magnetic resonance images into gyral based regions of interest (ROIs). Using a dataset of 40 MRI scans we manually identified 34 cortical ROIs in each of the individual hemispheres. This information was then encoded in the form of an atlas that was utilized to automatically label ROIs. To examine the validity, as well as the intra-and inter-rater reliability of the automated system, we used both intraclass correlation coefficients (ICC), and a new method known as mean distance maps, to assess the degree of mismatch between the manual and the automated sets of ROIs. When compared with the manual ROIs, the automated ROIs were highly accurate, with an average ICC of 0.835 across all of the ROIs, and a mean distance error of less than 1 mm. Intra-and inter-rater comparisons yielded little to no difference between the sets of ROIs. These findings suggest that the automated method we have developed for subdividing the human cerebral cortex into standard gyral-based neuroanatomical regions is both anatomically valid and reliable. This method may be useful for both morphometric and functional studies of the cerebral cortex as well as for clinical investigations aimed at tracking the evolution of disease-induced changes over time, including clinical trials in which MRI-based measures are used to examine response to treatment.", "author" : [ { "dropping-particle" : "", "family" : "Desikan", "given" : "Rahul S", "non-dropping-particle" : "", "parse-names" : false, "suffix" : "" }, { "dropping-particle" : "", "family" : "S\u00e9gonne", "given" : "Florent", "non-dropping-particle" : "", "parse-names" : false, "suffix" : "" }, { "dropping-particle" : "", "family" : "Fischl", "given" : "Bruce", "non-dropping-particle" : "", "parse-names" : false, "suffix" : "" }, { "dropping-particle" : "", "family" : "Quinn", "given" : "Brian T", "non-dropping-particle" : "", "parse-names" : false, "suffix" : "" }, { "dropping-particle" : "", "family" : "Dickerson", "given" : "Bradford C", "non-dropping-particle" : "", "parse-names" : false, "suffix" : "" }, { "dropping-particle" : "", "family" : "Blacker", "given" : "Deborah", "non-dropping-particle" : "", "parse-names" : false, "suffix" : "" }, { "dropping-particle" : "", "family" : "Buckner", "given" : "Randy L", "non-dropping-particle" : "", "parse-names" : false, "suffix" : "" }, { "dropping-particle" : "", "family" : "Dale", "given" : "Anders M", "non-dropping-particle" : "", "parse-names" : false, "suffix" : "" }, { "dropping-particle" : "", "family" : "Maguire", "given" : "R Paul", "non-dropping-particle" : "", "parse-names" : false, "suffix" : "" }, { "dropping-particle" : "", "family" : "Hyman", "given" : "Bradley T", "non-dropping-particle" : "", "parse-names" : false, "suffix" : "" }, { "dropping-particle" : "", "family" : "Albert", "given" : "Marilyn S", "non-dropping-particle" : "", "parse-names" : false, "suffix" : "" }, { "dropping-particle" : "", "family" : "Killiany", "given" : "Ronald J", "non-dropping-particle" : "", "parse-names" : false, "suffix" : "" } ], "id" : "ITEM-1", "issued" : { "date-parts" : [ [ "2006" ] ] }, "title" : "An automated labeling system for subdividing the human cerebral cortex on MRI scans into gyral based regions of interest", "type" : "article-journal" }, "uris" : [ "http://www.mendeley.com/documents/?uuid=430186e4-d598-3857-aa87-3a8f304c55dd" ] }, { "id" : "ITEM-2", "itemData" : { "ISSN" : "1047-3211", "PMID" : "14654453", "abstract" : "We present a technique for automatically assigning a neuroanatomical label to each location on a cortical surface model based on probabilistic information estimated from a manually labeled training set. This procedure incorporates both geometric information derived from the cortical model, and neuroanatomical convention, as found in the training set. The result is a complete labeling of cortical sulci and gyri. Examples are given from two different training sets generated using different neuroanatomical conventions, illustrating the flexibility of the algorithm. The technique is shown to be comparable in accuracy to manual labeling.", "author" : [ { "dropping-particle" : "", "family" : "Fischl", "given" : "Bruce", "non-dropping-particle" : "", "parse-names" : false, "suffix" : "" }, { "dropping-particle" : "", "family" : "Kouwe", "given" : "Andr\u00e9", "non-dropping-particle" : "van der", "parse-names" : false, "suffix" : "" }, { "dropping-particle" : "", "family" : "Destrieux", "given" : "Christophe", "non-dropping-particle" : "", "parse-names" : false, "suffix" : "" }, { "dropping-particle" : "", "family" : "Halgren", "given" : "Eric", "non-dropping-particle" : "", "parse-names" : false, "suffix" : "" }, { "dropping-particle" : "", "family" : "S\u00e9gonne", "given" : "Florent", "non-dropping-particle" : "", "parse-names" : false, "suffix" : "" }, { "dropping-particle" : "", "family" : "Salat", "given" : "David H", "non-dropping-particle" : "", "parse-names" : false, "suffix" : "" }, { "dropping-particle" : "", "family" : "Busa", "given" : "Evelina", "non-dropping-particle" : "", "parse-names" : false, "suffix" : "" }, { "dropping-particle" : "", "family" : "Seidman", "given" : "Larry J", "non-dropping-particle" : "", "parse-names" : false, "suffix" : "" }, { "dropping-particle" : "", "family" : "Goldstein", "given" : "Jill", "non-dropping-particle" : "", "parse-names" : false, "suffix" : "" }, { "dropping-particle" : "", "family" : "Kennedy", "given" : "David", "non-dropping-particle" : "", "parse-names" : false, "suffix" : "" }, { "dropping-particle" : "", "family" : "Caviness", "given" : "Verne", "non-dropping-particle" : "", "parse-names" : false, "suffix" : "" }, { "dropping-particle" : "", "family" : "Makris", "given" : "Nikos", "non-dropping-particle" : "", "parse-names" : false, "suffix" : "" }, { "dropping-particle" : "", "family" : "Rosen", "given" : "Bruce", "non-dropping-particle" : "", "parse-names" : false, "suffix" : "" }, { "dropping-particle" : "", "family" : "Dale", "given" : "Anders M", "non-dropping-particle" : "", "parse-names" : false, "suffix" : "" } ], "container-title" : "Cerebral cortex (New York, N.Y. : 1991)", "id" : "ITEM-2", "issue" : "1", "issued" : { "date-parts" : [ [ "2004", "1" ] ] }, "page" : "11-22", "title" : "Automatically parcellating the human cerebral cortex.", "type" : "article-journal", "volume" : "14" }, "uris" : [ "http://www.mendeley.com/documents/?uuid=6f7563b2-415b-3222-b7ad-6d722f10760d" ] } ], "mendeley" : { "formattedCitation" : "(Desikan et al., 2006; Fischl et al., 2004)", "plainTextFormattedCitation" : "(Desikan et al., 2006; Fischl et al., 2004)", "previouslyFormattedCitation" : "(Desikan et al., 2006; Fischl et al., 2004)"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00547616" w:rsidRPr="002C3E85">
        <w:rPr>
          <w:rFonts w:ascii="Times New Roman" w:hAnsi="Times New Roman" w:cs="Times New Roman"/>
          <w:noProof/>
          <w:sz w:val="24"/>
          <w:szCs w:val="24"/>
          <w:lang w:val="en-GB"/>
        </w:rPr>
        <w:t>(Desikan et al., 2006; Fischl et al., 2004)</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For the whole-brain analyses, the individual cortical models were registered to a spherical atlas based on the individual cortical folding patterns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"ISSN" : "1065-9471", "PMID" : "10619420", "abstract" : "The neurons of the human cerebral cortex are arranged in a highly folded sheet, with the majority of the cortical surface area buried in folds. Cortical maps are typically arranged with a topography oriented parallel to the cortical surface. Despite this unambiguous sheetlike geometry, the most commonly used coordinate systems for localizing cortical features are based on 3-D stereotaxic coordinates rather than on position relative to the 2-D cortical sheet. In order to address the need for a more natural surface-based coordinate system for the cortex, we have developed a means for generating an average folding pattern across a large number of individual subjects as a function on the unit sphere and of nonrigidly aligning each individual with the average. This establishes a spherical surface-based coordinate system that is adapted to the folding pattern of each individual subject, allowing for much higher localization accuracy of structural and functional features of the human brain.", "author" : [ { "dropping-particle" : "", "family" : "Fischl", "given" : "B", "non-dropping-particle" : "", "parse-names" : false, "suffix" : "" }, { "dropping-particle" : "", "family" : "Sereno", "given" : "M I", "non-dropping-particle" : "", "parse-names" : false, "suffix" : "" }, { "dropping-particle" : "", "family" : "Tootell", "given" : "R B", "non-dropping-particle" : "", "parse-names" : false, "suffix" : "" }, { "dropping-particle" : "", "family" : "Dale", "given" : "A M", "non-dropping-particle" : "", "parse-names" : false, "suffix" : "" } ], "container-title" : "Human brain mapping", "id" : "ITEM-1", "issue" : "4", "issued" : { "date-parts" : [ [ "1999" ] ] }, "page" : "272-84", "title" : "High-resolution intersubject averaging and a coordinate system for the cortical surface.", "type" : "article-journal", "volume" : "8" }, "uris" : [ "http://www.mendeley.com/documents/?uuid=770cf5b0-5ce5-36c1-adf6-24a1deb9fa7b" ] } ], "mendeley" : { "formattedCitation" : "(Fischl et al., 1999)", "plainTextFormattedCitation" : "(Fischl et al., 1999)", "previouslyFormattedCitation" : "(Fischl et al., 1999)"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(Fischl et al., 1999)</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and smoothed using 15 mm FWHM kernel. The statistical analyses were run in QDEC </w:t>
      </w:r>
      <w:r w:rsidRPr="002C3E85">
        <w:rPr>
          <w:rFonts w:ascii="Times New Roman" w:hAnsi="Times New Roman" w:cs="Times New Roman"/>
          <w:sz w:val="24"/>
          <w:szCs w:val="24"/>
          <w:lang w:val="en-GB"/>
        </w:rPr>
        <w:lastRenderedPageBreak/>
        <w:t>(</w:t>
      </w:r>
      <w:hyperlink r:id="rId10" w:history="1">
        <w:r w:rsidRPr="002C3E85">
          <w:rPr>
            <w:rStyle w:val="Hyperlink"/>
            <w:rFonts w:ascii="Times New Roman" w:hAnsi="Times New Roman" w:cs="Times New Roman"/>
            <w:sz w:val="24"/>
            <w:szCs w:val="24"/>
            <w:lang w:val="en-GB"/>
          </w:rPr>
          <w:t>https://surfer.nmr.mgh.harvard.edu/fswiki/Qdec)</w:t>
        </w:r>
      </w:hyperlink>
      <w:r w:rsidRPr="002C3E85">
        <w:rPr>
          <w:rFonts w:ascii="Times New Roman" w:hAnsi="Times New Roman" w:cs="Times New Roman"/>
          <w:sz w:val="24"/>
          <w:szCs w:val="24"/>
          <w:lang w:val="en-GB"/>
        </w:rPr>
        <w:t xml:space="preserve">. Age, </w:t>
      </w:r>
      <w:r w:rsidR="0088743D" w:rsidRPr="002C3E85">
        <w:rPr>
          <w:rFonts w:ascii="Times New Roman" w:hAnsi="Times New Roman" w:cs="Times New Roman"/>
          <w:sz w:val="24"/>
          <w:szCs w:val="24"/>
          <w:lang w:val="en-GB"/>
        </w:rPr>
        <w:t>gender</w:t>
      </w:r>
      <w:r w:rsidR="008B3FEB" w:rsidRPr="002C3E85">
        <w:rPr>
          <w:rFonts w:ascii="Times New Roman" w:hAnsi="Times New Roman" w:cs="Times New Roman"/>
          <w:sz w:val="24"/>
          <w:szCs w:val="24"/>
          <w:lang w:val="en-GB"/>
        </w:rPr>
        <w:t xml:space="preserve"> and</w:t>
      </w:r>
      <w:r w:rsidRPr="002C3E85">
        <w:rPr>
          <w:rFonts w:ascii="Times New Roman" w:hAnsi="Times New Roman" w:cs="Times New Roman"/>
          <w:sz w:val="24"/>
          <w:szCs w:val="24"/>
          <w:lang w:val="en-GB"/>
        </w:rPr>
        <w:t xml:space="preserve"> L3 AoA were used as nuisance covariates. Correction for multiple comparisons was performed using Monte C</w:t>
      </w:r>
      <w:r w:rsidR="00D643F5" w:rsidRPr="002C3E85">
        <w:rPr>
          <w:rFonts w:ascii="Times New Roman" w:hAnsi="Times New Roman" w:cs="Times New Roman"/>
          <w:sz w:val="24"/>
          <w:szCs w:val="24"/>
          <w:lang w:val="en-GB"/>
        </w:rPr>
        <w:t>arlo simulation and two-sided p-</w:t>
      </w:r>
      <w:r w:rsidRPr="002C3E85">
        <w:rPr>
          <w:rFonts w:ascii="Times New Roman" w:hAnsi="Times New Roman" w:cs="Times New Roman"/>
          <w:sz w:val="24"/>
          <w:szCs w:val="24"/>
          <w:lang w:val="en-GB"/>
        </w:rPr>
        <w:t xml:space="preserve">values less than 0.05 corrected for two hemispheres were considered statistically significant. For ROI analysis, the average surface output measures were calculated within the cortical regions </w:t>
      </w:r>
      <w:r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"10.1073/pnas.200033797", "ISSN" : "0027-8424", "PMID" : "10984517", "abstract" : "Accurate and automated methods for measuring the thickness of human cerebral cortex could provide powerful tools for diagnosing and studying a variety of neurodegenerative and psychiatric disorders. Manual methods for estimating cortical thickness from neuroimaging data are labor intensive, requiring several days of effort by a trained anatomist. Furthermore, the highly folded nature of the cortex is problematic for manual techniques, frequently resulting in measurement errors in regions in which the cortical surface is not perpendicular to any of the cardinal axes. As a consequence, it has been impractical to obtain accurate thickness estimates for the entire cortex in individual subjects, or group statistics for patient or control populations. Here, we present an automated method for accurately measuring the thickness of the cerebral cortex across the entire brain and for generating cross-subject statistics in a coordinate system based on cortical anatomy. The intersubject standard deviation of the thickness measures is shown to be less than 0.5 mm, implying the ability to detect focal atrophy in small populations or even individual subjects. The reliability and accuracy of this new method are assessed by within-subject test-retest studies, as well as by comparison of cross-subject regional thickness measures with published values.", "author" : [ { "dropping-particle" : "", "family" : "Fischl", "given" : "B.", "non-dropping-particle" : "", "parse-names" : false, "suffix" : "" }, { "dropping-particle" : "", "family" : "Dale", "given" : "A. M.", "non-dropping-particle" : "", "parse-names" : false, "suffix" : "" } ], "container-title" : "Proceedings of the National Academy of Sciences", "id" : "ITEM-1", "issue" : "20", "issued" : { "date-parts" : [ [ "2000", "9", "26" ] ] }, "page" : "11050-11055", "title" : "Measuring the thickness of the human cerebral cortex from magnetic resonance images", "type" : "article-journal", "volume" : "97" }, "uris" : [ "http://www.mendeley.com/documents/?uuid=027952fd-5fde-3e4f-a2f1-d33e27cb24fc" ] } ], "mendeley" : { "formattedCitation" : "(Fischl and Dale, 2000)", "plainTextFormattedCitation" : "(Fischl and Dale, 2000)", "previouslyFormattedCitation" : "(Fischl and Dale, 2000)" }, "properties" : {  }, "schema" : "https://github.com/citation-style-language/schema/raw/master/csl-citation.json" }</w:instrText>
      </w:r>
      <w:r w:rsidRPr="002C3E85">
        <w:rPr>
          <w:rFonts w:ascii="Times New Roman" w:hAnsi="Times New Roman" w:cs="Times New Roman"/>
          <w:sz w:val="24"/>
          <w:szCs w:val="24"/>
          <w:lang w:val="en-GB"/>
        </w:rPr>
        <w:fldChar w:fldCharType="separate"/>
      </w:r>
      <w:r w:rsidRPr="002C3E85">
        <w:rPr>
          <w:rFonts w:ascii="Times New Roman" w:hAnsi="Times New Roman" w:cs="Times New Roman"/>
          <w:noProof/>
          <w:sz w:val="24"/>
          <w:szCs w:val="24"/>
          <w:lang w:val="en-GB"/>
        </w:rPr>
        <w:t>(Fischl and Dale, 2000)</w:t>
      </w:r>
      <w:r w:rsidRPr="002C3E85">
        <w:rPr>
          <w:rFonts w:ascii="Times New Roman" w:hAnsi="Times New Roman" w:cs="Times New Roman"/>
          <w:sz w:val="24"/>
          <w:szCs w:val="24"/>
          <w:lang w:val="en-GB"/>
        </w:rPr>
        <w:fldChar w:fldCharType="end"/>
      </w:r>
      <w:r w:rsidRPr="002C3E85">
        <w:rPr>
          <w:rFonts w:ascii="Times New Roman" w:hAnsi="Times New Roman" w:cs="Times New Roman"/>
          <w:sz w:val="24"/>
          <w:szCs w:val="24"/>
          <w:lang w:val="en-GB"/>
        </w:rPr>
        <w:t xml:space="preserve"> and analysed further </w:t>
      </w:r>
      <w:r w:rsidR="00DA6A80" w:rsidRPr="002C3E85">
        <w:rPr>
          <w:rFonts w:ascii="Times New Roman" w:hAnsi="Times New Roman" w:cs="Times New Roman"/>
          <w:sz w:val="24"/>
          <w:szCs w:val="24"/>
          <w:lang w:val="en-GB"/>
        </w:rPr>
        <w:t>with</w:t>
      </w:r>
      <w:r w:rsidR="00BE4CE2" w:rsidRPr="002C3E85">
        <w:rPr>
          <w:rFonts w:ascii="Times New Roman" w:hAnsi="Times New Roman" w:cs="Times New Roman"/>
          <w:sz w:val="24"/>
          <w:szCs w:val="24"/>
          <w:lang w:val="en-GB"/>
        </w:rPr>
        <w:t xml:space="preserve"> IBM SPSS Statistics 22.0.</w:t>
      </w:r>
      <w:r w:rsidRPr="002C3E85">
        <w:rPr>
          <w:rFonts w:ascii="Times New Roman" w:hAnsi="Times New Roman" w:cs="Times New Roman"/>
          <w:sz w:val="24"/>
          <w:szCs w:val="24"/>
          <w:lang w:val="en-GB"/>
        </w:rPr>
        <w:t xml:space="preserve"> </w:t>
      </w:r>
    </w:p>
    <w:p w14:paraId="5AD23E80" w14:textId="77777777" w:rsidR="002C5628" w:rsidRPr="002C3E85" w:rsidRDefault="002C5628" w:rsidP="00B16091">
      <w:pPr>
        <w:spacing w:line="480" w:lineRule="auto"/>
        <w:jc w:val="both"/>
        <w:rPr>
          <w:rFonts w:ascii="Times New Roman" w:hAnsi="Times New Roman" w:cs="Times New Roman"/>
          <w:b/>
          <w:sz w:val="24"/>
          <w:szCs w:val="24"/>
          <w:lang w:val="en-GB"/>
        </w:rPr>
      </w:pPr>
    </w:p>
    <w:p w14:paraId="5EB9D46F" w14:textId="5FFF28EF" w:rsidR="0080021B" w:rsidRPr="002C3E85" w:rsidRDefault="0080021B"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 xml:space="preserve">2.4 Statistical analysis </w:t>
      </w:r>
    </w:p>
    <w:p w14:paraId="5DA898AC" w14:textId="4B8DC06C" w:rsidR="00C47269" w:rsidRPr="002C3E85" w:rsidRDefault="0082408B"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A</w:t>
      </w:r>
      <w:r w:rsidR="00C47269" w:rsidRPr="002C3E85">
        <w:rPr>
          <w:rFonts w:ascii="Times New Roman" w:hAnsi="Times New Roman" w:cs="Times New Roman"/>
          <w:sz w:val="24"/>
          <w:szCs w:val="24"/>
          <w:lang w:val="en-GB"/>
        </w:rPr>
        <w:t xml:space="preserve"> linear mixed model approach for </w:t>
      </w:r>
      <w:r w:rsidR="00870868" w:rsidRPr="002C3E85">
        <w:rPr>
          <w:rFonts w:ascii="Times New Roman" w:hAnsi="Times New Roman" w:cs="Times New Roman"/>
          <w:sz w:val="24"/>
          <w:szCs w:val="24"/>
          <w:lang w:val="en-GB"/>
        </w:rPr>
        <w:t xml:space="preserve">repeated </w:t>
      </w:r>
      <w:r w:rsidR="00CB45BB" w:rsidRPr="002C3E85">
        <w:rPr>
          <w:rFonts w:ascii="Times New Roman" w:hAnsi="Times New Roman" w:cs="Times New Roman"/>
          <w:sz w:val="24"/>
          <w:szCs w:val="24"/>
          <w:lang w:val="en-GB"/>
        </w:rPr>
        <w:t xml:space="preserve">measures </w:t>
      </w:r>
      <w:r w:rsidR="00C47269" w:rsidRPr="002C3E85">
        <w:rPr>
          <w:rFonts w:ascii="Times New Roman" w:hAnsi="Times New Roman" w:cs="Times New Roman"/>
          <w:sz w:val="24"/>
          <w:szCs w:val="24"/>
          <w:lang w:val="en-GB"/>
        </w:rPr>
        <w:t xml:space="preserve">analysis of variance was used with </w:t>
      </w:r>
      <w:r w:rsidR="001C4BB0" w:rsidRPr="002C3E85">
        <w:rPr>
          <w:rFonts w:ascii="Times New Roman" w:hAnsi="Times New Roman" w:cs="Times New Roman"/>
          <w:sz w:val="24"/>
          <w:szCs w:val="24"/>
          <w:lang w:val="en-GB"/>
        </w:rPr>
        <w:t>pairwise post-</w:t>
      </w:r>
      <w:r w:rsidR="00C47269" w:rsidRPr="002C3E85">
        <w:rPr>
          <w:rFonts w:ascii="Times New Roman" w:hAnsi="Times New Roman" w:cs="Times New Roman"/>
          <w:sz w:val="24"/>
          <w:szCs w:val="24"/>
          <w:lang w:val="en-GB"/>
        </w:rPr>
        <w:t xml:space="preserve">hoc tests adjusted for multiple </w:t>
      </w:r>
      <w:r w:rsidR="00C47269" w:rsidRPr="002C3E85">
        <w:rPr>
          <w:rFonts w:ascii="Times New Roman" w:hAnsi="Times New Roman" w:cs="Times New Roman"/>
          <w:sz w:val="24"/>
          <w:szCs w:val="24"/>
          <w:lang w:val="en-GB"/>
        </w:rPr>
        <w:lastRenderedPageBreak/>
        <w:t xml:space="preserve">comparisons (Bonferroni). In the model, </w:t>
      </w:r>
      <w:r w:rsidR="000677DA" w:rsidRPr="002C3E85">
        <w:rPr>
          <w:rFonts w:ascii="Times New Roman" w:hAnsi="Times New Roman" w:cs="Times New Roman"/>
          <w:sz w:val="24"/>
          <w:szCs w:val="24"/>
          <w:lang w:val="en-GB"/>
        </w:rPr>
        <w:t>surface area, volume, t</w:t>
      </w:r>
      <w:r w:rsidR="004A177D" w:rsidRPr="002C3E85">
        <w:rPr>
          <w:rFonts w:ascii="Times New Roman" w:hAnsi="Times New Roman" w:cs="Times New Roman"/>
          <w:sz w:val="24"/>
          <w:szCs w:val="24"/>
          <w:lang w:val="en-GB"/>
        </w:rPr>
        <w:t xml:space="preserve">hickness and </w:t>
      </w:r>
      <w:r w:rsidR="000677DA" w:rsidRPr="002C3E85">
        <w:rPr>
          <w:rFonts w:ascii="Times New Roman" w:hAnsi="Times New Roman" w:cs="Times New Roman"/>
          <w:sz w:val="24"/>
          <w:szCs w:val="24"/>
          <w:lang w:val="en-GB"/>
        </w:rPr>
        <w:t>mean c</w:t>
      </w:r>
      <w:r w:rsidR="004A177D" w:rsidRPr="002C3E85">
        <w:rPr>
          <w:rFonts w:ascii="Times New Roman" w:hAnsi="Times New Roman" w:cs="Times New Roman"/>
          <w:sz w:val="24"/>
          <w:szCs w:val="24"/>
          <w:lang w:val="en-GB"/>
        </w:rPr>
        <w:t xml:space="preserve">urvature </w:t>
      </w:r>
      <w:r w:rsidR="000677DA" w:rsidRPr="002C3E85">
        <w:rPr>
          <w:rFonts w:ascii="Times New Roman" w:hAnsi="Times New Roman" w:cs="Times New Roman"/>
          <w:sz w:val="24"/>
          <w:szCs w:val="24"/>
          <w:lang w:val="en-GB"/>
        </w:rPr>
        <w:t>values</w:t>
      </w:r>
      <w:r w:rsidR="00C47269" w:rsidRPr="002C3E85">
        <w:rPr>
          <w:rFonts w:ascii="Times New Roman" w:hAnsi="Times New Roman" w:cs="Times New Roman"/>
          <w:sz w:val="24"/>
          <w:szCs w:val="24"/>
          <w:lang w:val="en-GB"/>
        </w:rPr>
        <w:t xml:space="preserve"> were treated as dependent variables. </w:t>
      </w:r>
      <w:r w:rsidR="00BF04E4" w:rsidRPr="002C3E85">
        <w:rPr>
          <w:rFonts w:ascii="Times New Roman" w:hAnsi="Times New Roman" w:cs="Times New Roman"/>
          <w:sz w:val="24"/>
          <w:szCs w:val="24"/>
          <w:lang w:val="en-GB"/>
        </w:rPr>
        <w:t xml:space="preserve">Similar to the whole-brain level analysis, </w:t>
      </w:r>
      <w:r w:rsidR="00A20C61" w:rsidRPr="002C3E85">
        <w:rPr>
          <w:rFonts w:ascii="Times New Roman" w:hAnsi="Times New Roman" w:cs="Times New Roman"/>
          <w:sz w:val="24"/>
          <w:szCs w:val="24"/>
          <w:lang w:val="en-GB"/>
        </w:rPr>
        <w:t xml:space="preserve">age, </w:t>
      </w:r>
      <w:r w:rsidR="000316AA" w:rsidRPr="002C3E85">
        <w:rPr>
          <w:rFonts w:ascii="Times New Roman" w:hAnsi="Times New Roman" w:cs="Times New Roman"/>
          <w:sz w:val="24"/>
          <w:szCs w:val="24"/>
          <w:lang w:val="en-GB"/>
        </w:rPr>
        <w:t>gender</w:t>
      </w:r>
      <w:r w:rsidR="008A5564" w:rsidRPr="002C3E85">
        <w:rPr>
          <w:rFonts w:ascii="Times New Roman" w:hAnsi="Times New Roman" w:cs="Times New Roman"/>
          <w:sz w:val="24"/>
          <w:szCs w:val="24"/>
          <w:lang w:val="en-GB"/>
        </w:rPr>
        <w:t xml:space="preserve"> and</w:t>
      </w:r>
      <w:r w:rsidR="00A20C61" w:rsidRPr="002C3E85">
        <w:rPr>
          <w:rFonts w:ascii="Times New Roman" w:hAnsi="Times New Roman" w:cs="Times New Roman"/>
          <w:sz w:val="24"/>
          <w:szCs w:val="24"/>
          <w:lang w:val="en-GB"/>
        </w:rPr>
        <w:t xml:space="preserve"> L3 AoA</w:t>
      </w:r>
      <w:r w:rsidR="000316AA" w:rsidRPr="002C3E85">
        <w:rPr>
          <w:rFonts w:ascii="Times New Roman" w:hAnsi="Times New Roman" w:cs="Times New Roman"/>
          <w:sz w:val="24"/>
          <w:szCs w:val="24"/>
          <w:lang w:val="en-GB"/>
        </w:rPr>
        <w:t xml:space="preserve"> were added as covariates</w:t>
      </w:r>
      <w:r w:rsidR="00BF04E4" w:rsidRPr="002C3E85">
        <w:rPr>
          <w:rFonts w:ascii="Times New Roman" w:hAnsi="Times New Roman" w:cs="Times New Roman"/>
          <w:sz w:val="24"/>
          <w:szCs w:val="24"/>
          <w:lang w:val="en-GB"/>
        </w:rPr>
        <w:t xml:space="preserve"> in all models</w:t>
      </w:r>
      <w:r w:rsidR="00A20C61" w:rsidRPr="002C3E85">
        <w:rPr>
          <w:rFonts w:ascii="Times New Roman" w:hAnsi="Times New Roman" w:cs="Times New Roman"/>
          <w:sz w:val="24"/>
          <w:szCs w:val="24"/>
          <w:lang w:val="en-GB"/>
        </w:rPr>
        <w:t>. F</w:t>
      </w:r>
      <w:r w:rsidR="00CB283D" w:rsidRPr="002C3E85">
        <w:rPr>
          <w:rFonts w:ascii="Times New Roman" w:hAnsi="Times New Roman" w:cs="Times New Roman"/>
          <w:sz w:val="24"/>
          <w:szCs w:val="24"/>
          <w:lang w:val="en-GB"/>
        </w:rPr>
        <w:t xml:space="preserve">or area, </w:t>
      </w:r>
      <w:r w:rsidR="000677DA" w:rsidRPr="002C3E85">
        <w:rPr>
          <w:rFonts w:ascii="Times New Roman" w:hAnsi="Times New Roman" w:cs="Times New Roman"/>
          <w:sz w:val="24"/>
          <w:szCs w:val="24"/>
          <w:lang w:val="en-GB"/>
        </w:rPr>
        <w:t>v</w:t>
      </w:r>
      <w:r w:rsidR="004A177D" w:rsidRPr="002C3E85">
        <w:rPr>
          <w:rFonts w:ascii="Times New Roman" w:hAnsi="Times New Roman" w:cs="Times New Roman"/>
          <w:sz w:val="24"/>
          <w:szCs w:val="24"/>
          <w:lang w:val="en-GB"/>
        </w:rPr>
        <w:t xml:space="preserve">olume </w:t>
      </w:r>
      <w:r w:rsidR="00CB283D" w:rsidRPr="002C3E85">
        <w:rPr>
          <w:rFonts w:ascii="Times New Roman" w:hAnsi="Times New Roman" w:cs="Times New Roman"/>
          <w:sz w:val="24"/>
          <w:szCs w:val="24"/>
          <w:lang w:val="en-GB"/>
        </w:rPr>
        <w:t xml:space="preserve">and mean curvature </w:t>
      </w:r>
      <w:r w:rsidR="004A177D" w:rsidRPr="002C3E85">
        <w:rPr>
          <w:rFonts w:ascii="Times New Roman" w:hAnsi="Times New Roman" w:cs="Times New Roman"/>
          <w:sz w:val="24"/>
          <w:szCs w:val="24"/>
          <w:lang w:val="en-GB"/>
        </w:rPr>
        <w:t>analyses</w:t>
      </w:r>
      <w:r w:rsidR="00A20C61" w:rsidRPr="002C3E85">
        <w:rPr>
          <w:rFonts w:ascii="Times New Roman" w:hAnsi="Times New Roman" w:cs="Times New Roman"/>
          <w:sz w:val="24"/>
          <w:szCs w:val="24"/>
          <w:lang w:val="en-GB"/>
        </w:rPr>
        <w:t>, e</w:t>
      </w:r>
      <w:r w:rsidR="004A177D" w:rsidRPr="002C3E85">
        <w:rPr>
          <w:rFonts w:ascii="Times New Roman" w:hAnsi="Times New Roman" w:cs="Times New Roman"/>
          <w:sz w:val="24"/>
          <w:szCs w:val="24"/>
          <w:lang w:val="en-GB"/>
        </w:rPr>
        <w:t>stimated total intracranial volume was used as a</w:t>
      </w:r>
      <w:r w:rsidR="000316AA" w:rsidRPr="002C3E85">
        <w:rPr>
          <w:rFonts w:ascii="Times New Roman" w:hAnsi="Times New Roman" w:cs="Times New Roman"/>
          <w:sz w:val="24"/>
          <w:szCs w:val="24"/>
          <w:lang w:val="en-GB"/>
        </w:rPr>
        <w:t>n additional</w:t>
      </w:r>
      <w:r w:rsidR="004A177D" w:rsidRPr="002C3E85">
        <w:rPr>
          <w:rFonts w:ascii="Times New Roman" w:hAnsi="Times New Roman" w:cs="Times New Roman"/>
          <w:sz w:val="24"/>
          <w:szCs w:val="24"/>
          <w:lang w:val="en-GB"/>
        </w:rPr>
        <w:t xml:space="preserve"> covariate to control for confounding effects due to individual variations in brain size.</w:t>
      </w:r>
      <w:r w:rsidR="00CB283D" w:rsidRPr="002C3E85">
        <w:rPr>
          <w:rFonts w:ascii="Times New Roman" w:hAnsi="Times New Roman" w:cs="Times New Roman"/>
          <w:sz w:val="24"/>
          <w:szCs w:val="24"/>
          <w:lang w:val="en-GB"/>
        </w:rPr>
        <w:t xml:space="preserve"> </w:t>
      </w:r>
      <w:r w:rsidR="00C47269" w:rsidRPr="002C3E85">
        <w:rPr>
          <w:rFonts w:ascii="Times New Roman" w:hAnsi="Times New Roman" w:cs="Times New Roman"/>
          <w:sz w:val="24"/>
          <w:szCs w:val="24"/>
          <w:lang w:val="en-GB"/>
        </w:rPr>
        <w:t xml:space="preserve">Primary fixed effects were </w:t>
      </w:r>
      <w:r w:rsidR="004A177D" w:rsidRPr="002C3E85">
        <w:rPr>
          <w:rFonts w:ascii="Times New Roman" w:hAnsi="Times New Roman" w:cs="Times New Roman"/>
          <w:sz w:val="24"/>
          <w:szCs w:val="24"/>
          <w:lang w:val="en-GB"/>
        </w:rPr>
        <w:t>Group</w:t>
      </w:r>
      <w:r w:rsidR="00D97B40" w:rsidRPr="002C3E85">
        <w:rPr>
          <w:rFonts w:ascii="Times New Roman" w:hAnsi="Times New Roman" w:cs="Times New Roman"/>
          <w:sz w:val="24"/>
          <w:szCs w:val="24"/>
          <w:lang w:val="en-GB"/>
        </w:rPr>
        <w:t xml:space="preserve"> (early bilinguals, late bilinguals)</w:t>
      </w:r>
      <w:r w:rsidR="004A177D" w:rsidRPr="002C3E85">
        <w:rPr>
          <w:rFonts w:ascii="Times New Roman" w:hAnsi="Times New Roman" w:cs="Times New Roman"/>
          <w:sz w:val="24"/>
          <w:szCs w:val="24"/>
          <w:lang w:val="en-GB"/>
        </w:rPr>
        <w:t xml:space="preserve"> and Group by ROI (</w:t>
      </w:r>
      <w:r w:rsidR="00EE4234" w:rsidRPr="002C3E85">
        <w:rPr>
          <w:rFonts w:ascii="Times New Roman" w:hAnsi="Times New Roman" w:cs="Times New Roman"/>
          <w:sz w:val="24"/>
          <w:szCs w:val="24"/>
          <w:lang w:val="en-GB"/>
        </w:rPr>
        <w:t xml:space="preserve">all </w:t>
      </w:r>
      <w:r w:rsidR="004A177D" w:rsidRPr="002C3E85">
        <w:rPr>
          <w:rFonts w:ascii="Times New Roman" w:hAnsi="Times New Roman" w:cs="Times New Roman"/>
          <w:sz w:val="24"/>
          <w:szCs w:val="24"/>
          <w:lang w:val="en-GB"/>
        </w:rPr>
        <w:t>5 ROIs</w:t>
      </w:r>
      <w:r w:rsidR="00D97B40" w:rsidRPr="002C3E85">
        <w:rPr>
          <w:rFonts w:ascii="Times New Roman" w:hAnsi="Times New Roman" w:cs="Times New Roman"/>
          <w:sz w:val="24"/>
          <w:szCs w:val="24"/>
          <w:lang w:val="en-GB"/>
        </w:rPr>
        <w:t>:</w:t>
      </w:r>
      <w:r w:rsidR="000677DA" w:rsidRPr="002C3E85">
        <w:rPr>
          <w:rFonts w:ascii="Times New Roman" w:hAnsi="Times New Roman" w:cs="Times New Roman"/>
          <w:sz w:val="24"/>
          <w:szCs w:val="24"/>
          <w:lang w:val="en-GB"/>
        </w:rPr>
        <w:t xml:space="preserve"> </w:t>
      </w:r>
      <w:r w:rsidR="008A5564" w:rsidRPr="002C3E85">
        <w:rPr>
          <w:rFonts w:ascii="Times New Roman" w:hAnsi="Times New Roman" w:cs="Times New Roman"/>
          <w:sz w:val="24"/>
          <w:szCs w:val="24"/>
          <w:lang w:val="en-GB"/>
        </w:rPr>
        <w:t>PTr</w:t>
      </w:r>
      <w:r w:rsidR="000677DA" w:rsidRPr="002C3E85">
        <w:rPr>
          <w:rFonts w:ascii="Times New Roman" w:hAnsi="Times New Roman" w:cs="Times New Roman"/>
          <w:sz w:val="24"/>
          <w:szCs w:val="24"/>
          <w:lang w:val="en-GB"/>
        </w:rPr>
        <w:t xml:space="preserve">, </w:t>
      </w:r>
      <w:r w:rsidR="008A5564" w:rsidRPr="002C3E85">
        <w:rPr>
          <w:rFonts w:ascii="Times New Roman" w:hAnsi="Times New Roman" w:cs="Times New Roman"/>
          <w:sz w:val="24"/>
          <w:szCs w:val="24"/>
          <w:lang w:val="en-GB"/>
        </w:rPr>
        <w:t>POp</w:t>
      </w:r>
      <w:r w:rsidR="000677DA" w:rsidRPr="002C3E85">
        <w:rPr>
          <w:rFonts w:ascii="Times New Roman" w:hAnsi="Times New Roman" w:cs="Times New Roman"/>
          <w:sz w:val="24"/>
          <w:szCs w:val="24"/>
          <w:lang w:val="en-GB"/>
        </w:rPr>
        <w:t xml:space="preserve">, </w:t>
      </w:r>
      <w:r w:rsidR="008A5564" w:rsidRPr="002C3E85">
        <w:rPr>
          <w:rFonts w:ascii="Times New Roman" w:hAnsi="Times New Roman" w:cs="Times New Roman"/>
          <w:sz w:val="24"/>
          <w:szCs w:val="24"/>
          <w:lang w:val="en-GB"/>
        </w:rPr>
        <w:t>SMG</w:t>
      </w:r>
      <w:r w:rsidR="000677DA" w:rsidRPr="002C3E85">
        <w:rPr>
          <w:rFonts w:ascii="Times New Roman" w:hAnsi="Times New Roman" w:cs="Times New Roman"/>
          <w:sz w:val="24"/>
          <w:szCs w:val="24"/>
          <w:lang w:val="en-GB"/>
        </w:rPr>
        <w:t xml:space="preserve">, </w:t>
      </w:r>
      <w:r w:rsidR="008A5564" w:rsidRPr="002C3E85">
        <w:rPr>
          <w:rFonts w:ascii="Times New Roman" w:hAnsi="Times New Roman" w:cs="Times New Roman"/>
          <w:sz w:val="24"/>
          <w:szCs w:val="24"/>
          <w:lang w:val="en-GB"/>
        </w:rPr>
        <w:t>IPC</w:t>
      </w:r>
      <w:r w:rsidR="000677DA" w:rsidRPr="002C3E85">
        <w:rPr>
          <w:rFonts w:ascii="Times New Roman" w:hAnsi="Times New Roman" w:cs="Times New Roman"/>
          <w:sz w:val="24"/>
          <w:szCs w:val="24"/>
          <w:lang w:val="en-GB"/>
        </w:rPr>
        <w:t xml:space="preserve"> and </w:t>
      </w:r>
      <w:r w:rsidR="008A5564" w:rsidRPr="002C3E85">
        <w:rPr>
          <w:rFonts w:ascii="Times New Roman" w:hAnsi="Times New Roman" w:cs="Times New Roman"/>
          <w:sz w:val="24"/>
          <w:szCs w:val="24"/>
          <w:lang w:val="en-GB"/>
        </w:rPr>
        <w:t>STG</w:t>
      </w:r>
      <w:r w:rsidR="004A177D" w:rsidRPr="002C3E85">
        <w:rPr>
          <w:rFonts w:ascii="Times New Roman" w:hAnsi="Times New Roman" w:cs="Times New Roman"/>
          <w:sz w:val="24"/>
          <w:szCs w:val="24"/>
          <w:lang w:val="en-GB"/>
        </w:rPr>
        <w:t xml:space="preserve">) by Hemisphere (left, right) interaction. </w:t>
      </w:r>
      <w:r w:rsidR="00B27648" w:rsidRPr="002C3E85">
        <w:rPr>
          <w:rFonts w:ascii="Times New Roman" w:hAnsi="Times New Roman" w:cs="Times New Roman"/>
          <w:sz w:val="24"/>
          <w:szCs w:val="24"/>
          <w:lang w:val="en-GB"/>
        </w:rPr>
        <w:t>Diagonal covariance matrix was used in all mixed model analyses.</w:t>
      </w:r>
    </w:p>
    <w:p w14:paraId="043CF69E" w14:textId="77777777" w:rsidR="006A1863" w:rsidRPr="002C3E85" w:rsidRDefault="006A1863" w:rsidP="00B16091">
      <w:pPr>
        <w:spacing w:line="480" w:lineRule="auto"/>
        <w:jc w:val="both"/>
        <w:rPr>
          <w:rFonts w:ascii="Times New Roman" w:hAnsi="Times New Roman" w:cs="Times New Roman"/>
          <w:b/>
          <w:sz w:val="24"/>
          <w:szCs w:val="24"/>
          <w:lang w:val="en-GB"/>
        </w:rPr>
      </w:pPr>
    </w:p>
    <w:p w14:paraId="4CCBBBDF" w14:textId="67F384DD" w:rsidR="00B16091" w:rsidRPr="002C3E85" w:rsidRDefault="00560E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 xml:space="preserve">3 </w:t>
      </w:r>
      <w:r w:rsidR="00FC1741" w:rsidRPr="002C3E85">
        <w:rPr>
          <w:rFonts w:ascii="Times New Roman" w:hAnsi="Times New Roman" w:cs="Times New Roman"/>
          <w:b/>
          <w:sz w:val="24"/>
          <w:szCs w:val="24"/>
          <w:lang w:val="en-GB"/>
        </w:rPr>
        <w:t>Results</w:t>
      </w:r>
    </w:p>
    <w:p w14:paraId="13B2F647" w14:textId="747B8AC1" w:rsidR="00292649" w:rsidRPr="002C3E85" w:rsidRDefault="00CD04D1" w:rsidP="002024CD">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lastRenderedPageBreak/>
        <w:t>T</w:t>
      </w:r>
      <w:r w:rsidR="00CB6FE9" w:rsidRPr="002C3E85">
        <w:rPr>
          <w:rFonts w:ascii="Times New Roman" w:hAnsi="Times New Roman" w:cs="Times New Roman"/>
          <w:sz w:val="24"/>
          <w:szCs w:val="24"/>
          <w:lang w:val="en-GB"/>
        </w:rPr>
        <w:t>he whole-brain level SBA analyse</w:t>
      </w:r>
      <w:r w:rsidRPr="002C3E85">
        <w:rPr>
          <w:rFonts w:ascii="Times New Roman" w:hAnsi="Times New Roman" w:cs="Times New Roman"/>
          <w:sz w:val="24"/>
          <w:szCs w:val="24"/>
          <w:lang w:val="en-GB"/>
        </w:rPr>
        <w:t>s</w:t>
      </w:r>
      <w:r w:rsidR="00CB6FE9" w:rsidRPr="002C3E85">
        <w:rPr>
          <w:rFonts w:ascii="Times New Roman" w:hAnsi="Times New Roman" w:cs="Times New Roman"/>
          <w:sz w:val="24"/>
          <w:szCs w:val="24"/>
          <w:lang w:val="en-GB"/>
        </w:rPr>
        <w:t xml:space="preserve"> of GM volume, area, thickness and curvature</w:t>
      </w:r>
      <w:r w:rsidRPr="002C3E85">
        <w:rPr>
          <w:rFonts w:ascii="Times New Roman" w:hAnsi="Times New Roman" w:cs="Times New Roman"/>
          <w:sz w:val="24"/>
          <w:szCs w:val="24"/>
          <w:lang w:val="en-GB"/>
        </w:rPr>
        <w:t xml:space="preserve"> </w:t>
      </w:r>
      <w:r w:rsidR="00CB6FE9" w:rsidRPr="002C3E85">
        <w:rPr>
          <w:rFonts w:ascii="Times New Roman" w:hAnsi="Times New Roman" w:cs="Times New Roman"/>
          <w:sz w:val="24"/>
          <w:szCs w:val="24"/>
          <w:lang w:val="en-GB"/>
        </w:rPr>
        <w:t>revealed no significant differences between the groups in either direction.</w:t>
      </w:r>
      <w:r w:rsidR="00B00DD3" w:rsidRPr="002C3E85">
        <w:rPr>
          <w:rFonts w:ascii="Times New Roman" w:hAnsi="Times New Roman" w:cs="Times New Roman"/>
          <w:sz w:val="24"/>
          <w:szCs w:val="24"/>
          <w:lang w:val="en-GB"/>
        </w:rPr>
        <w:t xml:space="preserve"> </w:t>
      </w:r>
      <w:r w:rsidR="002024CD" w:rsidRPr="002C3E85">
        <w:rPr>
          <w:rFonts w:ascii="Times New Roman" w:hAnsi="Times New Roman" w:cs="Times New Roman"/>
          <w:sz w:val="24"/>
          <w:szCs w:val="24"/>
          <w:lang w:val="en-GB"/>
        </w:rPr>
        <w:t>Wi</w:t>
      </w:r>
      <w:r w:rsidR="00AA4C95" w:rsidRPr="002C3E85">
        <w:rPr>
          <w:rFonts w:ascii="Times New Roman" w:hAnsi="Times New Roman" w:cs="Times New Roman"/>
          <w:sz w:val="24"/>
          <w:szCs w:val="24"/>
          <w:lang w:val="en-GB"/>
        </w:rPr>
        <w:t xml:space="preserve">th the ROI </w:t>
      </w:r>
      <w:r w:rsidR="002024CD" w:rsidRPr="002C3E85">
        <w:rPr>
          <w:rFonts w:ascii="Times New Roman" w:hAnsi="Times New Roman" w:cs="Times New Roman"/>
          <w:sz w:val="24"/>
          <w:szCs w:val="24"/>
          <w:lang w:val="en-GB"/>
        </w:rPr>
        <w:t xml:space="preserve">analysis, significant </w:t>
      </w:r>
      <w:r w:rsidR="00951C92" w:rsidRPr="002C3E85">
        <w:rPr>
          <w:rFonts w:ascii="Times New Roman" w:hAnsi="Times New Roman" w:cs="Times New Roman"/>
          <w:sz w:val="24"/>
          <w:szCs w:val="24"/>
          <w:lang w:val="en-GB"/>
        </w:rPr>
        <w:t>three-way interactions between Group, ROI, and Hemisphere were revealed for surface area (F(18) = 300.2; p &lt; 0.001), volume (F(18) = 267.6; p &lt; 0.001) and mean curvature (F(18) = 15.77; p &lt; 0.001). Further</w:t>
      </w:r>
      <w:r w:rsidR="00F05531" w:rsidRPr="002C3E85">
        <w:rPr>
          <w:rFonts w:ascii="Times New Roman" w:hAnsi="Times New Roman" w:cs="Times New Roman"/>
          <w:sz w:val="24"/>
          <w:szCs w:val="24"/>
          <w:lang w:val="en-GB"/>
        </w:rPr>
        <w:t xml:space="preserve"> pairwise comparisons revealed three ROIs with significant between-group differences, namely, the left POp, and the bilateral STG. </w:t>
      </w:r>
      <w:r w:rsidR="00EF59D8" w:rsidRPr="002C3E85">
        <w:rPr>
          <w:rFonts w:ascii="Times New Roman" w:hAnsi="Times New Roman" w:cs="Times New Roman"/>
          <w:sz w:val="24"/>
          <w:szCs w:val="24"/>
          <w:lang w:val="en-GB"/>
        </w:rPr>
        <w:t xml:space="preserve"> </w:t>
      </w:r>
    </w:p>
    <w:p w14:paraId="417D7028" w14:textId="77777777" w:rsidR="00292649" w:rsidRPr="002C3E85" w:rsidRDefault="00292649" w:rsidP="002024CD">
      <w:pPr>
        <w:spacing w:line="480" w:lineRule="auto"/>
        <w:jc w:val="both"/>
        <w:rPr>
          <w:rFonts w:ascii="Times New Roman" w:hAnsi="Times New Roman" w:cs="Times New Roman"/>
          <w:sz w:val="24"/>
          <w:szCs w:val="24"/>
          <w:lang w:val="en-GB"/>
        </w:rPr>
      </w:pPr>
    </w:p>
    <w:p w14:paraId="0498EA9B" w14:textId="74307D8C" w:rsidR="002024CD" w:rsidRPr="002C3E85" w:rsidRDefault="00105698" w:rsidP="002024CD">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O</w:t>
      </w:r>
      <w:r w:rsidR="00795844" w:rsidRPr="002C3E85">
        <w:rPr>
          <w:rFonts w:ascii="Times New Roman" w:hAnsi="Times New Roman" w:cs="Times New Roman"/>
          <w:sz w:val="24"/>
          <w:szCs w:val="24"/>
          <w:lang w:val="en-GB"/>
        </w:rPr>
        <w:t>ver</w:t>
      </w:r>
      <w:r w:rsidR="002024CD" w:rsidRPr="002C3E85">
        <w:rPr>
          <w:rFonts w:ascii="Times New Roman" w:hAnsi="Times New Roman" w:cs="Times New Roman"/>
          <w:sz w:val="24"/>
          <w:szCs w:val="24"/>
          <w:lang w:val="en-GB"/>
        </w:rPr>
        <w:t xml:space="preserve"> the left </w:t>
      </w:r>
      <w:r w:rsidR="00BB0AF8" w:rsidRPr="002C3E85">
        <w:rPr>
          <w:rFonts w:ascii="Times New Roman" w:hAnsi="Times New Roman" w:cs="Times New Roman"/>
          <w:sz w:val="24"/>
          <w:szCs w:val="24"/>
          <w:lang w:val="en-GB"/>
        </w:rPr>
        <w:t>POp</w:t>
      </w:r>
      <w:r w:rsidR="002024CD" w:rsidRPr="002C3E85">
        <w:rPr>
          <w:rFonts w:ascii="Times New Roman" w:hAnsi="Times New Roman" w:cs="Times New Roman"/>
          <w:sz w:val="24"/>
          <w:szCs w:val="24"/>
          <w:lang w:val="en-GB"/>
        </w:rPr>
        <w:t xml:space="preserve">, the early bilinguals had significantly extended cortical surface area (M = </w:t>
      </w:r>
      <w:r w:rsidR="00795844" w:rsidRPr="002C3E85">
        <w:rPr>
          <w:rFonts w:ascii="Times New Roman" w:hAnsi="Times New Roman" w:cs="Times New Roman"/>
          <w:sz w:val="24"/>
          <w:szCs w:val="24"/>
          <w:lang w:val="en-GB"/>
        </w:rPr>
        <w:t>2</w:t>
      </w:r>
      <w:r w:rsidR="00F13D79" w:rsidRPr="002C3E85">
        <w:rPr>
          <w:rFonts w:ascii="Times New Roman" w:hAnsi="Times New Roman" w:cs="Times New Roman"/>
          <w:sz w:val="24"/>
          <w:szCs w:val="24"/>
          <w:lang w:val="en-GB"/>
        </w:rPr>
        <w:t>.</w:t>
      </w:r>
      <w:r w:rsidR="00795844" w:rsidRPr="002C3E85">
        <w:rPr>
          <w:rFonts w:ascii="Times New Roman" w:hAnsi="Times New Roman" w:cs="Times New Roman"/>
          <w:sz w:val="24"/>
          <w:szCs w:val="24"/>
          <w:lang w:val="en-GB"/>
        </w:rPr>
        <w:t>0</w:t>
      </w:r>
      <w:r w:rsidR="00F13D79" w:rsidRPr="002C3E85">
        <w:rPr>
          <w:rFonts w:ascii="Times New Roman" w:hAnsi="Times New Roman" w:cs="Times New Roman"/>
          <w:sz w:val="24"/>
          <w:szCs w:val="24"/>
          <w:lang w:val="en-GB"/>
        </w:rPr>
        <w:t>x10</w:t>
      </w:r>
      <w:r w:rsidR="00F13D79" w:rsidRPr="002C3E85">
        <w:rPr>
          <w:rFonts w:ascii="Times New Roman" w:hAnsi="Times New Roman" w:cs="Times New Roman"/>
          <w:sz w:val="24"/>
          <w:szCs w:val="24"/>
          <w:vertAlign w:val="superscript"/>
          <w:lang w:val="en-GB"/>
        </w:rPr>
        <w:t>3</w:t>
      </w:r>
      <w:r w:rsidR="00F13D79" w:rsidRPr="002C3E85">
        <w:rPr>
          <w:rFonts w:ascii="Times New Roman" w:hAnsi="Times New Roman" w:cs="Times New Roman"/>
          <w:sz w:val="24"/>
          <w:szCs w:val="24"/>
          <w:lang w:val="en-GB"/>
        </w:rPr>
        <w:t xml:space="preserve"> </w:t>
      </w:r>
      <w:r w:rsidR="002024CD" w:rsidRPr="002C3E85">
        <w:rPr>
          <w:rFonts w:ascii="Times New Roman" w:hAnsi="Times New Roman" w:cs="Times New Roman"/>
          <w:sz w:val="24"/>
          <w:szCs w:val="24"/>
          <w:lang w:val="en-GB"/>
        </w:rPr>
        <w:t>mm</w:t>
      </w:r>
      <w:r w:rsidR="002024CD" w:rsidRPr="002C3E85">
        <w:rPr>
          <w:rFonts w:ascii="Times New Roman" w:hAnsi="Times New Roman" w:cs="Times New Roman"/>
          <w:sz w:val="24"/>
          <w:szCs w:val="24"/>
          <w:vertAlign w:val="superscript"/>
          <w:lang w:val="en-GB"/>
        </w:rPr>
        <w:t>2</w:t>
      </w:r>
      <w:r w:rsidR="002024CD" w:rsidRPr="002C3E85">
        <w:rPr>
          <w:rFonts w:ascii="Times New Roman" w:hAnsi="Times New Roman" w:cs="Times New Roman"/>
          <w:sz w:val="24"/>
          <w:szCs w:val="24"/>
          <w:lang w:val="en-GB"/>
        </w:rPr>
        <w:t xml:space="preserve">, SD = </w:t>
      </w:r>
      <w:r w:rsidR="00F13D79" w:rsidRPr="002C3E85">
        <w:rPr>
          <w:rFonts w:ascii="Times New Roman" w:hAnsi="Times New Roman" w:cs="Times New Roman"/>
          <w:sz w:val="24"/>
          <w:szCs w:val="24"/>
          <w:lang w:val="en-GB"/>
        </w:rPr>
        <w:t>0.</w:t>
      </w:r>
      <w:r w:rsidR="00482820" w:rsidRPr="002C3E85">
        <w:rPr>
          <w:rFonts w:ascii="Times New Roman" w:hAnsi="Times New Roman" w:cs="Times New Roman"/>
          <w:sz w:val="24"/>
          <w:szCs w:val="24"/>
          <w:lang w:val="en-GB"/>
        </w:rPr>
        <w:t>32</w:t>
      </w:r>
      <w:r w:rsidR="002024CD" w:rsidRPr="002C3E85">
        <w:rPr>
          <w:rFonts w:ascii="Times New Roman" w:hAnsi="Times New Roman" w:cs="Times New Roman"/>
          <w:sz w:val="24"/>
          <w:szCs w:val="24"/>
          <w:lang w:val="en-GB"/>
        </w:rPr>
        <w:t xml:space="preserve"> and M = </w:t>
      </w:r>
      <w:r w:rsidR="00795844" w:rsidRPr="002C3E85">
        <w:rPr>
          <w:rFonts w:ascii="Times New Roman" w:hAnsi="Times New Roman" w:cs="Times New Roman"/>
          <w:sz w:val="24"/>
          <w:szCs w:val="24"/>
          <w:lang w:val="en-GB"/>
        </w:rPr>
        <w:t>1</w:t>
      </w:r>
      <w:r w:rsidR="00F13D79" w:rsidRPr="002C3E85">
        <w:rPr>
          <w:rFonts w:ascii="Times New Roman" w:hAnsi="Times New Roman" w:cs="Times New Roman"/>
          <w:sz w:val="24"/>
          <w:szCs w:val="24"/>
          <w:lang w:val="en-GB"/>
        </w:rPr>
        <w:t>.</w:t>
      </w:r>
      <w:r w:rsidR="00795844" w:rsidRPr="002C3E85">
        <w:rPr>
          <w:rFonts w:ascii="Times New Roman" w:hAnsi="Times New Roman" w:cs="Times New Roman"/>
          <w:sz w:val="24"/>
          <w:szCs w:val="24"/>
          <w:lang w:val="en-GB"/>
        </w:rPr>
        <w:t>6</w:t>
      </w:r>
      <w:r w:rsidR="00F13D79" w:rsidRPr="002C3E85">
        <w:rPr>
          <w:rFonts w:ascii="Times New Roman" w:hAnsi="Times New Roman" w:cs="Times New Roman"/>
          <w:sz w:val="24"/>
          <w:szCs w:val="24"/>
          <w:lang w:val="en-GB"/>
        </w:rPr>
        <w:t>x10</w:t>
      </w:r>
      <w:r w:rsidR="00F13D79" w:rsidRPr="002C3E85">
        <w:rPr>
          <w:rFonts w:ascii="Times New Roman" w:hAnsi="Times New Roman" w:cs="Times New Roman"/>
          <w:sz w:val="24"/>
          <w:szCs w:val="24"/>
          <w:vertAlign w:val="superscript"/>
          <w:lang w:val="en-GB"/>
        </w:rPr>
        <w:t>3</w:t>
      </w:r>
      <w:r w:rsidR="002024CD" w:rsidRPr="002C3E85">
        <w:rPr>
          <w:rFonts w:ascii="Times New Roman" w:hAnsi="Times New Roman" w:cs="Times New Roman"/>
          <w:sz w:val="24"/>
          <w:szCs w:val="24"/>
          <w:lang w:val="en-GB"/>
        </w:rPr>
        <w:t xml:space="preserve"> mm</w:t>
      </w:r>
      <w:r w:rsidR="002024CD" w:rsidRPr="002C3E85">
        <w:rPr>
          <w:rFonts w:ascii="Times New Roman" w:hAnsi="Times New Roman" w:cs="Times New Roman"/>
          <w:sz w:val="24"/>
          <w:szCs w:val="24"/>
          <w:vertAlign w:val="superscript"/>
          <w:lang w:val="en-GB"/>
        </w:rPr>
        <w:t>2</w:t>
      </w:r>
      <w:r w:rsidR="002024CD" w:rsidRPr="002C3E85">
        <w:rPr>
          <w:rFonts w:ascii="Times New Roman" w:hAnsi="Times New Roman" w:cs="Times New Roman"/>
          <w:sz w:val="24"/>
          <w:szCs w:val="24"/>
          <w:lang w:val="en-GB"/>
        </w:rPr>
        <w:t xml:space="preserve">, SD = </w:t>
      </w:r>
      <w:r w:rsidR="00F13D79" w:rsidRPr="002C3E85">
        <w:rPr>
          <w:rFonts w:ascii="Times New Roman" w:hAnsi="Times New Roman" w:cs="Times New Roman"/>
          <w:sz w:val="24"/>
          <w:szCs w:val="24"/>
          <w:lang w:val="en-GB"/>
        </w:rPr>
        <w:t>0.</w:t>
      </w:r>
      <w:r w:rsidR="00482820" w:rsidRPr="002C3E85">
        <w:rPr>
          <w:rFonts w:ascii="Times New Roman" w:hAnsi="Times New Roman" w:cs="Times New Roman"/>
          <w:sz w:val="24"/>
          <w:szCs w:val="24"/>
          <w:lang w:val="en-GB"/>
        </w:rPr>
        <w:t>33</w:t>
      </w:r>
      <w:r w:rsidR="00795844" w:rsidRPr="002C3E85">
        <w:rPr>
          <w:rFonts w:ascii="Times New Roman" w:hAnsi="Times New Roman" w:cs="Times New Roman"/>
          <w:sz w:val="24"/>
          <w:szCs w:val="24"/>
          <w:lang w:val="en-GB"/>
        </w:rPr>
        <w:t>, p &lt;</w:t>
      </w:r>
      <w:r w:rsidR="002024CD" w:rsidRPr="002C3E85">
        <w:rPr>
          <w:rFonts w:ascii="Times New Roman" w:hAnsi="Times New Roman" w:cs="Times New Roman"/>
          <w:sz w:val="24"/>
          <w:szCs w:val="24"/>
          <w:lang w:val="en-GB"/>
        </w:rPr>
        <w:t xml:space="preserve"> </w:t>
      </w:r>
      <w:r w:rsidR="00795844" w:rsidRPr="002C3E85">
        <w:rPr>
          <w:rFonts w:ascii="Times New Roman" w:hAnsi="Times New Roman" w:cs="Times New Roman"/>
          <w:sz w:val="24"/>
          <w:szCs w:val="24"/>
          <w:lang w:val="en-GB"/>
        </w:rPr>
        <w:t>0.001</w:t>
      </w:r>
      <w:r w:rsidR="002024CD" w:rsidRPr="002C3E85">
        <w:rPr>
          <w:rFonts w:ascii="Times New Roman" w:hAnsi="Times New Roman" w:cs="Times New Roman"/>
          <w:sz w:val="24"/>
          <w:szCs w:val="24"/>
          <w:lang w:val="en-GB"/>
        </w:rPr>
        <w:t xml:space="preserve"> for early and </w:t>
      </w:r>
      <w:r w:rsidRPr="002C3E85">
        <w:rPr>
          <w:rFonts w:ascii="Times New Roman" w:hAnsi="Times New Roman" w:cs="Times New Roman"/>
          <w:sz w:val="24"/>
          <w:szCs w:val="24"/>
          <w:lang w:val="en-GB"/>
        </w:rPr>
        <w:t xml:space="preserve">late bilinguals, respectively) </w:t>
      </w:r>
      <w:r w:rsidRPr="002C3E85">
        <w:rPr>
          <w:rFonts w:ascii="Times New Roman" w:hAnsi="Times New Roman" w:cs="Times New Roman"/>
          <w:sz w:val="24"/>
          <w:szCs w:val="24"/>
          <w:lang w:val="en-GB"/>
        </w:rPr>
        <w:lastRenderedPageBreak/>
        <w:t xml:space="preserve">and </w:t>
      </w:r>
      <w:r w:rsidR="002024CD" w:rsidRPr="002C3E85">
        <w:rPr>
          <w:rFonts w:ascii="Times New Roman" w:hAnsi="Times New Roman" w:cs="Times New Roman"/>
          <w:sz w:val="24"/>
          <w:szCs w:val="24"/>
          <w:lang w:val="en-GB"/>
        </w:rPr>
        <w:t xml:space="preserve">larger cortical volume </w:t>
      </w:r>
      <w:r w:rsidRPr="002C3E85">
        <w:rPr>
          <w:rFonts w:ascii="Times New Roman" w:hAnsi="Times New Roman" w:cs="Times New Roman"/>
          <w:sz w:val="24"/>
          <w:szCs w:val="24"/>
          <w:lang w:val="en-GB"/>
        </w:rPr>
        <w:t xml:space="preserve">compared to the late bilinguals </w:t>
      </w:r>
      <w:r w:rsidR="002024CD" w:rsidRPr="002C3E85">
        <w:rPr>
          <w:rFonts w:ascii="Times New Roman" w:hAnsi="Times New Roman" w:cs="Times New Roman"/>
          <w:sz w:val="24"/>
          <w:szCs w:val="24"/>
          <w:lang w:val="en-GB"/>
        </w:rPr>
        <w:t xml:space="preserve">(M = </w:t>
      </w:r>
      <w:r w:rsidR="00795844" w:rsidRPr="002C3E85">
        <w:rPr>
          <w:rFonts w:ascii="Times New Roman" w:hAnsi="Times New Roman" w:cs="Times New Roman"/>
          <w:sz w:val="24"/>
          <w:szCs w:val="24"/>
          <w:lang w:val="en-GB"/>
        </w:rPr>
        <w:t>6</w:t>
      </w:r>
      <w:r w:rsidR="007B771B" w:rsidRPr="002C3E85">
        <w:rPr>
          <w:rFonts w:ascii="Times New Roman" w:hAnsi="Times New Roman" w:cs="Times New Roman"/>
          <w:sz w:val="24"/>
          <w:szCs w:val="24"/>
          <w:lang w:val="en-GB"/>
        </w:rPr>
        <w:t>.2x10</w:t>
      </w:r>
      <w:r w:rsidR="007B771B" w:rsidRPr="002C3E85">
        <w:rPr>
          <w:rFonts w:ascii="Times New Roman" w:hAnsi="Times New Roman" w:cs="Times New Roman"/>
          <w:sz w:val="24"/>
          <w:szCs w:val="24"/>
          <w:vertAlign w:val="superscript"/>
          <w:lang w:val="en-GB"/>
        </w:rPr>
        <w:t>3</w:t>
      </w:r>
      <w:r w:rsidR="002024CD" w:rsidRPr="002C3E85">
        <w:rPr>
          <w:rFonts w:ascii="Times New Roman" w:hAnsi="Times New Roman" w:cs="Times New Roman"/>
          <w:sz w:val="24"/>
          <w:szCs w:val="24"/>
          <w:lang w:val="en-GB"/>
        </w:rPr>
        <w:t xml:space="preserve"> mm</w:t>
      </w:r>
      <w:r w:rsidR="002024CD" w:rsidRPr="002C3E85">
        <w:rPr>
          <w:rFonts w:ascii="Times New Roman" w:hAnsi="Times New Roman" w:cs="Times New Roman"/>
          <w:sz w:val="24"/>
          <w:szCs w:val="24"/>
          <w:vertAlign w:val="superscript"/>
          <w:lang w:val="en-GB"/>
        </w:rPr>
        <w:t>3</w:t>
      </w:r>
      <w:r w:rsidR="0021346B" w:rsidRPr="002C3E85">
        <w:rPr>
          <w:rFonts w:ascii="Times New Roman" w:hAnsi="Times New Roman" w:cs="Times New Roman"/>
          <w:sz w:val="24"/>
          <w:szCs w:val="24"/>
          <w:lang w:val="en-GB"/>
        </w:rPr>
        <w:t>, SD = 1</w:t>
      </w:r>
      <w:r w:rsidR="007B771B" w:rsidRPr="002C3E85">
        <w:rPr>
          <w:rFonts w:ascii="Times New Roman" w:hAnsi="Times New Roman" w:cs="Times New Roman"/>
          <w:sz w:val="24"/>
          <w:szCs w:val="24"/>
          <w:lang w:val="en-GB"/>
        </w:rPr>
        <w:t>.2</w:t>
      </w:r>
      <w:r w:rsidR="002024CD" w:rsidRPr="002C3E85">
        <w:rPr>
          <w:rFonts w:ascii="Times New Roman" w:hAnsi="Times New Roman" w:cs="Times New Roman"/>
          <w:sz w:val="24"/>
          <w:szCs w:val="24"/>
          <w:lang w:val="en-GB"/>
        </w:rPr>
        <w:t xml:space="preserve"> and M = </w:t>
      </w:r>
      <w:r w:rsidR="00795844" w:rsidRPr="002C3E85">
        <w:rPr>
          <w:rFonts w:ascii="Times New Roman" w:hAnsi="Times New Roman" w:cs="Times New Roman"/>
          <w:sz w:val="24"/>
          <w:szCs w:val="24"/>
          <w:lang w:val="en-GB"/>
        </w:rPr>
        <w:t>4</w:t>
      </w:r>
      <w:r w:rsidR="007B771B" w:rsidRPr="002C3E85">
        <w:rPr>
          <w:rFonts w:ascii="Times New Roman" w:hAnsi="Times New Roman" w:cs="Times New Roman"/>
          <w:sz w:val="24"/>
          <w:szCs w:val="24"/>
          <w:lang w:val="en-GB"/>
        </w:rPr>
        <w:t>.</w:t>
      </w:r>
      <w:r w:rsidR="00795844" w:rsidRPr="002C3E85">
        <w:rPr>
          <w:rFonts w:ascii="Times New Roman" w:hAnsi="Times New Roman" w:cs="Times New Roman"/>
          <w:sz w:val="24"/>
          <w:szCs w:val="24"/>
          <w:lang w:val="en-GB"/>
        </w:rPr>
        <w:t>8</w:t>
      </w:r>
      <w:r w:rsidR="007B771B" w:rsidRPr="002C3E85">
        <w:rPr>
          <w:rFonts w:ascii="Times New Roman" w:hAnsi="Times New Roman" w:cs="Times New Roman"/>
          <w:sz w:val="24"/>
          <w:szCs w:val="24"/>
          <w:lang w:val="en-GB"/>
        </w:rPr>
        <w:t>x10</w:t>
      </w:r>
      <w:r w:rsidR="007B771B" w:rsidRPr="002C3E85">
        <w:rPr>
          <w:rFonts w:ascii="Times New Roman" w:hAnsi="Times New Roman" w:cs="Times New Roman"/>
          <w:sz w:val="24"/>
          <w:szCs w:val="24"/>
          <w:vertAlign w:val="superscript"/>
          <w:lang w:val="en-GB"/>
        </w:rPr>
        <w:t xml:space="preserve">3 </w:t>
      </w:r>
      <w:r w:rsidR="002024CD" w:rsidRPr="002C3E85">
        <w:rPr>
          <w:rFonts w:ascii="Times New Roman" w:hAnsi="Times New Roman" w:cs="Times New Roman"/>
          <w:sz w:val="24"/>
          <w:szCs w:val="24"/>
          <w:lang w:val="en-GB"/>
        </w:rPr>
        <w:t>mm</w:t>
      </w:r>
      <w:r w:rsidR="002024CD" w:rsidRPr="002C3E85">
        <w:rPr>
          <w:rFonts w:ascii="Times New Roman" w:hAnsi="Times New Roman" w:cs="Times New Roman"/>
          <w:sz w:val="24"/>
          <w:szCs w:val="24"/>
          <w:vertAlign w:val="superscript"/>
          <w:lang w:val="en-GB"/>
        </w:rPr>
        <w:t>3</w:t>
      </w:r>
      <w:r w:rsidR="00795844" w:rsidRPr="002C3E85">
        <w:rPr>
          <w:rFonts w:ascii="Times New Roman" w:hAnsi="Times New Roman" w:cs="Times New Roman"/>
          <w:sz w:val="24"/>
          <w:szCs w:val="24"/>
          <w:lang w:val="en-GB"/>
        </w:rPr>
        <w:t xml:space="preserve">, SD = </w:t>
      </w:r>
      <w:r w:rsidR="00BB0AF8" w:rsidRPr="002C3E85">
        <w:rPr>
          <w:rFonts w:ascii="Times New Roman" w:hAnsi="Times New Roman" w:cs="Times New Roman"/>
          <w:sz w:val="24"/>
          <w:szCs w:val="24"/>
          <w:lang w:val="en-GB"/>
        </w:rPr>
        <w:t>1</w:t>
      </w:r>
      <w:r w:rsidR="007B771B" w:rsidRPr="002C3E85">
        <w:rPr>
          <w:rFonts w:ascii="Times New Roman" w:hAnsi="Times New Roman" w:cs="Times New Roman"/>
          <w:sz w:val="24"/>
          <w:szCs w:val="24"/>
          <w:lang w:val="en-GB"/>
        </w:rPr>
        <w:t>.</w:t>
      </w:r>
      <w:r w:rsidR="00BB0AF8" w:rsidRPr="002C3E85">
        <w:rPr>
          <w:rFonts w:ascii="Times New Roman" w:hAnsi="Times New Roman" w:cs="Times New Roman"/>
          <w:sz w:val="24"/>
          <w:szCs w:val="24"/>
          <w:lang w:val="en-GB"/>
        </w:rPr>
        <w:t>1</w:t>
      </w:r>
      <w:r w:rsidR="00795844" w:rsidRPr="002C3E85">
        <w:rPr>
          <w:rFonts w:ascii="Times New Roman" w:hAnsi="Times New Roman" w:cs="Times New Roman"/>
          <w:sz w:val="24"/>
          <w:szCs w:val="24"/>
          <w:lang w:val="en-GB"/>
        </w:rPr>
        <w:t>, p</w:t>
      </w:r>
      <w:r w:rsidR="002024CD" w:rsidRPr="002C3E85">
        <w:rPr>
          <w:rFonts w:ascii="Times New Roman" w:hAnsi="Times New Roman" w:cs="Times New Roman"/>
          <w:sz w:val="24"/>
          <w:szCs w:val="24"/>
          <w:lang w:val="en-GB"/>
        </w:rPr>
        <w:t xml:space="preserve"> = </w:t>
      </w:r>
      <w:r w:rsidR="00795844" w:rsidRPr="002C3E85">
        <w:rPr>
          <w:rFonts w:ascii="Times New Roman" w:hAnsi="Times New Roman" w:cs="Times New Roman"/>
          <w:sz w:val="24"/>
          <w:szCs w:val="24"/>
          <w:lang w:val="en-GB"/>
        </w:rPr>
        <w:t>0.001</w:t>
      </w:r>
      <w:r w:rsidR="002024CD" w:rsidRPr="002C3E85">
        <w:rPr>
          <w:rFonts w:ascii="Times New Roman" w:hAnsi="Times New Roman" w:cs="Times New Roman"/>
          <w:sz w:val="24"/>
          <w:szCs w:val="24"/>
          <w:lang w:val="en-GB"/>
        </w:rPr>
        <w:t xml:space="preserve"> for early and late bilinguals, respectively). </w:t>
      </w:r>
      <w:r w:rsidRPr="002C3E85">
        <w:rPr>
          <w:rFonts w:ascii="Times New Roman" w:hAnsi="Times New Roman" w:cs="Times New Roman"/>
          <w:sz w:val="24"/>
          <w:szCs w:val="24"/>
          <w:lang w:val="en-GB"/>
        </w:rPr>
        <w:t xml:space="preserve">Similarly, significantly extended surface area for early vs. late bilinguals was also observed over the right </w:t>
      </w:r>
      <w:r w:rsidR="00D15558" w:rsidRPr="002C3E85">
        <w:rPr>
          <w:rFonts w:ascii="Times New Roman" w:hAnsi="Times New Roman" w:cs="Times New Roman"/>
          <w:sz w:val="24"/>
          <w:szCs w:val="24"/>
          <w:lang w:val="en-GB"/>
        </w:rPr>
        <w:t>STG (M = 4</w:t>
      </w:r>
      <w:r w:rsidR="005911EB" w:rsidRPr="002C3E85">
        <w:rPr>
          <w:rFonts w:ascii="Times New Roman" w:hAnsi="Times New Roman" w:cs="Times New Roman"/>
          <w:sz w:val="24"/>
          <w:szCs w:val="24"/>
          <w:lang w:val="en-GB"/>
        </w:rPr>
        <w:t>.0x10</w:t>
      </w:r>
      <w:r w:rsidR="005911EB" w:rsidRPr="002C3E85">
        <w:rPr>
          <w:rFonts w:ascii="Times New Roman" w:hAnsi="Times New Roman" w:cs="Times New Roman"/>
          <w:sz w:val="24"/>
          <w:szCs w:val="24"/>
          <w:vertAlign w:val="superscript"/>
          <w:lang w:val="en-GB"/>
        </w:rPr>
        <w:t>3</w:t>
      </w:r>
      <w:r w:rsidR="00D15558" w:rsidRPr="002C3E85">
        <w:rPr>
          <w:rFonts w:ascii="Times New Roman" w:hAnsi="Times New Roman" w:cs="Times New Roman"/>
          <w:sz w:val="24"/>
          <w:szCs w:val="24"/>
          <w:lang w:val="en-GB"/>
        </w:rPr>
        <w:t xml:space="preserve"> mm</w:t>
      </w:r>
      <w:r w:rsidR="00D15558" w:rsidRPr="002C3E85">
        <w:rPr>
          <w:rFonts w:ascii="Times New Roman" w:hAnsi="Times New Roman" w:cs="Times New Roman"/>
          <w:sz w:val="24"/>
          <w:szCs w:val="24"/>
          <w:vertAlign w:val="superscript"/>
          <w:lang w:val="en-GB"/>
        </w:rPr>
        <w:t>2</w:t>
      </w:r>
      <w:r w:rsidR="00D15558" w:rsidRPr="002C3E85">
        <w:rPr>
          <w:rFonts w:ascii="Times New Roman" w:hAnsi="Times New Roman" w:cs="Times New Roman"/>
          <w:sz w:val="24"/>
          <w:szCs w:val="24"/>
          <w:lang w:val="en-GB"/>
        </w:rPr>
        <w:t xml:space="preserve">, SD = </w:t>
      </w:r>
      <w:r w:rsidR="005911EB" w:rsidRPr="002C3E85">
        <w:rPr>
          <w:rFonts w:ascii="Times New Roman" w:hAnsi="Times New Roman" w:cs="Times New Roman"/>
          <w:sz w:val="24"/>
          <w:szCs w:val="24"/>
          <w:lang w:val="en-GB"/>
        </w:rPr>
        <w:t>0.</w:t>
      </w:r>
      <w:r w:rsidR="005B7DFD" w:rsidRPr="002C3E85">
        <w:rPr>
          <w:rFonts w:ascii="Times New Roman" w:hAnsi="Times New Roman" w:cs="Times New Roman"/>
          <w:sz w:val="24"/>
          <w:szCs w:val="24"/>
          <w:lang w:val="en-GB"/>
        </w:rPr>
        <w:t>6</w:t>
      </w:r>
      <w:r w:rsidR="00D15558" w:rsidRPr="002C3E85">
        <w:rPr>
          <w:rFonts w:ascii="Times New Roman" w:hAnsi="Times New Roman" w:cs="Times New Roman"/>
          <w:sz w:val="24"/>
          <w:szCs w:val="24"/>
          <w:lang w:val="en-GB"/>
        </w:rPr>
        <w:t xml:space="preserve"> and M = 3</w:t>
      </w:r>
      <w:r w:rsidR="005911EB" w:rsidRPr="002C3E85">
        <w:rPr>
          <w:rFonts w:ascii="Times New Roman" w:hAnsi="Times New Roman" w:cs="Times New Roman"/>
          <w:sz w:val="24"/>
          <w:szCs w:val="24"/>
          <w:lang w:val="en-GB"/>
        </w:rPr>
        <w:t>.</w:t>
      </w:r>
      <w:r w:rsidR="00D15558" w:rsidRPr="002C3E85">
        <w:rPr>
          <w:rFonts w:ascii="Times New Roman" w:hAnsi="Times New Roman" w:cs="Times New Roman"/>
          <w:sz w:val="24"/>
          <w:szCs w:val="24"/>
          <w:lang w:val="en-GB"/>
        </w:rPr>
        <w:t>6</w:t>
      </w:r>
      <w:r w:rsidR="005911EB" w:rsidRPr="002C3E85">
        <w:rPr>
          <w:rFonts w:ascii="Times New Roman" w:hAnsi="Times New Roman" w:cs="Times New Roman"/>
          <w:sz w:val="24"/>
          <w:szCs w:val="24"/>
          <w:lang w:val="en-GB"/>
        </w:rPr>
        <w:t>x10</w:t>
      </w:r>
      <w:r w:rsidR="005911EB" w:rsidRPr="002C3E85">
        <w:rPr>
          <w:rFonts w:ascii="Times New Roman" w:hAnsi="Times New Roman" w:cs="Times New Roman"/>
          <w:sz w:val="24"/>
          <w:szCs w:val="24"/>
          <w:vertAlign w:val="superscript"/>
          <w:lang w:val="en-GB"/>
        </w:rPr>
        <w:t>3</w:t>
      </w:r>
      <w:r w:rsidR="00D15558" w:rsidRPr="002C3E85">
        <w:rPr>
          <w:rFonts w:ascii="Times New Roman" w:hAnsi="Times New Roman" w:cs="Times New Roman"/>
          <w:sz w:val="24"/>
          <w:szCs w:val="24"/>
          <w:lang w:val="en-GB"/>
        </w:rPr>
        <w:t xml:space="preserve"> mm</w:t>
      </w:r>
      <w:r w:rsidR="00D15558" w:rsidRPr="002C3E85">
        <w:rPr>
          <w:rFonts w:ascii="Times New Roman" w:hAnsi="Times New Roman" w:cs="Times New Roman"/>
          <w:sz w:val="24"/>
          <w:szCs w:val="24"/>
          <w:vertAlign w:val="superscript"/>
          <w:lang w:val="en-GB"/>
        </w:rPr>
        <w:t>2</w:t>
      </w:r>
      <w:r w:rsidR="00D15558" w:rsidRPr="002C3E85">
        <w:rPr>
          <w:rFonts w:ascii="Times New Roman" w:hAnsi="Times New Roman" w:cs="Times New Roman"/>
          <w:sz w:val="24"/>
          <w:szCs w:val="24"/>
          <w:lang w:val="en-GB"/>
        </w:rPr>
        <w:t xml:space="preserve">, SD = </w:t>
      </w:r>
      <w:r w:rsidR="005911EB" w:rsidRPr="002C3E85">
        <w:rPr>
          <w:rFonts w:ascii="Times New Roman" w:hAnsi="Times New Roman" w:cs="Times New Roman"/>
          <w:sz w:val="24"/>
          <w:szCs w:val="24"/>
          <w:lang w:val="en-GB"/>
        </w:rPr>
        <w:t>0.</w:t>
      </w:r>
      <w:r w:rsidR="005B7DFD" w:rsidRPr="002C3E85">
        <w:rPr>
          <w:rFonts w:ascii="Times New Roman" w:hAnsi="Times New Roman" w:cs="Times New Roman"/>
          <w:sz w:val="24"/>
          <w:szCs w:val="24"/>
          <w:lang w:val="en-GB"/>
        </w:rPr>
        <w:t>6</w:t>
      </w:r>
      <w:r w:rsidR="00D15558" w:rsidRPr="002C3E85">
        <w:rPr>
          <w:rFonts w:ascii="Times New Roman" w:hAnsi="Times New Roman" w:cs="Times New Roman"/>
          <w:sz w:val="24"/>
          <w:szCs w:val="24"/>
          <w:lang w:val="en-GB"/>
        </w:rPr>
        <w:t>, p &lt; 0.001 for early and late bilinguals, respectively), however, unlike the</w:t>
      </w:r>
      <w:r w:rsidR="00AA4C95" w:rsidRPr="002C3E85">
        <w:rPr>
          <w:rFonts w:ascii="Times New Roman" w:hAnsi="Times New Roman" w:cs="Times New Roman"/>
          <w:sz w:val="24"/>
          <w:szCs w:val="24"/>
          <w:lang w:val="en-GB"/>
        </w:rPr>
        <w:t xml:space="preserve"> effect in the</w:t>
      </w:r>
      <w:r w:rsidR="00D15558" w:rsidRPr="002C3E85">
        <w:rPr>
          <w:rFonts w:ascii="Times New Roman" w:hAnsi="Times New Roman" w:cs="Times New Roman"/>
          <w:sz w:val="24"/>
          <w:szCs w:val="24"/>
          <w:lang w:val="en-GB"/>
        </w:rPr>
        <w:t xml:space="preserve"> left </w:t>
      </w:r>
      <w:r w:rsidR="00BB0AF8" w:rsidRPr="002C3E85">
        <w:rPr>
          <w:rFonts w:ascii="Times New Roman" w:hAnsi="Times New Roman" w:cs="Times New Roman"/>
          <w:sz w:val="24"/>
          <w:szCs w:val="24"/>
          <w:lang w:val="en-GB"/>
        </w:rPr>
        <w:t>POp</w:t>
      </w:r>
      <w:r w:rsidR="00D15558" w:rsidRPr="002C3E85">
        <w:rPr>
          <w:rFonts w:ascii="Times New Roman" w:hAnsi="Times New Roman" w:cs="Times New Roman"/>
          <w:sz w:val="24"/>
          <w:szCs w:val="24"/>
          <w:lang w:val="en-GB"/>
        </w:rPr>
        <w:t xml:space="preserve">, this difference was not </w:t>
      </w:r>
      <w:r w:rsidR="00B8775D" w:rsidRPr="002C3E85">
        <w:rPr>
          <w:rFonts w:ascii="Times New Roman" w:hAnsi="Times New Roman" w:cs="Times New Roman"/>
          <w:sz w:val="24"/>
          <w:szCs w:val="24"/>
          <w:lang w:val="en-GB"/>
        </w:rPr>
        <w:t>accompanied with a corresponding difference in the GM volume (p = 0.60).</w:t>
      </w:r>
      <w:r w:rsidR="00A73DD1" w:rsidRPr="002C3E85">
        <w:rPr>
          <w:rFonts w:ascii="Times New Roman" w:hAnsi="Times New Roman" w:cs="Times New Roman"/>
          <w:sz w:val="24"/>
          <w:szCs w:val="24"/>
          <w:lang w:val="en-GB"/>
        </w:rPr>
        <w:t xml:space="preserve"> </w:t>
      </w:r>
      <w:r w:rsidR="002024CD" w:rsidRPr="002C3E85">
        <w:rPr>
          <w:rFonts w:ascii="Times New Roman" w:hAnsi="Times New Roman" w:cs="Times New Roman"/>
          <w:sz w:val="24"/>
          <w:szCs w:val="24"/>
          <w:lang w:val="en-GB"/>
        </w:rPr>
        <w:t>For mean curv</w:t>
      </w:r>
      <w:r w:rsidR="008E7415" w:rsidRPr="002C3E85">
        <w:rPr>
          <w:rFonts w:ascii="Times New Roman" w:hAnsi="Times New Roman" w:cs="Times New Roman"/>
          <w:sz w:val="24"/>
          <w:szCs w:val="24"/>
          <w:lang w:val="en-GB"/>
        </w:rPr>
        <w:t xml:space="preserve">ature, the effect stemmed from a </w:t>
      </w:r>
      <w:r w:rsidR="002024CD" w:rsidRPr="002C3E85">
        <w:rPr>
          <w:rFonts w:ascii="Times New Roman" w:hAnsi="Times New Roman" w:cs="Times New Roman"/>
          <w:sz w:val="24"/>
          <w:szCs w:val="24"/>
          <w:lang w:val="en-GB"/>
        </w:rPr>
        <w:t xml:space="preserve">difference in the </w:t>
      </w:r>
      <w:r w:rsidR="008E7415" w:rsidRPr="002C3E85">
        <w:rPr>
          <w:rFonts w:ascii="Times New Roman" w:hAnsi="Times New Roman" w:cs="Times New Roman"/>
          <w:sz w:val="24"/>
          <w:szCs w:val="24"/>
          <w:lang w:val="en-GB"/>
        </w:rPr>
        <w:t xml:space="preserve">left </w:t>
      </w:r>
      <w:r w:rsidR="002024CD" w:rsidRPr="002C3E85">
        <w:rPr>
          <w:rFonts w:ascii="Times New Roman" w:hAnsi="Times New Roman" w:cs="Times New Roman"/>
          <w:sz w:val="24"/>
          <w:szCs w:val="24"/>
          <w:lang w:val="en-GB"/>
        </w:rPr>
        <w:t xml:space="preserve">STG, </w:t>
      </w:r>
      <w:r w:rsidR="008E7415" w:rsidRPr="002C3E85">
        <w:rPr>
          <w:rFonts w:ascii="Times New Roman" w:hAnsi="Times New Roman" w:cs="Times New Roman"/>
          <w:sz w:val="24"/>
          <w:szCs w:val="24"/>
          <w:lang w:val="en-GB"/>
        </w:rPr>
        <w:t>where</w:t>
      </w:r>
      <w:r w:rsidR="002024CD" w:rsidRPr="002C3E85">
        <w:rPr>
          <w:rFonts w:ascii="Times New Roman" w:hAnsi="Times New Roman" w:cs="Times New Roman"/>
          <w:sz w:val="24"/>
          <w:szCs w:val="24"/>
          <w:lang w:val="en-GB"/>
        </w:rPr>
        <w:t xml:space="preserve"> the late bilinguals had significantly greater surface curvature (M = </w:t>
      </w:r>
      <w:r w:rsidR="00A73DD1" w:rsidRPr="002C3E85">
        <w:rPr>
          <w:rFonts w:ascii="Times New Roman" w:hAnsi="Times New Roman" w:cs="Times New Roman"/>
          <w:sz w:val="24"/>
          <w:szCs w:val="24"/>
          <w:lang w:val="en-GB"/>
        </w:rPr>
        <w:t>0.128</w:t>
      </w:r>
      <w:r w:rsidR="002024CD" w:rsidRPr="002C3E85">
        <w:rPr>
          <w:rFonts w:ascii="Times New Roman" w:hAnsi="Times New Roman" w:cs="Times New Roman"/>
          <w:sz w:val="24"/>
          <w:szCs w:val="24"/>
          <w:lang w:val="en-GB"/>
        </w:rPr>
        <w:t xml:space="preserve">, SD = </w:t>
      </w:r>
      <w:r w:rsidR="00BB793B" w:rsidRPr="002C3E85">
        <w:rPr>
          <w:rFonts w:ascii="Times New Roman" w:hAnsi="Times New Roman" w:cs="Times New Roman"/>
          <w:sz w:val="24"/>
          <w:szCs w:val="24"/>
          <w:lang w:val="en-GB"/>
        </w:rPr>
        <w:t>0</w:t>
      </w:r>
      <w:r w:rsidR="002024CD" w:rsidRPr="002C3E85">
        <w:rPr>
          <w:rFonts w:ascii="Times New Roman" w:hAnsi="Times New Roman" w:cs="Times New Roman"/>
          <w:sz w:val="24"/>
          <w:szCs w:val="24"/>
          <w:lang w:val="en-GB"/>
        </w:rPr>
        <w:t>.01) compa</w:t>
      </w:r>
      <w:r w:rsidR="00A73DD1" w:rsidRPr="002C3E85">
        <w:rPr>
          <w:rFonts w:ascii="Times New Roman" w:hAnsi="Times New Roman" w:cs="Times New Roman"/>
          <w:sz w:val="24"/>
          <w:szCs w:val="24"/>
          <w:lang w:val="en-GB"/>
        </w:rPr>
        <w:t>red to early bilinguals (M = 0.119</w:t>
      </w:r>
      <w:r w:rsidR="002024CD" w:rsidRPr="002C3E85">
        <w:rPr>
          <w:rFonts w:ascii="Times New Roman" w:hAnsi="Times New Roman" w:cs="Times New Roman"/>
          <w:sz w:val="24"/>
          <w:szCs w:val="24"/>
          <w:lang w:val="en-GB"/>
        </w:rPr>
        <w:t xml:space="preserve">, SD = </w:t>
      </w:r>
      <w:r w:rsidR="00BB793B" w:rsidRPr="002C3E85">
        <w:rPr>
          <w:rFonts w:ascii="Times New Roman" w:hAnsi="Times New Roman" w:cs="Times New Roman"/>
          <w:sz w:val="24"/>
          <w:szCs w:val="24"/>
          <w:lang w:val="en-GB"/>
        </w:rPr>
        <w:t>0</w:t>
      </w:r>
      <w:r w:rsidR="002024CD" w:rsidRPr="002C3E85">
        <w:rPr>
          <w:rFonts w:ascii="Times New Roman" w:hAnsi="Times New Roman" w:cs="Times New Roman"/>
          <w:sz w:val="24"/>
          <w:szCs w:val="24"/>
          <w:lang w:val="en-GB"/>
        </w:rPr>
        <w:t>.009</w:t>
      </w:r>
      <w:r w:rsidR="00036111" w:rsidRPr="002C3E85">
        <w:rPr>
          <w:rFonts w:ascii="Times New Roman" w:hAnsi="Times New Roman" w:cs="Times New Roman"/>
          <w:sz w:val="24"/>
          <w:szCs w:val="24"/>
          <w:lang w:val="en-GB"/>
        </w:rPr>
        <w:t>, p = 0.00</w:t>
      </w:r>
      <w:r w:rsidR="008E7415" w:rsidRPr="002C3E85">
        <w:rPr>
          <w:rFonts w:ascii="Times New Roman" w:hAnsi="Times New Roman" w:cs="Times New Roman"/>
          <w:sz w:val="24"/>
          <w:szCs w:val="24"/>
          <w:lang w:val="en-GB"/>
        </w:rPr>
        <w:t>9</w:t>
      </w:r>
      <w:r w:rsidR="002024CD" w:rsidRPr="002C3E85">
        <w:rPr>
          <w:rFonts w:ascii="Times New Roman" w:hAnsi="Times New Roman" w:cs="Times New Roman"/>
          <w:sz w:val="24"/>
          <w:szCs w:val="24"/>
          <w:lang w:val="en-GB"/>
        </w:rPr>
        <w:t xml:space="preserve">). No significant group differences </w:t>
      </w:r>
      <w:r w:rsidR="002024CD" w:rsidRPr="002C3E85">
        <w:rPr>
          <w:rFonts w:ascii="Times New Roman" w:hAnsi="Times New Roman" w:cs="Times New Roman"/>
          <w:sz w:val="24"/>
          <w:szCs w:val="24"/>
          <w:lang w:val="en-GB"/>
        </w:rPr>
        <w:lastRenderedPageBreak/>
        <w:t>were observed in any of the other ROIs. The significant mixed m</w:t>
      </w:r>
      <w:r w:rsidR="009019FD" w:rsidRPr="002C3E85">
        <w:rPr>
          <w:rFonts w:ascii="Times New Roman" w:hAnsi="Times New Roman" w:cs="Times New Roman"/>
          <w:sz w:val="24"/>
          <w:szCs w:val="24"/>
          <w:lang w:val="en-GB"/>
        </w:rPr>
        <w:t>odel results are shown in Fig. 2</w:t>
      </w:r>
      <w:r w:rsidR="002024CD" w:rsidRPr="002C3E85">
        <w:rPr>
          <w:rFonts w:ascii="Times New Roman" w:hAnsi="Times New Roman" w:cs="Times New Roman"/>
          <w:sz w:val="24"/>
          <w:szCs w:val="24"/>
          <w:lang w:val="en-GB"/>
        </w:rPr>
        <w:t>B.</w:t>
      </w:r>
    </w:p>
    <w:p w14:paraId="034D46D8" w14:textId="61EFC5E8" w:rsidR="00DE6C4F" w:rsidRPr="002C3E85" w:rsidRDefault="00DE6C4F" w:rsidP="002024CD">
      <w:pPr>
        <w:spacing w:line="480" w:lineRule="auto"/>
        <w:jc w:val="both"/>
        <w:rPr>
          <w:rFonts w:ascii="Times New Roman" w:hAnsi="Times New Roman" w:cs="Times New Roman"/>
          <w:sz w:val="24"/>
          <w:szCs w:val="24"/>
          <w:lang w:val="en-GB"/>
        </w:rPr>
      </w:pPr>
    </w:p>
    <w:p w14:paraId="46884D05" w14:textId="43314498" w:rsidR="00DE6C4F" w:rsidRPr="002C3E85" w:rsidRDefault="00DE6C4F" w:rsidP="002024CD">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Although the groups were closely matched to minimise any variations in the language background measures other than the L2 AoA, the participants reported somewhat varying estimates for their daily L2 usage. To test whether differences in L2 usage might have contributed to the effects observed, additional correlation analyses between the relevant surface based measures and the overall L2 usage values were run within the ROIs where significant differences were observed. More specifically, L2 usage was correlated with 1) the vol</w:t>
      </w:r>
      <w:r w:rsidRPr="002C3E85">
        <w:rPr>
          <w:rFonts w:ascii="Times New Roman" w:hAnsi="Times New Roman" w:cs="Times New Roman"/>
          <w:sz w:val="24"/>
          <w:szCs w:val="24"/>
          <w:lang w:val="en-GB"/>
        </w:rPr>
        <w:lastRenderedPageBreak/>
        <w:t xml:space="preserve">ume and surface area measures within the left POp, 2) the mean curvature measures </w:t>
      </w:r>
      <w:r w:rsidR="004602FC" w:rsidRPr="002C3E85">
        <w:rPr>
          <w:rFonts w:ascii="Times New Roman" w:hAnsi="Times New Roman" w:cs="Times New Roman"/>
          <w:sz w:val="24"/>
          <w:szCs w:val="24"/>
          <w:lang w:val="en-GB"/>
        </w:rPr>
        <w:t>with</w:t>
      </w:r>
      <w:r w:rsidRPr="002C3E85">
        <w:rPr>
          <w:rFonts w:ascii="Times New Roman" w:hAnsi="Times New Roman" w:cs="Times New Roman"/>
          <w:sz w:val="24"/>
          <w:szCs w:val="24"/>
          <w:lang w:val="en-GB"/>
        </w:rPr>
        <w:t xml:space="preserve">in the left STG and 3) the surface area measures </w:t>
      </w:r>
      <w:r w:rsidR="004602FC" w:rsidRPr="002C3E85">
        <w:rPr>
          <w:rFonts w:ascii="Times New Roman" w:hAnsi="Times New Roman" w:cs="Times New Roman"/>
          <w:sz w:val="24"/>
          <w:szCs w:val="24"/>
          <w:lang w:val="en-GB"/>
        </w:rPr>
        <w:t>with</w:t>
      </w:r>
      <w:r w:rsidRPr="002C3E85">
        <w:rPr>
          <w:rFonts w:ascii="Times New Roman" w:hAnsi="Times New Roman" w:cs="Times New Roman"/>
          <w:sz w:val="24"/>
          <w:szCs w:val="24"/>
          <w:lang w:val="en-GB"/>
        </w:rPr>
        <w:t xml:space="preserve">in the right STG. None of </w:t>
      </w:r>
      <w:r w:rsidR="004602FC" w:rsidRPr="002C3E85">
        <w:rPr>
          <w:rFonts w:ascii="Times New Roman" w:hAnsi="Times New Roman" w:cs="Times New Roman"/>
          <w:sz w:val="24"/>
          <w:szCs w:val="24"/>
          <w:lang w:val="en-GB"/>
        </w:rPr>
        <w:t>the</w:t>
      </w:r>
      <w:r w:rsidRPr="002C3E85">
        <w:rPr>
          <w:rFonts w:ascii="Times New Roman" w:hAnsi="Times New Roman" w:cs="Times New Roman"/>
          <w:sz w:val="24"/>
          <w:szCs w:val="24"/>
          <w:lang w:val="en-GB"/>
        </w:rPr>
        <w:t xml:space="preserve"> correlations were significant (p &gt; 0.3</w:t>
      </w:r>
      <w:r w:rsidR="004602FC" w:rsidRPr="002C3E85">
        <w:rPr>
          <w:rFonts w:ascii="Times New Roman" w:hAnsi="Times New Roman" w:cs="Times New Roman"/>
          <w:sz w:val="24"/>
          <w:szCs w:val="24"/>
          <w:lang w:val="en-GB"/>
        </w:rPr>
        <w:t xml:space="preserve"> in all correlations</w:t>
      </w:r>
      <w:r w:rsidRPr="002C3E85">
        <w:rPr>
          <w:rFonts w:ascii="Times New Roman" w:hAnsi="Times New Roman" w:cs="Times New Roman"/>
          <w:sz w:val="24"/>
          <w:szCs w:val="24"/>
          <w:lang w:val="en-GB"/>
        </w:rPr>
        <w:t>)</w:t>
      </w:r>
      <w:r w:rsidR="004602FC" w:rsidRPr="002C3E85">
        <w:rPr>
          <w:rFonts w:ascii="Times New Roman" w:hAnsi="Times New Roman" w:cs="Times New Roman"/>
          <w:sz w:val="24"/>
          <w:szCs w:val="24"/>
          <w:lang w:val="en-GB"/>
        </w:rPr>
        <w:t>.</w:t>
      </w:r>
    </w:p>
    <w:p w14:paraId="6B767B8D" w14:textId="77777777" w:rsidR="002B06E9" w:rsidRPr="002C3E85" w:rsidRDefault="002B06E9" w:rsidP="002024CD">
      <w:pPr>
        <w:spacing w:line="480" w:lineRule="auto"/>
        <w:jc w:val="both"/>
        <w:rPr>
          <w:rFonts w:ascii="Times New Roman" w:hAnsi="Times New Roman" w:cs="Times New Roman"/>
          <w:sz w:val="24"/>
          <w:szCs w:val="24"/>
          <w:lang w:val="en-GB"/>
        </w:rPr>
      </w:pPr>
    </w:p>
    <w:p w14:paraId="306BD887" w14:textId="718ADC1B" w:rsidR="006C04C3" w:rsidRPr="002C3E85" w:rsidRDefault="00560E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 xml:space="preserve">4 </w:t>
      </w:r>
      <w:r w:rsidR="008F5276" w:rsidRPr="002C3E85">
        <w:rPr>
          <w:rFonts w:ascii="Times New Roman" w:hAnsi="Times New Roman" w:cs="Times New Roman"/>
          <w:b/>
          <w:sz w:val="24"/>
          <w:szCs w:val="24"/>
          <w:lang w:val="en-GB"/>
        </w:rPr>
        <w:t>Discussion</w:t>
      </w:r>
    </w:p>
    <w:p w14:paraId="5DE2DE75" w14:textId="093776A7" w:rsidR="003911B3" w:rsidRPr="002C3E85" w:rsidRDefault="00557519"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T</w:t>
      </w:r>
      <w:r w:rsidR="00333AB5" w:rsidRPr="002C3E85">
        <w:rPr>
          <w:rFonts w:ascii="Times New Roman" w:hAnsi="Times New Roman" w:cs="Times New Roman"/>
          <w:sz w:val="24"/>
          <w:szCs w:val="24"/>
          <w:lang w:val="en-GB"/>
        </w:rPr>
        <w:t xml:space="preserve">he </w:t>
      </w:r>
      <w:r w:rsidR="00CC4E41" w:rsidRPr="002C3E85">
        <w:rPr>
          <w:rFonts w:ascii="Times New Roman" w:hAnsi="Times New Roman" w:cs="Times New Roman"/>
          <w:sz w:val="24"/>
          <w:szCs w:val="24"/>
          <w:lang w:val="en-GB"/>
        </w:rPr>
        <w:t xml:space="preserve">aim of this study was to </w:t>
      </w:r>
      <w:r w:rsidR="009D3D77" w:rsidRPr="002C3E85">
        <w:rPr>
          <w:rFonts w:ascii="Times New Roman" w:hAnsi="Times New Roman" w:cs="Times New Roman"/>
          <w:sz w:val="24"/>
          <w:szCs w:val="24"/>
          <w:lang w:val="en-GB"/>
        </w:rPr>
        <w:t>examine</w:t>
      </w:r>
      <w:r w:rsidR="008C2658" w:rsidRPr="002C3E85">
        <w:rPr>
          <w:rFonts w:ascii="Times New Roman" w:hAnsi="Times New Roman" w:cs="Times New Roman"/>
          <w:sz w:val="24"/>
          <w:szCs w:val="24"/>
          <w:lang w:val="en-GB"/>
        </w:rPr>
        <w:t xml:space="preserve"> whether L2 AoA might </w:t>
      </w:r>
      <w:r w:rsidR="009D3D77" w:rsidRPr="002C3E85">
        <w:rPr>
          <w:rFonts w:ascii="Times New Roman" w:hAnsi="Times New Roman" w:cs="Times New Roman"/>
          <w:sz w:val="24"/>
          <w:szCs w:val="24"/>
          <w:lang w:val="en-GB"/>
        </w:rPr>
        <w:t>be an important factor in</w:t>
      </w:r>
      <w:r w:rsidR="00FE47DF" w:rsidRPr="002C3E85">
        <w:rPr>
          <w:rFonts w:ascii="Times New Roman" w:hAnsi="Times New Roman" w:cs="Times New Roman"/>
          <w:sz w:val="24"/>
          <w:szCs w:val="24"/>
          <w:lang w:val="en-GB"/>
        </w:rPr>
        <w:t xml:space="preserve"> affecting how the brain responds to bilingual exposure.</w:t>
      </w:r>
      <w:r w:rsidR="009D3D77" w:rsidRPr="002C3E85">
        <w:rPr>
          <w:rFonts w:ascii="Times New Roman" w:hAnsi="Times New Roman" w:cs="Times New Roman"/>
          <w:sz w:val="24"/>
          <w:szCs w:val="24"/>
          <w:lang w:val="en-GB"/>
        </w:rPr>
        <w:t xml:space="preserve"> More specifically, we investigated a hypothesis </w:t>
      </w:r>
      <w:r w:rsidR="00385A09" w:rsidRPr="002C3E85">
        <w:rPr>
          <w:rFonts w:ascii="Times New Roman" w:hAnsi="Times New Roman" w:cs="Times New Roman"/>
          <w:sz w:val="24"/>
          <w:szCs w:val="24"/>
          <w:lang w:val="en-GB"/>
        </w:rPr>
        <w:t xml:space="preserve">whereby early L2 experience should induce GM modulations that are characterised by </w:t>
      </w:r>
      <w:r w:rsidR="003658C6" w:rsidRPr="002C3E85">
        <w:rPr>
          <w:rFonts w:ascii="Times New Roman" w:hAnsi="Times New Roman" w:cs="Times New Roman"/>
          <w:sz w:val="24"/>
          <w:szCs w:val="24"/>
          <w:lang w:val="en-GB"/>
        </w:rPr>
        <w:t xml:space="preserve">predominant </w:t>
      </w:r>
      <w:r w:rsidR="00385A09" w:rsidRPr="002C3E85">
        <w:rPr>
          <w:rFonts w:ascii="Times New Roman" w:hAnsi="Times New Roman" w:cs="Times New Roman"/>
          <w:sz w:val="24"/>
          <w:szCs w:val="24"/>
          <w:lang w:val="en-GB"/>
        </w:rPr>
        <w:t xml:space="preserve">changes in cortical surface area, while late L2 acquisition should relate to changes </w:t>
      </w:r>
      <w:r w:rsidR="003658C6" w:rsidRPr="002C3E85">
        <w:rPr>
          <w:rFonts w:ascii="Times New Roman" w:hAnsi="Times New Roman" w:cs="Times New Roman"/>
          <w:sz w:val="24"/>
          <w:szCs w:val="24"/>
          <w:lang w:val="en-GB"/>
        </w:rPr>
        <w:t xml:space="preserve">mainly </w:t>
      </w:r>
      <w:r w:rsidR="00385A09" w:rsidRPr="002C3E85">
        <w:rPr>
          <w:rFonts w:ascii="Times New Roman" w:hAnsi="Times New Roman" w:cs="Times New Roman"/>
          <w:sz w:val="24"/>
          <w:szCs w:val="24"/>
          <w:lang w:val="en-GB"/>
        </w:rPr>
        <w:t xml:space="preserve">in cortical thickness. </w:t>
      </w:r>
      <w:r w:rsidR="00385A09" w:rsidRPr="002C3E85">
        <w:rPr>
          <w:rFonts w:ascii="Times New Roman" w:hAnsi="Times New Roman" w:cs="Times New Roman"/>
          <w:sz w:val="24"/>
          <w:szCs w:val="24"/>
          <w:lang w:val="en-GB"/>
        </w:rPr>
        <w:lastRenderedPageBreak/>
        <w:t xml:space="preserve">To this end, we </w:t>
      </w:r>
      <w:r w:rsidR="00DA1B94" w:rsidRPr="002C3E85">
        <w:rPr>
          <w:rFonts w:ascii="Times New Roman" w:hAnsi="Times New Roman" w:cs="Times New Roman"/>
          <w:sz w:val="24"/>
          <w:szCs w:val="24"/>
          <w:lang w:val="en-GB"/>
        </w:rPr>
        <w:t xml:space="preserve">concurrently </w:t>
      </w:r>
      <w:r w:rsidR="009D3D77" w:rsidRPr="002C3E85">
        <w:rPr>
          <w:rFonts w:ascii="Times New Roman" w:hAnsi="Times New Roman" w:cs="Times New Roman"/>
          <w:sz w:val="24"/>
          <w:szCs w:val="24"/>
          <w:lang w:val="en-GB"/>
        </w:rPr>
        <w:t>compare</w:t>
      </w:r>
      <w:r w:rsidR="00385A09" w:rsidRPr="002C3E85">
        <w:rPr>
          <w:rFonts w:ascii="Times New Roman" w:hAnsi="Times New Roman" w:cs="Times New Roman"/>
          <w:sz w:val="24"/>
          <w:szCs w:val="24"/>
          <w:lang w:val="en-GB"/>
        </w:rPr>
        <w:t>d</w:t>
      </w:r>
      <w:r w:rsidR="009D3D77" w:rsidRPr="002C3E85">
        <w:rPr>
          <w:rFonts w:ascii="Times New Roman" w:hAnsi="Times New Roman" w:cs="Times New Roman"/>
          <w:sz w:val="24"/>
          <w:szCs w:val="24"/>
          <w:lang w:val="en-GB"/>
        </w:rPr>
        <w:t xml:space="preserve"> several markers of cortical</w:t>
      </w:r>
      <w:r w:rsidR="006D4B78" w:rsidRPr="002C3E85">
        <w:rPr>
          <w:rFonts w:ascii="Times New Roman" w:hAnsi="Times New Roman" w:cs="Times New Roman"/>
          <w:sz w:val="24"/>
          <w:szCs w:val="24"/>
          <w:lang w:val="en-GB"/>
        </w:rPr>
        <w:t xml:space="preserve"> surface</w:t>
      </w:r>
      <w:r w:rsidR="009D3D77" w:rsidRPr="002C3E85">
        <w:rPr>
          <w:rFonts w:ascii="Times New Roman" w:hAnsi="Times New Roman" w:cs="Times New Roman"/>
          <w:sz w:val="24"/>
          <w:szCs w:val="24"/>
          <w:lang w:val="en-GB"/>
        </w:rPr>
        <w:t xml:space="preserve"> morphology</w:t>
      </w:r>
      <w:r w:rsidR="00385A09" w:rsidRPr="002C3E85">
        <w:rPr>
          <w:rFonts w:ascii="Times New Roman" w:hAnsi="Times New Roman" w:cs="Times New Roman"/>
          <w:sz w:val="24"/>
          <w:szCs w:val="24"/>
          <w:lang w:val="en-GB"/>
        </w:rPr>
        <w:t xml:space="preserve"> </w:t>
      </w:r>
      <w:r w:rsidR="009D3D77" w:rsidRPr="002C3E85">
        <w:rPr>
          <w:rFonts w:ascii="Times New Roman" w:hAnsi="Times New Roman" w:cs="Times New Roman"/>
          <w:sz w:val="24"/>
          <w:szCs w:val="24"/>
          <w:lang w:val="en-GB"/>
        </w:rPr>
        <w:t xml:space="preserve">between </w:t>
      </w:r>
      <w:r w:rsidR="002A79B0" w:rsidRPr="002C3E85">
        <w:rPr>
          <w:rFonts w:ascii="Times New Roman" w:hAnsi="Times New Roman" w:cs="Times New Roman"/>
          <w:sz w:val="24"/>
          <w:szCs w:val="24"/>
          <w:lang w:val="en-GB"/>
        </w:rPr>
        <w:t>early</w:t>
      </w:r>
      <w:r w:rsidR="009D3D77" w:rsidRPr="002C3E85">
        <w:rPr>
          <w:rFonts w:ascii="Times New Roman" w:hAnsi="Times New Roman" w:cs="Times New Roman"/>
          <w:sz w:val="24"/>
          <w:szCs w:val="24"/>
          <w:lang w:val="en-GB"/>
        </w:rPr>
        <w:t xml:space="preserve"> and late sequential bilinguals</w:t>
      </w:r>
      <w:r w:rsidR="008C2658" w:rsidRPr="002C3E85">
        <w:rPr>
          <w:rFonts w:ascii="Times New Roman" w:hAnsi="Times New Roman" w:cs="Times New Roman"/>
          <w:sz w:val="24"/>
          <w:szCs w:val="24"/>
          <w:lang w:val="en-GB"/>
        </w:rPr>
        <w:t xml:space="preserve"> on both whole-brain level as well as within </w:t>
      </w:r>
      <w:r w:rsidR="001C0D49" w:rsidRPr="002C3E85">
        <w:rPr>
          <w:rFonts w:ascii="Times New Roman" w:hAnsi="Times New Roman" w:cs="Times New Roman"/>
          <w:sz w:val="24"/>
          <w:szCs w:val="24"/>
          <w:lang w:val="en-GB"/>
        </w:rPr>
        <w:t xml:space="preserve">a priori defined ROIs. Although the groups did not differ from each other at the whole-brain level, the ROI-based approach revealed </w:t>
      </w:r>
      <w:r w:rsidR="002941FD" w:rsidRPr="002C3E85">
        <w:rPr>
          <w:rFonts w:ascii="Times New Roman" w:hAnsi="Times New Roman" w:cs="Times New Roman"/>
          <w:sz w:val="24"/>
          <w:szCs w:val="24"/>
          <w:lang w:val="en-GB"/>
        </w:rPr>
        <w:t xml:space="preserve">significant </w:t>
      </w:r>
      <w:r w:rsidR="00DD0D44" w:rsidRPr="002C3E85">
        <w:rPr>
          <w:rFonts w:ascii="Times New Roman" w:hAnsi="Times New Roman" w:cs="Times New Roman"/>
          <w:sz w:val="24"/>
          <w:szCs w:val="24"/>
          <w:lang w:val="en-GB"/>
        </w:rPr>
        <w:t>between-group</w:t>
      </w:r>
      <w:r w:rsidR="002941FD" w:rsidRPr="002C3E85">
        <w:rPr>
          <w:rFonts w:ascii="Times New Roman" w:hAnsi="Times New Roman" w:cs="Times New Roman"/>
          <w:sz w:val="24"/>
          <w:szCs w:val="24"/>
          <w:lang w:val="en-GB"/>
        </w:rPr>
        <w:t xml:space="preserve"> GM morphology differences over three locations, namely, the left </w:t>
      </w:r>
      <w:r w:rsidR="000E57D9" w:rsidRPr="002C3E85">
        <w:rPr>
          <w:rFonts w:ascii="Times New Roman" w:hAnsi="Times New Roman" w:cs="Times New Roman"/>
          <w:sz w:val="24"/>
          <w:szCs w:val="24"/>
          <w:lang w:val="en-GB"/>
        </w:rPr>
        <w:t>IFG</w:t>
      </w:r>
      <w:r w:rsidR="002941FD" w:rsidRPr="002C3E85">
        <w:rPr>
          <w:rFonts w:ascii="Times New Roman" w:hAnsi="Times New Roman" w:cs="Times New Roman"/>
          <w:sz w:val="24"/>
          <w:szCs w:val="24"/>
          <w:lang w:val="en-GB"/>
        </w:rPr>
        <w:t xml:space="preserve"> and the STG bilaterally.</w:t>
      </w:r>
      <w:r w:rsidR="00932104" w:rsidRPr="002C3E85">
        <w:rPr>
          <w:rFonts w:ascii="Times New Roman" w:hAnsi="Times New Roman" w:cs="Times New Roman"/>
          <w:sz w:val="24"/>
          <w:szCs w:val="24"/>
          <w:lang w:val="en-GB"/>
        </w:rPr>
        <w:t xml:space="preserve"> </w:t>
      </w:r>
    </w:p>
    <w:p w14:paraId="4DE23186" w14:textId="77777777" w:rsidR="003911B3" w:rsidRPr="002C3E85" w:rsidRDefault="003911B3" w:rsidP="00B16091">
      <w:pPr>
        <w:spacing w:line="480" w:lineRule="auto"/>
        <w:jc w:val="both"/>
        <w:rPr>
          <w:rFonts w:ascii="Times New Roman" w:hAnsi="Times New Roman" w:cs="Times New Roman"/>
          <w:sz w:val="24"/>
          <w:szCs w:val="24"/>
          <w:lang w:val="en-GB"/>
        </w:rPr>
      </w:pPr>
    </w:p>
    <w:p w14:paraId="41B26164" w14:textId="12F09B99" w:rsidR="009D7D6E" w:rsidRPr="002C3E85" w:rsidRDefault="004A14F0" w:rsidP="007024C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Our main finding was that, relative to late L2 acquisition, early bilingual experience was associated with significantly extended cortical surface area over the left POp and the right STG. Over the left POp, the difference in surface area was also reflected as a difference in </w:t>
      </w:r>
      <w:r w:rsidRPr="002C3E85">
        <w:rPr>
          <w:rFonts w:ascii="Times New Roman" w:hAnsi="Times New Roman" w:cs="Times New Roman"/>
          <w:sz w:val="24"/>
          <w:szCs w:val="24"/>
          <w:lang w:val="en-GB"/>
        </w:rPr>
        <w:lastRenderedPageBreak/>
        <w:t>volume between the groups.</w:t>
      </w:r>
      <w:r w:rsidR="00E346E3" w:rsidRPr="002C3E85">
        <w:rPr>
          <w:rFonts w:ascii="Times New Roman" w:hAnsi="Times New Roman" w:cs="Times New Roman"/>
          <w:sz w:val="24"/>
          <w:szCs w:val="24"/>
          <w:lang w:val="en-GB"/>
        </w:rPr>
        <w:t xml:space="preserve"> </w:t>
      </w:r>
      <w:r w:rsidR="0007304F" w:rsidRPr="002C3E85">
        <w:rPr>
          <w:rFonts w:ascii="Times New Roman" w:hAnsi="Times New Roman" w:cs="Times New Roman"/>
          <w:sz w:val="24"/>
          <w:szCs w:val="24"/>
          <w:lang w:val="en-GB"/>
        </w:rPr>
        <w:t>T</w:t>
      </w:r>
      <w:r w:rsidR="00A95AAC" w:rsidRPr="002C3E85">
        <w:rPr>
          <w:rFonts w:ascii="Times New Roman" w:hAnsi="Times New Roman" w:cs="Times New Roman"/>
          <w:sz w:val="24"/>
          <w:szCs w:val="24"/>
          <w:lang w:val="en-GB"/>
        </w:rPr>
        <w:t xml:space="preserve">hese findings </w:t>
      </w:r>
      <w:r w:rsidR="00932104" w:rsidRPr="002C3E85">
        <w:rPr>
          <w:rFonts w:ascii="Times New Roman" w:hAnsi="Times New Roman" w:cs="Times New Roman"/>
          <w:sz w:val="24"/>
          <w:szCs w:val="24"/>
          <w:lang w:val="en-GB"/>
        </w:rPr>
        <w:t xml:space="preserve">suggest a </w:t>
      </w:r>
      <w:r w:rsidR="00B53106" w:rsidRPr="002C3E85">
        <w:rPr>
          <w:rFonts w:ascii="Times New Roman" w:hAnsi="Times New Roman" w:cs="Times New Roman"/>
          <w:sz w:val="24"/>
          <w:szCs w:val="24"/>
          <w:lang w:val="en-GB"/>
        </w:rPr>
        <w:t>relationship</w:t>
      </w:r>
      <w:r w:rsidR="00932104" w:rsidRPr="002C3E85">
        <w:rPr>
          <w:rFonts w:ascii="Times New Roman" w:hAnsi="Times New Roman" w:cs="Times New Roman"/>
          <w:sz w:val="24"/>
          <w:szCs w:val="24"/>
          <w:lang w:val="en-GB"/>
        </w:rPr>
        <w:t xml:space="preserve"> between GM morphology and L2 AoA</w:t>
      </w:r>
      <w:r w:rsidR="00B53106" w:rsidRPr="002C3E85">
        <w:rPr>
          <w:rFonts w:ascii="Times New Roman" w:hAnsi="Times New Roman" w:cs="Times New Roman"/>
          <w:sz w:val="24"/>
          <w:szCs w:val="24"/>
          <w:lang w:val="en-GB"/>
        </w:rPr>
        <w:t xml:space="preserve"> and support the idea that</w:t>
      </w:r>
      <w:r w:rsidR="00932104" w:rsidRPr="002C3E85">
        <w:rPr>
          <w:rFonts w:ascii="Times New Roman" w:hAnsi="Times New Roman" w:cs="Times New Roman"/>
          <w:sz w:val="24"/>
          <w:szCs w:val="24"/>
          <w:lang w:val="en-GB"/>
        </w:rPr>
        <w:t xml:space="preserve"> </w:t>
      </w:r>
      <w:r w:rsidR="00A8630D" w:rsidRPr="002C3E85">
        <w:rPr>
          <w:rFonts w:ascii="Times New Roman" w:hAnsi="Times New Roman" w:cs="Times New Roman"/>
          <w:sz w:val="24"/>
          <w:szCs w:val="24"/>
          <w:lang w:val="en-GB"/>
        </w:rPr>
        <w:t xml:space="preserve">acquiring an L2 early in </w:t>
      </w:r>
      <w:r w:rsidR="000372C4" w:rsidRPr="002C3E85">
        <w:rPr>
          <w:rFonts w:ascii="Times New Roman" w:hAnsi="Times New Roman" w:cs="Times New Roman"/>
          <w:sz w:val="24"/>
          <w:szCs w:val="24"/>
          <w:lang w:val="en-GB"/>
        </w:rPr>
        <w:t>childhood</w:t>
      </w:r>
      <w:r w:rsidR="00FE47DF" w:rsidRPr="002C3E85">
        <w:rPr>
          <w:rFonts w:ascii="Times New Roman" w:hAnsi="Times New Roman" w:cs="Times New Roman"/>
          <w:sz w:val="24"/>
          <w:szCs w:val="24"/>
          <w:lang w:val="en-GB"/>
        </w:rPr>
        <w:t>,</w:t>
      </w:r>
      <w:r w:rsidR="00A8630D" w:rsidRPr="002C3E85">
        <w:rPr>
          <w:rFonts w:ascii="Times New Roman" w:hAnsi="Times New Roman" w:cs="Times New Roman"/>
          <w:sz w:val="24"/>
          <w:szCs w:val="24"/>
          <w:lang w:val="en-GB"/>
        </w:rPr>
        <w:t xml:space="preserve"> </w:t>
      </w:r>
      <w:r w:rsidR="00202F27" w:rsidRPr="002C3E85">
        <w:rPr>
          <w:rFonts w:ascii="Times New Roman" w:hAnsi="Times New Roman" w:cs="Times New Roman"/>
          <w:sz w:val="24"/>
          <w:szCs w:val="24"/>
          <w:lang w:val="en-GB"/>
        </w:rPr>
        <w:t>when</w:t>
      </w:r>
      <w:r w:rsidR="00A8630D" w:rsidRPr="002C3E85">
        <w:rPr>
          <w:rFonts w:ascii="Times New Roman" w:hAnsi="Times New Roman" w:cs="Times New Roman"/>
          <w:sz w:val="24"/>
          <w:szCs w:val="24"/>
          <w:lang w:val="en-GB"/>
        </w:rPr>
        <w:t xml:space="preserve"> surface area development is still </w:t>
      </w:r>
      <w:r w:rsidR="00FE47DF" w:rsidRPr="002C3E85">
        <w:rPr>
          <w:rFonts w:ascii="Times New Roman" w:hAnsi="Times New Roman" w:cs="Times New Roman"/>
          <w:sz w:val="24"/>
          <w:szCs w:val="24"/>
          <w:lang w:val="en-GB"/>
        </w:rPr>
        <w:t>ongoing</w:t>
      </w:r>
      <w:r w:rsidR="000372C4" w:rsidRPr="002C3E85">
        <w:rPr>
          <w:rFonts w:ascii="Times New Roman" w:hAnsi="Times New Roman" w:cs="Times New Roman"/>
          <w:sz w:val="24"/>
          <w:szCs w:val="24"/>
          <w:lang w:val="en-GB"/>
        </w:rPr>
        <w:t xml:space="preserve"> </w:t>
      </w:r>
      <w:r w:rsidR="000372C4" w:rsidRPr="002C3E85">
        <w:rPr>
          <w:rFonts w:ascii="Times New Roman" w:hAnsi="Times New Roman" w:cs="Times New Roman"/>
          <w:sz w:val="24"/>
          <w:szCs w:val="24"/>
          <w:lang w:val="en-GB"/>
        </w:rPr>
        <w:fldChar w:fldCharType="begin" w:fldLock="1"/>
      </w:r>
      <w:r w:rsidR="000372C4" w:rsidRPr="002C3E85">
        <w:rPr>
          <w:rFonts w:ascii="Times New Roman" w:hAnsi="Times New Roman" w:cs="Times New Roman"/>
          <w:sz w:val="24"/>
          <w:szCs w:val="24"/>
          <w:lang w:val="en-GB"/>
        </w:rPr>
        <w:instrText>ADDIN CSL_CITATION { "citationItems" : [ { "id" : "ITEM-1", "itemData" : { "DOI" : "10.1016/j.neuroimage.2017.04.010", "ISSN" : "10959572", "PMID" : "28392489", "abstract" : "Cortical maturation, including age-related changes in thickness, volume, surface area, and folding (gyrification), play a central role in developing brain function and plasticity. Further, abnormal cortical maturation is a suspected substrate in various behavioral, intellectual, and psychiatric disorders. However, in order to characterize the altered development associated with these disorders, appreciation of the normative patterns of cortical development in neurotypical children between 1 and 6 years of age, a period of peak brain development during which many behavioral and developmental disorders emerge, is necessary. To this end, we examined measures of cortical thickness, surface area, mean curvature, and gray matter volume across 34 bilateral regions in a cohort of 140 healthy children devoid of major risk factors for abnormal development. From these data, we observed linear, logarithmic, and quadratic patterns of change with age depending on brain region. Cortical thinning, ranging from 10% to 20%, was observed throughout most of the brain, with the exception of posterior brain structures, which showed initial cortical thinning from 1 to 5 years, followed by thickening. Cortical surface area expansion ranged from 20% to 108%, and cortical curvature varied by 1\u201320% across the investigated age range. Right-left hemisphere asymmetry was observed across development for each of the 4 cortical measures. Our results present new insight into the normative patterns of cortical development across an important but under studied developmental window, and provide a valuable reference to which trajectories observed in neurodevelopmental disorders may be compared.", "author" : [ { "dropping-particle" : "", "family" : "Remer", "given" : "Justin", "non-dropping-particle" : "", "parse-names" : false, "suffix" : "" }, { "dropping-particle" : "", "family" : "Croteau-Chonka", "given" : "Elise", "non-dropping-particle" : "", "parse-names" : false, "suffix" : "" }, { "dropping-particle" : "", "family" : "Dean", "given" : "Douglas C.", "non-dropping-particle" : "", "parse-names" : false, "suffix" : "" }, { "dropping-particle" : "", "family" : "D'Arpino", "given" : "Sara", "non-dropping-particle" : "", "parse-names" : false, "suffix" : "" }, { "dropping-particle" : "", "family" : "Dirks", "given" : "Holly", "non-dropping-particle" : "", "parse-names" : false, "suffix" : "" }, { "dropping-particle" : "", "family" : "Whiley", "given" : "Dannielle", "non-dropping-particle" : "", "parse-names" : false, "suffix" : "" }, { "dropping-particle" : "", "family" : "Deoni", "given" : "Sean C.L.", "non-dropping-particle" : "", "parse-names" : false, "suffix" : "" } ], "container-title" : "NeuroImage", "id" : "ITEM-1", "issued" : { "date-parts" : [ [ "2017", "6" ] ] }, "page" : "246-261", "title" : "Quantifying cortical development in typically developing toddlers and young children, 1\u20136 years of age", "type" : "article-journal", "volume" : "153" }, "uris" : [ "http://www.mendeley.com/documents/?uuid=3ef0185e-b84e-33dd-854e-cf9d3bbcacc0" ] }, { "id" : "ITEM-2", "itemData" : { "DOI" : "10.1523/JNEUROSCI.3302-16.2017", "ISSN" : "0270-6474", "PMID" : "28242797", "abstract" : "Before we can assess and interpret how developmental changes in human brain structure relate to cognition, affect, and motivation, and how these processes are perturbed in clinical or at-risk populations, we must first precisely understand typical brain development and how changes in different structural components relate to each other. We conducted a multisample magnetic resonance imaging study to investigate the development of cortical volume, surface area, and thickness, as well as their inter-relationships, from late childhood to early adulthood (7-29 years) using four separate longitudinal samples including 388 participants and 854 total scans. These independent datasets were processed and quality-controlled using the same methods, but analyzed separately to study the replicability of the results across sample and image-acquisition characteristics. The results consistently showed widespread and regionally variable nonlinear decreases in cortical volume and thickness and comparably smaller steady decreases in surface area. Further, the dominant contributor to cortical volume reductions during adolescence was thinning. Finally, complex regional and topological patterns of associations between changes in surface area and thickness were observed. Positive relationships were seen in sulcal regions in prefrontal and temporal cortices, while negative relationships were seen mainly in gyral regions in more posterior cortices. Collectively, these results help resolve previous inconsistencies regarding the structural development of the cerebral cortex from childhood to adulthood, and provide novel insight into how changes in the different dimensions of the cortex in this period of life are inter-related.SIGNIFICANCE STATEMENTDifferent measures of brain anatomy develop differently across adolescence. Their precise trajectories and how they relate to each other throughout development are important to know if we are to fully understand both typical development and disorders involving aberrant brain development. However, our understanding of such trajectories and relationships is still incomplete. To provide accurate characterizations of how different measures of cortical structure develop, we performed an MRI investigation across four independent datasets. The most profound anatomical change in the cortex during adolescence was thinning, with the largest decreases observed in the parietal lobe. There were complex regional patterns of associations between change\u2026", "author" : [ { "dropping-particle" : "", "family" : "Tamnes", "given" : "Christian K.", "non-dropping-particle" : "", "parse-names" : false, "suffix" : "" }, { "dropping-particle" : "", "family" : "Herting", "given" : "Megan M.", "non-dropping-particle" : "", "parse-names" : false, "suffix" : "" }, { "dropping-particle" : "", "family" : "Goddings", "given" : "Anne-Lise", "non-dropping-particle" : "", "parse-names" : false, "suffix" : "" }, { "dropping-particle" : "", "family" : "Meuwese", "given" : "Rosa", "non-dropping-particle" : "", "parse-names" : false, "suffix" : "" }, { "dropping-particle" : "", "family" : "Blakemore", "given" : "Sarah-Jayne", "non-dropping-particle" : "", "parse-names" : false, "suffix" : "" }, { "dropping-particle" : "", "family" : "Dahl", "given" : "Ronald E.", "non-dropping-particle" : "", "parse-names" : false, "suffix" : "" }, { "dropping-particle" : "", "family" : "G\u00fcro\u011flu", "given" : "Berna", "non-dropping-particle" : "", "parse-names" : false, "suffix" : "" }, { "dropping-particle" : "", "family" : "Raznahan", "given" : "Armin", "non-dropping-particle" : "", "parse-names" : false, "suffix" : "" }, { "dropping-particle" : "", "family" : "Sowell", "given" : "Elizabeth R.", "non-dropping-particle" : "", "parse-names" : false, "suffix" : "" }, { "dropping-particle" : "", "family" : "Crone", "given" : "Eveline A.", "non-dropping-particle" : "", "parse-names" : false, "suffix" : "" }, { "dropping-particle" : "", "family" : "Mills", "given" : "Kathryn L.", "non-dropping-particle" : "", "parse-names" : false, "suffix" : "" } ], "container-title" : "The Journal of Neuroscience", "id" : "ITEM-2", "issue" : "12", "issued" : { "date-parts" : [ [ "2017", "3", "22" ] ] }, "page" : "3402-3412", "title" : "Development of the Cerebral Cortex across Adolescence: A Multisample Study of Inter-Related Longitudinal Changes in Cortical Volume, Surface Area, and Thickness", "type" : "article-journal", "volume" : "37" }, "uris" : [ "http://www.mendeley.com/documents/?uuid=8221229d-8f38-3559-92e2-232a95e10540" ] } ], "mendeley" : { "formattedCitation" : "(Remer et al., 2017; Tamnes et al., 2017)", "plainTextFormattedCitation" : "(Remer et al., 2017; Tamnes et al., 2017)", "previouslyFormattedCitation" : "(Remer et al., 2017; Tamnes et al., 2017)" }, "properties" : {  }, "schema" : "https://github.com/citation-style-language/schema/raw/master/csl-citation.json" }</w:instrText>
      </w:r>
      <w:r w:rsidR="000372C4" w:rsidRPr="002C3E85">
        <w:rPr>
          <w:rFonts w:ascii="Times New Roman" w:hAnsi="Times New Roman" w:cs="Times New Roman"/>
          <w:sz w:val="24"/>
          <w:szCs w:val="24"/>
          <w:lang w:val="en-GB"/>
        </w:rPr>
        <w:fldChar w:fldCharType="separate"/>
      </w:r>
      <w:r w:rsidR="000372C4" w:rsidRPr="002C3E85">
        <w:rPr>
          <w:rFonts w:ascii="Times New Roman" w:hAnsi="Times New Roman" w:cs="Times New Roman"/>
          <w:noProof/>
          <w:sz w:val="24"/>
          <w:szCs w:val="24"/>
          <w:lang w:val="en-GB"/>
        </w:rPr>
        <w:t>(Remer et al., 2017; Tamnes et al., 2017)</w:t>
      </w:r>
      <w:r w:rsidR="000372C4" w:rsidRPr="002C3E85">
        <w:rPr>
          <w:rFonts w:ascii="Times New Roman" w:hAnsi="Times New Roman" w:cs="Times New Roman"/>
          <w:sz w:val="24"/>
          <w:szCs w:val="24"/>
          <w:lang w:val="en-GB"/>
        </w:rPr>
        <w:fldChar w:fldCharType="end"/>
      </w:r>
      <w:r w:rsidR="00FE47DF" w:rsidRPr="002C3E85">
        <w:rPr>
          <w:rFonts w:ascii="Times New Roman" w:hAnsi="Times New Roman" w:cs="Times New Roman"/>
          <w:sz w:val="24"/>
          <w:szCs w:val="24"/>
          <w:lang w:val="en-GB"/>
        </w:rPr>
        <w:t>,</w:t>
      </w:r>
      <w:r w:rsidR="00202F27" w:rsidRPr="002C3E85">
        <w:rPr>
          <w:rFonts w:ascii="Times New Roman" w:hAnsi="Times New Roman" w:cs="Times New Roman"/>
          <w:sz w:val="24"/>
          <w:szCs w:val="24"/>
          <w:lang w:val="en-GB"/>
        </w:rPr>
        <w:t xml:space="preserve"> </w:t>
      </w:r>
      <w:r w:rsidR="00B53106" w:rsidRPr="002C3E85">
        <w:rPr>
          <w:rFonts w:ascii="Times New Roman" w:hAnsi="Times New Roman" w:cs="Times New Roman"/>
          <w:sz w:val="24"/>
          <w:szCs w:val="24"/>
          <w:lang w:val="en-GB"/>
        </w:rPr>
        <w:t>might</w:t>
      </w:r>
      <w:r w:rsidR="00932104" w:rsidRPr="002C3E85">
        <w:rPr>
          <w:rFonts w:ascii="Times New Roman" w:hAnsi="Times New Roman" w:cs="Times New Roman"/>
          <w:sz w:val="24"/>
          <w:szCs w:val="24"/>
          <w:lang w:val="en-GB"/>
        </w:rPr>
        <w:t xml:space="preserve"> lead</w:t>
      </w:r>
      <w:r w:rsidR="00202F27" w:rsidRPr="002C3E85">
        <w:rPr>
          <w:rFonts w:ascii="Times New Roman" w:hAnsi="Times New Roman" w:cs="Times New Roman"/>
          <w:sz w:val="24"/>
          <w:szCs w:val="24"/>
          <w:lang w:val="en-GB"/>
        </w:rPr>
        <w:t xml:space="preserve"> to</w:t>
      </w:r>
      <w:r w:rsidR="002006FD" w:rsidRPr="002C3E85">
        <w:rPr>
          <w:rFonts w:ascii="Times New Roman" w:hAnsi="Times New Roman" w:cs="Times New Roman"/>
          <w:sz w:val="24"/>
          <w:szCs w:val="24"/>
          <w:lang w:val="en-GB"/>
        </w:rPr>
        <w:t xml:space="preserve"> extended</w:t>
      </w:r>
      <w:r w:rsidR="00202F27" w:rsidRPr="002C3E85">
        <w:rPr>
          <w:rFonts w:ascii="Times New Roman" w:hAnsi="Times New Roman" w:cs="Times New Roman"/>
          <w:sz w:val="24"/>
          <w:szCs w:val="24"/>
          <w:lang w:val="en-GB"/>
        </w:rPr>
        <w:t xml:space="preserve"> surface area in locations demanded by the task</w:t>
      </w:r>
      <w:r w:rsidR="007F63D1" w:rsidRPr="002C3E85">
        <w:rPr>
          <w:rFonts w:ascii="Times New Roman" w:hAnsi="Times New Roman" w:cs="Times New Roman"/>
          <w:sz w:val="24"/>
          <w:szCs w:val="24"/>
          <w:lang w:val="en-GB"/>
        </w:rPr>
        <w:t xml:space="preserve"> </w:t>
      </w:r>
      <w:r w:rsidR="007F63D1" w:rsidRPr="002C3E85">
        <w:rPr>
          <w:rFonts w:ascii="Times New Roman" w:hAnsi="Times New Roman" w:cs="Times New Roman"/>
          <w:sz w:val="24"/>
          <w:szCs w:val="24"/>
          <w:lang w:val="en-GB"/>
        </w:rPr>
        <w:fldChar w:fldCharType="begin" w:fldLock="1"/>
      </w:r>
      <w:r w:rsidR="007F63D1" w:rsidRPr="002C3E85">
        <w:rPr>
          <w:rFonts w:ascii="Times New Roman" w:hAnsi="Times New Roman" w:cs="Times New Roman"/>
          <w:sz w:val="24"/>
          <w:szCs w:val="24"/>
          <w:lang w:val="en-GB"/>
        </w:rPr>
        <w:instrText>ADDIN CSL_CITATION { "citationItems" : [ { "id" : "ITEM-1", "itemData" : { "DOI" : "10.1038/nn.3045", "ISSN" : "1097-6256", "abstract" : "This review discusses human neuroimaging as well as cellular studies to describe how learning sculpts the brain.", "author" : [ { "dropping-particle" : "", "family" : "Zatorre", "given" : "Robert J", "non-dropping-particle" : "", "parse-names" : false, "suffix" : "" }, { "dropping-particle" : "", "family" : "Fields", "given" : "R Douglas", "non-dropping-particle" : "", "parse-names" : false, "suffix" : "" }, { "dropping-particle" : "", "family" : "Johansen-Berg", "given" : "Heidi", "non-dropping-particle" : "", "parse-names" : false, "suffix" : "" } ], "container-title" : "Nature Neuroscience", "id" : "ITEM-1", "issue" : "4", "issued" : { "date-parts" : [ [ "2012", "3", "18" ] ] }, "page" : "528-536", "publisher" : "Nature Publishing Group", "title" : "Plasticity in gray and white: neuroimaging changes in brain structure during learning", "type" : "article-journal", "volume" : "15" }, "uris" : [ "http://www.mendeley.com/documents/?uuid=d2ec77dc-3e61-3a2e-af9a-f398953f2a62" ] } ], "mendeley" : { "formattedCitation" : "(Zatorre et al., 2012)", "plainTextFormattedCitation" : "(Zatorre et al., 2012)", "previouslyFormattedCitation" : "(Zatorre et al., 2012)" }, "properties" : {  }, "schema" : "https://github.com/citation-style-language/schema/raw/master/csl-citation.json" }</w:instrText>
      </w:r>
      <w:r w:rsidR="007F63D1" w:rsidRPr="002C3E85">
        <w:rPr>
          <w:rFonts w:ascii="Times New Roman" w:hAnsi="Times New Roman" w:cs="Times New Roman"/>
          <w:sz w:val="24"/>
          <w:szCs w:val="24"/>
          <w:lang w:val="en-GB"/>
        </w:rPr>
        <w:fldChar w:fldCharType="separate"/>
      </w:r>
      <w:r w:rsidR="007F63D1" w:rsidRPr="002C3E85">
        <w:rPr>
          <w:rFonts w:ascii="Times New Roman" w:hAnsi="Times New Roman" w:cs="Times New Roman"/>
          <w:noProof/>
          <w:sz w:val="24"/>
          <w:szCs w:val="24"/>
          <w:lang w:val="en-GB"/>
        </w:rPr>
        <w:t>(Zatorre et al., 2012)</w:t>
      </w:r>
      <w:r w:rsidR="007F63D1" w:rsidRPr="002C3E85">
        <w:rPr>
          <w:rFonts w:ascii="Times New Roman" w:hAnsi="Times New Roman" w:cs="Times New Roman"/>
          <w:sz w:val="24"/>
          <w:szCs w:val="24"/>
          <w:lang w:val="en-GB"/>
        </w:rPr>
        <w:fldChar w:fldCharType="end"/>
      </w:r>
      <w:r w:rsidR="00202F27" w:rsidRPr="002C3E85">
        <w:rPr>
          <w:rFonts w:ascii="Times New Roman" w:hAnsi="Times New Roman" w:cs="Times New Roman"/>
          <w:sz w:val="24"/>
          <w:szCs w:val="24"/>
          <w:lang w:val="en-GB"/>
        </w:rPr>
        <w:t xml:space="preserve">. </w:t>
      </w:r>
      <w:r w:rsidR="00D14FAD" w:rsidRPr="002C3E85">
        <w:rPr>
          <w:rFonts w:ascii="Times New Roman" w:hAnsi="Times New Roman" w:cs="Times New Roman"/>
          <w:sz w:val="24"/>
          <w:szCs w:val="24"/>
          <w:lang w:val="en-GB"/>
        </w:rPr>
        <w:t xml:space="preserve">Because the left IFG and the left POp in particular </w:t>
      </w:r>
      <w:r w:rsidR="00C04EA0" w:rsidRPr="002C3E85">
        <w:rPr>
          <w:rFonts w:ascii="Times New Roman" w:hAnsi="Times New Roman" w:cs="Times New Roman"/>
          <w:sz w:val="24"/>
          <w:szCs w:val="24"/>
          <w:lang w:val="en-GB"/>
        </w:rPr>
        <w:t xml:space="preserve">have </w:t>
      </w:r>
      <w:r w:rsidR="00D14FAD" w:rsidRPr="002C3E85">
        <w:rPr>
          <w:rFonts w:ascii="Times New Roman" w:hAnsi="Times New Roman" w:cs="Times New Roman"/>
          <w:sz w:val="24"/>
          <w:szCs w:val="24"/>
          <w:lang w:val="en-GB"/>
        </w:rPr>
        <w:t xml:space="preserve">been </w:t>
      </w:r>
      <w:r w:rsidR="00455809" w:rsidRPr="002C3E85">
        <w:rPr>
          <w:rFonts w:ascii="Times New Roman" w:hAnsi="Times New Roman" w:cs="Times New Roman"/>
          <w:sz w:val="24"/>
          <w:szCs w:val="24"/>
          <w:lang w:val="en-GB"/>
        </w:rPr>
        <w:t xml:space="preserve">shown to be involved </w:t>
      </w:r>
      <w:r w:rsidR="00AF2B12" w:rsidRPr="002C3E85">
        <w:rPr>
          <w:rFonts w:ascii="Times New Roman" w:hAnsi="Times New Roman" w:cs="Times New Roman"/>
          <w:sz w:val="24"/>
          <w:szCs w:val="24"/>
          <w:lang w:val="en-GB"/>
        </w:rPr>
        <w:t xml:space="preserve">and </w:t>
      </w:r>
      <w:r w:rsidR="00455809" w:rsidRPr="002C3E85">
        <w:rPr>
          <w:rFonts w:ascii="Times New Roman" w:hAnsi="Times New Roman" w:cs="Times New Roman"/>
          <w:sz w:val="24"/>
          <w:szCs w:val="24"/>
          <w:lang w:val="en-GB"/>
        </w:rPr>
        <w:t>even necessary for phonological language processing</w:t>
      </w:r>
      <w:r w:rsidR="002351A2" w:rsidRPr="002C3E85">
        <w:rPr>
          <w:rFonts w:ascii="Times New Roman" w:hAnsi="Times New Roman" w:cs="Times New Roman"/>
          <w:sz w:val="24"/>
          <w:szCs w:val="24"/>
          <w:lang w:val="en-GB"/>
        </w:rPr>
        <w:t xml:space="preserve"> </w:t>
      </w:r>
      <w:r w:rsidR="002351A2" w:rsidRPr="002C3E85">
        <w:rPr>
          <w:rFonts w:ascii="Times New Roman" w:hAnsi="Times New Roman" w:cs="Times New Roman"/>
          <w:sz w:val="24"/>
          <w:szCs w:val="24"/>
          <w:lang w:val="en-GB"/>
        </w:rPr>
        <w:fldChar w:fldCharType="begin" w:fldLock="1"/>
      </w:r>
      <w:r w:rsidR="00B41D73" w:rsidRPr="002C3E85">
        <w:rPr>
          <w:rFonts w:ascii="Times New Roman" w:hAnsi="Times New Roman" w:cs="Times New Roman"/>
          <w:sz w:val="24"/>
          <w:szCs w:val="24"/>
          <w:lang w:val="en-GB"/>
        </w:rPr>
        <w:instrText>ADDIN CSL_CITATION { "citationItems" : [ { "id" : "ITEM-1", "itemData" : { "author" : [ { "dropping-particle" : "", "family" : "Sahin", "given" : "Ned T.", "non-dropping-particle" : "", "parse-names" : false, "suffix" : "" }, { "dropping-particle" : "", "family" : "Pinker", "given" : "Steven", "non-dropping-particle" : "", "parse-names" : false, "suffix" : "" }, { "dropping-particle" : "", "family" : "Cash", "given" : "Sydney S.", "non-dropping-particle" : "", "parse-names" : false, "suffix" : "" }, { "dropping-particle" : "", "family" : "Schomer", "given" : "Donald", "non-dropping-particle" : "", "parse-names" : false, "suffix" : "" }, { "dropping-particle" : "", "family" : "Halgren", "given" : "Eric", "non-dropping-particle" : "", "parse-names" : false, "suffix" : "" } ], "container-title" : "Science", "id" : "ITEM-1", "issue" : "5951", "issued" : { "date-parts" : [ [ "2009" ] ] }, "title" : "Sequential Processing of Lexical, Grammatical, and Phonological Information Within Broca\u2019s Area", "type" : "article-journal", "volume" : "326" }, "uris" : [ "http://www.mendeley.com/documents/?uuid=7f5361fc-b2fa-3190-b6ea-cceea4cb6c43" ] }, { "id" : "ITEM-2", "itemData" : { "DOI" : "10.1111/j.1749-6632.2010.05444.x", "ISSN" : "00778923", "author" : [ { "dropping-particle" : "", "family" : "Price", "given" : "Cathy J.", "non-dropping-particle" : "", "parse-names" : false, "suffix" : "" } ], "container-title" : "Annals of the New York Academy of Sciences", "id" : "ITEM-2", "issue" : "1", "issued" : { "date-parts" : [ [ "2010", "3" ] ] }, "page" : "62-88", "publisher" : "Blackwell Publishing Inc", "title" : "The anatomy of language: a review of 100 fMRI studies published in 2009", "type" : "article-journal", "volume" : "1191" }, "uris" : [ "http://www.mendeley.com/documents/?uuid=d9ad6c20-4542-3373-ad41-d0bdaa397bde" ] }, { "id" : "ITEM-3", "itemData" : { "DOI" : "10.1523/JNEUROSCI.3891-10.2011", "ISSN" : "0270-6474", "PMID" : "21411662", "abstract" : "Are experts born with particular predispositions, or are they made through experience? We examined brain structure in expert phoneticians, individuals who are highly trained to analyze and transcribe speech. We found a positive correlation between the size of left pars opercularis and years of phonetic transcription training experience, illustrating how learning may affect brain structure. Phoneticians were also more likely to have multiple or split left transverse gyri in the auditory cortex than nonexpert controls, and the amount of phonetic transcription training did not predict auditory cortex morphology. The transverse gyri are thought to be established in utero; our results thus suggest that this gross morphological difference may have existed before the onset of phonetic training, and that its presence confers an advantage of sufficient magnitude to affect career choices. These results suggest complementary influences of domain-specific predispositions and experience-dependent brain malleability, influences that likely interact in determining not only how experience shapes the human brain but also why some individuals become engaged by certain fields of expertise.", "author" : [ { "dropping-particle" : "", "family" : "Golestani", "given" : "N.", "non-dropping-particle" : "", "parse-names" : false, "suffix" : "" }, { "dropping-particle" : "", "family" : "Price", "given" : "C. J.", "non-dropping-particle" : "", "parse-names" : false, "suffix" : "" }, { "dropping-particle" : "", "family" : "Scott", "given" : "S. K.", "non-dropping-particle" : "", "parse-names" : false, "suffix" : "" } ], "container-title" : "Journal of Neuroscience", "id" : "ITEM-3", "issue" : "11", "issued" : { "date-parts" : [ [ "2011", "3", "16" ] ] }, "page" : "4213-4220", "title" : "Born with an Ear for Dialects? Structural Plasticity in the Expert Phonetician Brain", "type" : "article-journal", "volume" : "31" }, "uris" : [ "http://www.mendeley.com/documents/?uuid=13048d76-18e8-3525-8722-e6cbbc36e753" ] }, { "id" : "ITEM-4", "itemData" : { "DOI" : "10.1093/cercor/6.1.21", "ISBN" : "1047-3211", "ISSN" : "1047-3211", "PMID" : "8670635", "abstract" : "Positron emission tomography was used to investigate cerebral blood flow (CBF) changes associated with the processing of speech. In a first experiment, normal right-handed volunteers were scanned under two conditions that required phonetic processing (discrimination of final consonants and phoneme monitoring), and one baseline condition of passive listening. Analysis was carried out by paired-image subtraction, with MRI overlay for anatomical localization. Comparison of each phonetic condition with the baseline condition revealed increased CBF in the left frontal lobe, close to the border between Broca's area and the motor cortex, and in a left parietal region. A second experiment showed that this area was not activated by a semantic judgement task. Reanalysis of data from an earlier study, in which various baseline conditions were used, confirmed that this region of left frontal cortex is consistently involved in phonetic tasks. The findings support a model whereby articulatory processes involving a portion of Broca's area are important when phonetic segments must be extracted and manipulated, whereas left posterior temporal cortex is involved in perceptual analysis of speech.", "author" : [ { "dropping-particle" : "", "family" : "Zatorre", "given" : "R J", "non-dropping-particle" : "", "parse-names" : false, "suffix" : "" }, { "dropping-particle" : "", "family" : "Meyer", "given" : "E", "non-dropping-particle" : "", "parse-names" : false, "suffix" : "" }, { "dropping-particle" : "", "family" : "Gjedde", "given" : "A", "non-dropping-particle" : "", "parse-names" : false, "suffix" : "" }, { "dropping-particle" : "", "family" : "Evans", "given" : "A C", "non-dropping-particle" : "", "parse-names" : false, "suffix" : "" } ], "container-title" : "Cereb Cortex", "id" : "ITEM-4", "issue" : "1", "issued" : { "date-parts" : [ [ "1996" ] ] }, "page" : "21-30", "title" : "PET studies of phonetic processing of speech: review, replication, and reanalysis", "type" : "article-journal", "volume" : "6" }, "uris" : [ "http://www.mendeley.com/documents/?uuid=e3e0c15c-e51a-3dad-a36f-52fcca29d3f7" ] }, { "id" : "ITEM-5", "itemData" : { "DOI" : "10.1523/JNEUROSCI.2307-05.2005", "ISSN" : "0270-6474", "PMID" : "16135758", "abstract" : "Is the left inferior frontal cortex (LIFC) a single functional region, or can it be subdivided into distinct areas that contribute differently to word processing? Here we used transcranial magnetic stimulation (TMS) to investigate anterior and posterior LIFC when the meaning and sound of words were being processed. Relative to no stimulation, TMS of the anterior LIFC selectively increased response latencies when participants focused on the meaning of simultaneously presented words (i.e., synonym judgments) but not when they focused on the sound pattern of the words (i.e., homophone judgments). In contrast, the opposite dissociation was observed in the posterior LIFC, where stimulation selectively interfered with the phonological but not the semantic task. This double dissociation shows functionally distinct subdivisions of the LIFC that can be understood in terms of separable corticocortical connections linking the anterior LIFC to temporal pole regions associated with semantic memory and the posterior LIFC to temporoparietal regions involved in auditory speech processing.", "author" : [ { "dropping-particle" : "", "family" : "Gough", "given" : "P. M.", "non-dropping-particle" : "", "parse-names" : false, "suffix" : "" }, { "dropping-particle" : "", "family" : "Nobre", "given" : "Anna C", "non-dropping-particle" : "", "parse-names" : false, "suffix" : "" }, { "dropping-particle" : "", "family" : "Devlin", "given" : "Joseph T", "non-dropping-particle" : "", "parse-names" : false, "suffix" : "" } ], "container-title" : "Journal of Neuroscience", "id" : "ITEM-5", "issue" : "35", "issued" : { "date-parts" : [ [ "2005", "8", "31" ] ] }, "page" : "8010-8016", "title" : "Dissociating Linguistic Processes in the Left Inferior Frontal Cortex with Transcranial Magnetic Stimulation", "type" : "article-journal", "volume" : "25" }, "uris" : [ "http://www.mendeley.com/documents/?uuid=bd478789-36cb-313d-8df9-4ac39947a577" ] }, { "id" : "ITEM-6", "itemData" : { "DOI" : "10.1162/089892904322984571", "ISSN" : "0898-929X", "PMID" : "15068598", "abstract" : "Repetitive transcranial magnetic stimulation (rTMS) offers a powerful new technique for investigating the distinct contributions of the cortical language areas. We have used this method to examine the role of the left inferior frontal gyrus (IFG) in phonological processing and verbal working memory. Functional neuroimaging studies have implicated the posterior part of the left IFG in both phonological decision making and subvocal rehearsal mechanisms, but imaging is a correlational method and it is therefore necessary to determine whether this region is essential for such processes. In this paper we present the results of two experiments in which rTMS was applied over the frontal operculum while subjects performed a delayed phonological matching task. We compared the effects of disrupting this area either during the delay (memory) phase or at the response (decision) phase of the task. Delivered at a time when subjects were required to remember the sound of a visually presented word, rTMS impaired the accuracy with which they subsequently performed the task. However, when delivered later in the trial, as the subjects compared the remembered word with a given pseudoword, rTMS did not impair accuracy. Performance by the same subjects on a control task that required the processing of nonverbal visual stimuli was unaffected by the rTMS. Similarly, performance on both tasks was unaffected by rTMS delivered over a more anterior site (pars triangularis). We conclude that the opercular region of the IFG is necessary for the normal operation of phonologically based working memory mechanisms. Furthermore, this study shows that rTMS can shed further light on the precise role of cortical language areas in humans.", "author" : [ { "dropping-particle" : "", "family" : "Nixon", "given" : "Philip", "non-dropping-particle" : "", "parse-names" : false, "suffix" : "" }, { "dropping-particle" : "", "family" : "Lazarova", "given" : "Jenia", "non-dropping-particle" : "", "parse-names" : false, "suffix" : "" }, { "dropping-particle" : "", "family" : "Hodinott-Hill", "given" : "Iona", "non-dropping-particle" : "", "parse-names" : false, "suffix" : "" }, { "dropping-particle" : "", "family" : "Gough", "given" : "Patricia", "non-dropping-particle" : "", "parse-names" : false, "suffix" : "" }, { "dropping-particle" : "", "family" : "Passingham", "given" : "Richard", "non-dropping-particle" : "", "parse-names" : false, "suffix" : "" } ], "container-title" : "Journal of Cognitive Neuroscience", "id" : "ITEM-6", "issue" : "2", "issued" : { "date-parts" : [ [ "2004", "3" ] ] }, "page" : "289-300", "title" : "The Inferior Frontal Gyrus and Phonological Processing: An Investigation using rTMS", "type" : "article-journal", "volume" : "16" }, "uris" : [ "http://www.mendeley.com/documents/?uuid=81ba7101-8f09-3062-a96f-4326613bb454" ] } ], "mendeley" : { "formattedCitation" : "(Golestani et al., 2011; Gough et al., 2005; Nixon et al., 2004; Price, 2010; Sahin et al., 2009; Zatorre et al., 1996)", "plainTextFormattedCitation" : "(Golestani et al., 2011; Gough et al., 2005; Nixon et al., 2004; Price, 2010; Sahin et al., 2009; Zatorre et al., 1996)", "previouslyFormattedCitation" : "(Golestani et al., 2011; Gough et al., 2005; Nixon et al., 2004; Price, 2010; Sahin et al., 2009; Zatorre et al., 1996)" }, "properties" : {  }, "schema" : "https://github.com/citation-style-language/schema/raw/master/csl-citation.json" }</w:instrText>
      </w:r>
      <w:r w:rsidR="002351A2" w:rsidRPr="002C3E85">
        <w:rPr>
          <w:rFonts w:ascii="Times New Roman" w:hAnsi="Times New Roman" w:cs="Times New Roman"/>
          <w:sz w:val="24"/>
          <w:szCs w:val="24"/>
          <w:lang w:val="en-GB"/>
        </w:rPr>
        <w:fldChar w:fldCharType="separate"/>
      </w:r>
      <w:r w:rsidR="0079164B" w:rsidRPr="002C3E85">
        <w:rPr>
          <w:rFonts w:ascii="Times New Roman" w:hAnsi="Times New Roman" w:cs="Times New Roman"/>
          <w:noProof/>
          <w:sz w:val="24"/>
          <w:szCs w:val="24"/>
          <w:lang w:val="en-GB"/>
        </w:rPr>
        <w:t>(Golestani et al., 2011; Gough et al., 2005; Nixon et al., 2004; Price, 2010; Sahin et al., 2009; Zatorre et al., 1996)</w:t>
      </w:r>
      <w:r w:rsidR="002351A2" w:rsidRPr="002C3E85">
        <w:rPr>
          <w:rFonts w:ascii="Times New Roman" w:hAnsi="Times New Roman" w:cs="Times New Roman"/>
          <w:sz w:val="24"/>
          <w:szCs w:val="24"/>
          <w:lang w:val="en-GB"/>
        </w:rPr>
        <w:fldChar w:fldCharType="end"/>
      </w:r>
      <w:r w:rsidR="00D14FAD" w:rsidRPr="002C3E85">
        <w:rPr>
          <w:rFonts w:ascii="Times New Roman" w:hAnsi="Times New Roman" w:cs="Times New Roman"/>
          <w:sz w:val="24"/>
          <w:szCs w:val="24"/>
          <w:lang w:val="en-GB"/>
        </w:rPr>
        <w:t xml:space="preserve">, we propose that the GM modulations over the left POp </w:t>
      </w:r>
      <w:r w:rsidR="00A50242" w:rsidRPr="002C3E85">
        <w:rPr>
          <w:rFonts w:ascii="Times New Roman" w:hAnsi="Times New Roman" w:cs="Times New Roman"/>
          <w:sz w:val="24"/>
          <w:szCs w:val="24"/>
          <w:lang w:val="en-GB"/>
        </w:rPr>
        <w:t>might be</w:t>
      </w:r>
      <w:r w:rsidR="00A142CB" w:rsidRPr="002C3E85">
        <w:rPr>
          <w:rFonts w:ascii="Times New Roman" w:hAnsi="Times New Roman" w:cs="Times New Roman"/>
          <w:sz w:val="24"/>
          <w:szCs w:val="24"/>
          <w:lang w:val="en-GB"/>
        </w:rPr>
        <w:t xml:space="preserve"> related</w:t>
      </w:r>
      <w:r w:rsidR="00D14FAD" w:rsidRPr="002C3E85">
        <w:rPr>
          <w:rFonts w:ascii="Times New Roman" w:hAnsi="Times New Roman" w:cs="Times New Roman"/>
          <w:sz w:val="24"/>
          <w:szCs w:val="24"/>
          <w:lang w:val="en-GB"/>
        </w:rPr>
        <w:t xml:space="preserve"> to accommodating increased phonological processing demands due to learning two languages</w:t>
      </w:r>
      <w:r w:rsidR="00A142CB" w:rsidRPr="002C3E85">
        <w:rPr>
          <w:rFonts w:ascii="Times New Roman" w:hAnsi="Times New Roman" w:cs="Times New Roman"/>
          <w:sz w:val="24"/>
          <w:szCs w:val="24"/>
          <w:lang w:val="en-GB"/>
        </w:rPr>
        <w:t xml:space="preserve"> early in life</w:t>
      </w:r>
      <w:r w:rsidR="00D14FAD" w:rsidRPr="002C3E85">
        <w:rPr>
          <w:rFonts w:ascii="Times New Roman" w:hAnsi="Times New Roman" w:cs="Times New Roman"/>
          <w:sz w:val="24"/>
          <w:szCs w:val="24"/>
          <w:lang w:val="en-GB"/>
        </w:rPr>
        <w:t>.</w:t>
      </w:r>
      <w:r w:rsidR="00DA2B74" w:rsidRPr="002C3E85">
        <w:rPr>
          <w:rFonts w:ascii="Times New Roman" w:hAnsi="Times New Roman" w:cs="Times New Roman"/>
          <w:sz w:val="24"/>
          <w:szCs w:val="24"/>
          <w:lang w:val="en-GB"/>
        </w:rPr>
        <w:t xml:space="preserve"> </w:t>
      </w:r>
      <w:r w:rsidR="000747A5" w:rsidRPr="002C3E85">
        <w:rPr>
          <w:rFonts w:ascii="Times New Roman" w:hAnsi="Times New Roman" w:cs="Times New Roman"/>
          <w:sz w:val="24"/>
          <w:szCs w:val="24"/>
          <w:lang w:val="en-GB"/>
        </w:rPr>
        <w:t xml:space="preserve">This would be consistent with observations that the left auditory-related regions in general tend to </w:t>
      </w:r>
      <w:r w:rsidR="000747A5" w:rsidRPr="002C3E85">
        <w:rPr>
          <w:rFonts w:ascii="Times New Roman" w:hAnsi="Times New Roman" w:cs="Times New Roman"/>
          <w:sz w:val="24"/>
          <w:szCs w:val="24"/>
          <w:lang w:val="en-GB"/>
        </w:rPr>
        <w:lastRenderedPageBreak/>
        <w:t xml:space="preserve">exhibit an extended surface area compared to the right homologue areas </w:t>
      </w:r>
      <w:r w:rsidR="000747A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"10.1093/cercor/bht094", "ISBN" : "1460-2199 (Electronic)\\r1047-3211 (Linking)", "ISSN" : "14602199", "PMID" : "23645712", "abstract" : "This investigation provides an analysis of structural asymmetries in 5 anatomically defined regions (Heschl's gyrus, HG; Heschl's sulcus, HS; planum temporale, PT; planum polare, PP; superior temporal gyrus, STG) within the human auditory-related cortex. Volumetric 3-dimensional T1-weighted magnetic resonance imaging scans were collected from 104 participants (52 males). Cortical volume (CV), cortical thickness (CT), and cortical surface area (CSA) were calculated based on individual scans of these anatomical traits. This investigation demonstrates a leftward asymmetry for CV and CSA that is observed in the HG, STG, and PT regions. As regards CT, we note a rightward asymmetry in the HG and HS. A correlation analysis of asymmetry indices between measurements for distinct regions of interest (ROIs) yields significant correlations between CT and CV in 4 of 5 ROIs (HG, HS, PT, and STG). Significant correlation values between CSA and CV are observed for all 5 ROIs. The findings suggest that auditory-related cortical areas demonstrate larger leftward asymmetry with respect to the CSA, while a clear rightward asymmetry with respect to CT is salient in both the primary and the secondary auditory cortex only. In addition, we propose that CV is not an ideal neuromarker for anatomical measurements. CT and CSA should be considered independent traits of anatomical asymmetries in the auditory-related cortex.", "author" : [ { "dropping-particle" : "", "family" : "Meyer", "given" : "Martin", "non-dropping-particle" : "", "parse-names" : false, "suffix" : "" }, { "dropping-particle" : "", "family" : "Liem", "given" : "Franziskus", "non-dropping-particle" : "", "parse-names" : false, "suffix" : "" }, { "dropping-particle" : "", "family" : "Hirsiger", "given" : "Sarah", "non-dropping-particle" : "", "parse-names" : false, "suffix" : "" }, { "dropping-particle" : "", "family" : "J??ncke", "given" : "Lutz", "non-dropping-particle" : "", "parse-names" : false, "suffix" : "" }, { "dropping-particle" : "", "family" : "H??nggi", "given" : "J??rgen", "non-dropping-particle" : "", "parse-names" : false, "suffix" : "" } ], "container-title" : "Cerebral Cortex", "id" : "ITEM-1", "issue" : "10", "issued" : { "date-parts" : [ [ "2014" ] ] }, "page" : "2541-2552", "title" : "Cortical surface area and cortical thickness demonstrate differential structural asymmetry in auditory-related areas of the human cortex", "type" : "article-journal", "volume" : "24" }, "uris" : [ "http://www.mendeley.com/documents/?uuid=ca8c032a-cf1e-42b2-8c78-53acfade6f2e" ] }, { "id" : "ITEM-2", "itemData" : { "DOI" : "10.1016/j.neuroscience.2006.08.057", "ISSN" : "03064522", "abstract" : "Aim: To investigate the cytoarchitectural basis of asymmetries in human auditory cortex. Minicolumn spacing and number, and regional cortical volume and surface area were measured in the primary auditory region (Heschl\u2019s gyrus, HG) and posterior auditory association region (planum temporale, PT) in 17 neurologically normal adults (10 female, seven male). PT surface area, minicolumn spacing and minicolumn number were greater in the left hemisphere. HG surface area was larger in the left hemisphere. Asymmetries of minicolumn number in primary and association auditory regions correlated with axonal fiber numbers in the subregions of the corpus callosum through which they project. PT minicolumn number was more asymmetrical in men than women but total number was similar in the two sexes. We conclude that asymmetry of the surface area of the PT is a function of minicolumn spacing. Fewer callosal projections between the plana are found when the minicolumn spacing is more asymmetrical.", "author" : [ { "dropping-particle" : "", "family" : "Chance", "given" : "S.A.", "non-dropping-particle" : "", "parse-names" : false, "suffix" : "" }, { "dropping-particle" : "", "family" : "Casanova", "given" : "M.F.", "non-dropping-particle" : "", "parse-names" : false, "suffix" : "" }, { "dropping-particle" : "", "family" : "Switala", "given" : "A.E.", "non-dropping-particle" : "", "parse-names" : false, "suffix" : "" }, { "dropping-particle" : "", "family" : "Crow", "given" : "T.J.", "non-dropping-particle" : "", "parse-names" : false, "suffix" : "" } ], "container-title" : "Neuroscience", "id" : "ITEM-2", "issue" : "4", "issued" : { "date-parts" : [ [ "2006" ] ] }, "page" : "1041-1050", "title" : "Minicolumnar structure in Heschl\u2019s gyrus and planum temporale: Asymmetries in relation to sex and callosal fiber number", "type" : "article-journal", "volume" : "143" }, "uris" : [ "http://www.mendeley.com/documents/?uuid=0b7f8777-cb6e-3586-a2c3-93b9a17350bf" ] } ], "mendeley" : { "formattedCitation" : "(Chance et al., 2006; Meyer et al., 2014)", "plainTextFormattedCitation" : "(Chance et al., 2006; Meyer et al., 2014)", "previouslyFormattedCitation" : "(Chance et al., 2006; Meyer et al., 2014)" }, "properties" : {  }, "schema" : "https://github.com/citation-style-language/schema/raw/master/csl-citation.json" }</w:instrText>
      </w:r>
      <w:r w:rsidR="000747A5" w:rsidRPr="002C3E85">
        <w:rPr>
          <w:rFonts w:ascii="Times New Roman" w:hAnsi="Times New Roman" w:cs="Times New Roman"/>
          <w:sz w:val="24"/>
          <w:szCs w:val="24"/>
          <w:lang w:val="en-GB"/>
        </w:rPr>
        <w:fldChar w:fldCharType="separate"/>
      </w:r>
      <w:r w:rsidR="000747A5" w:rsidRPr="002C3E85">
        <w:rPr>
          <w:rFonts w:ascii="Times New Roman" w:hAnsi="Times New Roman" w:cs="Times New Roman"/>
          <w:noProof/>
          <w:sz w:val="24"/>
          <w:szCs w:val="24"/>
          <w:lang w:val="en-GB"/>
        </w:rPr>
        <w:t>(Chance et al., 2006; Meyer et al., 2014)</w:t>
      </w:r>
      <w:r w:rsidR="000747A5" w:rsidRPr="002C3E85">
        <w:rPr>
          <w:rFonts w:ascii="Times New Roman" w:hAnsi="Times New Roman" w:cs="Times New Roman"/>
          <w:sz w:val="24"/>
          <w:szCs w:val="24"/>
          <w:lang w:val="en-GB"/>
        </w:rPr>
        <w:fldChar w:fldCharType="end"/>
      </w:r>
      <w:r w:rsidR="000747A5" w:rsidRPr="002C3E85">
        <w:rPr>
          <w:rFonts w:ascii="Times New Roman" w:hAnsi="Times New Roman" w:cs="Times New Roman"/>
          <w:sz w:val="24"/>
          <w:szCs w:val="24"/>
          <w:lang w:val="en-GB"/>
        </w:rPr>
        <w:t xml:space="preserve"> – an asymmetry that has been taken to reflect the left hemispheric advantage in extracting temporal information from the incoming auditory stream. In other words, the larger the surface area over the auditory-related regions, the more efficient the auditory processing. Moreover, similar phonology-related </w:t>
      </w:r>
      <w:r w:rsidR="003F0B5B" w:rsidRPr="002C3E85">
        <w:rPr>
          <w:rFonts w:ascii="Times New Roman" w:hAnsi="Times New Roman" w:cs="Times New Roman"/>
          <w:sz w:val="24"/>
          <w:szCs w:val="24"/>
          <w:lang w:val="en-GB"/>
        </w:rPr>
        <w:t xml:space="preserve">structural modulations associated with early bilingualism have also been observed in the underlying WM tracts, in particular along the left direct segment of the arcuate fasciculus </w:t>
      </w:r>
      <w:r w:rsidR="003F0B5B"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"10.1016/j.neuroimage.2017.02.081", "ISSN" : "10538119", "author" : [ { "dropping-particle" : "", "family" : "H\u00e4m\u00e4l\u00e4inen", "given" : "Sini", "non-dropping-particle" : "", "parse-names" : false, "suffix" : "" }, { "dropping-particle" : "", "family" : "Sairanen", "given" : "Viljami", "non-dropping-particle" : "", "parse-names" : false, "suffix" : "" }, { "dropping-particle" : "", "family" : "Leminen", "given" : "Alina", "non-dropping-particle" : "", "parse-names" : false, "suffix" : "" }, { "dropping-particle" : "", "family" : "Lehtonen", "given" : "Minna", "non-dropping-particle" : "", "parse-names" : false, "suffix" : "" } ], "container-title" : "NeuroImage", "id" : "ITEM-1", "issued" : { "date-parts" : [ [ "2017", "5" ] ] }, "note" : "NULL", "page" : "249-257", "title" : "Bilingualism modulates the white matter structure of language-related pathways", "type" : "article-journal", "volume" : "152" }, "uris" : [ "http://www.mendeley.com/documents/?uuid=e1f9a225-6cf6-3ba2-b3b1-31d3080dec15" ] } ], "mendeley" : { "formattedCitation" : "(H\u00e4m\u00e4l\u00e4inen et al., 2017)", "plainTextFormattedCitation" : "(H\u00e4m\u00e4l\u00e4inen et al., 2017)", "previouslyFormattedCitation" : "(H\u00e4m\u00e4l\u00e4inen et al., 2017)" }, "properties" : {  }, "schema" : "https://github.com/citation-style-language/schema/raw/master/csl-citation.json" }</w:instrText>
      </w:r>
      <w:r w:rsidR="003F0B5B" w:rsidRPr="002C3E85">
        <w:rPr>
          <w:rFonts w:ascii="Times New Roman" w:hAnsi="Times New Roman" w:cs="Times New Roman"/>
          <w:sz w:val="24"/>
          <w:szCs w:val="24"/>
          <w:lang w:val="en-GB"/>
        </w:rPr>
        <w:fldChar w:fldCharType="separate"/>
      </w:r>
      <w:r w:rsidR="003F0B5B" w:rsidRPr="002C3E85">
        <w:rPr>
          <w:rFonts w:ascii="Times New Roman" w:hAnsi="Times New Roman" w:cs="Times New Roman"/>
          <w:noProof/>
          <w:sz w:val="24"/>
          <w:szCs w:val="24"/>
          <w:lang w:val="en-GB"/>
        </w:rPr>
        <w:t>(Hämäläinen et al., 2017)</w:t>
      </w:r>
      <w:r w:rsidR="003F0B5B" w:rsidRPr="002C3E85">
        <w:rPr>
          <w:rFonts w:ascii="Times New Roman" w:hAnsi="Times New Roman" w:cs="Times New Roman"/>
          <w:sz w:val="24"/>
          <w:szCs w:val="24"/>
          <w:lang w:val="en-GB"/>
        </w:rPr>
        <w:fldChar w:fldCharType="end"/>
      </w:r>
      <w:r w:rsidR="00034BC9" w:rsidRPr="002C3E85">
        <w:rPr>
          <w:rFonts w:ascii="Times New Roman" w:hAnsi="Times New Roman" w:cs="Times New Roman"/>
          <w:sz w:val="24"/>
          <w:szCs w:val="24"/>
          <w:lang w:val="en-GB"/>
        </w:rPr>
        <w:t>,</w:t>
      </w:r>
      <w:r w:rsidR="003F0B5B" w:rsidRPr="002C3E85">
        <w:rPr>
          <w:rFonts w:ascii="Times New Roman" w:hAnsi="Times New Roman" w:cs="Times New Roman"/>
          <w:sz w:val="24"/>
          <w:szCs w:val="24"/>
          <w:lang w:val="en-GB"/>
        </w:rPr>
        <w:t xml:space="preserve"> </w:t>
      </w:r>
      <w:r w:rsidR="00EA17E7" w:rsidRPr="002C3E85">
        <w:rPr>
          <w:rFonts w:ascii="Times New Roman" w:hAnsi="Times New Roman" w:cs="Times New Roman"/>
          <w:sz w:val="24"/>
          <w:szCs w:val="24"/>
          <w:lang w:val="en-GB"/>
        </w:rPr>
        <w:t>which</w:t>
      </w:r>
      <w:r w:rsidR="003F0B5B" w:rsidRPr="002C3E85">
        <w:rPr>
          <w:rFonts w:ascii="Times New Roman" w:hAnsi="Times New Roman" w:cs="Times New Roman"/>
          <w:sz w:val="24"/>
          <w:szCs w:val="24"/>
          <w:lang w:val="en-GB"/>
        </w:rPr>
        <w:t xml:space="preserve"> connects the left IFG to the primary auditory processing areas and has been associated with phonological language functions </w:t>
      </w:r>
      <w:r w:rsidR="003F0B5B"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"author" : [ { "dropping-particle" : "", "family" : "Catani", "given" : "Marco", "non-dropping-particle" : "", "parse-names" : false, "suffix" : "" }, { "dropping-particle" : "", "family" : "Jones", "given" : "Derek K", "non-dropping-particle" : "", "parse-names" : false, "suffix" : "" }, { "dropping-particle" : "", "family" : "Ffytche", "given" : "Dominic H", "non-dropping-particle" : "", "parse-names" : false, "suffix" : "" } ], "container-title" : "Annals of Neurology", "id" : "ITEM-1", "issue" : "1", "issued" : { "date-parts" : [ [ "2005" ] ] }, "page" : "8-16", "title" : "Perisylvian language networks of the human brain", "type" : "article-journal", "volume" : "57" }, "uris" : [ "http://www.mendeley.com/documents/?uuid=57a8a026-e17b-4b6d-976d-a623ff4046cb" ] }, { "id" : "ITEM-2", "itemData" : { "author" : [ { "dropping-particle" : "", "family" : "L\u00f3pez-Barroso", "given" : "Diana", "non-dropping-particle" : "", "parse-names" : false, "suffix" : "" }, { "dropping-particle" : "", "family" : "Catani", "given" : "Marco", "non-dropping-particle" : "", "parse-names" : false, "suffix" : "" }, { "dropping-particle" : "", "family" : "Ripoll\u00e9s", "given" : "Pablo", "non-dropping-particle" : "", "parse-names" : false, "suffix" : "" }, { "dropping-particle" : "", "family" : "Dell'Acqua", "given" : "Flavio", "non-dropping-particle" : "", "parse-names" : false, "suffix" : "" }, { "dropping-particle" : "", "family" : "Rodr\u00edguez-Fornells", "given" : "Antoni", "non-dropping-particle" : "", "parse-names" : false, "suffix" : "" }, { "dropping-particle" : "", "family" : "Diego-Balaguer", "given" : "Ruth", "non-dropping-particle" : "de", "parse-names" : false, "suffix" : "" } ], "container-title" : "Proceedings of the National Academy of Sciences", "id" : "ITEM-2", "issue" : "32", "issued" : { "date-parts" : [ [ "2013" ] ] }, "page" : "13168-13173", "title" : "Word learning is mediated by the left arcuate fasciculus", "type" : "article-journal", "volume" : "110" }, "uris" : [ "http://www.mendeley.com/documents/?uuid=a58aca5f-eca1-480a-86ea-9df6b0a57b28" ] }, { "id" : "ITEM-3", "itemData" : { "author" : [ { "dropping-particle" : "", "family" : "Forkel", "given" : "Stephanie J", "non-dropping-particle" : "", "parse-names" : false, "suffix" : "" }, { "dropping-particle" : "", "family" : "Schotten", "given" : "Michel Thiebaut", "non-dropping-particle" : "de", "parse-names" : false, "suffix" : "" }, { "dropping-particle" : "", "family" : "DellAcqua", "gi</w:instrText>
      </w:r>
      <w:r w:rsidR="00AF3035" w:rsidRPr="00FC4E49">
        <w:rPr>
          <w:rFonts w:ascii="Times New Roman" w:hAnsi="Times New Roman" w:cs="Times New Roman"/>
          <w:sz w:val="24"/>
          <w:szCs w:val="24"/>
        </w:rPr>
        <w:instrText>ven" : "Flavio", "non-dropping-particle" : "", "parse-names" : false, "suffix" : "" }, { "dropping-particle" : "", "family" : "Kalra", "given" : "Lalit", "non-dropping-particle" : "", "parse-names" : false, "suffix" : "" }, { "dropping-particle" : "", "family" : "Murphy", "given" : "Declan G M", "non-dropping-particle" : "", "parse-names" : false, "suffix" : "" }, { "dropping-particle" : "", "family" : "Williams", "given" : "Steven C R", "non-dropping-particle" : "", "parse-names" : false, "suffix" : "" }, { "dropping-particle" : "", "family" : "Catani", "given" : "Marco", "non-dropping-particle" : "", "parse-names" : false, "suffix" : "" } ], "container-title" : "Brain", "id" : "ITEM-3", "issue" : "7", "issued" : { "date-parts" : [ [ "2014" ] ] }, "page" : "2027-2039", "title" : "Anatomical predictors of aphasia recovery: a tractography study of bilateral perisylvian language networks", "type" : "article-journal", "volume" : "137" }, "uris" : [ "http://www.mendeley.com/documents/?uuid=14a828dc-688e-46b5-8280-83a0fa8cef12" ] } ], "mendeley" : { "formattedCitation" : "(Catani et al., 2005; Forkel et al., 2014; L\u00f3pez-Barroso et al., 2013)", "plainTextFormattedCitation" : "(Catani et al., 2005; Forkel et al., 2014; L\u00f3pez-Barroso et al., 2013)", "previouslyFormattedCitation" : "(Catani et al., 2005; Forkel et al., 2014; L\u00f3pez-Barroso et al., 2013)" }, "properties" : {  }, "schema" : "https://github.com/citation-style-language/schema/raw/master/csl-citation.json" }</w:instrText>
      </w:r>
      <w:r w:rsidR="003F0B5B" w:rsidRPr="002C3E85">
        <w:rPr>
          <w:rFonts w:ascii="Times New Roman" w:hAnsi="Times New Roman" w:cs="Times New Roman"/>
          <w:sz w:val="24"/>
          <w:szCs w:val="24"/>
          <w:lang w:val="en-GB"/>
        </w:rPr>
        <w:fldChar w:fldCharType="separate"/>
      </w:r>
      <w:r w:rsidR="003F0B5B" w:rsidRPr="00FC4E49">
        <w:rPr>
          <w:rFonts w:ascii="Times New Roman" w:hAnsi="Times New Roman" w:cs="Times New Roman"/>
          <w:noProof/>
          <w:sz w:val="24"/>
          <w:szCs w:val="24"/>
        </w:rPr>
        <w:t>(Catani et al., 2005; Forkel et al., 2014; López-Barroso et al., 2013)</w:t>
      </w:r>
      <w:r w:rsidR="003F0B5B" w:rsidRPr="002C3E85">
        <w:rPr>
          <w:rFonts w:ascii="Times New Roman" w:hAnsi="Times New Roman" w:cs="Times New Roman"/>
          <w:sz w:val="24"/>
          <w:szCs w:val="24"/>
          <w:lang w:val="en-GB"/>
        </w:rPr>
        <w:fldChar w:fldCharType="end"/>
      </w:r>
      <w:r w:rsidR="003F0B5B" w:rsidRPr="00FC4E49">
        <w:rPr>
          <w:rFonts w:ascii="Times New Roman" w:hAnsi="Times New Roman" w:cs="Times New Roman"/>
          <w:sz w:val="24"/>
          <w:szCs w:val="24"/>
        </w:rPr>
        <w:t xml:space="preserve">. </w:t>
      </w:r>
      <w:r w:rsidR="003F0B5B" w:rsidRPr="002C3E85">
        <w:rPr>
          <w:rFonts w:ascii="Times New Roman" w:hAnsi="Times New Roman" w:cs="Times New Roman"/>
          <w:sz w:val="24"/>
          <w:szCs w:val="24"/>
          <w:lang w:val="en-GB"/>
        </w:rPr>
        <w:t xml:space="preserve">This concordance not only provides further evidence in </w:t>
      </w:r>
      <w:r w:rsidR="003F0B5B" w:rsidRPr="002C3E85">
        <w:rPr>
          <w:rFonts w:ascii="Times New Roman" w:hAnsi="Times New Roman" w:cs="Times New Roman"/>
          <w:sz w:val="24"/>
          <w:szCs w:val="24"/>
          <w:lang w:val="en-GB"/>
        </w:rPr>
        <w:lastRenderedPageBreak/>
        <w:t>favo</w:t>
      </w:r>
      <w:r w:rsidR="00A87E6B" w:rsidRPr="002C3E85">
        <w:rPr>
          <w:rFonts w:ascii="Times New Roman" w:hAnsi="Times New Roman" w:cs="Times New Roman"/>
          <w:sz w:val="24"/>
          <w:szCs w:val="24"/>
          <w:lang w:val="en-GB"/>
        </w:rPr>
        <w:t>u</w:t>
      </w:r>
      <w:r w:rsidR="003F0B5B" w:rsidRPr="002C3E85">
        <w:rPr>
          <w:rFonts w:ascii="Times New Roman" w:hAnsi="Times New Roman" w:cs="Times New Roman"/>
          <w:sz w:val="24"/>
          <w:szCs w:val="24"/>
          <w:lang w:val="en-GB"/>
        </w:rPr>
        <w:t>r of our current interpretation, but it also supports the emerging p</w:t>
      </w:r>
      <w:r w:rsidR="006B3E8A" w:rsidRPr="002C3E85">
        <w:rPr>
          <w:rFonts w:ascii="Times New Roman" w:hAnsi="Times New Roman" w:cs="Times New Roman"/>
          <w:sz w:val="24"/>
          <w:szCs w:val="24"/>
          <w:lang w:val="en-GB"/>
        </w:rPr>
        <w:t>attern localis</w:t>
      </w:r>
      <w:r w:rsidR="003F0B5B" w:rsidRPr="002C3E85">
        <w:rPr>
          <w:rFonts w:ascii="Times New Roman" w:hAnsi="Times New Roman" w:cs="Times New Roman"/>
          <w:sz w:val="24"/>
          <w:szCs w:val="24"/>
          <w:lang w:val="en-GB"/>
        </w:rPr>
        <w:t xml:space="preserve">ing bilingualism-induced structural modulations to the left IFG </w:t>
      </w:r>
      <w:r w:rsidR="003F0B5B" w:rsidRPr="002C3E85">
        <w:rPr>
          <w:rFonts w:ascii="Times New Roman" w:hAnsi="Times New Roman" w:cs="Times New Roman"/>
          <w:noProof/>
          <w:sz w:val="24"/>
          <w:szCs w:val="24"/>
          <w:lang w:val="en-GB"/>
        </w:rPr>
        <w:t>(Mårtensson et al. 2012; Stein et al. 2012; Klein et al. 2014; Kaiser et al. 2015)</w:t>
      </w:r>
      <w:r w:rsidR="003F0B5B" w:rsidRPr="002C3E85">
        <w:rPr>
          <w:rFonts w:ascii="Times New Roman" w:hAnsi="Times New Roman" w:cs="Times New Roman"/>
          <w:sz w:val="24"/>
          <w:szCs w:val="24"/>
          <w:lang w:val="en-GB"/>
        </w:rPr>
        <w:t>.</w:t>
      </w:r>
      <w:r w:rsidR="00345979" w:rsidRPr="002C3E85">
        <w:rPr>
          <w:rFonts w:ascii="Times New Roman" w:hAnsi="Times New Roman" w:cs="Times New Roman"/>
          <w:sz w:val="24"/>
          <w:szCs w:val="24"/>
          <w:lang w:val="en-GB"/>
        </w:rPr>
        <w:t xml:space="preserve"> However,</w:t>
      </w:r>
      <w:r w:rsidR="00F56860" w:rsidRPr="002C3E85">
        <w:rPr>
          <w:rFonts w:ascii="Times New Roman" w:hAnsi="Times New Roman" w:cs="Times New Roman"/>
          <w:sz w:val="24"/>
          <w:szCs w:val="24"/>
          <w:lang w:val="en-GB"/>
        </w:rPr>
        <w:t xml:space="preserve"> as </w:t>
      </w:r>
      <w:r w:rsidR="003B56D8" w:rsidRPr="002C3E85">
        <w:rPr>
          <w:rFonts w:ascii="Times New Roman" w:hAnsi="Times New Roman" w:cs="Times New Roman"/>
          <w:sz w:val="24"/>
          <w:szCs w:val="24"/>
          <w:lang w:val="en-GB"/>
        </w:rPr>
        <w:t>functions of the</w:t>
      </w:r>
      <w:r w:rsidR="00F56860" w:rsidRPr="002C3E85">
        <w:rPr>
          <w:rFonts w:ascii="Times New Roman" w:hAnsi="Times New Roman" w:cs="Times New Roman"/>
          <w:sz w:val="24"/>
          <w:szCs w:val="24"/>
          <w:lang w:val="en-GB"/>
        </w:rPr>
        <w:t xml:space="preserve"> left POp </w:t>
      </w:r>
      <w:r w:rsidR="003B56D8" w:rsidRPr="002C3E85">
        <w:rPr>
          <w:rFonts w:ascii="Times New Roman" w:hAnsi="Times New Roman" w:cs="Times New Roman"/>
          <w:sz w:val="24"/>
          <w:szCs w:val="24"/>
          <w:lang w:val="en-GB"/>
        </w:rPr>
        <w:t>are not limited to phonological processi</w:t>
      </w:r>
      <w:r w:rsidR="00CE2F24" w:rsidRPr="002C3E85">
        <w:rPr>
          <w:rFonts w:ascii="Times New Roman" w:hAnsi="Times New Roman" w:cs="Times New Roman"/>
          <w:sz w:val="24"/>
          <w:szCs w:val="24"/>
          <w:lang w:val="en-GB"/>
        </w:rPr>
        <w:t>ng</w:t>
      </w:r>
      <w:r w:rsidR="00D175D4" w:rsidRPr="002C3E85">
        <w:rPr>
          <w:rFonts w:ascii="Times New Roman" w:hAnsi="Times New Roman" w:cs="Times New Roman"/>
          <w:sz w:val="24"/>
          <w:szCs w:val="24"/>
          <w:lang w:val="en-GB"/>
        </w:rPr>
        <w:t xml:space="preserve"> </w:t>
      </w:r>
      <w:r w:rsidR="00D175D4" w:rsidRPr="002C3E85">
        <w:rPr>
          <w:rFonts w:ascii="Times New Roman" w:hAnsi="Times New Roman" w:cs="Times New Roman"/>
          <w:sz w:val="24"/>
          <w:szCs w:val="24"/>
          <w:lang w:val="en-GB"/>
        </w:rPr>
        <w:fldChar w:fldCharType="begin" w:fldLock="1"/>
      </w:r>
      <w:r w:rsidR="00D175D4" w:rsidRPr="002C3E85">
        <w:rPr>
          <w:rFonts w:ascii="Times New Roman" w:hAnsi="Times New Roman" w:cs="Times New Roman"/>
          <w:sz w:val="24"/>
          <w:szCs w:val="24"/>
          <w:lang w:val="en-GB"/>
        </w:rPr>
        <w:instrText>ADDIN CSL_CITATION { "citationItems" : [ { "id" : "ITEM-1", "itemData" : { "DOI" : "10.1007/s00429-017-1480-5", "ISSN" : "1863-2653", "author" : [ { "dropping-particle" : "", "family" : "Curley", "given" : "Lauren B.", "non-dropping-particle" : "", "parse-names" : false, "suffix" : "" }, { "dropping-particle" : "", "family" : "Newman", "given" : "Erik", "non-dropping-particle" : "", "parse-names" : false, "suffix" : "" }, { "dropping-particle" : "", "family" : "Thompson", "given" : "Wesley K.", "non-dropping-particle" : "", "parse-names" : false, "suffix" : "" }, { "dropping-particle" : "", "family" : "Brown", "given" : "Timothy T.", "non-dropping-particle" : "", "parse-names" : false, "suffix" : "" }, { "dropping-particle" : "", "family" : "Hagler", "given" : "Donald J.", "non-dropping-particle" : "", "parse-names" : false, "suffix" : "" }, { "dropping-particle" : "", "family" : "Akshoomoff", "given" : "Natacha", "non-dropping-particle" : "", "parse-names" : false, "suffix" : "" }, { "dropping-particle" : "", "family" : "Reuter", "given" : "Chase", "non-dropping-particle" : "", "parse-names" : false, "suffix" : "" }, { "dropping-particle" : "", "family" : "Dale", "given" : "Anders M.", "non-dropping-particle" : "", "parse-names" : false, "suffix" : "" }, { "dropping-particle" : "", "family" : "Jernigan", "given" : "Terry L.", "non-dropping-particle" : "", "parse-names" : false, "suffix" : "" } ], "container-title" : "Brain Structure and Function", "id" : "ITEM-1", "issue" : "1", "issued" : { "date-parts" : [ [ "2018", "1", "29" ] ] }, "page" : "211-220", "publisher" : "Springer Berlin Heidelberg", "title" : "Cortical morphology of the pars opercularis and its relationship to motor-inhibitory performance in a longitudinal, developing cohort", "type" : "article-journal", "volume" : "223" }, "uris" : [ "http://www.mendeley.com/documents/?uuid=5b60373b-f938-3a9b-86dc-ae416c1626da" ] }, { "id" : "ITEM-2", "itemData" : { "DOI" : "10.1007/s002210050412", "ISSN" : "0014-4819", "author" : [ { "dropping-particle" : "", "family" : "Krams", "given" : "M.", "non-dropping-particle" : "", "parse-names" : false, "suffix" : "" }, { "dropping-particle" : "", "family" : "Rushworth", "given" : "M. F. S.", "non-dropping-particle" : "", "parse-names" : false, "suffix" : "" }, { "dropping-particle" : "", "family" : "Deiber", "given" : "M.-P.", "non-dropping-particle" : "", "parse-names" : false, "suffix" : "" }, { "dropping-particle" : "", "family" : "Frackowiak", "given" : "R. S. J.", "non-dropping-particle" : "", "parse-names" : false, "suffix" : "" }, { "dropping-particle" : "", "family" : "Passingham", "given" : "R. E.", "non-dropping-particle" : "", "parse-names" : false, "suffix" : "" } ], "container-title" : "Experimental Brain Research", "id" : "ITEM-2", "issue" : "3", "issued" : { "date-parts" : [ [ "1998", "5", "13" ] ] }, "page" : "386-398", "publisher" : "Springer-Verlag", "title" : "The preparation, execution and suppression of copied movements in the human brain", "type" : "article-journal", "volume" : "120" }, "uris" : [ "http://www.mendeley.com/documents/?uuid=cf8e8554-dd37-3e56-9f60-9d9f7a6f0c36" ] } ], "mendeley" : { "formattedCitation" : "(Curley et al., 2018; Krams et al., 1998)", "manualFormatting" : "(see, for instance, Curley et al., 2018; Krams et al., 1998)", "plainTextFormattedCitation" : "(Curley et al., 2018; Krams et al., 1998)", "previouslyFormattedCitation" : "(Curley et al., 2018; Krams et al., 1998)" }, "properties" : {  }, "schema" : "https://github.com/citation-style-language/schema/raw/master/csl-citation.json" }</w:instrText>
      </w:r>
      <w:r w:rsidR="00D175D4" w:rsidRPr="002C3E85">
        <w:rPr>
          <w:rFonts w:ascii="Times New Roman" w:hAnsi="Times New Roman" w:cs="Times New Roman"/>
          <w:sz w:val="24"/>
          <w:szCs w:val="24"/>
          <w:lang w:val="en-GB"/>
        </w:rPr>
        <w:fldChar w:fldCharType="separate"/>
      </w:r>
      <w:r w:rsidR="00D175D4" w:rsidRPr="002C3E85">
        <w:rPr>
          <w:rFonts w:ascii="Times New Roman" w:hAnsi="Times New Roman" w:cs="Times New Roman"/>
          <w:noProof/>
          <w:sz w:val="24"/>
          <w:szCs w:val="24"/>
          <w:lang w:val="en-GB"/>
        </w:rPr>
        <w:t>(see, for instance, Curley et al., 2018; Krams et al., 1998)</w:t>
      </w:r>
      <w:r w:rsidR="00D175D4" w:rsidRPr="002C3E85">
        <w:rPr>
          <w:rFonts w:ascii="Times New Roman" w:hAnsi="Times New Roman" w:cs="Times New Roman"/>
          <w:sz w:val="24"/>
          <w:szCs w:val="24"/>
          <w:lang w:val="en-GB"/>
        </w:rPr>
        <w:fldChar w:fldCharType="end"/>
      </w:r>
      <w:r w:rsidR="00CE2F24" w:rsidRPr="002C3E85">
        <w:rPr>
          <w:rFonts w:ascii="Times New Roman" w:hAnsi="Times New Roman" w:cs="Times New Roman"/>
          <w:sz w:val="24"/>
          <w:szCs w:val="24"/>
          <w:lang w:val="en-GB"/>
        </w:rPr>
        <w:t xml:space="preserve">, </w:t>
      </w:r>
      <w:r w:rsidR="00B642D8" w:rsidRPr="002C3E85">
        <w:rPr>
          <w:rFonts w:ascii="Times New Roman" w:hAnsi="Times New Roman" w:cs="Times New Roman"/>
          <w:sz w:val="24"/>
          <w:szCs w:val="24"/>
          <w:lang w:val="en-GB"/>
        </w:rPr>
        <w:t xml:space="preserve">future research is needed to confirm </w:t>
      </w:r>
      <w:r w:rsidR="00551836" w:rsidRPr="002C3E85">
        <w:rPr>
          <w:rFonts w:ascii="Times New Roman" w:hAnsi="Times New Roman" w:cs="Times New Roman"/>
          <w:sz w:val="24"/>
          <w:szCs w:val="24"/>
          <w:lang w:val="en-GB"/>
        </w:rPr>
        <w:t xml:space="preserve">this postulated </w:t>
      </w:r>
      <w:r w:rsidR="00766DF3" w:rsidRPr="002C3E85">
        <w:rPr>
          <w:rFonts w:ascii="Times New Roman" w:hAnsi="Times New Roman" w:cs="Times New Roman"/>
          <w:sz w:val="24"/>
          <w:szCs w:val="24"/>
          <w:lang w:val="en-GB"/>
        </w:rPr>
        <w:t>relationship</w:t>
      </w:r>
      <w:r w:rsidR="00551836" w:rsidRPr="002C3E85">
        <w:rPr>
          <w:rFonts w:ascii="Times New Roman" w:hAnsi="Times New Roman" w:cs="Times New Roman"/>
          <w:sz w:val="24"/>
          <w:szCs w:val="24"/>
          <w:lang w:val="en-GB"/>
        </w:rPr>
        <w:t xml:space="preserve"> between</w:t>
      </w:r>
      <w:r w:rsidR="00146735" w:rsidRPr="002C3E85">
        <w:rPr>
          <w:rFonts w:ascii="Times New Roman" w:hAnsi="Times New Roman" w:cs="Times New Roman"/>
          <w:sz w:val="24"/>
          <w:szCs w:val="24"/>
          <w:lang w:val="en-GB"/>
        </w:rPr>
        <w:t xml:space="preserve"> </w:t>
      </w:r>
      <w:r w:rsidR="00766DF3" w:rsidRPr="002C3E85">
        <w:rPr>
          <w:rFonts w:ascii="Times New Roman" w:hAnsi="Times New Roman" w:cs="Times New Roman"/>
          <w:sz w:val="24"/>
          <w:szCs w:val="24"/>
          <w:lang w:val="en-GB"/>
        </w:rPr>
        <w:t>regional</w:t>
      </w:r>
      <w:r w:rsidR="00606E16" w:rsidRPr="002C3E85">
        <w:rPr>
          <w:rFonts w:ascii="Times New Roman" w:hAnsi="Times New Roman" w:cs="Times New Roman"/>
          <w:sz w:val="24"/>
          <w:szCs w:val="24"/>
          <w:lang w:val="en-GB"/>
        </w:rPr>
        <w:t xml:space="preserve"> </w:t>
      </w:r>
      <w:r w:rsidR="00146735" w:rsidRPr="002C3E85">
        <w:rPr>
          <w:rFonts w:ascii="Times New Roman" w:hAnsi="Times New Roman" w:cs="Times New Roman"/>
          <w:sz w:val="24"/>
          <w:szCs w:val="24"/>
          <w:lang w:val="en-GB"/>
        </w:rPr>
        <w:t>surface area and</w:t>
      </w:r>
      <w:r w:rsidR="009D7D6E" w:rsidRPr="002C3E85">
        <w:rPr>
          <w:rFonts w:ascii="Times New Roman" w:hAnsi="Times New Roman" w:cs="Times New Roman"/>
          <w:sz w:val="24"/>
          <w:szCs w:val="24"/>
          <w:lang w:val="en-GB"/>
        </w:rPr>
        <w:t xml:space="preserve"> prolonged experience in bilingual phonological processing.  </w:t>
      </w:r>
      <w:r w:rsidR="00551836" w:rsidRPr="002C3E85">
        <w:rPr>
          <w:rFonts w:ascii="Times New Roman" w:hAnsi="Times New Roman" w:cs="Times New Roman"/>
          <w:sz w:val="24"/>
          <w:szCs w:val="24"/>
          <w:lang w:val="en-GB"/>
        </w:rPr>
        <w:t xml:space="preserve"> </w:t>
      </w:r>
    </w:p>
    <w:p w14:paraId="14632A2F" w14:textId="2EA8AEE6" w:rsidR="00463E4A" w:rsidRPr="002C3E85" w:rsidRDefault="00736A8B" w:rsidP="007024C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 xml:space="preserve"> </w:t>
      </w:r>
      <w:r w:rsidR="003B56D8" w:rsidRPr="002C3E85">
        <w:rPr>
          <w:rFonts w:ascii="Times New Roman" w:hAnsi="Times New Roman" w:cs="Times New Roman"/>
          <w:sz w:val="24"/>
          <w:szCs w:val="24"/>
          <w:lang w:val="en-GB"/>
        </w:rPr>
        <w:t xml:space="preserve"> </w:t>
      </w:r>
    </w:p>
    <w:p w14:paraId="6D7960EF" w14:textId="2C466829" w:rsidR="008421EA" w:rsidRPr="002C3E85" w:rsidRDefault="00945715" w:rsidP="008421EA">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As for the surface area modulations for early vs. late bilinguals over the right STG,</w:t>
      </w:r>
      <w:r w:rsidR="00FD46E0" w:rsidRPr="002C3E85">
        <w:rPr>
          <w:rFonts w:ascii="Times New Roman" w:hAnsi="Times New Roman" w:cs="Times New Roman"/>
          <w:sz w:val="24"/>
          <w:szCs w:val="24"/>
          <w:lang w:val="en-GB"/>
        </w:rPr>
        <w:t xml:space="preserve"> </w:t>
      </w:r>
      <w:r w:rsidR="00E535C9" w:rsidRPr="002C3E85">
        <w:rPr>
          <w:rFonts w:ascii="Times New Roman" w:hAnsi="Times New Roman" w:cs="Times New Roman"/>
          <w:sz w:val="24"/>
          <w:szCs w:val="24"/>
          <w:lang w:val="en-GB"/>
        </w:rPr>
        <w:t xml:space="preserve">at least two </w:t>
      </w:r>
      <w:r w:rsidR="00950D56" w:rsidRPr="002C3E85">
        <w:rPr>
          <w:rFonts w:ascii="Times New Roman" w:hAnsi="Times New Roman" w:cs="Times New Roman"/>
          <w:sz w:val="24"/>
          <w:szCs w:val="24"/>
          <w:lang w:val="en-GB"/>
        </w:rPr>
        <w:t xml:space="preserve">interpretations can be provided. </w:t>
      </w:r>
      <w:r w:rsidRPr="002C3E85">
        <w:rPr>
          <w:rFonts w:ascii="Times New Roman" w:hAnsi="Times New Roman" w:cs="Times New Roman"/>
          <w:sz w:val="24"/>
          <w:szCs w:val="24"/>
          <w:lang w:val="en-GB"/>
        </w:rPr>
        <w:t xml:space="preserve">First, this finding </w:t>
      </w:r>
      <w:r w:rsidR="004F5959" w:rsidRPr="002C3E85">
        <w:rPr>
          <w:rFonts w:ascii="Times New Roman" w:hAnsi="Times New Roman" w:cs="Times New Roman"/>
          <w:sz w:val="24"/>
          <w:szCs w:val="24"/>
          <w:lang w:val="en-GB"/>
        </w:rPr>
        <w:t>is partially in line with</w:t>
      </w:r>
      <w:r w:rsidR="00760751" w:rsidRPr="002C3E85">
        <w:rPr>
          <w:rFonts w:ascii="Times New Roman" w:hAnsi="Times New Roman" w:cs="Times New Roman"/>
          <w:sz w:val="24"/>
          <w:szCs w:val="24"/>
          <w:lang w:val="en-GB"/>
        </w:rPr>
        <w:t xml:space="preserve"> the </w:t>
      </w:r>
      <w:r w:rsidR="00E03EB2" w:rsidRPr="002C3E85">
        <w:rPr>
          <w:rFonts w:ascii="Times New Roman" w:hAnsi="Times New Roman" w:cs="Times New Roman"/>
          <w:sz w:val="24"/>
          <w:szCs w:val="24"/>
          <w:lang w:val="en-GB"/>
        </w:rPr>
        <w:t>remark</w:t>
      </w:r>
      <w:r w:rsidR="00760751" w:rsidRPr="002C3E85">
        <w:rPr>
          <w:rFonts w:ascii="Times New Roman" w:hAnsi="Times New Roman" w:cs="Times New Roman"/>
          <w:sz w:val="24"/>
          <w:szCs w:val="24"/>
          <w:lang w:val="en-GB"/>
        </w:rPr>
        <w:t xml:space="preserve"> </w:t>
      </w:r>
      <w:r w:rsidR="002C46B1" w:rsidRPr="002C3E85">
        <w:rPr>
          <w:rFonts w:ascii="Times New Roman" w:hAnsi="Times New Roman" w:cs="Times New Roman"/>
          <w:sz w:val="24"/>
          <w:szCs w:val="24"/>
          <w:lang w:val="en-GB"/>
        </w:rPr>
        <w:t xml:space="preserve">that </w:t>
      </w:r>
      <w:r w:rsidR="004F5959" w:rsidRPr="002C3E85">
        <w:rPr>
          <w:rFonts w:ascii="Times New Roman" w:hAnsi="Times New Roman" w:cs="Times New Roman"/>
          <w:sz w:val="24"/>
          <w:szCs w:val="24"/>
          <w:lang w:val="en-GB"/>
        </w:rPr>
        <w:t xml:space="preserve">early </w:t>
      </w:r>
      <w:r w:rsidR="002C46B1" w:rsidRPr="002C3E85">
        <w:rPr>
          <w:rFonts w:ascii="Times New Roman" w:hAnsi="Times New Roman" w:cs="Times New Roman"/>
          <w:sz w:val="24"/>
          <w:szCs w:val="24"/>
          <w:lang w:val="en-GB"/>
        </w:rPr>
        <w:t xml:space="preserve">bilinguals tend </w:t>
      </w:r>
      <w:r w:rsidR="002C46B1" w:rsidRPr="002C3E85">
        <w:rPr>
          <w:rFonts w:ascii="Times New Roman" w:hAnsi="Times New Roman" w:cs="Times New Roman"/>
          <w:sz w:val="24"/>
          <w:szCs w:val="24"/>
          <w:lang w:val="en-GB"/>
        </w:rPr>
        <w:lastRenderedPageBreak/>
        <w:t xml:space="preserve">to have </w:t>
      </w:r>
      <w:r w:rsidR="00C439F4" w:rsidRPr="002C3E85">
        <w:rPr>
          <w:rFonts w:ascii="Times New Roman" w:hAnsi="Times New Roman" w:cs="Times New Roman"/>
          <w:sz w:val="24"/>
          <w:szCs w:val="24"/>
          <w:lang w:val="en-GB"/>
        </w:rPr>
        <w:t xml:space="preserve">bilaterally </w:t>
      </w:r>
      <w:r w:rsidR="002C46B1" w:rsidRPr="002C3E85">
        <w:rPr>
          <w:rFonts w:ascii="Times New Roman" w:hAnsi="Times New Roman" w:cs="Times New Roman"/>
          <w:sz w:val="24"/>
          <w:szCs w:val="24"/>
          <w:lang w:val="en-GB"/>
        </w:rPr>
        <w:t>larger</w:t>
      </w:r>
      <w:r w:rsidR="004F5959" w:rsidRPr="002C3E85">
        <w:rPr>
          <w:rFonts w:ascii="Times New Roman" w:hAnsi="Times New Roman" w:cs="Times New Roman"/>
          <w:sz w:val="24"/>
          <w:szCs w:val="24"/>
          <w:lang w:val="en-GB"/>
        </w:rPr>
        <w:t xml:space="preserve"> </w:t>
      </w:r>
      <w:r w:rsidR="00B20182" w:rsidRPr="002C3E85">
        <w:rPr>
          <w:rFonts w:ascii="Times New Roman" w:hAnsi="Times New Roman" w:cs="Times New Roman"/>
          <w:sz w:val="24"/>
          <w:szCs w:val="24"/>
          <w:lang w:val="en-GB"/>
        </w:rPr>
        <w:t xml:space="preserve">Heschl's gyrus volume compared to monolinguals </w:t>
      </w:r>
      <w:r w:rsidR="00B20182"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"10.1523/JNEUROSCI.1996-12.2012", "ISSN" : "1529-2401", "PMID" : "23175815", "abstract" : "Two studies (Golestani et al., 2007; Wong et al., 2008) have reported a positive correlation between the ability to perceive foreign speech sounds and the volume of Heschl's gyrus (HG), the structure that houses the auditory cortex. More precisely, participants with larger left Heschl's gyri learned consonantal or tonal contrasts faster than those with smaller HG. These studies leave open the question of the impact of experience on HG volumes. In the current research, we investigated the effect of early language exposure on Heschl's gyrus by comparing Spanish-Catalan bilinguals who have been exposed to two languages since childhood, to a group of Spanish monolinguals matched in education, socio-economic status, and musical experience. Manual volumetric measurements of HG revealed that bilinguals have, on average, larger Heschl's gyri than monolinguals. This was corroborated, for the left Heschl's gyrus, by a voxel-based morphometry analysis showing larger gray matter volumes in bilinguals than in monolinguals. Since the bilinguals in this study were not a self-selected group, this observation provides a clear demonstration that learning a second language is a causal factor in the increased size of the auditory cortex.", "author" : [ { "dropping-particle" : "", "family" : "Ressel", "given" : "Volker", "non-dropping-particle" : "", "parse-names" : false, "suffix" : "" }, { "dropping-particle" : "", "family" : "Pallier", "given" : "Christophe", "non-dropping-particle" : "", "parse-names" : false, "suffix" : "" }, { "dropping-particle" : "", "family" : "Ventura-Campos", "given" : "Noelia", "non-dropping-particle" : "", "parse-names" : false, "suffix" : "" }, { "dropping-particle" : "", "family" : "D\u00edaz", "given" : "Bego\u00f1a", "non-dropping-particle" : "", "parse-names" : false, "suffix" : "" }, { "dropping-particle" : "", "family" : "Roessler", "given" : "Abeba", "non-dropping-particle" : "", "parse-names" : false, "suffix" : "" }, { "dropping-particle" : "", "family" : "\u00c1vila", "given" : "C\u00e9sar", "non-dropping-particle" : "", "parse-names" : false, "suffix" : "" }, { "dropping-particle" : "", "family" : "Sebasti\u00e1n-Gall\u00e9s", "given" : "N\u00faria", "non-dropping-particle" : "", "parse-names" : false, "suffix" : "" } ], "container-title" : "The Journal of neuroscience : the official journal of the Society for Neuroscience", "id" : "ITEM-1", "issue" : "47", "issued" : { "date-parts" : [ [ "2012", "11", "21" ] ] }, "page" : "16597-601", "publisher" : "Society for Neuroscience", "title" : "An effect of bilingualism on the auditory cortex.", "type" : "article-journal", "volume" : "32" }, "uris" : [ "http://www.mendeley.com/documents/?uuid=0f05f17b-efd1-3fbc-87e8-6c52878ef08a" ] } ], "mendeley" : { "formattedCitation" : "(Ressel et al., 2012)", "plainTextFormattedCitation" : "(Ressel et al., 2012)", "previouslyFormattedCitation" : "(Ressel et al., 2012)" }, "properties" : {  }, "schema" : "https://github.com/citation-style-language/schema/raw/master/csl-citation.json" }</w:instrText>
      </w:r>
      <w:r w:rsidR="00B20182" w:rsidRPr="002C3E85">
        <w:rPr>
          <w:rFonts w:ascii="Times New Roman" w:hAnsi="Times New Roman" w:cs="Times New Roman"/>
          <w:sz w:val="24"/>
          <w:szCs w:val="24"/>
          <w:lang w:val="en-GB"/>
        </w:rPr>
        <w:fldChar w:fldCharType="separate"/>
      </w:r>
      <w:r w:rsidR="00B20182" w:rsidRPr="002C3E85">
        <w:rPr>
          <w:rFonts w:ascii="Times New Roman" w:hAnsi="Times New Roman" w:cs="Times New Roman"/>
          <w:noProof/>
          <w:sz w:val="24"/>
          <w:szCs w:val="24"/>
          <w:lang w:val="en-GB"/>
        </w:rPr>
        <w:t>(Ressel et al., 2012)</w:t>
      </w:r>
      <w:r w:rsidR="00B20182" w:rsidRPr="002C3E85">
        <w:rPr>
          <w:rFonts w:ascii="Times New Roman" w:hAnsi="Times New Roman" w:cs="Times New Roman"/>
          <w:sz w:val="24"/>
          <w:szCs w:val="24"/>
          <w:lang w:val="en-GB"/>
        </w:rPr>
        <w:fldChar w:fldCharType="end"/>
      </w:r>
      <w:r w:rsidR="004F5959" w:rsidRPr="002C3E85">
        <w:rPr>
          <w:rFonts w:ascii="Times New Roman" w:hAnsi="Times New Roman" w:cs="Times New Roman"/>
          <w:sz w:val="24"/>
          <w:szCs w:val="24"/>
          <w:lang w:val="en-GB"/>
        </w:rPr>
        <w:t>.</w:t>
      </w:r>
      <w:r w:rsidR="00C439F4" w:rsidRPr="002C3E85">
        <w:rPr>
          <w:rFonts w:ascii="Times New Roman" w:hAnsi="Times New Roman" w:cs="Times New Roman"/>
          <w:sz w:val="24"/>
          <w:szCs w:val="24"/>
          <w:lang w:val="en-GB"/>
        </w:rPr>
        <w:t xml:space="preserve"> </w:t>
      </w:r>
      <w:r w:rsidR="00BD53A9" w:rsidRPr="002C3E85">
        <w:rPr>
          <w:rFonts w:ascii="Times New Roman" w:hAnsi="Times New Roman" w:cs="Times New Roman"/>
          <w:sz w:val="24"/>
          <w:szCs w:val="24"/>
          <w:lang w:val="en-GB"/>
        </w:rPr>
        <w:t xml:space="preserve">Since the right Heschl's gyrus has been implied in e.g. spectral sound perception </w:t>
      </w:r>
      <w:r w:rsidR="00BD53A9"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"10.1038/nn1530", "ISSN" : "1097-6256", "PMID" : "16116442", "abstract" : "The relative pitch of harmonic complex sounds, such as instrumental sounds, may be perceived by decoding either the fundamental pitch (f0) or the spectral pitch (fSP) of the stimuli. We classified a large cohort of 420 subjects including symphony orchestra musicians to be either f0 or fSP listeners, depending on the dominant perceptual mode. In a subgroup of 87 subjects, MRI (magnetic resonance imaging) and magnetoencephalography studies demonstrated a strong neural basis for both types of pitch perception irrespective of musical aptitude. Compared with f0 listeners, fSP listeners possessed a pronounced rightward, rather than leftward, asymmetry of gray matter volume and P50m activity within the pitch-sensitive lateral Heschl's gyrus. Our data link relative hemispheric lateralization with perceptual stimulus properties, whereas the absolute size of the Heschl's gyrus depends on musical aptitude.", "author" : [ { "dropping-particle" : "", "family" : "Schneider", "given" : "Peter", "non-dropping-particle" : "", "parse-names" : false, "suffix" : "" }, { "dropping-particle" : "", "family" : "Sluming", "given" : "Vanessa", "non-dropping-particle" : "", "parse-names" : false, "suffix" : "" }, { "dropping-particle" : "", "family" : "Roberts", "given" : "Neil", "non-dropping-particle" : "", "parse-names" : false, "suffix" : "" }, { "dropping-particle" : "", "family" : "Scherg", "given" : "Michael", "non-dropping-particle" : "", "parse-names" : false, "suffix" : "" }, { "dropping-particle" : "", "family" : "Goebel", "given" : "Rainer", "non-dropping-particle" : "", "parse-names" : false, "suffix" : "" }, { "dropping-particle" : "", "family" : "Specht", "given" : "Hans J", "non-dropping-particle" : "", "parse-names" : false, "suffix" : "" }, { "dropping-particle" : "", "family" : "Dosch", "given" : "H G\u00fcnter", "non-dropping-particle" : "", "parse-names" : false, "suffix" : "" }, { "dropping-particle" : "", "family" : "Bleeck", "given" : "Stefan", "non-dropping-particle" : "", "parse-names" : false, "suffix" : "" }, { "dropping-particle" : "", "family" : "Stippich", "given" : "Christoph", "non-dropping-particle" : "", "parse-names" : false, "suffix" : "" }, { "dropping-particle" : "", "family" : "Rupp", "given" : "Andr\u00e9", "non-dropping-particle" : "", "parse-names" : false, "suffix" : "" } ], "container-title" : "Nature Neuroscience", "id" : "ITEM-1", "issue" : "9", "issued" : { "date-parts" : [ [ "2005", "9", "21" ] ] }, "page" : "1241-1247", "title" : "Structural and functional asymmetry of lateral Heschl's gyrus reflects pitch perception preference", "type" : "article-journal", "volume" : "8" }, "uris" : [ "http://www.mendeley.com/documents/?uuid=8e3e881c-3136-32da-88c9-091f5f1df547" ] } ], "mendeley" : { "formattedCitation" : "(Schneider et al., 2005)", "plainTextFormattedCitation" : "(Schneider et al., 2005)", "previouslyFormattedCitation" : "(Schneider et al., 2005)" }, "properties" : {  }, "schema" : "https://github.com/citation-style-language/schema/raw/master/csl-citation.json" }</w:instrText>
      </w:r>
      <w:r w:rsidR="00BD53A9" w:rsidRPr="002C3E85">
        <w:rPr>
          <w:rFonts w:ascii="Times New Roman" w:hAnsi="Times New Roman" w:cs="Times New Roman"/>
          <w:sz w:val="24"/>
          <w:szCs w:val="24"/>
          <w:lang w:val="en-GB"/>
        </w:rPr>
        <w:fldChar w:fldCharType="separate"/>
      </w:r>
      <w:r w:rsidR="00BD53A9" w:rsidRPr="002C3E85">
        <w:rPr>
          <w:rFonts w:ascii="Times New Roman" w:hAnsi="Times New Roman" w:cs="Times New Roman"/>
          <w:noProof/>
          <w:sz w:val="24"/>
          <w:szCs w:val="24"/>
          <w:lang w:val="en-GB"/>
        </w:rPr>
        <w:t>(Schneider et al., 2005)</w:t>
      </w:r>
      <w:r w:rsidR="00BD53A9" w:rsidRPr="002C3E85">
        <w:rPr>
          <w:rFonts w:ascii="Times New Roman" w:hAnsi="Times New Roman" w:cs="Times New Roman"/>
          <w:sz w:val="24"/>
          <w:szCs w:val="24"/>
          <w:lang w:val="en-GB"/>
        </w:rPr>
        <w:fldChar w:fldCharType="end"/>
      </w:r>
      <w:r w:rsidR="00BD53A9" w:rsidRPr="002C3E85">
        <w:rPr>
          <w:rFonts w:ascii="Times New Roman" w:hAnsi="Times New Roman" w:cs="Times New Roman"/>
          <w:sz w:val="24"/>
          <w:szCs w:val="24"/>
          <w:lang w:val="en-GB"/>
        </w:rPr>
        <w:t>, this effect</w:t>
      </w:r>
      <w:r w:rsidR="00360BEE" w:rsidRPr="002C3E85">
        <w:rPr>
          <w:rFonts w:ascii="Times New Roman" w:hAnsi="Times New Roman" w:cs="Times New Roman"/>
          <w:sz w:val="24"/>
          <w:szCs w:val="24"/>
          <w:lang w:val="en-GB"/>
        </w:rPr>
        <w:t xml:space="preserve">, like the </w:t>
      </w:r>
      <w:r w:rsidR="00DD0D44" w:rsidRPr="002C3E85">
        <w:rPr>
          <w:rFonts w:ascii="Times New Roman" w:hAnsi="Times New Roman" w:cs="Times New Roman"/>
          <w:sz w:val="24"/>
          <w:szCs w:val="24"/>
          <w:lang w:val="en-GB"/>
        </w:rPr>
        <w:t>between-group</w:t>
      </w:r>
      <w:r w:rsidR="00360BEE" w:rsidRPr="002C3E85">
        <w:rPr>
          <w:rFonts w:ascii="Times New Roman" w:hAnsi="Times New Roman" w:cs="Times New Roman"/>
          <w:sz w:val="24"/>
          <w:szCs w:val="24"/>
          <w:lang w:val="en-GB"/>
        </w:rPr>
        <w:t xml:space="preserve"> surface area difference over the left POp,</w:t>
      </w:r>
      <w:r w:rsidR="00BD53A9" w:rsidRPr="002C3E85">
        <w:rPr>
          <w:rFonts w:ascii="Times New Roman" w:hAnsi="Times New Roman" w:cs="Times New Roman"/>
          <w:sz w:val="24"/>
          <w:szCs w:val="24"/>
          <w:lang w:val="en-GB"/>
        </w:rPr>
        <w:t xml:space="preserve"> could be </w:t>
      </w:r>
      <w:r w:rsidR="007B3947" w:rsidRPr="002C3E85">
        <w:rPr>
          <w:rFonts w:ascii="Times New Roman" w:hAnsi="Times New Roman" w:cs="Times New Roman"/>
          <w:sz w:val="24"/>
          <w:szCs w:val="24"/>
          <w:lang w:val="en-GB"/>
        </w:rPr>
        <w:t>linked to</w:t>
      </w:r>
      <w:r w:rsidR="00BD53A9" w:rsidRPr="002C3E85">
        <w:rPr>
          <w:rFonts w:ascii="Times New Roman" w:hAnsi="Times New Roman" w:cs="Times New Roman"/>
          <w:sz w:val="24"/>
          <w:szCs w:val="24"/>
          <w:lang w:val="en-GB"/>
        </w:rPr>
        <w:t xml:space="preserve"> bilingualism-induced increased phonological processing demands. </w:t>
      </w:r>
      <w:r w:rsidR="0088480C" w:rsidRPr="002C3E85">
        <w:rPr>
          <w:rFonts w:ascii="Times New Roman" w:hAnsi="Times New Roman" w:cs="Times New Roman"/>
          <w:sz w:val="24"/>
          <w:szCs w:val="24"/>
          <w:lang w:val="en-GB"/>
        </w:rPr>
        <w:t xml:space="preserve">It is important to remember, however, that </w:t>
      </w:r>
      <w:r w:rsidR="001A358B" w:rsidRPr="002C3E85">
        <w:rPr>
          <w:rFonts w:ascii="Times New Roman" w:hAnsi="Times New Roman" w:cs="Times New Roman"/>
          <w:sz w:val="24"/>
          <w:szCs w:val="24"/>
          <w:lang w:val="en-GB"/>
        </w:rPr>
        <w:t>the</w:t>
      </w:r>
      <w:r w:rsidR="0088480C" w:rsidRPr="002C3E85">
        <w:rPr>
          <w:rFonts w:ascii="Times New Roman" w:hAnsi="Times New Roman" w:cs="Times New Roman"/>
          <w:sz w:val="24"/>
          <w:szCs w:val="24"/>
          <w:lang w:val="en-GB"/>
        </w:rPr>
        <w:t xml:space="preserve"> used STG ROI</w:t>
      </w:r>
      <w:r w:rsidR="001A358B" w:rsidRPr="002C3E85">
        <w:rPr>
          <w:rFonts w:ascii="Times New Roman" w:hAnsi="Times New Roman" w:cs="Times New Roman"/>
          <w:sz w:val="24"/>
          <w:szCs w:val="24"/>
          <w:lang w:val="en-GB"/>
        </w:rPr>
        <w:t xml:space="preserve"> encompassed </w:t>
      </w:r>
      <w:r w:rsidR="00357291" w:rsidRPr="002C3E85">
        <w:rPr>
          <w:rFonts w:ascii="Times New Roman" w:hAnsi="Times New Roman" w:cs="Times New Roman"/>
          <w:sz w:val="24"/>
          <w:szCs w:val="24"/>
          <w:lang w:val="en-GB"/>
        </w:rPr>
        <w:t>also the frontal parts of the STG</w:t>
      </w:r>
      <w:r w:rsidR="0088480C" w:rsidRPr="002C3E85">
        <w:rPr>
          <w:rFonts w:ascii="Times New Roman" w:hAnsi="Times New Roman" w:cs="Times New Roman"/>
          <w:sz w:val="24"/>
          <w:szCs w:val="24"/>
          <w:lang w:val="en-GB"/>
        </w:rPr>
        <w:t xml:space="preserve"> and </w:t>
      </w:r>
      <w:r w:rsidR="00C562C6" w:rsidRPr="002C3E85">
        <w:rPr>
          <w:rFonts w:ascii="Times New Roman" w:hAnsi="Times New Roman" w:cs="Times New Roman"/>
          <w:sz w:val="24"/>
          <w:szCs w:val="24"/>
          <w:lang w:val="en-GB"/>
        </w:rPr>
        <w:t>therefore</w:t>
      </w:r>
      <w:r w:rsidR="0088480C" w:rsidRPr="002C3E85">
        <w:rPr>
          <w:rFonts w:ascii="Times New Roman" w:hAnsi="Times New Roman" w:cs="Times New Roman"/>
          <w:sz w:val="24"/>
          <w:szCs w:val="24"/>
          <w:lang w:val="en-GB"/>
        </w:rPr>
        <w:t xml:space="preserve"> it is not possible to delineate whether the </w:t>
      </w:r>
      <w:r w:rsidR="0080671E" w:rsidRPr="002C3E85">
        <w:rPr>
          <w:rFonts w:ascii="Times New Roman" w:hAnsi="Times New Roman" w:cs="Times New Roman"/>
          <w:sz w:val="24"/>
          <w:szCs w:val="24"/>
          <w:lang w:val="en-GB"/>
        </w:rPr>
        <w:t xml:space="preserve">observed </w:t>
      </w:r>
      <w:r w:rsidR="0088480C" w:rsidRPr="002C3E85">
        <w:rPr>
          <w:rFonts w:ascii="Times New Roman" w:hAnsi="Times New Roman" w:cs="Times New Roman"/>
          <w:sz w:val="24"/>
          <w:szCs w:val="24"/>
          <w:lang w:val="en-GB"/>
        </w:rPr>
        <w:t xml:space="preserve">effect is due to areal expansion in </w:t>
      </w:r>
      <w:r w:rsidR="005B6617" w:rsidRPr="002C3E85">
        <w:rPr>
          <w:rFonts w:ascii="Times New Roman" w:hAnsi="Times New Roman" w:cs="Times New Roman"/>
          <w:sz w:val="24"/>
          <w:szCs w:val="24"/>
          <w:lang w:val="en-GB"/>
        </w:rPr>
        <w:t xml:space="preserve">Heschl's gyrus in particular </w:t>
      </w:r>
      <w:r w:rsidR="0088480C" w:rsidRPr="002C3E85">
        <w:rPr>
          <w:rFonts w:ascii="Times New Roman" w:hAnsi="Times New Roman" w:cs="Times New Roman"/>
          <w:sz w:val="24"/>
          <w:szCs w:val="24"/>
          <w:lang w:val="en-GB"/>
        </w:rPr>
        <w:t xml:space="preserve">or rather reflects expansion of the right STG as a whole. </w:t>
      </w:r>
      <w:r w:rsidR="005C6108" w:rsidRPr="002C3E85">
        <w:rPr>
          <w:rFonts w:ascii="Times New Roman" w:hAnsi="Times New Roman" w:cs="Times New Roman"/>
          <w:sz w:val="24"/>
          <w:szCs w:val="24"/>
          <w:lang w:val="en-GB"/>
        </w:rPr>
        <w:t>Second, t</w:t>
      </w:r>
      <w:r w:rsidR="008E003E" w:rsidRPr="002C3E85">
        <w:rPr>
          <w:rFonts w:ascii="Times New Roman" w:hAnsi="Times New Roman" w:cs="Times New Roman"/>
          <w:sz w:val="24"/>
          <w:szCs w:val="24"/>
          <w:lang w:val="en-GB"/>
        </w:rPr>
        <w:t>aking the limitations of the</w:t>
      </w:r>
      <w:r w:rsidR="00345979" w:rsidRPr="002C3E85">
        <w:rPr>
          <w:rFonts w:ascii="Times New Roman" w:hAnsi="Times New Roman" w:cs="Times New Roman"/>
          <w:sz w:val="24"/>
          <w:szCs w:val="24"/>
          <w:lang w:val="en-GB"/>
        </w:rPr>
        <w:t xml:space="preserve"> used</w:t>
      </w:r>
      <w:r w:rsidR="008E003E" w:rsidRPr="002C3E85">
        <w:rPr>
          <w:rFonts w:ascii="Times New Roman" w:hAnsi="Times New Roman" w:cs="Times New Roman"/>
          <w:sz w:val="24"/>
          <w:szCs w:val="24"/>
          <w:lang w:val="en-GB"/>
        </w:rPr>
        <w:t xml:space="preserve"> ROI-approach into account, the </w:t>
      </w:r>
      <w:r w:rsidR="004064EB" w:rsidRPr="002C3E85">
        <w:rPr>
          <w:rFonts w:ascii="Times New Roman" w:hAnsi="Times New Roman" w:cs="Times New Roman"/>
          <w:sz w:val="24"/>
          <w:szCs w:val="24"/>
          <w:lang w:val="en-GB"/>
        </w:rPr>
        <w:t xml:space="preserve">enlarged cortical surface area over the right STG could be related to the fact that bilinguals typically exhibit more bilateral functional activations in linguistic </w:t>
      </w:r>
      <w:r w:rsidR="004064EB" w:rsidRPr="002C3E85">
        <w:rPr>
          <w:rFonts w:ascii="Times New Roman" w:hAnsi="Times New Roman" w:cs="Times New Roman"/>
          <w:sz w:val="24"/>
          <w:szCs w:val="24"/>
          <w:lang w:val="en-GB"/>
        </w:rPr>
        <w:lastRenderedPageBreak/>
        <w:t xml:space="preserve">tasks in general compared to monolinguals </w:t>
      </w:r>
      <w:r w:rsidR="004064EB"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"author" : [ { "dropping-particle" : "", "family" : "Hull", "given" : "Rachel", "non-dropping-particle" : "", "parse-names" : false, "suffix" : "" }, { "dropping-particle" : "", "family" : "Vaid", "given" : "Jyotsna", "non-dropping-particle" : "", "parse-names" : false, "suffix" : "" } ], "container-title" : "Neuropsychologia", "id" : "ITEM-1", "issue" : "9", "issued" : { "date-parts" : [ [ "2007" ] ] }, "page" : "1987-2008", "title" : "Bilingual language lateralization: A meta-analytic tale of two hemispheres", "type" : "article-journal", "volume" : "45" }, "uris" : [ "http://www.mendeley.com/documents/?uuid=8f85e2e4-b91d-4315-9d16-9538e06afa79" ] } ], "mendeley" : { "formattedCitation" : "(Hull and Vaid, 2007)", "manualFormatting" : "(for review, see e.g. Hull and Vaid, 2007)", "plainTextFormattedCitation" : "(Hull and Vaid, 2007)", "previouslyFormattedCitation" : "(Hull and Vaid, 2007)" }, "properties" : {  }, "schema" : "https://github.com/citation-style-language/schema/raw/master/csl-citation.json" }</w:instrText>
      </w:r>
      <w:r w:rsidR="004064EB" w:rsidRPr="002C3E85">
        <w:rPr>
          <w:rFonts w:ascii="Times New Roman" w:hAnsi="Times New Roman" w:cs="Times New Roman"/>
          <w:sz w:val="24"/>
          <w:szCs w:val="24"/>
          <w:lang w:val="en-GB"/>
        </w:rPr>
        <w:fldChar w:fldCharType="separate"/>
      </w:r>
      <w:r w:rsidR="004064EB" w:rsidRPr="002C3E85">
        <w:rPr>
          <w:rFonts w:ascii="Times New Roman" w:hAnsi="Times New Roman" w:cs="Times New Roman"/>
          <w:noProof/>
          <w:sz w:val="24"/>
          <w:szCs w:val="24"/>
          <w:lang w:val="en-GB"/>
        </w:rPr>
        <w:t>(for review, see e.g. Hull and Vaid, 2007)</w:t>
      </w:r>
      <w:r w:rsidR="004064EB" w:rsidRPr="002C3E85">
        <w:rPr>
          <w:rFonts w:ascii="Times New Roman" w:hAnsi="Times New Roman" w:cs="Times New Roman"/>
          <w:sz w:val="24"/>
          <w:szCs w:val="24"/>
          <w:lang w:val="en-GB"/>
        </w:rPr>
        <w:fldChar w:fldCharType="end"/>
      </w:r>
      <w:r w:rsidR="004064EB" w:rsidRPr="002C3E85">
        <w:rPr>
          <w:rFonts w:ascii="Times New Roman" w:hAnsi="Times New Roman" w:cs="Times New Roman"/>
          <w:sz w:val="24"/>
          <w:szCs w:val="24"/>
          <w:lang w:val="en-GB"/>
        </w:rPr>
        <w:t xml:space="preserve">. Along these lines, the </w:t>
      </w:r>
      <w:r w:rsidR="00832587" w:rsidRPr="002C3E85">
        <w:rPr>
          <w:rFonts w:ascii="Times New Roman" w:hAnsi="Times New Roman" w:cs="Times New Roman"/>
          <w:sz w:val="24"/>
          <w:szCs w:val="24"/>
          <w:lang w:val="en-GB"/>
        </w:rPr>
        <w:t xml:space="preserve">current </w:t>
      </w:r>
      <w:r w:rsidR="004064EB" w:rsidRPr="002C3E85">
        <w:rPr>
          <w:rFonts w:ascii="Times New Roman" w:hAnsi="Times New Roman" w:cs="Times New Roman"/>
          <w:sz w:val="24"/>
          <w:szCs w:val="24"/>
          <w:lang w:val="en-GB"/>
        </w:rPr>
        <w:t xml:space="preserve">effect could reflect </w:t>
      </w:r>
      <w:r w:rsidR="008E003E" w:rsidRPr="002C3E85">
        <w:rPr>
          <w:rFonts w:ascii="Times New Roman" w:hAnsi="Times New Roman" w:cs="Times New Roman"/>
          <w:sz w:val="24"/>
          <w:szCs w:val="24"/>
          <w:lang w:val="en-GB"/>
        </w:rPr>
        <w:t>a more bilaterally balanced</w:t>
      </w:r>
      <w:r w:rsidR="00832587" w:rsidRPr="002C3E85">
        <w:rPr>
          <w:rFonts w:ascii="Times New Roman" w:hAnsi="Times New Roman" w:cs="Times New Roman"/>
          <w:sz w:val="24"/>
          <w:szCs w:val="24"/>
          <w:lang w:val="en-GB"/>
        </w:rPr>
        <w:t xml:space="preserve"> phonological/auditory</w:t>
      </w:r>
      <w:r w:rsidR="00BB41B0" w:rsidRPr="002C3E85">
        <w:rPr>
          <w:rFonts w:ascii="Times New Roman" w:hAnsi="Times New Roman" w:cs="Times New Roman"/>
          <w:sz w:val="24"/>
          <w:szCs w:val="24"/>
          <w:lang w:val="en-GB"/>
        </w:rPr>
        <w:t xml:space="preserve"> (due to STG housing auditory processing areas)</w:t>
      </w:r>
      <w:r w:rsidR="008E003E" w:rsidRPr="002C3E85">
        <w:rPr>
          <w:rFonts w:ascii="Times New Roman" w:hAnsi="Times New Roman" w:cs="Times New Roman"/>
          <w:sz w:val="24"/>
          <w:szCs w:val="24"/>
          <w:lang w:val="en-GB"/>
        </w:rPr>
        <w:t xml:space="preserve"> language processing configuration for early vs. late bilinguals.</w:t>
      </w:r>
      <w:r w:rsidR="00832587" w:rsidRPr="002C3E85">
        <w:rPr>
          <w:rFonts w:ascii="Times New Roman" w:hAnsi="Times New Roman" w:cs="Times New Roman"/>
          <w:sz w:val="24"/>
          <w:szCs w:val="24"/>
          <w:lang w:val="en-GB"/>
        </w:rPr>
        <w:t xml:space="preserve"> </w:t>
      </w:r>
      <w:r w:rsidR="00B60F6B" w:rsidRPr="002C3E85">
        <w:rPr>
          <w:rFonts w:ascii="Times New Roman" w:hAnsi="Times New Roman" w:cs="Times New Roman"/>
          <w:sz w:val="24"/>
          <w:szCs w:val="24"/>
          <w:lang w:val="en-GB"/>
        </w:rPr>
        <w:t>Notably,</w:t>
      </w:r>
      <w:r w:rsidR="00D6325C" w:rsidRPr="002C3E85">
        <w:rPr>
          <w:rFonts w:ascii="Times New Roman" w:hAnsi="Times New Roman" w:cs="Times New Roman"/>
          <w:sz w:val="24"/>
          <w:szCs w:val="24"/>
          <w:lang w:val="en-GB"/>
        </w:rPr>
        <w:t xml:space="preserve"> </w:t>
      </w:r>
      <w:r w:rsidR="007B7219" w:rsidRPr="002C3E85">
        <w:rPr>
          <w:rFonts w:ascii="Times New Roman" w:hAnsi="Times New Roman" w:cs="Times New Roman"/>
          <w:sz w:val="24"/>
          <w:szCs w:val="24"/>
          <w:lang w:val="en-GB"/>
        </w:rPr>
        <w:t xml:space="preserve">unlike the surface area </w:t>
      </w:r>
      <w:r w:rsidR="00B60F6B" w:rsidRPr="002C3E85">
        <w:rPr>
          <w:rFonts w:ascii="Times New Roman" w:hAnsi="Times New Roman" w:cs="Times New Roman"/>
          <w:sz w:val="24"/>
          <w:szCs w:val="24"/>
          <w:lang w:val="en-GB"/>
        </w:rPr>
        <w:t>difference</w:t>
      </w:r>
      <w:r w:rsidR="007B7219" w:rsidRPr="002C3E85">
        <w:rPr>
          <w:rFonts w:ascii="Times New Roman" w:hAnsi="Times New Roman" w:cs="Times New Roman"/>
          <w:sz w:val="24"/>
          <w:szCs w:val="24"/>
          <w:lang w:val="en-GB"/>
        </w:rPr>
        <w:t xml:space="preserve"> over the left POp, </w:t>
      </w:r>
      <w:r w:rsidR="00B60F6B" w:rsidRPr="002C3E85">
        <w:rPr>
          <w:rFonts w:ascii="Times New Roman" w:hAnsi="Times New Roman" w:cs="Times New Roman"/>
          <w:sz w:val="24"/>
          <w:szCs w:val="24"/>
          <w:lang w:val="en-GB"/>
        </w:rPr>
        <w:t>this</w:t>
      </w:r>
      <w:r w:rsidR="000623B6" w:rsidRPr="002C3E85">
        <w:rPr>
          <w:rFonts w:ascii="Times New Roman" w:hAnsi="Times New Roman" w:cs="Times New Roman"/>
          <w:sz w:val="24"/>
          <w:szCs w:val="24"/>
          <w:lang w:val="en-GB"/>
        </w:rPr>
        <w:t xml:space="preserve"> STG</w:t>
      </w:r>
      <w:r w:rsidR="00B60F6B" w:rsidRPr="002C3E85">
        <w:rPr>
          <w:rFonts w:ascii="Times New Roman" w:hAnsi="Times New Roman" w:cs="Times New Roman"/>
          <w:sz w:val="24"/>
          <w:szCs w:val="24"/>
          <w:lang w:val="en-GB"/>
        </w:rPr>
        <w:t xml:space="preserve"> effect was not associated with a significant concomitant difference in volume between the groups. </w:t>
      </w:r>
      <w:r w:rsidR="008421EA" w:rsidRPr="002C3E85">
        <w:rPr>
          <w:rFonts w:ascii="Times New Roman" w:hAnsi="Times New Roman" w:cs="Times New Roman"/>
          <w:sz w:val="24"/>
          <w:szCs w:val="24"/>
          <w:lang w:val="en-GB"/>
        </w:rPr>
        <w:t xml:space="preserve">This demonstrates the benefit of investigating surface-based measures concurrently with volumetric analysis, as some aspects of </w:t>
      </w:r>
      <w:r w:rsidR="00887399" w:rsidRPr="002C3E85">
        <w:rPr>
          <w:rFonts w:ascii="Times New Roman" w:hAnsi="Times New Roman" w:cs="Times New Roman"/>
          <w:sz w:val="24"/>
          <w:szCs w:val="24"/>
          <w:lang w:val="en-GB"/>
        </w:rPr>
        <w:t xml:space="preserve">bilingualism-induced </w:t>
      </w:r>
      <w:r w:rsidR="008421EA" w:rsidRPr="002C3E85">
        <w:rPr>
          <w:rFonts w:ascii="Times New Roman" w:hAnsi="Times New Roman" w:cs="Times New Roman"/>
          <w:sz w:val="24"/>
          <w:szCs w:val="24"/>
          <w:lang w:val="en-GB"/>
        </w:rPr>
        <w:t xml:space="preserve">structural GM changes might be </w:t>
      </w:r>
      <w:r w:rsidR="001A6CBC" w:rsidRPr="002C3E85">
        <w:rPr>
          <w:rFonts w:ascii="Times New Roman" w:hAnsi="Times New Roman" w:cs="Times New Roman"/>
          <w:sz w:val="24"/>
          <w:szCs w:val="24"/>
          <w:lang w:val="en-GB"/>
        </w:rPr>
        <w:t>overlooked</w:t>
      </w:r>
      <w:r w:rsidR="008421EA" w:rsidRPr="002C3E85">
        <w:rPr>
          <w:rFonts w:ascii="Times New Roman" w:hAnsi="Times New Roman" w:cs="Times New Roman"/>
          <w:sz w:val="24"/>
          <w:szCs w:val="24"/>
          <w:lang w:val="en-GB"/>
        </w:rPr>
        <w:t xml:space="preserve"> by investigating GM volume differences</w:t>
      </w:r>
      <w:r w:rsidR="0076634C" w:rsidRPr="002C3E85">
        <w:rPr>
          <w:rFonts w:ascii="Times New Roman" w:hAnsi="Times New Roman" w:cs="Times New Roman"/>
          <w:sz w:val="24"/>
          <w:szCs w:val="24"/>
          <w:lang w:val="en-GB"/>
        </w:rPr>
        <w:t xml:space="preserve"> only</w:t>
      </w:r>
      <w:r w:rsidR="008421EA" w:rsidRPr="002C3E85">
        <w:rPr>
          <w:rFonts w:ascii="Times New Roman" w:hAnsi="Times New Roman" w:cs="Times New Roman"/>
          <w:sz w:val="24"/>
          <w:szCs w:val="24"/>
          <w:lang w:val="en-GB"/>
        </w:rPr>
        <w:t>.</w:t>
      </w:r>
      <w:r w:rsidR="008A20DD" w:rsidRPr="002C3E85">
        <w:rPr>
          <w:rFonts w:ascii="Times New Roman" w:hAnsi="Times New Roman" w:cs="Times New Roman"/>
          <w:sz w:val="24"/>
          <w:szCs w:val="24"/>
          <w:lang w:val="en-GB"/>
        </w:rPr>
        <w:t xml:space="preserve"> </w:t>
      </w:r>
    </w:p>
    <w:p w14:paraId="4B395390" w14:textId="77777777" w:rsidR="000E71C4" w:rsidRPr="002C3E85" w:rsidRDefault="000E71C4" w:rsidP="008421EA">
      <w:pPr>
        <w:spacing w:line="480" w:lineRule="auto"/>
        <w:jc w:val="both"/>
        <w:rPr>
          <w:rFonts w:ascii="Times New Roman" w:hAnsi="Times New Roman" w:cs="Times New Roman"/>
          <w:sz w:val="24"/>
          <w:szCs w:val="24"/>
          <w:lang w:val="en-GB"/>
        </w:rPr>
      </w:pPr>
    </w:p>
    <w:p w14:paraId="2000119C" w14:textId="3DB74DCF" w:rsidR="0044716C" w:rsidRPr="002C3E85" w:rsidRDefault="00323CF6"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lastRenderedPageBreak/>
        <w:t xml:space="preserve">While the </w:t>
      </w:r>
      <w:r w:rsidR="000F03B3" w:rsidRPr="002C3E85">
        <w:rPr>
          <w:rFonts w:ascii="Times New Roman" w:hAnsi="Times New Roman" w:cs="Times New Roman"/>
          <w:sz w:val="24"/>
          <w:szCs w:val="24"/>
          <w:lang w:val="en-GB"/>
        </w:rPr>
        <w:t>effects</w:t>
      </w:r>
      <w:r w:rsidRPr="002C3E85">
        <w:rPr>
          <w:rFonts w:ascii="Times New Roman" w:hAnsi="Times New Roman" w:cs="Times New Roman"/>
          <w:sz w:val="24"/>
          <w:szCs w:val="24"/>
          <w:lang w:val="en-GB"/>
        </w:rPr>
        <w:t xml:space="preserve"> discussed above</w:t>
      </w:r>
      <w:r w:rsidR="000F03B3" w:rsidRPr="002C3E85">
        <w:rPr>
          <w:rFonts w:ascii="Times New Roman" w:hAnsi="Times New Roman" w:cs="Times New Roman"/>
          <w:sz w:val="24"/>
          <w:szCs w:val="24"/>
          <w:lang w:val="en-GB"/>
        </w:rPr>
        <w:t xml:space="preserve"> a</w:t>
      </w:r>
      <w:r w:rsidR="00A95AAC" w:rsidRPr="002C3E85">
        <w:rPr>
          <w:rFonts w:ascii="Times New Roman" w:hAnsi="Times New Roman" w:cs="Times New Roman"/>
          <w:sz w:val="24"/>
          <w:szCs w:val="24"/>
          <w:lang w:val="en-GB"/>
        </w:rPr>
        <w:t xml:space="preserve">re in line with the first part of the tested hypothesis in </w:t>
      </w:r>
      <w:r w:rsidR="000E38ED" w:rsidRPr="002C3E85">
        <w:rPr>
          <w:rFonts w:ascii="Times New Roman" w:hAnsi="Times New Roman" w:cs="Times New Roman"/>
          <w:sz w:val="24"/>
          <w:szCs w:val="24"/>
          <w:lang w:val="en-GB"/>
        </w:rPr>
        <w:t>linking</w:t>
      </w:r>
      <w:r w:rsidR="00A95AAC" w:rsidRPr="002C3E85">
        <w:rPr>
          <w:rFonts w:ascii="Times New Roman" w:hAnsi="Times New Roman" w:cs="Times New Roman"/>
          <w:sz w:val="24"/>
          <w:szCs w:val="24"/>
          <w:lang w:val="en-GB"/>
        </w:rPr>
        <w:t xml:space="preserve"> early L2 exposure</w:t>
      </w:r>
      <w:r w:rsidR="000F03B3" w:rsidRPr="002C3E85">
        <w:rPr>
          <w:rFonts w:ascii="Times New Roman" w:hAnsi="Times New Roman" w:cs="Times New Roman"/>
          <w:sz w:val="24"/>
          <w:szCs w:val="24"/>
          <w:lang w:val="en-GB"/>
        </w:rPr>
        <w:t xml:space="preserve"> to </w:t>
      </w:r>
      <w:r w:rsidR="00A95AAC" w:rsidRPr="002C3E85">
        <w:rPr>
          <w:rFonts w:ascii="Times New Roman" w:hAnsi="Times New Roman" w:cs="Times New Roman"/>
          <w:sz w:val="24"/>
          <w:szCs w:val="24"/>
          <w:lang w:val="en-GB"/>
        </w:rPr>
        <w:t xml:space="preserve">cortical surface area modulations, </w:t>
      </w:r>
      <w:r w:rsidR="000F03B3" w:rsidRPr="002C3E85">
        <w:rPr>
          <w:rFonts w:ascii="Times New Roman" w:hAnsi="Times New Roman" w:cs="Times New Roman"/>
          <w:sz w:val="24"/>
          <w:szCs w:val="24"/>
          <w:lang w:val="en-GB"/>
        </w:rPr>
        <w:t xml:space="preserve">the validity of the </w:t>
      </w:r>
      <w:r w:rsidR="00DA0803" w:rsidRPr="002C3E85">
        <w:rPr>
          <w:rFonts w:ascii="Times New Roman" w:hAnsi="Times New Roman" w:cs="Times New Roman"/>
          <w:sz w:val="24"/>
          <w:szCs w:val="24"/>
          <w:lang w:val="en-GB"/>
        </w:rPr>
        <w:t xml:space="preserve">idea </w:t>
      </w:r>
      <w:r w:rsidR="004F346E" w:rsidRPr="002C3E85">
        <w:rPr>
          <w:rFonts w:ascii="Times New Roman" w:hAnsi="Times New Roman" w:cs="Times New Roman"/>
          <w:sz w:val="24"/>
          <w:szCs w:val="24"/>
          <w:lang w:val="en-GB"/>
        </w:rPr>
        <w:t>of</w:t>
      </w:r>
      <w:r w:rsidR="00DA0803" w:rsidRPr="002C3E85">
        <w:rPr>
          <w:rFonts w:ascii="Times New Roman" w:hAnsi="Times New Roman" w:cs="Times New Roman"/>
          <w:sz w:val="24"/>
          <w:szCs w:val="24"/>
          <w:lang w:val="en-GB"/>
        </w:rPr>
        <w:t xml:space="preserve"> </w:t>
      </w:r>
      <w:r w:rsidR="000F03B3" w:rsidRPr="002C3E85">
        <w:rPr>
          <w:rFonts w:ascii="Times New Roman" w:hAnsi="Times New Roman" w:cs="Times New Roman"/>
          <w:sz w:val="24"/>
          <w:szCs w:val="24"/>
          <w:lang w:val="en-GB"/>
        </w:rPr>
        <w:t xml:space="preserve">AoA-specific </w:t>
      </w:r>
      <w:r w:rsidR="004F346E" w:rsidRPr="002C3E85">
        <w:rPr>
          <w:rFonts w:ascii="Times New Roman" w:hAnsi="Times New Roman" w:cs="Times New Roman"/>
          <w:sz w:val="24"/>
          <w:szCs w:val="24"/>
          <w:lang w:val="en-GB"/>
        </w:rPr>
        <w:t>GM modulations</w:t>
      </w:r>
      <w:r w:rsidR="000F03B3" w:rsidRPr="002C3E85">
        <w:rPr>
          <w:rFonts w:ascii="Times New Roman" w:hAnsi="Times New Roman" w:cs="Times New Roman"/>
          <w:sz w:val="24"/>
          <w:szCs w:val="24"/>
          <w:lang w:val="en-GB"/>
        </w:rPr>
        <w:t xml:space="preserve"> as a whole remains </w:t>
      </w:r>
      <w:r w:rsidR="00B60D70" w:rsidRPr="002C3E85">
        <w:rPr>
          <w:rFonts w:ascii="Times New Roman" w:hAnsi="Times New Roman" w:cs="Times New Roman"/>
          <w:sz w:val="24"/>
          <w:szCs w:val="24"/>
          <w:lang w:val="en-GB"/>
        </w:rPr>
        <w:t>ambiguous:</w:t>
      </w:r>
      <w:r w:rsidR="000F03B3" w:rsidRPr="002C3E85">
        <w:rPr>
          <w:rFonts w:ascii="Times New Roman" w:hAnsi="Times New Roman" w:cs="Times New Roman"/>
          <w:sz w:val="24"/>
          <w:szCs w:val="24"/>
          <w:lang w:val="en-GB"/>
        </w:rPr>
        <w:t xml:space="preserve"> </w:t>
      </w:r>
      <w:r w:rsidR="00B60D70" w:rsidRPr="002C3E85">
        <w:rPr>
          <w:rFonts w:ascii="Times New Roman" w:hAnsi="Times New Roman" w:cs="Times New Roman"/>
          <w:sz w:val="24"/>
          <w:szCs w:val="24"/>
          <w:lang w:val="en-GB"/>
        </w:rPr>
        <w:t xml:space="preserve">contrary to the two previous SBA studies on bilingualism </w:t>
      </w:r>
      <w:r w:rsidR="00B60D70" w:rsidRPr="002C3E85">
        <w:rPr>
          <w:rFonts w:ascii="Times New Roman" w:hAnsi="Times New Roman" w:cs="Times New Roman"/>
          <w:sz w:val="24"/>
          <w:szCs w:val="24"/>
          <w:lang w:val="en-GB"/>
        </w:rPr>
        <w:fldChar w:fldCharType="begin" w:fldLock="1"/>
      </w:r>
      <w:r w:rsidR="00B41D73" w:rsidRPr="002C3E85">
        <w:rPr>
          <w:rFonts w:ascii="Times New Roman" w:hAnsi="Times New Roman" w:cs="Times New Roman"/>
          <w:sz w:val="24"/>
          <w:szCs w:val="24"/>
          <w:lang w:val="en-GB"/>
        </w:rPr>
        <w:instrText>ADDIN CSL_CITATION { "citationItems" : [ { "id" : "ITEM-1", "itemData" : { "DOI" : "10.1016/j.bandl.2013.05.014", "ISBN" : "1090-2155 (Electronic)\\r0093-934X (Linking)", "ISSN" : "10902155", "PMID" : "23819901", "abstract" : "We examined the effects of learning a second language (L2) on brain structure. Cortical thickness was measured in the MRI datasets of 22 monolinguals and 66 bilinguals. Some bilingual subjects had learned both languages simultaneously (0-3. years) while some had learned their L2 after achieving proficiency in their first language during either early (4-7. years) or late childhood (8-13. years). Later acquisition of L2 was associated with significantly thicker cortex in the left inferior frontal gyrus (IFG) and thinner cortex in the right IFG. These effects were seen in the group comparisons of monolinguals, simultaneous bilinguals and early and late bilinguals. Within the bilingual group, significant correlations between age of acquisition of L2 and cortical thickness were seen in the same regions: cortical thickness correlated with age of acquisition positively in the left IFG and negatively in the right IFG. Interestingly, the monolinguals and simultaneous bilinguals did not differ in cortical thickness in any region. Our results show that learning a second language after gaining proficiency in the first language modifies brain structure in an age-dependent manner whereas simultaneous acquisition of two languages has no additional effect on brain development. \u00a9 2013 Elsevier Inc.", "author" : [ { "dropping-particle" : "", "family" : "Klein", "given" : "Denise", "non-dropping-particle" : "", "parse-names" : false, "suffix" : "" }, { "dropping-particle" : "", "family" : "Mok", "given" : "Kelvin", "non-dropping-particle" : "", "parse-names" : false, "suffix" : "" }, { "dropping-particle" : "", "family" : "Chen", "given" : "Jen Kai", "non-dropping-particle" : "", "parse-names" : false, "suffix" : "" }, { "dropping-particle" : "", "family" : "Watkins", "given" : "Kate E.", "non-dropping-particle" : "", "parse-names" : false, "suffix" : "" } ], "container-title" : "Brain and Language", "id" : "ITEM-1", "issued" : { "date-parts" : [ [ "2014" ] ] }, "page" : "20-24", "title" : "Age of language learning shapes brain structure: A cortical thickness study of bilingual and monolingual individuals", "type" : "article-journal", "volume" : "131" }, "uris" : [ "http://www.mendeley.com/documents/?uuid=9c45a157-1e3e-346f-980b-c61bf8ec0511" ] }, { "id" : "ITEM-2", "itemData" : { "DOI" : "10.1016/j.neuroimage.2012.06.043", "ISSN" : "10538119", "abstract" : "The influence of adult foreign-language acquisition on human brain organization is poorly understood. We studied cortical thickness and hippocampal volumes of conscript interpreters before and after three months of intense language studies. Results revealed increases in hippocampus volume and in cortical thickness of the left middle frontal gyrus, inferior frontal gyrus, and superior temporal gyrus for interpreters relative to controls. The right hippocampus and the left superior temporal gyrus were structurally more malleable in interpreters acquiring higher proficiency in the foreign language. Interpreters struggling relatively more to master the language displayed larger gray matter increases in the middle frontal gyrus. These findings confirm structural changes in brain regions known to serve language functions during foreign-language acquisition.", "author" : [ { "dropping-particle" : "", "family" : "M\u00e5rtensson", "given" : "Johan", "non-dropping-particle" : "", "parse-names" : false, "suffix" : "" }, { "dropping-particle" : "", "family" : "Eriksson", "given" : "Johan", "non-dropping-particle" : "", "parse-names" : false, "suffix" : "" }, { "dropping-particle" : "", "family" : "Bodammer", "given" : "Nils Christian", "non-dropping-particle" : "", "parse-names" : false, "suffix" : "" }, { "dropping-particle" : "", "family" : "Lindgren", "given" : "Magnus", "non-dropping-particle" : "", "parse-names" : false, "suffix" : "" }, { "dropping-particle" : "", "family" : "Johansson", "given" : "Mikael", "non-dropping-particle" : "", "parse-names" : false, "suffix" : "" }, { "dropping-particle" : "", "family" : "Nyberg", "given" : "Lars", "non-dropping-particle" : "", "parse-names" : false, "suffix" : "" }, { "dropping-particle" : "", "family" : "L\u00f6vd\u00e9n", "given" : "Martin", "non-dropping-particle" : "", "parse-names" : false, "suffix" : "" } ], "container-title" : "NeuroImage", "id" : "ITEM-2", "issue" : "1", "issued" : { "date-parts" : [ [ "2012" ] ] }, "page" : "240-244", "title" : "Growth of language-related brain areas after foreign language learning", "type" : "article-journal", "volume" : "63" }, "uris" : [ "http://www.mendeley.com/documents/?uuid=1310e852-b331-352b-9ee9-b254c412c291" ] } ], "mendeley" : { "formattedCitation" : "(Klein et al., 2014; M\u00e5rtensson et al., 2012)", "plainTextFormattedCitation" : "(Klein et al., 2014; M\u00e5rtensson et al., 2012)", "previouslyFormattedCitation" : "(Klein et al., 2014; M\u00e5rtensson et al., 2012)" }, "properties" : {  }, "schema" : "https://github.com/citation-style-language/schema/raw/master/csl-citation.json" }</w:instrText>
      </w:r>
      <w:r w:rsidR="00B60D70" w:rsidRPr="002C3E85">
        <w:rPr>
          <w:rFonts w:ascii="Times New Roman" w:hAnsi="Times New Roman" w:cs="Times New Roman"/>
          <w:sz w:val="24"/>
          <w:szCs w:val="24"/>
          <w:lang w:val="en-GB"/>
        </w:rPr>
        <w:fldChar w:fldCharType="separate"/>
      </w:r>
      <w:r w:rsidR="00B60D70" w:rsidRPr="002C3E85">
        <w:rPr>
          <w:rFonts w:ascii="Times New Roman" w:hAnsi="Times New Roman" w:cs="Times New Roman"/>
          <w:noProof/>
          <w:sz w:val="24"/>
          <w:szCs w:val="24"/>
          <w:lang w:val="en-GB"/>
        </w:rPr>
        <w:t>(Klein et al., 2014; Mårtensson et al., 2012)</w:t>
      </w:r>
      <w:r w:rsidR="00B60D70" w:rsidRPr="002C3E85">
        <w:rPr>
          <w:rFonts w:ascii="Times New Roman" w:hAnsi="Times New Roman" w:cs="Times New Roman"/>
          <w:sz w:val="24"/>
          <w:szCs w:val="24"/>
          <w:lang w:val="en-GB"/>
        </w:rPr>
        <w:fldChar w:fldCharType="end"/>
      </w:r>
      <w:r w:rsidR="00B60D70" w:rsidRPr="002C3E85">
        <w:rPr>
          <w:rFonts w:ascii="Times New Roman" w:hAnsi="Times New Roman" w:cs="Times New Roman"/>
          <w:sz w:val="24"/>
          <w:szCs w:val="24"/>
          <w:lang w:val="en-GB"/>
        </w:rPr>
        <w:t>,</w:t>
      </w:r>
      <w:r w:rsidR="00A95AAC" w:rsidRPr="002C3E85">
        <w:rPr>
          <w:rFonts w:ascii="Times New Roman" w:hAnsi="Times New Roman" w:cs="Times New Roman"/>
          <w:sz w:val="24"/>
          <w:szCs w:val="24"/>
          <w:lang w:val="en-GB"/>
        </w:rPr>
        <w:t xml:space="preserve"> we found no evidence supporting the postulated association between late L2 acquisition and increased cortical thickness.</w:t>
      </w:r>
      <w:r w:rsidR="00FD6D25" w:rsidRPr="002C3E85">
        <w:rPr>
          <w:rFonts w:ascii="Times New Roman" w:hAnsi="Times New Roman" w:cs="Times New Roman"/>
          <w:sz w:val="24"/>
          <w:szCs w:val="24"/>
          <w:lang w:val="en-GB"/>
        </w:rPr>
        <w:t xml:space="preserve"> </w:t>
      </w:r>
      <w:r w:rsidR="00F00CDA" w:rsidRPr="002C3E85">
        <w:rPr>
          <w:rFonts w:ascii="Times New Roman" w:hAnsi="Times New Roman" w:cs="Times New Roman"/>
          <w:sz w:val="24"/>
          <w:szCs w:val="24"/>
          <w:lang w:val="en-GB"/>
        </w:rPr>
        <w:t>Based on the robust whole-brain level findings of Klein and colleagues’ (2014) stud</w:t>
      </w:r>
      <w:r w:rsidR="000E38ED" w:rsidRPr="002C3E85">
        <w:rPr>
          <w:rFonts w:ascii="Times New Roman" w:hAnsi="Times New Roman" w:cs="Times New Roman"/>
          <w:sz w:val="24"/>
          <w:szCs w:val="24"/>
          <w:lang w:val="en-GB"/>
        </w:rPr>
        <w:t>y in particular, we expected</w:t>
      </w:r>
      <w:r w:rsidR="0087132D" w:rsidRPr="002C3E85">
        <w:rPr>
          <w:rFonts w:ascii="Times New Roman" w:hAnsi="Times New Roman" w:cs="Times New Roman"/>
          <w:sz w:val="24"/>
          <w:szCs w:val="24"/>
          <w:lang w:val="en-GB"/>
        </w:rPr>
        <w:t xml:space="preserve"> the</w:t>
      </w:r>
      <w:r w:rsidR="000E38ED" w:rsidRPr="002C3E85">
        <w:rPr>
          <w:rFonts w:ascii="Times New Roman" w:hAnsi="Times New Roman" w:cs="Times New Roman"/>
          <w:sz w:val="24"/>
          <w:szCs w:val="24"/>
          <w:lang w:val="en-GB"/>
        </w:rPr>
        <w:t xml:space="preserve"> late </w:t>
      </w:r>
      <w:r w:rsidR="0087132D" w:rsidRPr="002C3E85">
        <w:rPr>
          <w:rFonts w:ascii="Times New Roman" w:hAnsi="Times New Roman" w:cs="Times New Roman"/>
          <w:sz w:val="24"/>
          <w:szCs w:val="24"/>
          <w:lang w:val="en-GB"/>
        </w:rPr>
        <w:t>L2 speakers</w:t>
      </w:r>
      <w:r w:rsidR="000E38ED" w:rsidRPr="002C3E85">
        <w:rPr>
          <w:rFonts w:ascii="Times New Roman" w:hAnsi="Times New Roman" w:cs="Times New Roman"/>
          <w:sz w:val="24"/>
          <w:szCs w:val="24"/>
          <w:lang w:val="en-GB"/>
        </w:rPr>
        <w:t xml:space="preserve"> to exhibit</w:t>
      </w:r>
      <w:r w:rsidR="0087132D" w:rsidRPr="002C3E85">
        <w:rPr>
          <w:rFonts w:ascii="Times New Roman" w:hAnsi="Times New Roman" w:cs="Times New Roman"/>
          <w:sz w:val="24"/>
          <w:szCs w:val="24"/>
          <w:lang w:val="en-GB"/>
        </w:rPr>
        <w:t xml:space="preserve"> a</w:t>
      </w:r>
      <w:r w:rsidR="000E38ED" w:rsidRPr="002C3E85">
        <w:rPr>
          <w:rFonts w:ascii="Times New Roman" w:hAnsi="Times New Roman" w:cs="Times New Roman"/>
          <w:sz w:val="24"/>
          <w:szCs w:val="24"/>
          <w:lang w:val="en-GB"/>
        </w:rPr>
        <w:t xml:space="preserve"> thicker cortex </w:t>
      </w:r>
      <w:r w:rsidR="0087132D" w:rsidRPr="002C3E85">
        <w:rPr>
          <w:rFonts w:ascii="Times New Roman" w:hAnsi="Times New Roman" w:cs="Times New Roman"/>
          <w:sz w:val="24"/>
          <w:szCs w:val="24"/>
          <w:lang w:val="en-GB"/>
        </w:rPr>
        <w:t>in the left IFG relative</w:t>
      </w:r>
      <w:r w:rsidR="000E38ED" w:rsidRPr="002C3E85">
        <w:rPr>
          <w:rFonts w:ascii="Times New Roman" w:hAnsi="Times New Roman" w:cs="Times New Roman"/>
          <w:sz w:val="24"/>
          <w:szCs w:val="24"/>
          <w:lang w:val="en-GB"/>
        </w:rPr>
        <w:t xml:space="preserve"> to the </w:t>
      </w:r>
      <w:r w:rsidR="002A79B0" w:rsidRPr="002C3E85">
        <w:rPr>
          <w:rFonts w:ascii="Times New Roman" w:hAnsi="Times New Roman" w:cs="Times New Roman"/>
          <w:sz w:val="24"/>
          <w:szCs w:val="24"/>
          <w:lang w:val="en-GB"/>
        </w:rPr>
        <w:t>early</w:t>
      </w:r>
      <w:r w:rsidR="000E38ED" w:rsidRPr="002C3E85">
        <w:rPr>
          <w:rFonts w:ascii="Times New Roman" w:hAnsi="Times New Roman" w:cs="Times New Roman"/>
          <w:sz w:val="24"/>
          <w:szCs w:val="24"/>
          <w:lang w:val="en-GB"/>
        </w:rPr>
        <w:t xml:space="preserve"> </w:t>
      </w:r>
      <w:r w:rsidR="0087132D" w:rsidRPr="002C3E85">
        <w:rPr>
          <w:rFonts w:ascii="Times New Roman" w:hAnsi="Times New Roman" w:cs="Times New Roman"/>
          <w:sz w:val="24"/>
          <w:szCs w:val="24"/>
          <w:lang w:val="en-GB"/>
        </w:rPr>
        <w:t>bilingua</w:t>
      </w:r>
      <w:r w:rsidR="00027461" w:rsidRPr="002C3E85">
        <w:rPr>
          <w:rFonts w:ascii="Times New Roman" w:hAnsi="Times New Roman" w:cs="Times New Roman"/>
          <w:sz w:val="24"/>
          <w:szCs w:val="24"/>
          <w:lang w:val="en-GB"/>
        </w:rPr>
        <w:t xml:space="preserve">ls. </w:t>
      </w:r>
      <w:r w:rsidR="00D500D6" w:rsidRPr="002C3E85">
        <w:rPr>
          <w:rFonts w:ascii="Times New Roman" w:hAnsi="Times New Roman" w:cs="Times New Roman"/>
          <w:sz w:val="24"/>
          <w:szCs w:val="24"/>
          <w:lang w:val="en-GB"/>
        </w:rPr>
        <w:t xml:space="preserve">However, although our sample selection was fairly similar to Klein and colleagues’ study, compared to their simultaneous bilinguals (L2 AoA = &lt; 3 years, M = 1 year), our </w:t>
      </w:r>
      <w:r w:rsidR="002A79B0" w:rsidRPr="002C3E85">
        <w:rPr>
          <w:rFonts w:ascii="Times New Roman" w:hAnsi="Times New Roman" w:cs="Times New Roman"/>
          <w:sz w:val="24"/>
          <w:szCs w:val="24"/>
          <w:lang w:val="en-GB"/>
        </w:rPr>
        <w:t>early</w:t>
      </w:r>
      <w:r w:rsidR="00D500D6" w:rsidRPr="002C3E85">
        <w:rPr>
          <w:rFonts w:ascii="Times New Roman" w:hAnsi="Times New Roman" w:cs="Times New Roman"/>
          <w:sz w:val="24"/>
          <w:szCs w:val="24"/>
          <w:lang w:val="en-GB"/>
        </w:rPr>
        <w:t xml:space="preserve"> bilingual group </w:t>
      </w:r>
      <w:r w:rsidR="006828F3" w:rsidRPr="002C3E85">
        <w:rPr>
          <w:rFonts w:ascii="Times New Roman" w:hAnsi="Times New Roman" w:cs="Times New Roman"/>
          <w:sz w:val="24"/>
          <w:szCs w:val="24"/>
          <w:lang w:val="en-GB"/>
        </w:rPr>
        <w:t xml:space="preserve">had a more </w:t>
      </w:r>
      <w:r w:rsidR="006828F3" w:rsidRPr="002C3E85">
        <w:rPr>
          <w:rFonts w:ascii="Times New Roman" w:hAnsi="Times New Roman" w:cs="Times New Roman"/>
          <w:sz w:val="24"/>
          <w:szCs w:val="24"/>
          <w:lang w:val="en-GB"/>
        </w:rPr>
        <w:lastRenderedPageBreak/>
        <w:t xml:space="preserve">varied L2 </w:t>
      </w:r>
      <w:r w:rsidR="00393B06" w:rsidRPr="002C3E85">
        <w:rPr>
          <w:rFonts w:ascii="Times New Roman" w:hAnsi="Times New Roman" w:cs="Times New Roman"/>
          <w:sz w:val="24"/>
          <w:szCs w:val="24"/>
          <w:lang w:val="en-GB"/>
        </w:rPr>
        <w:t xml:space="preserve">AoA: </w:t>
      </w:r>
      <w:r w:rsidR="00D500D6" w:rsidRPr="002C3E85">
        <w:rPr>
          <w:rFonts w:ascii="Times New Roman" w:hAnsi="Times New Roman" w:cs="Times New Roman"/>
          <w:sz w:val="24"/>
          <w:szCs w:val="24"/>
          <w:lang w:val="en-GB"/>
        </w:rPr>
        <w:t xml:space="preserve">participants with L2 AoA up to 5 years (L2 AoA between 0-5 years, M = </w:t>
      </w:r>
      <w:r w:rsidR="00D500D6" w:rsidRPr="002C3E85">
        <w:rPr>
          <w:rFonts w:ascii="Times New Roman" w:eastAsia="Times New Roman" w:hAnsi="Times New Roman" w:cs="Times New Roman"/>
          <w:color w:val="000000"/>
          <w:sz w:val="24"/>
          <w:szCs w:val="24"/>
          <w:lang w:val="en-GB" w:eastAsia="fi-FI"/>
        </w:rPr>
        <w:t>2.35, SD = 1.9</w:t>
      </w:r>
      <w:r w:rsidR="00D500D6" w:rsidRPr="002C3E85">
        <w:rPr>
          <w:rFonts w:ascii="Times New Roman" w:hAnsi="Times New Roman" w:cs="Times New Roman"/>
          <w:sz w:val="24"/>
          <w:szCs w:val="24"/>
          <w:lang w:val="en-GB"/>
        </w:rPr>
        <w:t>)</w:t>
      </w:r>
      <w:r w:rsidR="00393B06" w:rsidRPr="002C3E85">
        <w:rPr>
          <w:rFonts w:ascii="Times New Roman" w:hAnsi="Times New Roman" w:cs="Times New Roman"/>
          <w:sz w:val="24"/>
          <w:szCs w:val="24"/>
          <w:lang w:val="en-GB"/>
        </w:rPr>
        <w:t xml:space="preserve"> were considered </w:t>
      </w:r>
      <w:r w:rsidR="00160CFB" w:rsidRPr="002C3E85">
        <w:rPr>
          <w:rFonts w:ascii="Times New Roman" w:hAnsi="Times New Roman" w:cs="Times New Roman"/>
          <w:sz w:val="24"/>
          <w:szCs w:val="24"/>
          <w:lang w:val="en-GB"/>
        </w:rPr>
        <w:t>early</w:t>
      </w:r>
      <w:r w:rsidR="00393B06" w:rsidRPr="002C3E85">
        <w:rPr>
          <w:rFonts w:ascii="Times New Roman" w:hAnsi="Times New Roman" w:cs="Times New Roman"/>
          <w:sz w:val="24"/>
          <w:szCs w:val="24"/>
          <w:lang w:val="en-GB"/>
        </w:rPr>
        <w:t xml:space="preserve"> bilinguals</w:t>
      </w:r>
      <w:r w:rsidR="00D500D6" w:rsidRPr="002C3E85">
        <w:rPr>
          <w:rFonts w:ascii="Times New Roman" w:hAnsi="Times New Roman" w:cs="Times New Roman"/>
          <w:sz w:val="24"/>
          <w:szCs w:val="24"/>
          <w:lang w:val="en-GB"/>
        </w:rPr>
        <w:t xml:space="preserve">. </w:t>
      </w:r>
      <w:r w:rsidR="00B41D73" w:rsidRPr="002C3E85">
        <w:rPr>
          <w:rFonts w:ascii="Times New Roman" w:hAnsi="Times New Roman" w:cs="Times New Roman"/>
          <w:sz w:val="24"/>
          <w:szCs w:val="24"/>
          <w:lang w:val="en-GB"/>
        </w:rPr>
        <w:t>Given</w:t>
      </w:r>
      <w:r w:rsidR="00AF498D" w:rsidRPr="002C3E85">
        <w:rPr>
          <w:rFonts w:ascii="Times New Roman" w:hAnsi="Times New Roman" w:cs="Times New Roman"/>
          <w:sz w:val="24"/>
          <w:szCs w:val="24"/>
          <w:lang w:val="en-GB"/>
        </w:rPr>
        <w:t xml:space="preserve"> that surface area </w:t>
      </w:r>
      <w:r w:rsidR="00B41D73" w:rsidRPr="002C3E85">
        <w:rPr>
          <w:rFonts w:ascii="Times New Roman" w:hAnsi="Times New Roman" w:cs="Times New Roman"/>
          <w:sz w:val="24"/>
          <w:szCs w:val="24"/>
          <w:lang w:val="en-GB"/>
        </w:rPr>
        <w:t xml:space="preserve">appears to develop rapidly </w:t>
      </w:r>
      <w:r w:rsidR="00FC0FAF" w:rsidRPr="002C3E85">
        <w:rPr>
          <w:rFonts w:ascii="Times New Roman" w:hAnsi="Times New Roman" w:cs="Times New Roman"/>
          <w:sz w:val="24"/>
          <w:szCs w:val="24"/>
          <w:lang w:val="en-GB"/>
        </w:rPr>
        <w:t>during the first two years of live</w:t>
      </w:r>
      <w:r w:rsidR="00B41D73" w:rsidRPr="002C3E85">
        <w:rPr>
          <w:rFonts w:ascii="Times New Roman" w:hAnsi="Times New Roman" w:cs="Times New Roman"/>
          <w:sz w:val="24"/>
          <w:szCs w:val="24"/>
          <w:lang w:val="en-GB"/>
        </w:rPr>
        <w:t xml:space="preserve"> </w:t>
      </w:r>
      <w:r w:rsidR="00AF498D"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"10.1093/cercor/bhu027", "ISSN" : "14602199", "PMID" : "24591525", "abstract" : "Cortical thickness (CT) and surface area (SA) are altered in many neuropsychiatric disorders and are correlated with cognitive functioning. Little is known about how these components of cortical gray matter develop in the first years of life. We studied the longitudinal development of regional CT and SA expansion in healthy infants from birth to 2 years. CT and SA have distinct and heterogeneous patterns of development that are exceptionally dynamic; overall CT increases by an average of 36.1%, while cortical SA increases 114.6%. By age 2, CT is on average 97% of adult values, compared with SA, which is 69%. This suggests that early identification, prevention, and intervention strategies for neuropsychiatric illness need to be targeted to this period of rapid postnatal brain development, and that SA expansion is the principal driving factor in cortical volume after 2 years of age.", "author" : [ { "dropping-particle" : "", "family" : "Lyall", "given" : "Amanda E", "non-dropping-particle" : "", "parse-names" : false, "suffix" : "" }, { "dropping-particle" : "", "family" : "Shi", "given" : "Feng", "non-dropping-particle" : "", "parse-names" : false, "suffix" : "" }, { "dropping-particle" : "", "family" : "Geng", "given" : "Xiujuan", "non-dropping-particle" : "", "parse-names" : false, "suffix" : "" }, { "dropping-particle" : "", "family" : "Woolson", "given" : "Sandra", "non-dropping-particle" : "", "parse-names" : false, "suffix" : "" }, { "dropping-particle" : "", "family" : "Li", "given" : "Gang", "non-dropping-particle" : "", "parse-names" : false, "suffix" : "" }, { "dropping-particle" : "", "family" : "Wang", "given" : "Li", "non-dropping-particle" : "", "parse-names" : false, "suffix" : "" }, { "dropping-particle" : "", "family" : "Hamer", "given" : "Robert M", "non-dropping-particle" : "", "parse-names" : false, "suffix" : "" }, { "dropping-particle" : "", "family" : "Shen", "given" : "Dinggang", "non-dropping-particle" : "", "parse-names" : false, "suffix" : "" }, { "dropping-particle" : "", "family" : "Gilmore", "given" : "John H", "non-dropping-particle" : "", "parse-names" : false, "suffix" : "" } ], "container-title" : "Cerebral Cortex", "id" : "ITEM-1", "issue" : "8", "issued" : { "date-parts" : [ [ "2015", "8" ] ] }, "page" : "2204-2212", "publisher" : "Oxford University Press", "title" : "Dynamic Development of Regional Cortical Thickness and Surface Area in Early Childhood", "type" : "article-journal", "volume" : "25" }, "uris" : [ "http://www.mendeley.com/documents/?uuid=11ae4384-e94a-3bed-8378-3a84fac82b1e" ] } ], "mendeley" : { "formattedCitation" : "(Lyall et al., 2015)", "plainTextFormattedCitation" : "(Lyall et al., 2015)", "previouslyFormattedCitation" : "(Lyall et al., 2015)" }, "properties" : {  }, "schema" : "https://github.com/citation-style-language/schema/raw/master/csl-citation.json" }</w:instrText>
      </w:r>
      <w:r w:rsidR="00AF498D" w:rsidRPr="002C3E85">
        <w:rPr>
          <w:rFonts w:ascii="Times New Roman" w:hAnsi="Times New Roman" w:cs="Times New Roman"/>
          <w:sz w:val="24"/>
          <w:szCs w:val="24"/>
          <w:lang w:val="en-GB"/>
        </w:rPr>
        <w:fldChar w:fldCharType="separate"/>
      </w:r>
      <w:r w:rsidR="00AF498D" w:rsidRPr="002C3E85">
        <w:rPr>
          <w:rFonts w:ascii="Times New Roman" w:hAnsi="Times New Roman" w:cs="Times New Roman"/>
          <w:noProof/>
          <w:sz w:val="24"/>
          <w:szCs w:val="24"/>
          <w:lang w:val="en-GB"/>
        </w:rPr>
        <w:t>(Lyall et al., 2015)</w:t>
      </w:r>
      <w:r w:rsidR="00AF498D" w:rsidRPr="002C3E85">
        <w:rPr>
          <w:rFonts w:ascii="Times New Roman" w:hAnsi="Times New Roman" w:cs="Times New Roman"/>
          <w:sz w:val="24"/>
          <w:szCs w:val="24"/>
          <w:lang w:val="en-GB"/>
        </w:rPr>
        <w:fldChar w:fldCharType="end"/>
      </w:r>
      <w:r w:rsidR="00B41D73" w:rsidRPr="002C3E85">
        <w:rPr>
          <w:rFonts w:ascii="Times New Roman" w:hAnsi="Times New Roman" w:cs="Times New Roman"/>
          <w:sz w:val="24"/>
          <w:szCs w:val="24"/>
          <w:lang w:val="en-GB"/>
        </w:rPr>
        <w:t xml:space="preserve">, after which the development speed gradually slows down </w:t>
      </w:r>
      <w:r w:rsidR="00B41D73" w:rsidRPr="002C3E85">
        <w:rPr>
          <w:rFonts w:ascii="Times New Roman" w:hAnsi="Times New Roman" w:cs="Times New Roman"/>
          <w:sz w:val="24"/>
          <w:szCs w:val="24"/>
          <w:lang w:val="en-GB"/>
        </w:rPr>
        <w:fldChar w:fldCharType="begin" w:fldLock="1"/>
      </w:r>
      <w:r w:rsidR="00B41D73" w:rsidRPr="002C3E85">
        <w:rPr>
          <w:rFonts w:ascii="Times New Roman" w:hAnsi="Times New Roman" w:cs="Times New Roman"/>
          <w:sz w:val="24"/>
          <w:szCs w:val="24"/>
          <w:lang w:val="en-GB"/>
        </w:rPr>
        <w:instrText>ADDIN CSL_CITATION { "citationItems" : [ { "id" : "ITEM-1", "itemData" : { "DOI" : "10.1016/j.neuroimage.2017.04.010", "ISSN" : "10959572", "PMID" : "28392489", "abstract" : "Cortical maturation, including age-related changes in thickness, volume, surface area, and folding (gyrification), play a central role in developing brain function and plasticity. Further, abnormal cortical maturation is a suspected substrate in various behavioral, intellectual, and psychiatric disorders. However, in order to characterize the altered development associated with these disorders, appreciation of the normative patterns of cortical development in neurotypical children between 1 and 6 years of age, a period of peak brain development during which many behavioral and developmental disorders emerge, is necessary. To this end, we examined measures of cortical thickness, surface area, mean curvature, and gray matter volume across 34 bilateral regions in a cohort of 140 healthy children devoid of major risk factors for abnormal development. From these data, we observed linear, logarithmic, and quadratic patterns of change with age depending on brain region. Cortical thinning, ranging from 10% to 20%, was observed throughout most of the brain, with the exception of posterior brain structures, which showed initial cortical thinning from 1 to 5 years, followed by thickening. Cortical surface area expansion ranged from 20% to 108%, and cortical curvature varied by 1\u201320% across the investigated age range. Right-left hemisphere asymmetry was observed across development for each of the 4 cortical measures. Our results present new insight into the normative patterns of cortical development across an important but under studied developmental window, and provide a valuable reference to which trajectories observed in neurodevelopmental disorders may be compared.", "author" : [ { "dropping-particle" : "", "family" : "Remer", "given" : "Justin", "non-dropping-particle" : "", "parse-names" : false, "suffix" : "" }, { "dropping-particle" : "", "family" : "Croteau-Chonka", "given" : "Elise", "non-dropping-particle" : "", "parse-names" : false, "suffix" : "" }, { "dropping-particle" : "", "family" : "Dean", "given" : "Douglas C.", "non-dropping-particle" : "", "parse-names" : false, "suffix" : "" }, { "dropping-particle" : "", "family" : "D'Arpino", "given" : "Sara", "non-dropping-particle" : "", "parse-names" : false, "suffix" : "" }, { "dropping-particle" : "", "family" : "Dirks", "given" : "Holly", "non-dropping-particle" : "", "parse-names" : false, "suffix" : "" }, { "dropping-particle" : "", "family" : "Whiley", "given" : "Dannielle", "non-dropping-particle" : "", "parse-names" : false, "suffix" : "" }, { "dropping-particle" : "", "family" : "Deoni", "given" : "Sean C.L.", "non-dropping-particle" : "", "parse-names" : false, "suffix" : "" } ], "container-title" : "NeuroImage", "id" : "ITEM-1", "issued" : { "date-parts" : [ [ "2017", "6" ] ] }, "page" : "246-261", "title" : "Quantifying cortical development in typically developing toddlers and young children, 1\u20136 years of age", "type" : "article-journal", "volume" : "153" }, "uris" : [ "http://www.mendeley.com/documents/?uuid=3ef0185e-b84e-33dd-854e-cf9d3bbcacc0" ] } ], "mendeley" : { "formattedCitation" : "(Remer et al., 2017)", "plainTextFormattedCitation" : "(Remer et al., 2017)", "previouslyFormattedCitation" : "(Remer et al., 2017)" }, "properties" : {  }, "schema" : "https://github.com/citation-style-language/schema/raw/master/csl-citation.json" }</w:instrText>
      </w:r>
      <w:r w:rsidR="00B41D73" w:rsidRPr="002C3E85">
        <w:rPr>
          <w:rFonts w:ascii="Times New Roman" w:hAnsi="Times New Roman" w:cs="Times New Roman"/>
          <w:sz w:val="24"/>
          <w:szCs w:val="24"/>
          <w:lang w:val="en-GB"/>
        </w:rPr>
        <w:fldChar w:fldCharType="separate"/>
      </w:r>
      <w:r w:rsidR="00B41D73" w:rsidRPr="002C3E85">
        <w:rPr>
          <w:rFonts w:ascii="Times New Roman" w:hAnsi="Times New Roman" w:cs="Times New Roman"/>
          <w:noProof/>
          <w:sz w:val="24"/>
          <w:szCs w:val="24"/>
          <w:lang w:val="en-GB"/>
        </w:rPr>
        <w:t>(Remer et al., 2017)</w:t>
      </w:r>
      <w:r w:rsidR="00B41D73" w:rsidRPr="002C3E85">
        <w:rPr>
          <w:rFonts w:ascii="Times New Roman" w:hAnsi="Times New Roman" w:cs="Times New Roman"/>
          <w:sz w:val="24"/>
          <w:szCs w:val="24"/>
          <w:lang w:val="en-GB"/>
        </w:rPr>
        <w:fldChar w:fldCharType="end"/>
      </w:r>
      <w:r w:rsidR="00B41D73" w:rsidRPr="002C3E85">
        <w:rPr>
          <w:rFonts w:ascii="Times New Roman" w:hAnsi="Times New Roman" w:cs="Times New Roman"/>
          <w:sz w:val="24"/>
          <w:szCs w:val="24"/>
          <w:lang w:val="en-GB"/>
        </w:rPr>
        <w:t xml:space="preserve">, </w:t>
      </w:r>
      <w:r w:rsidR="00496CE0" w:rsidRPr="002C3E85">
        <w:rPr>
          <w:rFonts w:ascii="Times New Roman" w:hAnsi="Times New Roman" w:cs="Times New Roman"/>
          <w:sz w:val="24"/>
          <w:szCs w:val="24"/>
          <w:lang w:val="en-GB"/>
        </w:rPr>
        <w:t xml:space="preserve"> the wider L2 AoA range might have caused </w:t>
      </w:r>
      <w:r w:rsidR="00091192" w:rsidRPr="002C3E85">
        <w:rPr>
          <w:rFonts w:ascii="Times New Roman" w:hAnsi="Times New Roman" w:cs="Times New Roman"/>
          <w:sz w:val="24"/>
          <w:szCs w:val="24"/>
          <w:lang w:val="en-GB"/>
        </w:rPr>
        <w:t xml:space="preserve">our early bilingual group to encompass some participants who already exhibit mainly thickness-driven L2-related modulations </w:t>
      </w:r>
      <w:r w:rsidR="009234C5" w:rsidRPr="002C3E85">
        <w:rPr>
          <w:rFonts w:ascii="Times New Roman" w:hAnsi="Times New Roman" w:cs="Times New Roman"/>
          <w:sz w:val="24"/>
          <w:szCs w:val="24"/>
          <w:lang w:val="en-GB"/>
        </w:rPr>
        <w:t>(</w:t>
      </w:r>
      <w:r w:rsidR="00393DAE" w:rsidRPr="002C3E85">
        <w:rPr>
          <w:rFonts w:ascii="Times New Roman" w:hAnsi="Times New Roman" w:cs="Times New Roman"/>
          <w:sz w:val="24"/>
          <w:szCs w:val="24"/>
          <w:lang w:val="en-GB"/>
        </w:rPr>
        <w:t xml:space="preserve">due to </w:t>
      </w:r>
      <w:r w:rsidR="00091192" w:rsidRPr="002C3E85">
        <w:rPr>
          <w:rFonts w:ascii="Times New Roman" w:hAnsi="Times New Roman" w:cs="Times New Roman"/>
          <w:sz w:val="24"/>
          <w:szCs w:val="24"/>
          <w:lang w:val="en-GB"/>
        </w:rPr>
        <w:t>L2 AoA ≥</w:t>
      </w:r>
      <w:r w:rsidR="009234C5" w:rsidRPr="002C3E85">
        <w:rPr>
          <w:rFonts w:ascii="Times New Roman" w:hAnsi="Times New Roman" w:cs="Times New Roman"/>
          <w:sz w:val="24"/>
          <w:szCs w:val="24"/>
          <w:lang w:val="en-GB"/>
        </w:rPr>
        <w:t xml:space="preserve"> 3 according to Klein and colleagues’ finding, </w:t>
      </w:r>
      <w:r w:rsidR="00091192" w:rsidRPr="002C3E85">
        <w:rPr>
          <w:rFonts w:ascii="Times New Roman" w:hAnsi="Times New Roman" w:cs="Times New Roman"/>
          <w:sz w:val="24"/>
          <w:szCs w:val="24"/>
          <w:lang w:val="en-GB"/>
        </w:rPr>
        <w:t>N = 6).</w:t>
      </w:r>
      <w:r w:rsidR="00C71872" w:rsidRPr="002C3E85">
        <w:rPr>
          <w:rFonts w:ascii="Times New Roman" w:hAnsi="Times New Roman" w:cs="Times New Roman"/>
          <w:sz w:val="24"/>
          <w:szCs w:val="24"/>
          <w:lang w:val="en-GB"/>
        </w:rPr>
        <w:t xml:space="preserve"> </w:t>
      </w:r>
      <w:r w:rsidR="006828F3" w:rsidRPr="002C3E85">
        <w:rPr>
          <w:rFonts w:ascii="Times New Roman" w:hAnsi="Times New Roman" w:cs="Times New Roman"/>
          <w:sz w:val="24"/>
          <w:szCs w:val="24"/>
          <w:lang w:val="en-GB"/>
        </w:rPr>
        <w:t xml:space="preserve">If so, </w:t>
      </w:r>
      <w:r w:rsidR="00393B06" w:rsidRPr="002C3E85">
        <w:rPr>
          <w:rFonts w:ascii="Times New Roman" w:hAnsi="Times New Roman" w:cs="Times New Roman"/>
          <w:sz w:val="24"/>
          <w:szCs w:val="24"/>
          <w:lang w:val="en-GB"/>
        </w:rPr>
        <w:t>the difference in</w:t>
      </w:r>
      <w:r w:rsidR="006828F3" w:rsidRPr="002C3E85">
        <w:rPr>
          <w:rFonts w:ascii="Times New Roman" w:hAnsi="Times New Roman" w:cs="Times New Roman"/>
          <w:sz w:val="24"/>
          <w:szCs w:val="24"/>
          <w:lang w:val="en-GB"/>
        </w:rPr>
        <w:t xml:space="preserve"> thickness </w:t>
      </w:r>
      <w:r w:rsidR="00393B06" w:rsidRPr="002C3E85">
        <w:rPr>
          <w:rFonts w:ascii="Times New Roman" w:hAnsi="Times New Roman" w:cs="Times New Roman"/>
          <w:sz w:val="24"/>
          <w:szCs w:val="24"/>
          <w:lang w:val="en-GB"/>
        </w:rPr>
        <w:t>between</w:t>
      </w:r>
      <w:r w:rsidR="00FE23E7" w:rsidRPr="002C3E85">
        <w:rPr>
          <w:rFonts w:ascii="Times New Roman" w:hAnsi="Times New Roman" w:cs="Times New Roman"/>
          <w:sz w:val="24"/>
          <w:szCs w:val="24"/>
          <w:lang w:val="en-GB"/>
        </w:rPr>
        <w:t xml:space="preserve"> the</w:t>
      </w:r>
      <w:r w:rsidR="006828F3" w:rsidRPr="002C3E85">
        <w:rPr>
          <w:rFonts w:ascii="Times New Roman" w:hAnsi="Times New Roman" w:cs="Times New Roman"/>
          <w:sz w:val="24"/>
          <w:szCs w:val="24"/>
          <w:lang w:val="en-GB"/>
        </w:rPr>
        <w:t xml:space="preserve"> </w:t>
      </w:r>
      <w:r w:rsidR="002A79B0" w:rsidRPr="002C3E85">
        <w:rPr>
          <w:rFonts w:ascii="Times New Roman" w:hAnsi="Times New Roman" w:cs="Times New Roman"/>
          <w:sz w:val="24"/>
          <w:szCs w:val="24"/>
          <w:lang w:val="en-GB"/>
        </w:rPr>
        <w:t>early</w:t>
      </w:r>
      <w:r w:rsidR="006828F3" w:rsidRPr="002C3E85">
        <w:rPr>
          <w:rFonts w:ascii="Times New Roman" w:hAnsi="Times New Roman" w:cs="Times New Roman"/>
          <w:sz w:val="24"/>
          <w:szCs w:val="24"/>
          <w:lang w:val="en-GB"/>
        </w:rPr>
        <w:t xml:space="preserve"> and late sequential bilinguals </w:t>
      </w:r>
      <w:r w:rsidR="00393B06" w:rsidRPr="002C3E85">
        <w:rPr>
          <w:rFonts w:ascii="Times New Roman" w:hAnsi="Times New Roman" w:cs="Times New Roman"/>
          <w:sz w:val="24"/>
          <w:szCs w:val="24"/>
          <w:lang w:val="en-GB"/>
        </w:rPr>
        <w:t>is likely to be reduced</w:t>
      </w:r>
      <w:r w:rsidR="006828F3" w:rsidRPr="002C3E85">
        <w:rPr>
          <w:rFonts w:ascii="Times New Roman" w:hAnsi="Times New Roman" w:cs="Times New Roman"/>
          <w:sz w:val="24"/>
          <w:szCs w:val="24"/>
          <w:lang w:val="en-GB"/>
        </w:rPr>
        <w:t xml:space="preserve">. </w:t>
      </w:r>
      <w:r w:rsidR="00393B06" w:rsidRPr="002C3E85">
        <w:rPr>
          <w:rFonts w:ascii="Times New Roman" w:hAnsi="Times New Roman" w:cs="Times New Roman"/>
          <w:sz w:val="24"/>
          <w:szCs w:val="24"/>
          <w:lang w:val="en-GB"/>
        </w:rPr>
        <w:t>Moreover, a</w:t>
      </w:r>
      <w:r w:rsidR="00F12F68" w:rsidRPr="002C3E85">
        <w:rPr>
          <w:rFonts w:ascii="Times New Roman" w:hAnsi="Times New Roman" w:cs="Times New Roman"/>
          <w:sz w:val="24"/>
          <w:szCs w:val="24"/>
          <w:lang w:val="en-GB"/>
        </w:rPr>
        <w:t xml:space="preserve">lthough structural differences based on the L2 AoA </w:t>
      </w:r>
      <w:r w:rsidR="00C86245" w:rsidRPr="002C3E85">
        <w:rPr>
          <w:rFonts w:ascii="Times New Roman" w:hAnsi="Times New Roman" w:cs="Times New Roman"/>
          <w:sz w:val="24"/>
          <w:szCs w:val="24"/>
          <w:lang w:val="en-GB"/>
        </w:rPr>
        <w:t>should</w:t>
      </w:r>
      <w:r w:rsidR="00F12F68" w:rsidRPr="002C3E85">
        <w:rPr>
          <w:rFonts w:ascii="Times New Roman" w:hAnsi="Times New Roman" w:cs="Times New Roman"/>
          <w:sz w:val="24"/>
          <w:szCs w:val="24"/>
          <w:lang w:val="en-GB"/>
        </w:rPr>
        <w:t xml:space="preserve"> remain observable </w:t>
      </w:r>
      <w:r w:rsidR="00C86245" w:rsidRPr="002C3E85">
        <w:rPr>
          <w:rFonts w:ascii="Times New Roman" w:hAnsi="Times New Roman" w:cs="Times New Roman"/>
          <w:sz w:val="24"/>
          <w:szCs w:val="24"/>
          <w:lang w:val="en-GB"/>
        </w:rPr>
        <w:t xml:space="preserve">in adulthood </w:t>
      </w:r>
      <w:r w:rsidR="00F12F68" w:rsidRPr="002C3E85">
        <w:rPr>
          <w:rFonts w:ascii="Times New Roman" w:hAnsi="Times New Roman" w:cs="Times New Roman"/>
          <w:sz w:val="24"/>
          <w:szCs w:val="24"/>
          <w:lang w:val="en-GB"/>
        </w:rPr>
        <w:t xml:space="preserve">even </w:t>
      </w:r>
      <w:r w:rsidR="00C86245" w:rsidRPr="002C3E85">
        <w:rPr>
          <w:rFonts w:ascii="Times New Roman" w:hAnsi="Times New Roman" w:cs="Times New Roman"/>
          <w:sz w:val="24"/>
          <w:szCs w:val="24"/>
          <w:lang w:val="en-GB"/>
        </w:rPr>
        <w:t>when</w:t>
      </w:r>
      <w:r w:rsidR="00F12F68" w:rsidRPr="002C3E85">
        <w:rPr>
          <w:rFonts w:ascii="Times New Roman" w:hAnsi="Times New Roman" w:cs="Times New Roman"/>
          <w:sz w:val="24"/>
          <w:szCs w:val="24"/>
          <w:lang w:val="en-GB"/>
        </w:rPr>
        <w:t xml:space="preserve"> other languages are introduced later in life</w:t>
      </w:r>
      <w:r w:rsidR="00C86245" w:rsidRPr="002C3E85">
        <w:rPr>
          <w:rFonts w:ascii="Times New Roman" w:hAnsi="Times New Roman" w:cs="Times New Roman"/>
          <w:sz w:val="24"/>
          <w:szCs w:val="24"/>
          <w:lang w:val="en-GB"/>
        </w:rPr>
        <w:t xml:space="preserve"> </w:t>
      </w:r>
      <w:r w:rsidR="00C86245"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"10.3389/fpsyg.2015.00638", "ISSN" : "16641078", "PMID" : "26106338", "abstract" : "Numerous structural studies have established that experience shapes and reshapes the brain throughout a lifetime. The impact of early development, however, is still a matter of debate. Further clues may come from studying multilinguals who acquired their second language at different ages. We investigated adult multilinguals who spoke three languages fluently, where the third language was learned in classroom settings, not before the age of 9 years. Multilinguals exposed to two languages simultaneously from birth (SiM) were contrasted with multinguals who acquired their first two languages successively (SuM). Whole brain voxel based morphometry revealed that, relative to SuM, SiM have significantly lower gray matter volume in several language-associated cortical areas in both hemispheres: bilaterally in medial and inferior frontal gyrus, in the right medial temporal gyrus and inferior posterior parietal gyrus, as well as in the left inferior temporal gyrus. Thus, as shown by others, successive language learning increases the volume of language-associated cortical areas. In brains exposed early on and simultaneously to more than one language, however, learning of additional languages seems to have less impact. We conclude that - at least with respect to language acquisition - early developmental influences are maintained and have an effect on experience-dependent plasticity well into adulthood.", "author" : [ { "dropping-particle" : "", "family" : "Kaiser", "given" : "Anelis", "non-dropping-particle" : "", "parse-names" : false, "suffix" : "" }, { "dropping-particle" : "", "family" : "Eppenberger", "given" : "Leila S", "non-dropping-particle" : "", "parse-names" : false, "suffix" : "" }, { "dropping-particle" : "", "family" : "Smieskova", "given" : "Renata", "non-dropping-particle" : "", "parse-names" : false, "suffix" : "" }, { "dropping-particle" : "", "family" : "Borgwardt", "given" : "Stefan", "non-dropping-particle" : "", "parse-names" : false, "suffix" : "" }, { "dropping-particle" : "", "family" : "Kuenzli", "given" : "Esther", "non-dropping-particle" : "", "parse-names" : false, "suffix" : "" }, { "dropping-particle" : "", "family" : "Radue", "given" : "Ernst Wilhelm", "non-dropping-particle" : "", "parse-names" : false, "suffix" : "" }, { "dropping-particle" : "", "family" : "Nitsch", "given" : "Cordula", "non-dropping-particle" : "", "parse-names" : false, "suffix" : "" }, { "dropping-particle" : "", "family" : "Bendfeldt", "given" : "Kerstin", "non-dropping-particle" : "", "parse-names" : false, "suffix" : "" } ], "container-title" : "Frontiers in Psychology", "id" : "ITEM-1", "issue" : "JUN", "issued" : { "date-parts" : [ [ "2015" ] ] }, "page" : "638", "publisher" : "Frontiers Media SA", "title" : "Age of second language acquisition in multilinguals has an impact on gray matter volume in language-associated brain areas", "type" : "article-journal", "volume" : "6" }, "uris" : [ "http://www.mendeley.com/documents/?uuid=ee5eaada-b5b0-33ee-8d3a-c6483d0047a0" ] } ], "mendeley" : { "formattedCitation" : "(Kaiser et al., 2015)", "plainTextFormattedCitation" : "(Kaiser et al., 2015)", "previouslyFormattedCitation" : "(Kaiser et al., 2015)" }, "properties" : {  }, "schema" : "https://github.com/citation-style-language/schema/raw/master/csl-citation.json" }</w:instrText>
      </w:r>
      <w:r w:rsidR="00C86245" w:rsidRPr="002C3E85">
        <w:rPr>
          <w:rFonts w:ascii="Times New Roman" w:hAnsi="Times New Roman" w:cs="Times New Roman"/>
          <w:sz w:val="24"/>
          <w:szCs w:val="24"/>
          <w:lang w:val="en-GB"/>
        </w:rPr>
        <w:fldChar w:fldCharType="separate"/>
      </w:r>
      <w:r w:rsidR="00C86245" w:rsidRPr="002C3E85">
        <w:rPr>
          <w:rFonts w:ascii="Times New Roman" w:hAnsi="Times New Roman" w:cs="Times New Roman"/>
          <w:noProof/>
          <w:sz w:val="24"/>
          <w:szCs w:val="24"/>
          <w:lang w:val="en-GB"/>
        </w:rPr>
        <w:t>(Kaiser et al., 2015)</w:t>
      </w:r>
      <w:r w:rsidR="00C86245" w:rsidRPr="002C3E85">
        <w:rPr>
          <w:rFonts w:ascii="Times New Roman" w:hAnsi="Times New Roman" w:cs="Times New Roman"/>
          <w:sz w:val="24"/>
          <w:szCs w:val="24"/>
          <w:lang w:val="en-GB"/>
        </w:rPr>
        <w:fldChar w:fldCharType="end"/>
      </w:r>
      <w:r w:rsidR="00C86245" w:rsidRPr="002C3E85">
        <w:rPr>
          <w:rFonts w:ascii="Times New Roman" w:hAnsi="Times New Roman" w:cs="Times New Roman"/>
          <w:sz w:val="24"/>
          <w:szCs w:val="24"/>
          <w:lang w:val="en-GB"/>
        </w:rPr>
        <w:t>, a</w:t>
      </w:r>
      <w:r w:rsidR="00457E4A" w:rsidRPr="002C3E85">
        <w:rPr>
          <w:rFonts w:ascii="Times New Roman" w:hAnsi="Times New Roman" w:cs="Times New Roman"/>
          <w:sz w:val="24"/>
          <w:szCs w:val="24"/>
          <w:lang w:val="en-GB"/>
        </w:rPr>
        <w:t xml:space="preserve">nother </w:t>
      </w:r>
      <w:r w:rsidR="001E5AEA" w:rsidRPr="002C3E85">
        <w:rPr>
          <w:rFonts w:ascii="Times New Roman" w:hAnsi="Times New Roman" w:cs="Times New Roman"/>
          <w:sz w:val="24"/>
          <w:szCs w:val="24"/>
          <w:lang w:val="en-GB"/>
        </w:rPr>
        <w:t xml:space="preserve">sample-related </w:t>
      </w:r>
      <w:r w:rsidR="00457E4A" w:rsidRPr="002C3E85">
        <w:rPr>
          <w:rFonts w:ascii="Times New Roman" w:hAnsi="Times New Roman" w:cs="Times New Roman"/>
          <w:sz w:val="24"/>
          <w:szCs w:val="24"/>
          <w:lang w:val="en-GB"/>
        </w:rPr>
        <w:t xml:space="preserve">factor </w:t>
      </w:r>
      <w:r w:rsidR="00457E4A" w:rsidRPr="002C3E85">
        <w:rPr>
          <w:rFonts w:ascii="Times New Roman" w:hAnsi="Times New Roman" w:cs="Times New Roman"/>
          <w:sz w:val="24"/>
          <w:szCs w:val="24"/>
          <w:lang w:val="en-GB"/>
        </w:rPr>
        <w:lastRenderedPageBreak/>
        <w:t xml:space="preserve">that might have further obscured potential thickness </w:t>
      </w:r>
      <w:r w:rsidR="000C40C9" w:rsidRPr="002C3E85">
        <w:rPr>
          <w:rFonts w:ascii="Times New Roman" w:hAnsi="Times New Roman" w:cs="Times New Roman"/>
          <w:sz w:val="24"/>
          <w:szCs w:val="24"/>
          <w:lang w:val="en-GB"/>
        </w:rPr>
        <w:t>effects</w:t>
      </w:r>
      <w:r w:rsidR="00457E4A" w:rsidRPr="002C3E85">
        <w:rPr>
          <w:rFonts w:ascii="Times New Roman" w:hAnsi="Times New Roman" w:cs="Times New Roman"/>
          <w:sz w:val="24"/>
          <w:szCs w:val="24"/>
          <w:lang w:val="en-GB"/>
        </w:rPr>
        <w:t xml:space="preserve"> concerns the </w:t>
      </w:r>
      <w:r w:rsidR="00121519" w:rsidRPr="002C3E85">
        <w:rPr>
          <w:rFonts w:ascii="Times New Roman" w:hAnsi="Times New Roman" w:cs="Times New Roman"/>
          <w:sz w:val="24"/>
          <w:szCs w:val="24"/>
          <w:lang w:val="en-GB"/>
        </w:rPr>
        <w:t xml:space="preserve">fact </w:t>
      </w:r>
      <w:r w:rsidR="0073065C" w:rsidRPr="002C3E85">
        <w:rPr>
          <w:rFonts w:ascii="Times New Roman" w:hAnsi="Times New Roman" w:cs="Times New Roman"/>
          <w:sz w:val="24"/>
          <w:szCs w:val="24"/>
          <w:lang w:val="en-GB"/>
        </w:rPr>
        <w:t xml:space="preserve">that </w:t>
      </w:r>
      <w:r w:rsidR="00121519" w:rsidRPr="002C3E85">
        <w:rPr>
          <w:rFonts w:ascii="Times New Roman" w:hAnsi="Times New Roman" w:cs="Times New Roman"/>
          <w:sz w:val="24"/>
          <w:szCs w:val="24"/>
          <w:lang w:val="en-GB"/>
        </w:rPr>
        <w:t xml:space="preserve">both groups had </w:t>
      </w:r>
      <w:r w:rsidR="00160CFB" w:rsidRPr="002C3E85">
        <w:rPr>
          <w:rFonts w:ascii="Times New Roman" w:hAnsi="Times New Roman" w:cs="Times New Roman"/>
          <w:sz w:val="24"/>
          <w:szCs w:val="24"/>
          <w:lang w:val="en-GB"/>
        </w:rPr>
        <w:t>studied</w:t>
      </w:r>
      <w:r w:rsidR="00121519" w:rsidRPr="002C3E85">
        <w:rPr>
          <w:rFonts w:ascii="Times New Roman" w:hAnsi="Times New Roman" w:cs="Times New Roman"/>
          <w:sz w:val="24"/>
          <w:szCs w:val="24"/>
          <w:lang w:val="en-GB"/>
        </w:rPr>
        <w:t xml:space="preserve"> several other languages </w:t>
      </w:r>
      <w:r w:rsidR="00B02A8F" w:rsidRPr="002C3E85">
        <w:rPr>
          <w:rFonts w:ascii="Times New Roman" w:hAnsi="Times New Roman" w:cs="Times New Roman"/>
          <w:sz w:val="24"/>
          <w:szCs w:val="24"/>
          <w:lang w:val="en-GB"/>
        </w:rPr>
        <w:t>after acquiring their L2’s</w:t>
      </w:r>
      <w:r w:rsidR="00121519" w:rsidRPr="002C3E85">
        <w:rPr>
          <w:rFonts w:ascii="Times New Roman" w:hAnsi="Times New Roman" w:cs="Times New Roman"/>
          <w:sz w:val="24"/>
          <w:szCs w:val="24"/>
          <w:lang w:val="en-GB"/>
        </w:rPr>
        <w:t xml:space="preserve">. </w:t>
      </w:r>
      <w:r w:rsidR="00FA0DEB" w:rsidRPr="002C3E85">
        <w:rPr>
          <w:rFonts w:ascii="Times New Roman" w:hAnsi="Times New Roman" w:cs="Times New Roman"/>
          <w:sz w:val="24"/>
          <w:szCs w:val="24"/>
          <w:lang w:val="en-GB"/>
        </w:rPr>
        <w:t>As it is not well known to what extent early exposure to two languages</w:t>
      </w:r>
      <w:r w:rsidR="001642BF" w:rsidRPr="002C3E85">
        <w:rPr>
          <w:rFonts w:ascii="Times New Roman" w:hAnsi="Times New Roman" w:cs="Times New Roman"/>
          <w:sz w:val="24"/>
          <w:szCs w:val="24"/>
          <w:shd w:val="clear" w:color="auto" w:fill="FFFFFF"/>
          <w:lang w:val="en-GB"/>
        </w:rPr>
        <w:t xml:space="preserve"> affects the neural machinery and learning mechanisms responsible for acquiring additional foreign languages </w:t>
      </w:r>
      <w:r w:rsidR="00FA0DEB" w:rsidRPr="002C3E85">
        <w:rPr>
          <w:rFonts w:ascii="Times New Roman" w:hAnsi="Times New Roman" w:cs="Times New Roman"/>
          <w:sz w:val="24"/>
          <w:szCs w:val="24"/>
          <w:shd w:val="clear" w:color="auto" w:fill="FFFFFF"/>
          <w:lang w:val="en-GB"/>
        </w:rPr>
        <w:t xml:space="preserve">at later ages, it is possible that </w:t>
      </w:r>
      <w:r w:rsidR="000C40C9" w:rsidRPr="002C3E85">
        <w:rPr>
          <w:rFonts w:ascii="Times New Roman" w:hAnsi="Times New Roman" w:cs="Times New Roman"/>
          <w:sz w:val="24"/>
          <w:szCs w:val="24"/>
          <w:shd w:val="clear" w:color="auto" w:fill="FFFFFF"/>
          <w:lang w:val="en-GB"/>
        </w:rPr>
        <w:t xml:space="preserve">the </w:t>
      </w:r>
      <w:r w:rsidR="00D7221C" w:rsidRPr="002C3E85">
        <w:rPr>
          <w:rFonts w:ascii="Times New Roman" w:hAnsi="Times New Roman" w:cs="Times New Roman"/>
          <w:sz w:val="24"/>
          <w:szCs w:val="24"/>
          <w:shd w:val="clear" w:color="auto" w:fill="FFFFFF"/>
          <w:lang w:val="en-GB"/>
        </w:rPr>
        <w:t xml:space="preserve">additional </w:t>
      </w:r>
      <w:r w:rsidR="00FA0DEB" w:rsidRPr="002C3E85">
        <w:rPr>
          <w:rFonts w:ascii="Times New Roman" w:hAnsi="Times New Roman" w:cs="Times New Roman"/>
          <w:sz w:val="24"/>
          <w:szCs w:val="24"/>
          <w:shd w:val="clear" w:color="auto" w:fill="FFFFFF"/>
          <w:lang w:val="en-GB"/>
        </w:rPr>
        <w:t xml:space="preserve">post-L2 learnt languages </w:t>
      </w:r>
      <w:r w:rsidR="000C40C9" w:rsidRPr="002C3E85">
        <w:rPr>
          <w:rFonts w:ascii="Times New Roman" w:hAnsi="Times New Roman" w:cs="Times New Roman"/>
          <w:sz w:val="24"/>
          <w:szCs w:val="24"/>
          <w:shd w:val="clear" w:color="auto" w:fill="FFFFFF"/>
          <w:lang w:val="en-GB"/>
        </w:rPr>
        <w:t>might have induced thickness modulations al</w:t>
      </w:r>
      <w:r w:rsidR="001E5AEA" w:rsidRPr="002C3E85">
        <w:rPr>
          <w:rFonts w:ascii="Times New Roman" w:hAnsi="Times New Roman" w:cs="Times New Roman"/>
          <w:sz w:val="24"/>
          <w:szCs w:val="24"/>
          <w:shd w:val="clear" w:color="auto" w:fill="FFFFFF"/>
          <w:lang w:val="en-GB"/>
        </w:rPr>
        <w:t xml:space="preserve">so in the early bilingual group, </w:t>
      </w:r>
      <w:r w:rsidR="009C2C69" w:rsidRPr="002C3E85">
        <w:rPr>
          <w:rFonts w:ascii="Times New Roman" w:hAnsi="Times New Roman" w:cs="Times New Roman"/>
          <w:sz w:val="24"/>
          <w:szCs w:val="24"/>
          <w:shd w:val="clear" w:color="auto" w:fill="FFFFFF"/>
          <w:lang w:val="en-GB"/>
        </w:rPr>
        <w:t>thus</w:t>
      </w:r>
      <w:r w:rsidR="000C40C9" w:rsidRPr="002C3E85">
        <w:rPr>
          <w:rFonts w:ascii="Times New Roman" w:hAnsi="Times New Roman" w:cs="Times New Roman"/>
          <w:sz w:val="24"/>
          <w:szCs w:val="24"/>
          <w:shd w:val="clear" w:color="auto" w:fill="FFFFFF"/>
          <w:lang w:val="en-GB"/>
        </w:rPr>
        <w:t xml:space="preserve"> </w:t>
      </w:r>
      <w:r w:rsidR="001E5AEA" w:rsidRPr="002C3E85">
        <w:rPr>
          <w:rFonts w:ascii="Times New Roman" w:hAnsi="Times New Roman" w:cs="Times New Roman"/>
          <w:sz w:val="24"/>
          <w:szCs w:val="24"/>
          <w:lang w:val="en-GB"/>
        </w:rPr>
        <w:t xml:space="preserve">contributing </w:t>
      </w:r>
      <w:r w:rsidR="000C40C9" w:rsidRPr="002C3E85">
        <w:rPr>
          <w:rFonts w:ascii="Times New Roman" w:hAnsi="Times New Roman" w:cs="Times New Roman"/>
          <w:sz w:val="24"/>
          <w:szCs w:val="24"/>
          <w:lang w:val="en-GB"/>
        </w:rPr>
        <w:t xml:space="preserve">to similar cortical thickness between </w:t>
      </w:r>
      <w:r w:rsidR="00426B5C" w:rsidRPr="002C3E85">
        <w:rPr>
          <w:rFonts w:ascii="Times New Roman" w:hAnsi="Times New Roman" w:cs="Times New Roman"/>
          <w:sz w:val="24"/>
          <w:szCs w:val="24"/>
          <w:lang w:val="en-GB"/>
        </w:rPr>
        <w:t xml:space="preserve">the </w:t>
      </w:r>
      <w:r w:rsidR="000C40C9" w:rsidRPr="002C3E85">
        <w:rPr>
          <w:rFonts w:ascii="Times New Roman" w:hAnsi="Times New Roman" w:cs="Times New Roman"/>
          <w:sz w:val="24"/>
          <w:szCs w:val="24"/>
          <w:lang w:val="en-GB"/>
        </w:rPr>
        <w:t>groups.</w:t>
      </w:r>
      <w:r w:rsidR="009C2C69" w:rsidRPr="002C3E85">
        <w:rPr>
          <w:rFonts w:ascii="Times New Roman" w:hAnsi="Times New Roman" w:cs="Times New Roman"/>
          <w:sz w:val="24"/>
          <w:szCs w:val="24"/>
          <w:lang w:val="en-GB"/>
        </w:rPr>
        <w:t xml:space="preserve"> </w:t>
      </w:r>
      <w:r w:rsidR="00525322" w:rsidRPr="002C3E85">
        <w:rPr>
          <w:rFonts w:ascii="Times New Roman" w:hAnsi="Times New Roman" w:cs="Times New Roman"/>
          <w:sz w:val="24"/>
          <w:szCs w:val="24"/>
          <w:lang w:val="en-GB"/>
        </w:rPr>
        <w:t>Until these issues have been accounted for</w:t>
      </w:r>
      <w:r w:rsidR="00926460" w:rsidRPr="002C3E85">
        <w:rPr>
          <w:rFonts w:ascii="Times New Roman" w:hAnsi="Times New Roman" w:cs="Times New Roman"/>
          <w:sz w:val="24"/>
          <w:szCs w:val="24"/>
          <w:lang w:val="en-GB"/>
        </w:rPr>
        <w:t>,</w:t>
      </w:r>
      <w:r w:rsidR="00887A07" w:rsidRPr="002C3E85">
        <w:rPr>
          <w:rFonts w:ascii="Times New Roman" w:hAnsi="Times New Roman" w:cs="Times New Roman"/>
          <w:sz w:val="24"/>
          <w:szCs w:val="24"/>
          <w:lang w:val="en-GB"/>
        </w:rPr>
        <w:t xml:space="preserve"> our data </w:t>
      </w:r>
      <w:r w:rsidR="00525322" w:rsidRPr="002C3E85">
        <w:rPr>
          <w:rFonts w:ascii="Times New Roman" w:hAnsi="Times New Roman" w:cs="Times New Roman"/>
          <w:sz w:val="24"/>
          <w:szCs w:val="24"/>
          <w:lang w:val="en-GB"/>
        </w:rPr>
        <w:t xml:space="preserve">is insufficient </w:t>
      </w:r>
      <w:r w:rsidR="00887A07" w:rsidRPr="002C3E85">
        <w:rPr>
          <w:rFonts w:ascii="Times New Roman" w:hAnsi="Times New Roman" w:cs="Times New Roman"/>
          <w:sz w:val="24"/>
          <w:szCs w:val="24"/>
          <w:lang w:val="en-GB"/>
        </w:rPr>
        <w:t xml:space="preserve">to </w:t>
      </w:r>
      <w:r w:rsidR="009C2C69" w:rsidRPr="002C3E85">
        <w:rPr>
          <w:rFonts w:ascii="Times New Roman" w:hAnsi="Times New Roman" w:cs="Times New Roman"/>
          <w:sz w:val="24"/>
          <w:szCs w:val="24"/>
          <w:lang w:val="en-GB"/>
        </w:rPr>
        <w:t>refut</w:t>
      </w:r>
      <w:r w:rsidR="00887A07" w:rsidRPr="002C3E85">
        <w:rPr>
          <w:rFonts w:ascii="Times New Roman" w:hAnsi="Times New Roman" w:cs="Times New Roman"/>
          <w:sz w:val="24"/>
          <w:szCs w:val="24"/>
          <w:lang w:val="en-GB"/>
        </w:rPr>
        <w:t>e</w:t>
      </w:r>
      <w:r w:rsidR="00234B3F" w:rsidRPr="002C3E85">
        <w:rPr>
          <w:rFonts w:ascii="Times New Roman" w:hAnsi="Times New Roman" w:cs="Times New Roman"/>
          <w:sz w:val="24"/>
          <w:szCs w:val="24"/>
          <w:lang w:val="en-GB"/>
        </w:rPr>
        <w:t xml:space="preserve"> or </w:t>
      </w:r>
      <w:r w:rsidR="00525322" w:rsidRPr="002C3E85">
        <w:rPr>
          <w:rFonts w:ascii="Times New Roman" w:hAnsi="Times New Roman" w:cs="Times New Roman"/>
          <w:sz w:val="24"/>
          <w:szCs w:val="24"/>
          <w:lang w:val="en-GB"/>
        </w:rPr>
        <w:t>support</w:t>
      </w:r>
      <w:r w:rsidR="009C2C69" w:rsidRPr="002C3E85">
        <w:rPr>
          <w:rFonts w:ascii="Times New Roman" w:hAnsi="Times New Roman" w:cs="Times New Roman"/>
          <w:sz w:val="24"/>
          <w:szCs w:val="24"/>
          <w:lang w:val="en-GB"/>
        </w:rPr>
        <w:t xml:space="preserve"> the </w:t>
      </w:r>
      <w:r w:rsidR="00887A07" w:rsidRPr="002C3E85">
        <w:rPr>
          <w:rFonts w:ascii="Times New Roman" w:hAnsi="Times New Roman" w:cs="Times New Roman"/>
          <w:sz w:val="24"/>
          <w:szCs w:val="24"/>
          <w:lang w:val="en-GB"/>
        </w:rPr>
        <w:t xml:space="preserve">claim that late L2 acquisition leads to thickness-driven </w:t>
      </w:r>
      <w:r w:rsidR="00525322" w:rsidRPr="002C3E85">
        <w:rPr>
          <w:rFonts w:ascii="Times New Roman" w:hAnsi="Times New Roman" w:cs="Times New Roman"/>
          <w:sz w:val="24"/>
          <w:szCs w:val="24"/>
          <w:lang w:val="en-GB"/>
        </w:rPr>
        <w:t xml:space="preserve">GM modulations. </w:t>
      </w:r>
      <w:r w:rsidR="00E60E60" w:rsidRPr="002C3E85">
        <w:rPr>
          <w:rFonts w:ascii="Times New Roman" w:hAnsi="Times New Roman" w:cs="Times New Roman"/>
          <w:sz w:val="24"/>
          <w:szCs w:val="24"/>
          <w:lang w:val="en-GB"/>
        </w:rPr>
        <w:t xml:space="preserve">More specifically, </w:t>
      </w:r>
      <w:r w:rsidR="003E783E" w:rsidRPr="002C3E85">
        <w:rPr>
          <w:rFonts w:ascii="Times New Roman" w:hAnsi="Times New Roman" w:cs="Times New Roman"/>
          <w:sz w:val="24"/>
          <w:szCs w:val="24"/>
          <w:lang w:val="en-GB"/>
        </w:rPr>
        <w:t xml:space="preserve">some critical </w:t>
      </w:r>
      <w:r w:rsidR="008273E0" w:rsidRPr="002C3E85">
        <w:rPr>
          <w:rFonts w:ascii="Times New Roman" w:hAnsi="Times New Roman" w:cs="Times New Roman"/>
          <w:sz w:val="24"/>
          <w:szCs w:val="24"/>
          <w:lang w:val="en-GB"/>
        </w:rPr>
        <w:t xml:space="preserve">questions to be address in the future are a) whether simultaneous bilinguals differ from early bilinguals </w:t>
      </w:r>
      <w:r w:rsidR="003E783E" w:rsidRPr="002C3E85">
        <w:rPr>
          <w:rFonts w:ascii="Times New Roman" w:hAnsi="Times New Roman" w:cs="Times New Roman"/>
          <w:sz w:val="24"/>
          <w:szCs w:val="24"/>
          <w:lang w:val="en-GB"/>
        </w:rPr>
        <w:t>with respect to</w:t>
      </w:r>
      <w:r w:rsidR="008273E0" w:rsidRPr="002C3E85">
        <w:rPr>
          <w:rFonts w:ascii="Times New Roman" w:hAnsi="Times New Roman" w:cs="Times New Roman"/>
          <w:sz w:val="24"/>
          <w:szCs w:val="24"/>
          <w:lang w:val="en-GB"/>
        </w:rPr>
        <w:t xml:space="preserve"> surface area </w:t>
      </w:r>
      <w:r w:rsidR="008273E0" w:rsidRPr="002C3E85">
        <w:rPr>
          <w:rFonts w:ascii="Times New Roman" w:hAnsi="Times New Roman" w:cs="Times New Roman"/>
          <w:sz w:val="24"/>
          <w:szCs w:val="24"/>
          <w:lang w:val="en-GB"/>
        </w:rPr>
        <w:lastRenderedPageBreak/>
        <w:t xml:space="preserve">measures, i.e., what is the exact L2 AoA after which bilingual experience no longer induces surface area modulations? b) whether area-driven vs. thickness-driven modulations might be </w:t>
      </w:r>
      <w:r w:rsidR="003E783E" w:rsidRPr="002C3E85">
        <w:rPr>
          <w:rFonts w:ascii="Times New Roman" w:hAnsi="Times New Roman" w:cs="Times New Roman"/>
          <w:sz w:val="24"/>
          <w:szCs w:val="24"/>
          <w:lang w:val="en-GB"/>
        </w:rPr>
        <w:t>observable</w:t>
      </w:r>
      <w:r w:rsidR="008273E0" w:rsidRPr="002C3E85">
        <w:rPr>
          <w:rFonts w:ascii="Times New Roman" w:hAnsi="Times New Roman" w:cs="Times New Roman"/>
          <w:sz w:val="24"/>
          <w:szCs w:val="24"/>
          <w:lang w:val="en-GB"/>
        </w:rPr>
        <w:t xml:space="preserve"> between simultaneous/early bilinguals and late bilinguals </w:t>
      </w:r>
      <w:r w:rsidR="003E783E" w:rsidRPr="002C3E85">
        <w:rPr>
          <w:rFonts w:ascii="Times New Roman" w:hAnsi="Times New Roman" w:cs="Times New Roman"/>
          <w:sz w:val="24"/>
          <w:szCs w:val="24"/>
          <w:lang w:val="en-GB"/>
        </w:rPr>
        <w:t>in</w:t>
      </w:r>
      <w:r w:rsidR="00042585" w:rsidRPr="002C3E85">
        <w:rPr>
          <w:rFonts w:ascii="Times New Roman" w:hAnsi="Times New Roman" w:cs="Times New Roman"/>
          <w:sz w:val="24"/>
          <w:szCs w:val="24"/>
          <w:lang w:val="en-GB"/>
        </w:rPr>
        <w:t xml:space="preserve"> samples </w:t>
      </w:r>
      <w:r w:rsidR="008273E0" w:rsidRPr="002C3E85">
        <w:rPr>
          <w:rFonts w:ascii="Times New Roman" w:hAnsi="Times New Roman" w:cs="Times New Roman"/>
          <w:sz w:val="24"/>
          <w:szCs w:val="24"/>
          <w:lang w:val="en-GB"/>
        </w:rPr>
        <w:t>who have not learnt additional post-L2 languages, i.e.,</w:t>
      </w:r>
      <w:r w:rsidR="00042585" w:rsidRPr="002C3E85">
        <w:rPr>
          <w:rFonts w:ascii="Times New Roman" w:hAnsi="Times New Roman" w:cs="Times New Roman"/>
          <w:sz w:val="24"/>
          <w:szCs w:val="24"/>
          <w:lang w:val="en-GB"/>
        </w:rPr>
        <w:t xml:space="preserve"> does learning additional post-L2 languages later in life indeed induce thickness modulations  in simultaneous/early bilinguals</w:t>
      </w:r>
      <w:r w:rsidR="003E783E" w:rsidRPr="002C3E85">
        <w:rPr>
          <w:rFonts w:ascii="Times New Roman" w:hAnsi="Times New Roman" w:cs="Times New Roman"/>
          <w:sz w:val="24"/>
          <w:szCs w:val="24"/>
          <w:lang w:val="en-GB"/>
        </w:rPr>
        <w:t>?</w:t>
      </w:r>
    </w:p>
    <w:p w14:paraId="408CDF0C" w14:textId="77777777" w:rsidR="007402B0" w:rsidRPr="002C3E85" w:rsidRDefault="007402B0" w:rsidP="00B16091">
      <w:pPr>
        <w:spacing w:line="480" w:lineRule="auto"/>
        <w:jc w:val="both"/>
        <w:rPr>
          <w:rFonts w:ascii="Times New Roman" w:hAnsi="Times New Roman" w:cs="Times New Roman"/>
          <w:sz w:val="24"/>
          <w:szCs w:val="24"/>
          <w:lang w:val="en-GB"/>
        </w:rPr>
      </w:pPr>
    </w:p>
    <w:p w14:paraId="5BC45556" w14:textId="7B4BD8D9" w:rsidR="00F32824" w:rsidRPr="002C3E85" w:rsidRDefault="00387A0F"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Finally, i</w:t>
      </w:r>
      <w:r w:rsidR="00E346E3" w:rsidRPr="002C3E85">
        <w:rPr>
          <w:rFonts w:ascii="Times New Roman" w:hAnsi="Times New Roman" w:cs="Times New Roman"/>
          <w:sz w:val="24"/>
          <w:szCs w:val="24"/>
          <w:lang w:val="en-GB"/>
        </w:rPr>
        <w:t xml:space="preserve">n addition to </w:t>
      </w:r>
      <w:r w:rsidRPr="002C3E85">
        <w:rPr>
          <w:rFonts w:ascii="Times New Roman" w:hAnsi="Times New Roman" w:cs="Times New Roman"/>
          <w:sz w:val="24"/>
          <w:szCs w:val="24"/>
          <w:lang w:val="en-GB"/>
        </w:rPr>
        <w:t>the effects over the left POp and the right STG</w:t>
      </w:r>
      <w:r w:rsidR="00E346E3" w:rsidRPr="002C3E85">
        <w:rPr>
          <w:rFonts w:ascii="Times New Roman" w:hAnsi="Times New Roman" w:cs="Times New Roman"/>
          <w:sz w:val="24"/>
          <w:szCs w:val="24"/>
          <w:lang w:val="en-GB"/>
        </w:rPr>
        <w:t xml:space="preserve">, we observed </w:t>
      </w:r>
      <w:r w:rsidR="00DD0D44" w:rsidRPr="002C3E85">
        <w:rPr>
          <w:rFonts w:ascii="Times New Roman" w:hAnsi="Times New Roman" w:cs="Times New Roman"/>
          <w:sz w:val="24"/>
          <w:szCs w:val="24"/>
          <w:lang w:val="en-GB"/>
        </w:rPr>
        <w:t>between-group</w:t>
      </w:r>
      <w:r w:rsidR="00E346E3" w:rsidRPr="002C3E85">
        <w:rPr>
          <w:rFonts w:ascii="Times New Roman" w:hAnsi="Times New Roman" w:cs="Times New Roman"/>
          <w:sz w:val="24"/>
          <w:szCs w:val="24"/>
          <w:lang w:val="en-GB"/>
        </w:rPr>
        <w:t xml:space="preserve"> effects </w:t>
      </w:r>
      <w:r w:rsidRPr="002C3E85">
        <w:rPr>
          <w:rFonts w:ascii="Times New Roman" w:hAnsi="Times New Roman" w:cs="Times New Roman"/>
          <w:sz w:val="24"/>
          <w:szCs w:val="24"/>
          <w:lang w:val="en-GB"/>
        </w:rPr>
        <w:t>also in</w:t>
      </w:r>
      <w:r w:rsidR="00E346E3" w:rsidRPr="002C3E85">
        <w:rPr>
          <w:rFonts w:ascii="Times New Roman" w:hAnsi="Times New Roman" w:cs="Times New Roman"/>
          <w:sz w:val="24"/>
          <w:szCs w:val="24"/>
          <w:lang w:val="en-GB"/>
        </w:rPr>
        <w:t xml:space="preserve"> the left STG, where the late bilinguals showed significantly greater mean curvature relative to the </w:t>
      </w:r>
      <w:r w:rsidR="002A79B0" w:rsidRPr="002C3E85">
        <w:rPr>
          <w:rFonts w:ascii="Times New Roman" w:hAnsi="Times New Roman" w:cs="Times New Roman"/>
          <w:sz w:val="24"/>
          <w:szCs w:val="24"/>
          <w:lang w:val="en-GB"/>
        </w:rPr>
        <w:t>early</w:t>
      </w:r>
      <w:r w:rsidR="00E346E3" w:rsidRPr="002C3E85">
        <w:rPr>
          <w:rFonts w:ascii="Times New Roman" w:hAnsi="Times New Roman" w:cs="Times New Roman"/>
          <w:sz w:val="24"/>
          <w:szCs w:val="24"/>
          <w:lang w:val="en-GB"/>
        </w:rPr>
        <w:t xml:space="preserve"> bilinguals. </w:t>
      </w:r>
      <w:r w:rsidR="00F32824" w:rsidRPr="002C3E85">
        <w:rPr>
          <w:rFonts w:ascii="Times New Roman" w:hAnsi="Times New Roman" w:cs="Times New Roman"/>
          <w:sz w:val="24"/>
          <w:szCs w:val="24"/>
          <w:lang w:val="en-GB"/>
        </w:rPr>
        <w:t xml:space="preserve">However, </w:t>
      </w:r>
      <w:r w:rsidRPr="002C3E85">
        <w:rPr>
          <w:rFonts w:ascii="Times New Roman" w:hAnsi="Times New Roman" w:cs="Times New Roman"/>
          <w:sz w:val="24"/>
          <w:szCs w:val="24"/>
          <w:lang w:val="en-GB"/>
        </w:rPr>
        <w:t>because</w:t>
      </w:r>
      <w:r w:rsidR="00F32824" w:rsidRPr="002C3E85">
        <w:rPr>
          <w:rFonts w:ascii="Times New Roman" w:hAnsi="Times New Roman" w:cs="Times New Roman"/>
          <w:sz w:val="24"/>
          <w:szCs w:val="24"/>
          <w:lang w:val="en-GB"/>
        </w:rPr>
        <w:t xml:space="preserve"> cortical curvature has not </w:t>
      </w:r>
      <w:r w:rsidR="00F32824" w:rsidRPr="002C3E85">
        <w:rPr>
          <w:rFonts w:ascii="Times New Roman" w:hAnsi="Times New Roman" w:cs="Times New Roman"/>
          <w:sz w:val="24"/>
          <w:szCs w:val="24"/>
          <w:lang w:val="en-GB"/>
        </w:rPr>
        <w:lastRenderedPageBreak/>
        <w:t xml:space="preserve">been previously used to quantify experience-dependent learning </w:t>
      </w:r>
      <w:r w:rsidR="00F32824" w:rsidRPr="002C3E85">
        <w:rPr>
          <w:rFonts w:ascii="Times New Roman" w:hAnsi="Times New Roman" w:cs="Times New Roman"/>
          <w:sz w:val="24"/>
          <w:szCs w:val="24"/>
          <w:lang w:val="en-GB"/>
        </w:rPr>
        <w:fldChar w:fldCharType="begin" w:fldLock="1"/>
      </w:r>
      <w:r w:rsidR="00AF3035" w:rsidRPr="002C3E85">
        <w:rPr>
          <w:rFonts w:ascii="Times New Roman" w:hAnsi="Times New Roman" w:cs="Times New Roman"/>
          <w:sz w:val="24"/>
          <w:szCs w:val="24"/>
          <w:lang w:val="en-GB"/>
        </w:rPr>
        <w:instrText>ADDIN CSL_CITATION { "citationItems" : [ { "id" : "ITEM-1", "itemData" : { "DOI" : "10.3389/fnhum.2012.00034", "ISSN" : "1662-5161", "abstract" : "Several cortical regions are reported to vary in meditation practitioners. However, since prior analyses were focused on examining gray matter or cortical thickness, additional effects with respect to other cortical features might have remained undetected. Gyrification (the pattern and degree of cortical folding) is an important cerebral characteristic related to the geometry of the brain\u2019s surface. Cortical folding occurs early in development and might be linked to behavioral traits. Thus, exploring cortical gyrification in long-term meditators may provide additional clues with respect to the underlying anatomical correlates of meditation. This study examined cortical gyrification in a large sample (n=100) of meditators and controls, carefully matched for sex and age. Cortical gyrification was established via calculating mean curvature across thousands of vertices on individual cortical surface models. Pronounced group differences indicating larger gyrification in meditators were evident within the left precentral gyrus, right fusiform gyrus, right cuneus, as well as left and right anterior dorsal insula (the latter representing the global significance maximum). Although the exact functional implications of larger cortical gyrification remain to be established, these findings suggest the insula to be a key structure involved in aspects of meditation. For example, variations in insular complexity could affect the regulation of well-known distractions in the process of meditation, such as daydreaming, mind-wandering, and projections into past or future. Moreover, given that meditators are masters in introspection, awareness, and emotional control, increased insular gyrification may reflect an ideal integration of autonomic, affective, and cognitive processes. Due to the cross-sectional nature of this study, further research is necessary determine the relative contribution of nature and nurture to links between cortical gyrification and meditation.", "author" : [ { "dropping-particle" : "", "family" : "Luders", "given" : "Eileen", "non-dropping-particle" : "", "parse-names" : false, "suffix" : "" }, { "dropping-particle" : "", "family" : "Kurth", "given" : "Florian", "non-dropping-particle" : "", "parse-names" : false, "suffix" : "" }, { "dropping-particle" : "", "family" : "Mayer", "given" : "Emeran A.", "non-dropping-particle" : "", "parse-names" : false, "suffix" : "" }, { "dropping-particle" : "", "family" : "Toga", "given" : "Arthur W.", "non-dropping-particle" : "", "parse-names" : false, "suffix" : "" }, { "dropping-particle" : "", "family" : "Narr", "given" : "Katherine L.", "non-dropping-particle" : "", "parse-names" : false, "suffix" : "" }, { "dropping-particle" : "", "family" : "Gaser", "given" : "Christian", "non-dropping-particle" : "", "parse-names" : false, "suffix" : "" } ], "container-title" : "Frontiers in Human Neuroscience", "id" : "ITEM-1", "issued" : { "date-parts" : [ [ "2012" ] ] }, "page" : "34", "publisher" : "Frontiers", "title" : "The Unique Brain Anatomy of Meditation Practitioners: Alterations in Cortical Gyrification", "type" : "article-journal", "volume" : "6" }, "uris" : [ "http://www.mendeley.com/documents/?uuid=28f67f09-8f0f-3d5c-aa6a-44966ea94de5" ] } ], "mendeley" : { "formattedCitation" : "(Luders et al., 2012)", "manualFormatting" : "(but see Luders et al. 2012 for curvature changes in response to meditation)", "plainTextFormattedCitation" : "(Luders et al., 2012)", "previouslyFormattedCitation" : "(Luders et al., 2012)" }, "properties" : {  }, "schema" : "https://github.com/citation-style-language/schema/raw/master/csl-citation.json" }</w:instrText>
      </w:r>
      <w:r w:rsidR="00F32824" w:rsidRPr="002C3E85">
        <w:rPr>
          <w:rFonts w:ascii="Times New Roman" w:hAnsi="Times New Roman" w:cs="Times New Roman"/>
          <w:sz w:val="24"/>
          <w:szCs w:val="24"/>
          <w:lang w:val="en-GB"/>
        </w:rPr>
        <w:fldChar w:fldCharType="separate"/>
      </w:r>
      <w:r w:rsidR="00E7271C" w:rsidRPr="002C3E85">
        <w:rPr>
          <w:rFonts w:ascii="Times New Roman" w:hAnsi="Times New Roman" w:cs="Times New Roman"/>
          <w:noProof/>
          <w:sz w:val="24"/>
          <w:szCs w:val="24"/>
          <w:lang w:val="en-GB"/>
        </w:rPr>
        <w:t>(but see Luders et al. 2012 for</w:t>
      </w:r>
      <w:r w:rsidR="00F32824" w:rsidRPr="002C3E85">
        <w:rPr>
          <w:rFonts w:ascii="Times New Roman" w:hAnsi="Times New Roman" w:cs="Times New Roman"/>
          <w:noProof/>
          <w:sz w:val="24"/>
          <w:szCs w:val="24"/>
          <w:lang w:val="en-GB"/>
        </w:rPr>
        <w:t xml:space="preserve"> curvature changes in response to meditation)</w:t>
      </w:r>
      <w:r w:rsidR="00F32824" w:rsidRPr="002C3E85">
        <w:rPr>
          <w:rFonts w:ascii="Times New Roman" w:hAnsi="Times New Roman" w:cs="Times New Roman"/>
          <w:sz w:val="24"/>
          <w:szCs w:val="24"/>
          <w:lang w:val="en-GB"/>
        </w:rPr>
        <w:fldChar w:fldCharType="end"/>
      </w:r>
      <w:r w:rsidR="00934395" w:rsidRPr="002C3E85">
        <w:rPr>
          <w:rFonts w:ascii="Times New Roman" w:hAnsi="Times New Roman" w:cs="Times New Roman"/>
          <w:sz w:val="24"/>
          <w:szCs w:val="24"/>
          <w:lang w:val="en-GB"/>
        </w:rPr>
        <w:t xml:space="preserve"> and its relationship to GM volume is still largely unknown</w:t>
      </w:r>
      <w:r w:rsidR="00F32824" w:rsidRPr="002C3E85">
        <w:rPr>
          <w:rFonts w:ascii="Times New Roman" w:hAnsi="Times New Roman" w:cs="Times New Roman"/>
          <w:sz w:val="24"/>
          <w:szCs w:val="24"/>
          <w:lang w:val="en-GB"/>
        </w:rPr>
        <w:t xml:space="preserve">, there is very little </w:t>
      </w:r>
      <w:r w:rsidR="00934395" w:rsidRPr="002C3E85">
        <w:rPr>
          <w:rFonts w:ascii="Times New Roman" w:hAnsi="Times New Roman" w:cs="Times New Roman"/>
          <w:sz w:val="24"/>
          <w:szCs w:val="24"/>
          <w:lang w:val="en-GB"/>
        </w:rPr>
        <w:t xml:space="preserve">scientific </w:t>
      </w:r>
      <w:r w:rsidR="00F32824" w:rsidRPr="002C3E85">
        <w:rPr>
          <w:rFonts w:ascii="Times New Roman" w:hAnsi="Times New Roman" w:cs="Times New Roman"/>
          <w:sz w:val="24"/>
          <w:szCs w:val="24"/>
          <w:lang w:val="en-GB"/>
        </w:rPr>
        <w:t xml:space="preserve">background </w:t>
      </w:r>
      <w:r w:rsidR="00934395" w:rsidRPr="002C3E85">
        <w:rPr>
          <w:rFonts w:ascii="Times New Roman" w:hAnsi="Times New Roman" w:cs="Times New Roman"/>
          <w:sz w:val="24"/>
          <w:szCs w:val="24"/>
          <w:lang w:val="en-GB"/>
        </w:rPr>
        <w:t>against</w:t>
      </w:r>
      <w:r w:rsidR="00F32824" w:rsidRPr="002C3E85">
        <w:rPr>
          <w:rFonts w:ascii="Times New Roman" w:hAnsi="Times New Roman" w:cs="Times New Roman"/>
          <w:sz w:val="24"/>
          <w:szCs w:val="24"/>
          <w:lang w:val="en-GB"/>
        </w:rPr>
        <w:t xml:space="preserve"> which </w:t>
      </w:r>
      <w:r w:rsidRPr="002C3E85">
        <w:rPr>
          <w:rFonts w:ascii="Times New Roman" w:hAnsi="Times New Roman" w:cs="Times New Roman"/>
          <w:sz w:val="24"/>
          <w:szCs w:val="24"/>
          <w:lang w:val="en-GB"/>
        </w:rPr>
        <w:t>this effect</w:t>
      </w:r>
      <w:r w:rsidR="00F32824" w:rsidRPr="002C3E85">
        <w:rPr>
          <w:rFonts w:ascii="Times New Roman" w:hAnsi="Times New Roman" w:cs="Times New Roman"/>
          <w:sz w:val="24"/>
          <w:szCs w:val="24"/>
          <w:lang w:val="en-GB"/>
        </w:rPr>
        <w:t xml:space="preserve"> could be discussed</w:t>
      </w:r>
      <w:r w:rsidR="00934395" w:rsidRPr="002C3E85">
        <w:rPr>
          <w:rFonts w:ascii="Times New Roman" w:hAnsi="Times New Roman" w:cs="Times New Roman"/>
          <w:sz w:val="24"/>
          <w:szCs w:val="24"/>
          <w:lang w:val="en-GB"/>
        </w:rPr>
        <w:t xml:space="preserve">. </w:t>
      </w:r>
      <w:r w:rsidR="00AC6944" w:rsidRPr="002C3E85">
        <w:rPr>
          <w:rFonts w:ascii="Times New Roman" w:hAnsi="Times New Roman" w:cs="Times New Roman"/>
          <w:sz w:val="24"/>
          <w:szCs w:val="24"/>
          <w:lang w:val="en-GB"/>
        </w:rPr>
        <w:t>Hence</w:t>
      </w:r>
      <w:r w:rsidR="00444435" w:rsidRPr="002C3E85">
        <w:rPr>
          <w:rFonts w:ascii="Times New Roman" w:hAnsi="Times New Roman" w:cs="Times New Roman"/>
          <w:sz w:val="24"/>
          <w:szCs w:val="24"/>
          <w:lang w:val="en-GB"/>
        </w:rPr>
        <w:t xml:space="preserve">, we refrain from speculating this difference further. </w:t>
      </w:r>
    </w:p>
    <w:p w14:paraId="56D3FAF0" w14:textId="2E91E06D" w:rsidR="006C04C3" w:rsidRPr="002C3E85" w:rsidRDefault="006C04C3" w:rsidP="00B16091">
      <w:pPr>
        <w:spacing w:line="480" w:lineRule="auto"/>
        <w:jc w:val="both"/>
        <w:rPr>
          <w:rFonts w:ascii="Times New Roman" w:hAnsi="Times New Roman" w:cs="Times New Roman"/>
          <w:sz w:val="24"/>
          <w:szCs w:val="24"/>
          <w:lang w:val="en-GB"/>
        </w:rPr>
      </w:pPr>
    </w:p>
    <w:p w14:paraId="58C86B76" w14:textId="6D496D42" w:rsidR="003607C5" w:rsidRPr="002C3E85" w:rsidRDefault="005D076E"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sz w:val="24"/>
          <w:szCs w:val="24"/>
          <w:lang w:val="en-GB"/>
        </w:rPr>
        <w:t>T</w:t>
      </w:r>
      <w:r w:rsidR="006E1B22" w:rsidRPr="002C3E85">
        <w:rPr>
          <w:rFonts w:ascii="Times New Roman" w:hAnsi="Times New Roman" w:cs="Times New Roman"/>
          <w:sz w:val="24"/>
          <w:szCs w:val="24"/>
          <w:lang w:val="en-GB"/>
        </w:rPr>
        <w:t xml:space="preserve">o conclude, </w:t>
      </w:r>
      <w:r w:rsidR="00C60AC1" w:rsidRPr="002C3E85">
        <w:rPr>
          <w:rFonts w:ascii="Times New Roman" w:hAnsi="Times New Roman" w:cs="Times New Roman"/>
          <w:sz w:val="24"/>
          <w:szCs w:val="24"/>
          <w:lang w:val="en-GB"/>
        </w:rPr>
        <w:t>our</w:t>
      </w:r>
      <w:r w:rsidR="004E6A4F" w:rsidRPr="002C3E85">
        <w:rPr>
          <w:rFonts w:ascii="Times New Roman" w:hAnsi="Times New Roman" w:cs="Times New Roman"/>
          <w:sz w:val="24"/>
          <w:szCs w:val="24"/>
          <w:lang w:val="en-GB"/>
        </w:rPr>
        <w:t xml:space="preserve"> study shows </w:t>
      </w:r>
      <w:r w:rsidR="00821227" w:rsidRPr="002C3E85">
        <w:rPr>
          <w:rFonts w:ascii="Times New Roman" w:hAnsi="Times New Roman" w:cs="Times New Roman"/>
          <w:sz w:val="24"/>
          <w:szCs w:val="24"/>
          <w:lang w:val="en-GB"/>
        </w:rPr>
        <w:t>that</w:t>
      </w:r>
      <w:r w:rsidR="00DA46F2" w:rsidRPr="002C3E85">
        <w:rPr>
          <w:rFonts w:ascii="Times New Roman" w:hAnsi="Times New Roman" w:cs="Times New Roman"/>
          <w:sz w:val="24"/>
          <w:szCs w:val="24"/>
          <w:lang w:val="en-GB"/>
        </w:rPr>
        <w:t xml:space="preserve"> GM morphology is</w:t>
      </w:r>
      <w:r w:rsidR="001A1D87" w:rsidRPr="002C3E85">
        <w:rPr>
          <w:rFonts w:ascii="Times New Roman" w:hAnsi="Times New Roman" w:cs="Times New Roman"/>
          <w:sz w:val="24"/>
          <w:szCs w:val="24"/>
          <w:lang w:val="en-GB"/>
        </w:rPr>
        <w:t xml:space="preserve">, at least partially, </w:t>
      </w:r>
      <w:r w:rsidR="00DA46F2" w:rsidRPr="002C3E85">
        <w:rPr>
          <w:rFonts w:ascii="Times New Roman" w:hAnsi="Times New Roman" w:cs="Times New Roman"/>
          <w:sz w:val="24"/>
          <w:szCs w:val="24"/>
          <w:lang w:val="en-GB"/>
        </w:rPr>
        <w:t xml:space="preserve">linked to </w:t>
      </w:r>
      <w:r w:rsidR="001A1D87" w:rsidRPr="002C3E85">
        <w:rPr>
          <w:rFonts w:ascii="Times New Roman" w:hAnsi="Times New Roman" w:cs="Times New Roman"/>
          <w:sz w:val="24"/>
          <w:szCs w:val="24"/>
          <w:lang w:val="en-GB"/>
        </w:rPr>
        <w:t>L2 AoA. More specifically,</w:t>
      </w:r>
      <w:r w:rsidR="00821227" w:rsidRPr="002C3E85">
        <w:rPr>
          <w:rFonts w:ascii="Times New Roman" w:hAnsi="Times New Roman" w:cs="Times New Roman"/>
          <w:sz w:val="24"/>
          <w:szCs w:val="24"/>
          <w:lang w:val="en-GB"/>
        </w:rPr>
        <w:t xml:space="preserve"> early</w:t>
      </w:r>
      <w:r w:rsidR="00473711" w:rsidRPr="002C3E85">
        <w:rPr>
          <w:rFonts w:ascii="Times New Roman" w:hAnsi="Times New Roman" w:cs="Times New Roman"/>
          <w:sz w:val="24"/>
          <w:szCs w:val="24"/>
          <w:lang w:val="en-GB"/>
        </w:rPr>
        <w:t xml:space="preserve"> </w:t>
      </w:r>
      <w:r w:rsidR="00821227" w:rsidRPr="002C3E85">
        <w:rPr>
          <w:rFonts w:ascii="Times New Roman" w:hAnsi="Times New Roman" w:cs="Times New Roman"/>
          <w:sz w:val="24"/>
          <w:szCs w:val="24"/>
          <w:lang w:val="en-GB"/>
        </w:rPr>
        <w:t xml:space="preserve">exposure to two languages </w:t>
      </w:r>
      <w:r w:rsidR="001A1D87" w:rsidRPr="002C3E85">
        <w:rPr>
          <w:rFonts w:ascii="Times New Roman" w:hAnsi="Times New Roman" w:cs="Times New Roman"/>
          <w:sz w:val="24"/>
          <w:szCs w:val="24"/>
          <w:lang w:val="en-GB"/>
        </w:rPr>
        <w:t>appears</w:t>
      </w:r>
      <w:r w:rsidR="00821227" w:rsidRPr="002C3E85">
        <w:rPr>
          <w:rFonts w:ascii="Times New Roman" w:hAnsi="Times New Roman" w:cs="Times New Roman"/>
          <w:sz w:val="24"/>
          <w:szCs w:val="24"/>
          <w:lang w:val="en-GB"/>
        </w:rPr>
        <w:t xml:space="preserve"> to lead to extended cortical surface area over the left posterior IFG and the right STG. Based on the </w:t>
      </w:r>
      <w:r w:rsidR="009C7224" w:rsidRPr="002C3E85">
        <w:rPr>
          <w:rFonts w:ascii="Times New Roman" w:hAnsi="Times New Roman" w:cs="Times New Roman"/>
          <w:sz w:val="24"/>
          <w:szCs w:val="24"/>
          <w:lang w:val="en-GB"/>
        </w:rPr>
        <w:t xml:space="preserve">anatomical </w:t>
      </w:r>
      <w:r w:rsidR="00821227" w:rsidRPr="002C3E85">
        <w:rPr>
          <w:rFonts w:ascii="Times New Roman" w:hAnsi="Times New Roman" w:cs="Times New Roman"/>
          <w:sz w:val="24"/>
          <w:szCs w:val="24"/>
          <w:lang w:val="en-GB"/>
        </w:rPr>
        <w:t xml:space="preserve">locations of the effects, we propose that </w:t>
      </w:r>
      <w:r w:rsidR="009C7224" w:rsidRPr="002C3E85">
        <w:rPr>
          <w:rFonts w:ascii="Times New Roman" w:hAnsi="Times New Roman" w:cs="Times New Roman"/>
          <w:sz w:val="24"/>
          <w:szCs w:val="24"/>
          <w:lang w:val="en-GB"/>
        </w:rPr>
        <w:t>these</w:t>
      </w:r>
      <w:r w:rsidR="00821227" w:rsidRPr="002C3E85">
        <w:rPr>
          <w:rFonts w:ascii="Times New Roman" w:hAnsi="Times New Roman" w:cs="Times New Roman"/>
          <w:sz w:val="24"/>
          <w:szCs w:val="24"/>
          <w:lang w:val="en-GB"/>
        </w:rPr>
        <w:t xml:space="preserve"> structural </w:t>
      </w:r>
      <w:r w:rsidR="003F0C01" w:rsidRPr="002C3E85">
        <w:rPr>
          <w:rFonts w:ascii="Times New Roman" w:hAnsi="Times New Roman" w:cs="Times New Roman"/>
          <w:sz w:val="24"/>
          <w:szCs w:val="24"/>
          <w:lang w:val="en-GB"/>
        </w:rPr>
        <w:t xml:space="preserve">GM </w:t>
      </w:r>
      <w:r w:rsidR="00821227" w:rsidRPr="002C3E85">
        <w:rPr>
          <w:rFonts w:ascii="Times New Roman" w:hAnsi="Times New Roman" w:cs="Times New Roman"/>
          <w:sz w:val="24"/>
          <w:szCs w:val="24"/>
          <w:lang w:val="en-GB"/>
        </w:rPr>
        <w:t xml:space="preserve">modulations </w:t>
      </w:r>
      <w:r w:rsidR="001A1D87" w:rsidRPr="002C3E85">
        <w:rPr>
          <w:rFonts w:ascii="Times New Roman" w:hAnsi="Times New Roman" w:cs="Times New Roman"/>
          <w:sz w:val="24"/>
          <w:szCs w:val="24"/>
          <w:lang w:val="en-GB"/>
        </w:rPr>
        <w:lastRenderedPageBreak/>
        <w:t xml:space="preserve">might </w:t>
      </w:r>
      <w:r w:rsidR="00821227" w:rsidRPr="002C3E85">
        <w:rPr>
          <w:rFonts w:ascii="Times New Roman" w:hAnsi="Times New Roman" w:cs="Times New Roman"/>
          <w:sz w:val="24"/>
          <w:szCs w:val="24"/>
          <w:lang w:val="en-GB"/>
        </w:rPr>
        <w:t>reflect</w:t>
      </w:r>
      <w:r w:rsidR="00600DA3" w:rsidRPr="002C3E85">
        <w:rPr>
          <w:rFonts w:ascii="Times New Roman" w:hAnsi="Times New Roman" w:cs="Times New Roman"/>
          <w:sz w:val="24"/>
          <w:szCs w:val="24"/>
          <w:lang w:val="en-GB"/>
        </w:rPr>
        <w:t xml:space="preserve"> the accommodation of</w:t>
      </w:r>
      <w:r w:rsidR="00821227" w:rsidRPr="002C3E85">
        <w:rPr>
          <w:rFonts w:ascii="Times New Roman" w:hAnsi="Times New Roman" w:cs="Times New Roman"/>
          <w:sz w:val="24"/>
          <w:szCs w:val="24"/>
          <w:lang w:val="en-GB"/>
        </w:rPr>
        <w:t xml:space="preserve"> increased phonological processing demands related </w:t>
      </w:r>
      <w:r w:rsidR="003F0C01" w:rsidRPr="002C3E85">
        <w:rPr>
          <w:rFonts w:ascii="Times New Roman" w:hAnsi="Times New Roman" w:cs="Times New Roman"/>
          <w:sz w:val="24"/>
          <w:szCs w:val="24"/>
          <w:lang w:val="en-GB"/>
        </w:rPr>
        <w:t xml:space="preserve">to </w:t>
      </w:r>
      <w:r w:rsidR="00E7271C" w:rsidRPr="002C3E85">
        <w:rPr>
          <w:rFonts w:ascii="Times New Roman" w:hAnsi="Times New Roman" w:cs="Times New Roman"/>
          <w:sz w:val="24"/>
          <w:szCs w:val="24"/>
          <w:lang w:val="en-GB"/>
        </w:rPr>
        <w:t>acquisition and use of</w:t>
      </w:r>
      <w:r w:rsidR="00821227" w:rsidRPr="002C3E85">
        <w:rPr>
          <w:rFonts w:ascii="Times New Roman" w:hAnsi="Times New Roman" w:cs="Times New Roman"/>
          <w:sz w:val="24"/>
          <w:szCs w:val="24"/>
          <w:lang w:val="en-GB"/>
        </w:rPr>
        <w:t xml:space="preserve"> two languages</w:t>
      </w:r>
      <w:r w:rsidR="00E7271C" w:rsidRPr="002C3E85">
        <w:rPr>
          <w:rFonts w:ascii="Times New Roman" w:hAnsi="Times New Roman" w:cs="Times New Roman"/>
          <w:sz w:val="24"/>
          <w:szCs w:val="24"/>
          <w:lang w:val="en-GB"/>
        </w:rPr>
        <w:t xml:space="preserve"> from early on</w:t>
      </w:r>
      <w:r w:rsidR="00821227" w:rsidRPr="002C3E85">
        <w:rPr>
          <w:rFonts w:ascii="Times New Roman" w:hAnsi="Times New Roman" w:cs="Times New Roman"/>
          <w:sz w:val="24"/>
          <w:szCs w:val="24"/>
          <w:lang w:val="en-GB"/>
        </w:rPr>
        <w:t xml:space="preserve">. </w:t>
      </w:r>
      <w:r w:rsidR="00E0246C" w:rsidRPr="002C3E85">
        <w:rPr>
          <w:rFonts w:ascii="Times New Roman" w:hAnsi="Times New Roman" w:cs="Times New Roman"/>
          <w:sz w:val="24"/>
          <w:szCs w:val="24"/>
          <w:lang w:val="en-GB"/>
        </w:rPr>
        <w:t>However, caution is warranted in interpreting</w:t>
      </w:r>
      <w:r w:rsidR="000A3F06" w:rsidRPr="002C3E85">
        <w:rPr>
          <w:rFonts w:ascii="Times New Roman" w:hAnsi="Times New Roman" w:cs="Times New Roman"/>
          <w:sz w:val="24"/>
          <w:szCs w:val="24"/>
          <w:lang w:val="en-GB"/>
        </w:rPr>
        <w:t xml:space="preserve"> the current</w:t>
      </w:r>
      <w:r w:rsidR="00E0246C" w:rsidRPr="002C3E85">
        <w:rPr>
          <w:rFonts w:ascii="Times New Roman" w:hAnsi="Times New Roman" w:cs="Times New Roman"/>
          <w:sz w:val="24"/>
          <w:szCs w:val="24"/>
          <w:lang w:val="en-GB"/>
        </w:rPr>
        <w:t xml:space="preserve"> results since the observed effects were localised and not robust enough to survive the whole-brain level analysis. </w:t>
      </w:r>
      <w:r w:rsidR="000A3F06" w:rsidRPr="002C3E85">
        <w:rPr>
          <w:rFonts w:ascii="Times New Roman" w:hAnsi="Times New Roman" w:cs="Times New Roman"/>
          <w:sz w:val="24"/>
          <w:szCs w:val="24"/>
          <w:lang w:val="en-GB"/>
        </w:rPr>
        <w:t xml:space="preserve">Nevertheless, </w:t>
      </w:r>
      <w:r w:rsidR="007E5C68" w:rsidRPr="002C3E85">
        <w:rPr>
          <w:rFonts w:ascii="Times New Roman" w:hAnsi="Times New Roman" w:cs="Times New Roman"/>
          <w:sz w:val="24"/>
          <w:szCs w:val="24"/>
          <w:lang w:val="en-GB"/>
        </w:rPr>
        <w:t xml:space="preserve">as the findings show that differences in surface area measures are not always reflected in measures of GM volume, the current study highlights the need to report cortical surface measures together with volume-based data when addressing bilingualism-induced structural modulations. </w:t>
      </w:r>
      <w:r w:rsidR="00CE21A5" w:rsidRPr="002C3E85">
        <w:rPr>
          <w:rFonts w:ascii="Times New Roman" w:hAnsi="Times New Roman" w:cs="Times New Roman"/>
          <w:sz w:val="24"/>
          <w:szCs w:val="24"/>
          <w:lang w:val="en-GB"/>
        </w:rPr>
        <w:t>and provides evidence of gained (referring to</w:t>
      </w:r>
      <w:r w:rsidR="00C8143F" w:rsidRPr="002C3E85">
        <w:rPr>
          <w:rFonts w:ascii="Times New Roman" w:hAnsi="Times New Roman" w:cs="Times New Roman"/>
          <w:sz w:val="24"/>
          <w:szCs w:val="24"/>
          <w:lang w:val="en-GB"/>
        </w:rPr>
        <w:t xml:space="preserve"> experience-depended </w:t>
      </w:r>
      <w:r w:rsidR="00CE21A5" w:rsidRPr="002C3E85">
        <w:rPr>
          <w:rFonts w:ascii="Times New Roman" w:hAnsi="Times New Roman" w:cs="Times New Roman"/>
          <w:sz w:val="24"/>
          <w:szCs w:val="24"/>
          <w:lang w:val="en-GB"/>
        </w:rPr>
        <w:t>increase in</w:t>
      </w:r>
      <w:r w:rsidR="00E7271C" w:rsidRPr="002C3E85">
        <w:rPr>
          <w:rFonts w:ascii="Times New Roman" w:hAnsi="Times New Roman" w:cs="Times New Roman"/>
          <w:sz w:val="24"/>
          <w:szCs w:val="24"/>
          <w:lang w:val="en-GB"/>
        </w:rPr>
        <w:t>,</w:t>
      </w:r>
      <w:r w:rsidR="00CE21A5" w:rsidRPr="002C3E85">
        <w:rPr>
          <w:rFonts w:ascii="Times New Roman" w:hAnsi="Times New Roman" w:cs="Times New Roman"/>
          <w:sz w:val="24"/>
          <w:szCs w:val="24"/>
          <w:lang w:val="en-GB"/>
        </w:rPr>
        <w:t xml:space="preserve"> e.g., volume or surface area) GM modulations in response to </w:t>
      </w:r>
      <w:r w:rsidR="002A79B0" w:rsidRPr="002C3E85">
        <w:rPr>
          <w:rFonts w:ascii="Times New Roman" w:hAnsi="Times New Roman" w:cs="Times New Roman"/>
          <w:sz w:val="24"/>
          <w:szCs w:val="24"/>
          <w:lang w:val="en-GB"/>
        </w:rPr>
        <w:t>early</w:t>
      </w:r>
      <w:r w:rsidR="00CE21A5" w:rsidRPr="002C3E85">
        <w:rPr>
          <w:rFonts w:ascii="Times New Roman" w:hAnsi="Times New Roman" w:cs="Times New Roman"/>
          <w:sz w:val="24"/>
          <w:szCs w:val="24"/>
          <w:lang w:val="en-GB"/>
        </w:rPr>
        <w:t xml:space="preserve"> bilingualism, as opposed to the</w:t>
      </w:r>
      <w:r w:rsidR="002C46B1" w:rsidRPr="002C3E85">
        <w:rPr>
          <w:rFonts w:ascii="Times New Roman" w:hAnsi="Times New Roman" w:cs="Times New Roman"/>
          <w:sz w:val="24"/>
          <w:szCs w:val="24"/>
          <w:lang w:val="en-GB"/>
        </w:rPr>
        <w:t xml:space="preserve"> majority </w:t>
      </w:r>
      <w:r w:rsidR="002C46B1" w:rsidRPr="002C3E85">
        <w:rPr>
          <w:rFonts w:ascii="Times New Roman" w:hAnsi="Times New Roman" w:cs="Times New Roman"/>
          <w:sz w:val="24"/>
          <w:szCs w:val="24"/>
          <w:lang w:val="en-GB"/>
        </w:rPr>
        <w:lastRenderedPageBreak/>
        <w:t>of</w:t>
      </w:r>
      <w:r w:rsidR="00CE21A5" w:rsidRPr="002C3E85">
        <w:rPr>
          <w:rFonts w:ascii="Times New Roman" w:hAnsi="Times New Roman" w:cs="Times New Roman"/>
          <w:sz w:val="24"/>
          <w:szCs w:val="24"/>
          <w:lang w:val="en-GB"/>
        </w:rPr>
        <w:t xml:space="preserve"> previous findings linking increased volume and cortical thickness mainly to late L2 acquisition. </w:t>
      </w:r>
    </w:p>
    <w:p w14:paraId="014896B9" w14:textId="77777777" w:rsidR="003607C5" w:rsidRPr="002C3E85" w:rsidRDefault="003607C5" w:rsidP="00B16091">
      <w:pPr>
        <w:spacing w:line="480" w:lineRule="auto"/>
        <w:jc w:val="both"/>
        <w:rPr>
          <w:rFonts w:ascii="Times New Roman" w:hAnsi="Times New Roman" w:cs="Times New Roman"/>
          <w:b/>
          <w:sz w:val="24"/>
          <w:szCs w:val="24"/>
          <w:lang w:val="en-GB"/>
        </w:rPr>
      </w:pPr>
    </w:p>
    <w:p w14:paraId="49E40345" w14:textId="77777777" w:rsidR="00B5386D" w:rsidRPr="002C3E85" w:rsidRDefault="00B5386D" w:rsidP="00B16091">
      <w:pPr>
        <w:spacing w:line="480" w:lineRule="auto"/>
        <w:jc w:val="both"/>
        <w:rPr>
          <w:rFonts w:ascii="Times New Roman" w:hAnsi="Times New Roman" w:cs="Times New Roman"/>
          <w:b/>
          <w:sz w:val="24"/>
          <w:szCs w:val="24"/>
          <w:lang w:val="en-GB"/>
        </w:rPr>
      </w:pPr>
    </w:p>
    <w:p w14:paraId="06C2A89D" w14:textId="654602BD" w:rsidR="005252D0" w:rsidRPr="002C3E85" w:rsidRDefault="009B18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Funding</w:t>
      </w:r>
    </w:p>
    <w:p w14:paraId="5298AC93" w14:textId="7702BF11" w:rsidR="003607C5" w:rsidRPr="002C3E85" w:rsidRDefault="006E1118" w:rsidP="00B16091">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The study was financially supported by Emil Aaltonen Foundation, University of Helsinki 3-year grants,</w:t>
      </w:r>
      <w:r w:rsidR="00AA175A" w:rsidRPr="002C3E85">
        <w:rPr>
          <w:rFonts w:ascii="Times New Roman" w:hAnsi="Times New Roman" w:cs="Times New Roman"/>
          <w:sz w:val="24"/>
          <w:szCs w:val="24"/>
          <w:lang w:val="en-GB"/>
        </w:rPr>
        <w:t xml:space="preserve"> </w:t>
      </w:r>
      <w:r w:rsidR="00E7271C" w:rsidRPr="002C3E85">
        <w:rPr>
          <w:rFonts w:ascii="Times New Roman" w:hAnsi="Times New Roman" w:cs="Times New Roman"/>
          <w:sz w:val="24"/>
          <w:szCs w:val="24"/>
          <w:lang w:val="en-GB"/>
        </w:rPr>
        <w:t>the Academy of Finland (grant #</w:t>
      </w:r>
      <w:r w:rsidRPr="002C3E85">
        <w:rPr>
          <w:rFonts w:ascii="Times New Roman" w:hAnsi="Times New Roman" w:cs="Times New Roman"/>
          <w:sz w:val="24"/>
          <w:szCs w:val="24"/>
          <w:lang w:val="en-GB"/>
        </w:rPr>
        <w:t>288880</w:t>
      </w:r>
      <w:r w:rsidR="002E2488" w:rsidRPr="002C3E85">
        <w:rPr>
          <w:rFonts w:ascii="Times New Roman" w:hAnsi="Times New Roman" w:cs="Times New Roman"/>
          <w:sz w:val="24"/>
          <w:szCs w:val="24"/>
          <w:lang w:val="en-GB"/>
        </w:rPr>
        <w:t xml:space="preserve"> to ML</w:t>
      </w:r>
      <w:r w:rsidR="00473711" w:rsidRPr="002C3E85">
        <w:rPr>
          <w:rFonts w:ascii="Times New Roman" w:hAnsi="Times New Roman" w:cs="Times New Roman"/>
          <w:sz w:val="24"/>
          <w:szCs w:val="24"/>
          <w:lang w:val="en-GB"/>
        </w:rPr>
        <w:t>)</w:t>
      </w:r>
      <w:r w:rsidR="00C30F55" w:rsidRPr="002C3E85">
        <w:rPr>
          <w:rFonts w:ascii="Times New Roman" w:hAnsi="Times New Roman" w:cs="Times New Roman"/>
          <w:sz w:val="24"/>
          <w:szCs w:val="24"/>
          <w:lang w:val="en-GB"/>
        </w:rPr>
        <w:t xml:space="preserve">, </w:t>
      </w:r>
      <w:r w:rsidR="00DD4920" w:rsidRPr="002C3E85">
        <w:rPr>
          <w:rFonts w:ascii="Times New Roman" w:hAnsi="Times New Roman" w:cs="Times New Roman"/>
          <w:sz w:val="24"/>
          <w:szCs w:val="24"/>
          <w:lang w:val="en-GB"/>
        </w:rPr>
        <w:t>Kone F</w:t>
      </w:r>
      <w:r w:rsidR="002E2488" w:rsidRPr="002C3E85">
        <w:rPr>
          <w:rFonts w:ascii="Times New Roman" w:hAnsi="Times New Roman" w:cs="Times New Roman"/>
          <w:sz w:val="24"/>
          <w:szCs w:val="24"/>
          <w:lang w:val="en-GB"/>
        </w:rPr>
        <w:t>oundation (project grant to AL)</w:t>
      </w:r>
      <w:r w:rsidR="006B5A71" w:rsidRPr="002C3E85">
        <w:rPr>
          <w:rFonts w:ascii="Times New Roman" w:hAnsi="Times New Roman" w:cs="Times New Roman"/>
          <w:sz w:val="24"/>
          <w:szCs w:val="24"/>
          <w:lang w:val="en-GB"/>
        </w:rPr>
        <w:t xml:space="preserve"> and Orion Research Foundation, Finnish Medical Foundation and Academy of Finland (#295580) (research grants to JJ).</w:t>
      </w:r>
    </w:p>
    <w:p w14:paraId="278C9428" w14:textId="309C88D9" w:rsidR="009B1850" w:rsidRPr="002C3E85" w:rsidRDefault="009B1850" w:rsidP="00B16091">
      <w:pPr>
        <w:spacing w:line="480" w:lineRule="auto"/>
        <w:jc w:val="both"/>
        <w:rPr>
          <w:rFonts w:ascii="Times New Roman" w:hAnsi="Times New Roman" w:cs="Times New Roman"/>
          <w:sz w:val="24"/>
          <w:szCs w:val="24"/>
          <w:lang w:val="en-GB"/>
        </w:rPr>
      </w:pPr>
    </w:p>
    <w:p w14:paraId="003ABF7B" w14:textId="703FA3FB" w:rsidR="009B1850" w:rsidRPr="002C3E85" w:rsidRDefault="009B1850"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lastRenderedPageBreak/>
        <w:t>Notes</w:t>
      </w:r>
    </w:p>
    <w:p w14:paraId="206A48E0" w14:textId="333F8F22" w:rsidR="00FA4CD0" w:rsidRPr="002C3E85" w:rsidRDefault="00FA4CD0" w:rsidP="00FA4CD0">
      <w:pPr>
        <w:spacing w:line="480" w:lineRule="auto"/>
        <w:jc w:val="both"/>
        <w:rPr>
          <w:rFonts w:ascii="Times New Roman" w:hAnsi="Times New Roman" w:cs="Times New Roman"/>
          <w:sz w:val="24"/>
          <w:szCs w:val="24"/>
          <w:lang w:val="en-GB"/>
        </w:rPr>
      </w:pPr>
      <w:r w:rsidRPr="002C3E85">
        <w:rPr>
          <w:rFonts w:ascii="Times New Roman" w:hAnsi="Times New Roman" w:cs="Times New Roman"/>
          <w:sz w:val="24"/>
          <w:szCs w:val="24"/>
          <w:lang w:val="en-GB"/>
        </w:rPr>
        <w:t>Dr</w:t>
      </w:r>
      <w:r w:rsidR="006D29A1" w:rsidRPr="002C3E85">
        <w:rPr>
          <w:rFonts w:ascii="Times New Roman" w:hAnsi="Times New Roman" w:cs="Times New Roman"/>
          <w:sz w:val="24"/>
          <w:szCs w:val="24"/>
          <w:lang w:val="en-GB"/>
        </w:rPr>
        <w:t>.</w:t>
      </w:r>
      <w:r w:rsidRPr="002C3E85">
        <w:rPr>
          <w:rFonts w:ascii="Times New Roman" w:hAnsi="Times New Roman" w:cs="Times New Roman"/>
          <w:sz w:val="24"/>
          <w:szCs w:val="24"/>
          <w:lang w:val="en-GB"/>
        </w:rPr>
        <w:t xml:space="preserve"> Joutsa discloses trave</w:t>
      </w:r>
      <w:r w:rsidR="00360F90" w:rsidRPr="002C3E85">
        <w:rPr>
          <w:rFonts w:ascii="Times New Roman" w:hAnsi="Times New Roman" w:cs="Times New Roman"/>
          <w:sz w:val="24"/>
          <w:szCs w:val="24"/>
          <w:lang w:val="en-GB"/>
        </w:rPr>
        <w:t>l grants from Abbvie and Orion.</w:t>
      </w:r>
    </w:p>
    <w:p w14:paraId="6A54F506" w14:textId="77777777" w:rsidR="00FA4CD0" w:rsidRPr="002C3E85" w:rsidRDefault="00FA4CD0" w:rsidP="00FA4CD0">
      <w:pPr>
        <w:spacing w:line="480" w:lineRule="auto"/>
        <w:jc w:val="both"/>
        <w:rPr>
          <w:rFonts w:ascii="Times New Roman" w:hAnsi="Times New Roman" w:cs="Times New Roman"/>
          <w:sz w:val="24"/>
          <w:szCs w:val="24"/>
          <w:lang w:val="en-GB"/>
        </w:rPr>
      </w:pPr>
    </w:p>
    <w:p w14:paraId="02ABB5F7" w14:textId="6F2B9596" w:rsidR="00984031" w:rsidRPr="002C3E85" w:rsidRDefault="00EF040B" w:rsidP="00B16091">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t>References</w:t>
      </w:r>
    </w:p>
    <w:p w14:paraId="18475939" w14:textId="7935E484" w:rsidR="007F63D1" w:rsidRPr="00FC4E49" w:rsidRDefault="008D4B15"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2C3E85">
        <w:rPr>
          <w:rFonts w:ascii="Times New Roman" w:hAnsi="Times New Roman" w:cs="Times New Roman"/>
          <w:sz w:val="24"/>
          <w:szCs w:val="24"/>
          <w:lang w:val="en-GB"/>
        </w:rPr>
        <w:fldChar w:fldCharType="begin" w:fldLock="1"/>
      </w:r>
      <w:r w:rsidRPr="002C3E85">
        <w:rPr>
          <w:rFonts w:ascii="Times New Roman" w:hAnsi="Times New Roman" w:cs="Times New Roman"/>
          <w:sz w:val="24"/>
          <w:szCs w:val="24"/>
          <w:lang w:val="en-GB"/>
        </w:rPr>
        <w:instrText xml:space="preserve">ADDIN Mendeley Bibliography CSL_BIBLIOGRAPHY </w:instrText>
      </w:r>
      <w:r w:rsidRPr="002C3E85">
        <w:rPr>
          <w:rFonts w:ascii="Times New Roman" w:hAnsi="Times New Roman" w:cs="Times New Roman"/>
          <w:sz w:val="24"/>
          <w:szCs w:val="24"/>
          <w:lang w:val="en-GB"/>
        </w:rPr>
        <w:fldChar w:fldCharType="separate"/>
      </w:r>
      <w:r w:rsidR="007F63D1" w:rsidRPr="00FC4E49">
        <w:rPr>
          <w:rFonts w:ascii="Times New Roman" w:hAnsi="Times New Roman" w:cs="Times New Roman"/>
          <w:noProof/>
          <w:sz w:val="24"/>
          <w:szCs w:val="24"/>
          <w:lang w:val="en-US"/>
        </w:rPr>
        <w:t>Abutalebi, J., Canini, M., Della Rosa, P.A., Green, D.W., Weekes, B.S., 2015a. The neuroprotective effects of bilingualism upon the inferior parietal lobule: A Structural Neuroimaging Study in Aging Chinese Bilinguals. J. Neurolinguistics 33, 3–13. doi:10.1016/j.jneuroling.2014.09.008</w:t>
      </w:r>
    </w:p>
    <w:p w14:paraId="04369369"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Abutalebi, J., Canini, M., Della Rosa, P.A., Sheung, L.P., Green, D.W., Weekes, B.S., 2014. Bilingualism protects anterior temporal lobe integrity in aging. Neurobiol. Aging 35, 2126–</w:t>
      </w:r>
      <w:r w:rsidRPr="00FC4E49">
        <w:rPr>
          <w:rFonts w:ascii="Times New Roman" w:hAnsi="Times New Roman" w:cs="Times New Roman"/>
          <w:noProof/>
          <w:sz w:val="24"/>
          <w:szCs w:val="24"/>
          <w:lang w:val="en-US"/>
        </w:rPr>
        <w:lastRenderedPageBreak/>
        <w:t>2133. doi:10.1016/j.neurobiolaging.2014.03.010</w:t>
      </w:r>
    </w:p>
    <w:p w14:paraId="3CC1E35C"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Abutalebi, J., Guidi, L., Borsa, V., Canini, M., Della Rosa, P.A., Parris, B.A., Weekes, B.S., 2015b. Bilingualism provides a neural reserve for aging populations. Neuropsychologia 69, 201–210. doi:10.1016/j.neuropsychologia.2015.01.040</w:t>
      </w:r>
    </w:p>
    <w:p w14:paraId="753C0D72"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Ashburner, J., Friston, K.J., 2000. Voxel-Based Morphometry—The Methods. Neuroimage 11, 805–821. doi:10.1006/nimg.2000.0582</w:t>
      </w:r>
    </w:p>
    <w:p w14:paraId="1BDCC421"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Bermudez, P., Lerch, J.P., Evans, A.C., Zatorre, R.J., 2009. Neuroanatomical correlates of musicianship as revealed by cortical thickness and voxel-based morphometry. Cereb. Cortex 19, 1583–1596. doi:10.1093/cercor/bhn196</w:t>
      </w:r>
    </w:p>
    <w:p w14:paraId="7F5CE73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Catani, M., Jones, D.K., Ffytche, D.H., 2005. Perisylvian language </w:t>
      </w:r>
      <w:r w:rsidRPr="00FC4E49">
        <w:rPr>
          <w:rFonts w:ascii="Times New Roman" w:hAnsi="Times New Roman" w:cs="Times New Roman"/>
          <w:noProof/>
          <w:sz w:val="24"/>
          <w:szCs w:val="24"/>
          <w:lang w:val="en-US"/>
        </w:rPr>
        <w:lastRenderedPageBreak/>
        <w:t>networks of the human brain. Ann. Neurol. 57, 8–16.</w:t>
      </w:r>
    </w:p>
    <w:p w14:paraId="2A20641C"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Chance, S.A., Casanova, M.F., Switala, A.E., Crow, T.J., 2006. Minicolumnar structure in Heschl’s gyrus and planum temporale: Asymmetries in relation to sex and callosal fiber number. Neuroscience 143, 1041–1050. doi:10.1016/j.neuroscience.2006.08.057</w:t>
      </w:r>
    </w:p>
    <w:p w14:paraId="37AD4257"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Curley, L.B., Newman, E., Thompson, W.K., Brown, T.T., Hagler, D.J., Akshoomoff, N., Reuter, C., Dale, A.M., Jernigan, T.L., 2018. Cortical morphology of the pars opercularis and its relationship to motor-inhibitory performance in a longitudinal, developing cohort. Brain Struct. Funct. 223, 211–220. doi:10.1007/s00429-017-1480-5</w:t>
      </w:r>
    </w:p>
    <w:p w14:paraId="0CD6D7FA"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Dale, A.M., Fischl, B., Sereno, M.I., 1999. Cortical Surface-Based </w:t>
      </w:r>
      <w:r w:rsidRPr="00FC4E49">
        <w:rPr>
          <w:rFonts w:ascii="Times New Roman" w:hAnsi="Times New Roman" w:cs="Times New Roman"/>
          <w:noProof/>
          <w:sz w:val="24"/>
          <w:szCs w:val="24"/>
          <w:lang w:val="en-US"/>
        </w:rPr>
        <w:lastRenderedPageBreak/>
        <w:t>Analysis. Neuroimage 9, 179–194. doi:10.1006/nimg.1998.0395</w:t>
      </w:r>
    </w:p>
    <w:p w14:paraId="29285987"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Dale, A.M., Sereno, M.I., 1993. Improved Localizadon of Cortical Activity by Combining EEG and MEG with MRI Cortical Surface Reconstruction: A Linear Approach. J. Cogn. Neurosci. 5, 162–176. doi:10.1162/jocn.1993.5.2.162</w:t>
      </w:r>
    </w:p>
    <w:p w14:paraId="0BFF635E"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Desikan, R.S., Ségonne, F., Fischl, B., Quinn, B.T., Dickerson, B.C., Blacker, D., Buckner, R.L., Dale, A.M., Maguire, R.P., Hyman, B.T., Albert, M.S., Killiany, R.J., 2006. An automated labeling system for subdividing the human cerebral cortex on MRI scans into gyral based regions of interest. doi:10.1016/j.neuroimage.2006.01.021</w:t>
      </w:r>
    </w:p>
    <w:p w14:paraId="5F93C006"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Fischl, B., Dale, A.M., 2000. Measuring the thickness of the human cerebral cortex from magnetic resonance images. Proc. </w:t>
      </w:r>
      <w:r w:rsidRPr="00FC4E49">
        <w:rPr>
          <w:rFonts w:ascii="Times New Roman" w:hAnsi="Times New Roman" w:cs="Times New Roman"/>
          <w:noProof/>
          <w:sz w:val="24"/>
          <w:szCs w:val="24"/>
          <w:lang w:val="en-US"/>
        </w:rPr>
        <w:lastRenderedPageBreak/>
        <w:t>Natl. Acad. Sci. 97, 11050–11055. doi:10.1073/pnas.200033797</w:t>
      </w:r>
    </w:p>
    <w:p w14:paraId="423A8CD5"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Fischl, B., Liu, A., Dale, A.M., 2001. Automated manifold surgery: constructing geometrically accurate and topologically correct models of the human cerebral cortex. IEEE Trans. Med. Imaging 20, 70–80. doi:10.1109/42.906426</w:t>
      </w:r>
    </w:p>
    <w:p w14:paraId="5B399B5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Fischl, B., Sereno, M.I., Tootell, R.B., Dale, A.M., 1999. High-resolution intersubject averaging and a coordinate system for the cortical surface. Hum. Brain Mapp. 8, 272–84.</w:t>
      </w:r>
    </w:p>
    <w:p w14:paraId="4C0A7D1A"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Fischl, B., van der Kouwe, A., Destrieux, C., Halgren, E., Ségonne, F., Salat, D.H., Busa, E., Seidman, L.J., Goldstein, J., Kennedy, D., Caviness, V., Makris, N., Rosen, B., Dale, A.M., 2004. Automatically parcellating the human cerebral cortex. Cereb. Cortex 14, 11–22.</w:t>
      </w:r>
    </w:p>
    <w:p w14:paraId="496E365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lastRenderedPageBreak/>
        <w:t>Forkel, S.J., de Schotten, M.T., DellAcqua, F., Kalra, L., Murphy, D.G.M., Williams, S.C.R., Catani, M., 2014. Anatomical predictors of aphasia recovery: a tractography study of bilateral perisylvian language networks. Brain 137, 2027–2039.</w:t>
      </w:r>
    </w:p>
    <w:p w14:paraId="2428B1E1"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García-Pentón, L., Fernández García, Y., Costello, B., Duñabeitia, J.A., Carreiras, M., 2015. The neuroanatomy of bilingualism: how to turn a hazy view into the full picture. Lang. Cogn. Neurosci. 3798, 1–25. doi:10.1080/23273798.2015.1068944</w:t>
      </w:r>
    </w:p>
    <w:p w14:paraId="483CD6A2"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Gold, B.T., Johnson, N.F., Powell, D.K., 2013. Lifelong bilingualism contributes to cognitive reserve against white matter integrity declines in aging. Neuropsychologia 51, 2841–2846.</w:t>
      </w:r>
    </w:p>
    <w:p w14:paraId="6102F325"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Golestani, N., Price, C.J., Scott, S.K., 2011. Born with an Ear for </w:t>
      </w:r>
      <w:r w:rsidRPr="00FC4E49">
        <w:rPr>
          <w:rFonts w:ascii="Times New Roman" w:hAnsi="Times New Roman" w:cs="Times New Roman"/>
          <w:noProof/>
          <w:sz w:val="24"/>
          <w:szCs w:val="24"/>
          <w:lang w:val="en-US"/>
        </w:rPr>
        <w:lastRenderedPageBreak/>
        <w:t>Dialects? Structural Plasticity in the Expert Phonetician Brain. J. Neurosci. 31, 4213–4220. doi:10.1523/JNEUROSCI.3891-10.2011</w:t>
      </w:r>
    </w:p>
    <w:p w14:paraId="4936BAAB"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Gough, P.M., Nobre, A.C., Devlin, J.T., 2005. Dissociating Linguistic Processes in the Left Inferior Frontal Cortex with Transcranial Magnetic Stimulation. J. Neurosci. 25, 8010–8016. doi:10.1523/JNEUROSCI.2307-05.2005</w:t>
      </w:r>
    </w:p>
    <w:p w14:paraId="53A3FEF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Grogan, A., ’O. Parker Jones, T., Ali, N., Crinion, J., Orabona, S., Mechias, M.L., Ramsden, S., Green, D.W., Price, C.J., 2012. Structural correlates for lexical efficiency and number of languages in non-native speakers of English. Neuropsychologia 50, 1347–1352. doi:10.1016/j.neuropsychologia.2012.02.019</w:t>
      </w:r>
    </w:p>
    <w:p w14:paraId="557A6469"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Hull, R., Vaid, J., 2007. Bilingual language lateralization: A meta-</w:t>
      </w:r>
      <w:r w:rsidRPr="00FC4E49">
        <w:rPr>
          <w:rFonts w:ascii="Times New Roman" w:hAnsi="Times New Roman" w:cs="Times New Roman"/>
          <w:noProof/>
          <w:sz w:val="24"/>
          <w:szCs w:val="24"/>
          <w:lang w:val="en-US"/>
        </w:rPr>
        <w:lastRenderedPageBreak/>
        <w:t>analytic tale of two hemispheres. Neuropsychologia 45, 1987–2008.</w:t>
      </w:r>
    </w:p>
    <w:p w14:paraId="536AFFF0"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Hämäläinen, S., Sairanen, V., Leminen, A., Lehtonen, M., 2017. Bilingualism modulates the white matter structure of language-related pathways. Neuroimage 152, 249–257. doi:10.1016/j.neuroimage.2017.02.081</w:t>
      </w:r>
    </w:p>
    <w:p w14:paraId="4AE97453"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Im, K., Lee, J.-M., Won Seo, S., Hyung Kim, S., Kim, S.I., Na, D.L., 2008. Sulcal morphology changes and their relationship with cortical thickness and gyral white matter volume in mild cognitive impairment and Alzheimer’s disease. Neuroimage 43, 103–113. doi:10.1016/j.neuroimage.2008.07.016</w:t>
      </w:r>
    </w:p>
    <w:p w14:paraId="792081B2"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Kaiser, A., Eppenberger, L.S., Smieskova, R., Borgwardt, S., Kuenzli, E., Radue, E.W., Nitsch, C., Bendfeldt, K., 2015. Age </w:t>
      </w:r>
      <w:r w:rsidRPr="00FC4E49">
        <w:rPr>
          <w:rFonts w:ascii="Times New Roman" w:hAnsi="Times New Roman" w:cs="Times New Roman"/>
          <w:noProof/>
          <w:sz w:val="24"/>
          <w:szCs w:val="24"/>
          <w:lang w:val="en-US"/>
        </w:rPr>
        <w:lastRenderedPageBreak/>
        <w:t>of second language acquisition in multilinguals has an impact on gray matter volume in language-associated brain areas. Front. Psychol. 6, 638. doi:10.3389/fpsyg.2015.00638</w:t>
      </w:r>
    </w:p>
    <w:p w14:paraId="6F1C78EE"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Klein, D., Mok, K., Chen, J.K., Watkins, K.E., 2014. Age of language learning shapes brain structure: A cortical thickness study of bilingual and monolingual individuals. Brain Lang. 131, 20–24. doi:10.1016/j.bandl.2013.05.014</w:t>
      </w:r>
    </w:p>
    <w:p w14:paraId="325838A0"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sv-FI"/>
        </w:rPr>
      </w:pPr>
      <w:r w:rsidRPr="00FC4E49">
        <w:rPr>
          <w:rFonts w:ascii="Times New Roman" w:hAnsi="Times New Roman" w:cs="Times New Roman"/>
          <w:noProof/>
          <w:sz w:val="24"/>
          <w:szCs w:val="24"/>
          <w:lang w:val="en-US"/>
        </w:rPr>
        <w:t xml:space="preserve">Krams, M., Rushworth, M.F.S., Deiber, M.-P., Frackowiak, R.S.J., Passingham, R.E., 1998. The preparation, execution and suppression of copied movements in the human brain. </w:t>
      </w:r>
      <w:r w:rsidRPr="00FC4E49">
        <w:rPr>
          <w:rFonts w:ascii="Times New Roman" w:hAnsi="Times New Roman" w:cs="Times New Roman"/>
          <w:noProof/>
          <w:sz w:val="24"/>
          <w:szCs w:val="24"/>
          <w:lang w:val="sv-FI"/>
        </w:rPr>
        <w:t>Exp. Brain Res. 120, 386–398. doi:10.1007/s002210050412</w:t>
      </w:r>
    </w:p>
    <w:p w14:paraId="7D8116D5"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sv-FI"/>
        </w:rPr>
        <w:t xml:space="preserve">König, E., Auwera, J. van der., 2002. </w:t>
      </w:r>
      <w:r w:rsidRPr="00FC4E49">
        <w:rPr>
          <w:rFonts w:ascii="Times New Roman" w:hAnsi="Times New Roman" w:cs="Times New Roman"/>
          <w:noProof/>
          <w:sz w:val="24"/>
          <w:szCs w:val="24"/>
          <w:lang w:val="en-US"/>
        </w:rPr>
        <w:t>The Germanic languages. Routledge.</w:t>
      </w:r>
    </w:p>
    <w:p w14:paraId="5C55D8D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lastRenderedPageBreak/>
        <w:t>Li, P., Legault, J., Litcofsky, K.A., 2014. Neuroplasticity as a function of second language learning: Anatomical changes in the human brain. Cortex 58, 301–324. doi:10.1016/j.cortex.2014.05.001</w:t>
      </w:r>
    </w:p>
    <w:p w14:paraId="646DC7A3"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López-Barroso, D., Catani, M., Ripollés, P., Dell’Acqua, F., Rodríguez-Fornells, A., de Diego-Balaguer, R., 2013. Word learning is mediated by the left arcuate fasciculus. Proc. Natl. Acad. Sci. 110, 13168–13173.</w:t>
      </w:r>
    </w:p>
    <w:p w14:paraId="6290B63E"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Luders, E., Kurth, F., Mayer, E.A., Toga, A.W., Narr, K.L., Gaser, C., 2012. The Unique Brain Anatomy of Meditation Practitioners: Alterations in Cortical Gyrification. Front. Hum. Neurosci. 6, 34. doi:10.3389/fnhum.2012.00034</w:t>
      </w:r>
    </w:p>
    <w:p w14:paraId="64AC564B"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Lyall, A.E., Shi, F., Geng, X., Woolson, S., Li, G., Wang, L., </w:t>
      </w:r>
      <w:r w:rsidRPr="00FC4E49">
        <w:rPr>
          <w:rFonts w:ascii="Times New Roman" w:hAnsi="Times New Roman" w:cs="Times New Roman"/>
          <w:noProof/>
          <w:sz w:val="24"/>
          <w:szCs w:val="24"/>
          <w:lang w:val="en-US"/>
        </w:rPr>
        <w:lastRenderedPageBreak/>
        <w:t>Hamer, R.M., Shen, D., Gilmore, J.H., 2015. Dynamic Development of Regional Cortical Thickness and Surface Area in Early Childhood. Cereb. Cortex 25, 2204–2212. doi:10.1093/cercor/bhu027</w:t>
      </w:r>
    </w:p>
    <w:p w14:paraId="4277590E"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Mechelli, A., Crinion, J.T., O’Doherty, U.N.J., Ashburner, J., R S Frackowiak, S.R., Price, C.J., 2004. Neurolinguistics: structural plasticity in the bilingual brain. Nature 431, 757.</w:t>
      </w:r>
    </w:p>
    <w:p w14:paraId="77A057C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Meyer, M., Liem, F., Hirsiger, S., J??ncke, L., H??nggi, J., 2014. Cortical surface area and cortical thickness demonstrate differential structural asymmetry in auditory-related areas of the human cortex. Cereb. Cortex 24, 2541–2552. doi:10.1093/cercor/bht094</w:t>
      </w:r>
    </w:p>
    <w:p w14:paraId="5D55855A"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Mårtensson, J., Eriksson, J., Bodammer, N.C., Lindgren, M., </w:t>
      </w:r>
      <w:r w:rsidRPr="00FC4E49">
        <w:rPr>
          <w:rFonts w:ascii="Times New Roman" w:hAnsi="Times New Roman" w:cs="Times New Roman"/>
          <w:noProof/>
          <w:sz w:val="24"/>
          <w:szCs w:val="24"/>
          <w:lang w:val="en-US"/>
        </w:rPr>
        <w:lastRenderedPageBreak/>
        <w:t>Johansson, M., Nyberg, L., Lövdén, M., 2012. Growth of language-related brain areas after foreign language learning. Neuroimage 63, 240–244. doi:10.1016/j.neuroimage.2012.06.043</w:t>
      </w:r>
    </w:p>
    <w:p w14:paraId="34E9AFED"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Nixon, P., Lazarova, J., Hodinott-Hill, I., Gough, P., Passingham, R., 2004. The Inferior Frontal Gyrus and Phonological Processing: An Investigation using rTMS. J. Cogn. Neurosci. 16, 289–300. doi:10.1162/089892904322984571</w:t>
      </w:r>
    </w:p>
    <w:p w14:paraId="040EF5F6"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sv-FI"/>
        </w:rPr>
      </w:pPr>
      <w:r w:rsidRPr="00FC4E49">
        <w:rPr>
          <w:rFonts w:ascii="Times New Roman" w:hAnsi="Times New Roman" w:cs="Times New Roman"/>
          <w:noProof/>
          <w:sz w:val="24"/>
          <w:szCs w:val="24"/>
          <w:lang w:val="en-US"/>
        </w:rPr>
        <w:t xml:space="preserve">Olsen, R.K., Pangelinan, M.M., Bogulski, C., Chakravarty, M.M., Luk, G., Grady, C.L., Bialystok, E., 2015. The effect of lifelong bilingualism on regional grey and white matter volume. </w:t>
      </w:r>
      <w:r w:rsidRPr="00FC4E49">
        <w:rPr>
          <w:rFonts w:ascii="Times New Roman" w:hAnsi="Times New Roman" w:cs="Times New Roman"/>
          <w:noProof/>
          <w:sz w:val="24"/>
          <w:szCs w:val="24"/>
          <w:lang w:val="sv-FI"/>
        </w:rPr>
        <w:t>Brain Res. 1612, 128–139. doi:10.1016/j.brainres.2015.02.034</w:t>
      </w:r>
    </w:p>
    <w:p w14:paraId="4CFE9032"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sv-FI"/>
        </w:rPr>
        <w:t xml:space="preserve">Pakkenberg, B., Gundersen, H.J., 1997. </w:t>
      </w:r>
      <w:r w:rsidRPr="00FC4E49">
        <w:rPr>
          <w:rFonts w:ascii="Times New Roman" w:hAnsi="Times New Roman" w:cs="Times New Roman"/>
          <w:noProof/>
          <w:sz w:val="24"/>
          <w:szCs w:val="24"/>
          <w:lang w:val="en-US"/>
        </w:rPr>
        <w:t xml:space="preserve">Neocortical neuron number </w:t>
      </w:r>
      <w:r w:rsidRPr="00FC4E49">
        <w:rPr>
          <w:rFonts w:ascii="Times New Roman" w:hAnsi="Times New Roman" w:cs="Times New Roman"/>
          <w:noProof/>
          <w:sz w:val="24"/>
          <w:szCs w:val="24"/>
          <w:lang w:val="en-US"/>
        </w:rPr>
        <w:lastRenderedPageBreak/>
        <w:t>in humans: effect of sex and age. J. Comp. Neurol. 384, 312–20.</w:t>
      </w:r>
    </w:p>
    <w:p w14:paraId="5CEE9FFC"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Panizzon, M.S., Fennema-Notestine, C., Eyler, L.T., Jernigan, T.L., Prom-Wormley, E., Neale, M., Jacobson, K., Lyons, M.J., Grant, M.D., Franz, C.E., Xian, H., Tsuang, M., Fischl, B., Seidman, L., Dale, A., Kremen, W.S., 2009. Distinct genetic influences on cortical surface area and cortical thickness. Cereb. Cortex 19, 2728–35. doi:10.1093/cercor/bhp026</w:t>
      </w:r>
    </w:p>
    <w:p w14:paraId="497C6DDF"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Pliatsikas, C., Johnstone, T., Marinis, T., 2014. Grey matter volume in the cerebellum is related to the processing of grammatical rules in a second language: A structural voxel-based morphometry study. Cerebellum 13, 55–63. doi:10.1007/s12311-013-0515-6</w:t>
      </w:r>
    </w:p>
    <w:p w14:paraId="458FF05C"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lastRenderedPageBreak/>
        <w:t>Price, C.J., 2010. The anatomy of language: a review of 100 fMRI studies published in 2009. Ann. N. Y. Acad. Sci. 1191, 62–88. doi:10.1111/j.1749-6632.2010.05444.x</w:t>
      </w:r>
    </w:p>
    <w:p w14:paraId="3E04C5ED"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Rakic, P., 2009. Evolution of the neocortex: a perspective from developmental biology. Nat. Rev. Neurosci. 10, 724–735. doi:10.1038/nrn2719</w:t>
      </w:r>
    </w:p>
    <w:p w14:paraId="5829DA08"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Raznahan, A., Shaw, P., Lalonde, F., Stockman, M., Wallace, G.L., Greenstein, D., Clasen, L., Gogtay, N., Giedd, J.N., 2011. How does your cortex grow? J. Neurosci. 31, 7174–7. doi:10.1523/JNEUROSCI.0054-11.2011</w:t>
      </w:r>
    </w:p>
    <w:p w14:paraId="589E42F1"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Remer, J., Croteau-Chonka, E., Dean, D.C., D’Arpino, S., Dirks, H., Whiley, D., Deoni, S.C.L., 2017. Quantifying cortical development in typically developing toddlers and young </w:t>
      </w:r>
      <w:r w:rsidRPr="00FC4E49">
        <w:rPr>
          <w:rFonts w:ascii="Times New Roman" w:hAnsi="Times New Roman" w:cs="Times New Roman"/>
          <w:noProof/>
          <w:sz w:val="24"/>
          <w:szCs w:val="24"/>
          <w:lang w:val="en-US"/>
        </w:rPr>
        <w:lastRenderedPageBreak/>
        <w:t>children, 1–6 years of age. Neuroimage 153, 246–261. doi:10.1016/j.neuroimage.2017.04.010</w:t>
      </w:r>
    </w:p>
    <w:p w14:paraId="4A7AEFD1"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Ressel, V., Pallier, C., Ventura-Campos, N., Díaz, B., Roessler, A., Ávila, C., Sebastián-Gallés, N., 2012. An effect of bilingualism on the auditory cortex. J. Neurosci. 32, 16597–601. doi:10.1523/JNEUROSCI.1996-12.2012</w:t>
      </w:r>
    </w:p>
    <w:p w14:paraId="694EFDB7"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Sahin, N.T., Pinker, S., Cash, S.S., Schomer, D., Halgren, E., 2009. Sequential Processing of Lexical, Grammatical, and Phonological Information Within Broca’s Area. Science (80-. ). 326.</w:t>
      </w:r>
    </w:p>
    <w:p w14:paraId="166838B0"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Schneider, P., Sluming, V., Roberts, N., Scherg, M., Goebel, R., Specht, H.J., Dosch, H.G., Bleeck, S., Stippich, C., Rupp, A., 2005. Structural and functional asymmetry of lateral Heschl’s </w:t>
      </w:r>
      <w:r w:rsidRPr="00FC4E49">
        <w:rPr>
          <w:rFonts w:ascii="Times New Roman" w:hAnsi="Times New Roman" w:cs="Times New Roman"/>
          <w:noProof/>
          <w:sz w:val="24"/>
          <w:szCs w:val="24"/>
          <w:lang w:val="en-US"/>
        </w:rPr>
        <w:lastRenderedPageBreak/>
        <w:t>gyrus reflects pitch perception preference. Nat. Neurosci. 8, 1241–1247. doi:10.1038/nn1530</w:t>
      </w:r>
    </w:p>
    <w:p w14:paraId="37537E4C"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Ségonne, F., Dale, A.M., Busa, E., Glessner, M., Salat, D., Hahn, H.K., Fischl, B., 2004. A hybrid approach to the skull stripping problem in MRI. Neuroimage 22, 1060–1075. doi:10.1016/j.neuroimage.2004.03.032</w:t>
      </w:r>
    </w:p>
    <w:p w14:paraId="1920F298"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Segonne, F., Pacheco, J., Fischl, B., 2007. Geometrically Accurate Topology-Correction of Cortical Surfaces Using Nonseparating Loops. IEEE Trans. Med. Imaging 26, 518–529. doi:10.1109/TMI.2006.887364</w:t>
      </w:r>
    </w:p>
    <w:p w14:paraId="2007618D"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Sled, J.G., Zijdenbos, A.P., Evans, A.C., 1998. A nonparametric method for automatic correction of intensity nonuniformity in MRI data. IEEE Trans. Med. Imaging 17, 87–97. </w:t>
      </w:r>
      <w:r w:rsidRPr="00FC4E49">
        <w:rPr>
          <w:rFonts w:ascii="Times New Roman" w:hAnsi="Times New Roman" w:cs="Times New Roman"/>
          <w:noProof/>
          <w:sz w:val="24"/>
          <w:szCs w:val="24"/>
          <w:lang w:val="en-US"/>
        </w:rPr>
        <w:lastRenderedPageBreak/>
        <w:t>doi:10.1109/42.668698</w:t>
      </w:r>
    </w:p>
    <w:p w14:paraId="563617C4"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Stein, M., Federspiel, A., Koenig, T., Wirth, M., Strik, W., Wiest, R., Brandeis, D., Dierks, T., 2012. Structural plasticity in the language system related to increased second language proficiency. Cortex 48, 458–465. doi:10.1016/j.cortex.2010.10.007</w:t>
      </w:r>
    </w:p>
    <w:p w14:paraId="743AA739" w14:textId="77777777" w:rsidR="007F63D1" w:rsidRPr="002C3E85"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FC4E49">
        <w:rPr>
          <w:rFonts w:ascii="Times New Roman" w:hAnsi="Times New Roman" w:cs="Times New Roman"/>
          <w:noProof/>
          <w:sz w:val="24"/>
          <w:szCs w:val="24"/>
          <w:lang w:val="en-US"/>
        </w:rPr>
        <w:t xml:space="preserve">Stein, M., Winkler, C., Kaiser, A.C., Dierks, T., 2014. Structural brain changes related to bilingualism: Does immersion make a difference? </w:t>
      </w:r>
      <w:r w:rsidRPr="002C3E85">
        <w:rPr>
          <w:rFonts w:ascii="Times New Roman" w:hAnsi="Times New Roman" w:cs="Times New Roman"/>
          <w:noProof/>
          <w:sz w:val="24"/>
          <w:szCs w:val="24"/>
        </w:rPr>
        <w:t>Front. Psychol. 5, 1–7. doi:10.3389/fpsyg.2014.01116</w:t>
      </w:r>
    </w:p>
    <w:p w14:paraId="092E1A90"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2C3E85">
        <w:rPr>
          <w:rFonts w:ascii="Times New Roman" w:hAnsi="Times New Roman" w:cs="Times New Roman"/>
          <w:noProof/>
          <w:sz w:val="24"/>
          <w:szCs w:val="24"/>
        </w:rPr>
        <w:t xml:space="preserve">Tamnes, C.K., Herting, M.M., Goddings, A.-L., Meuwese, R., Blakemore, S.-J., Dahl, R.E., Güroğlu, B., Raznahan, A., Sowell, E.R., Crone, E.A., Mills, K.L., 2017. </w:t>
      </w:r>
      <w:r w:rsidRPr="00FC4E49">
        <w:rPr>
          <w:rFonts w:ascii="Times New Roman" w:hAnsi="Times New Roman" w:cs="Times New Roman"/>
          <w:noProof/>
          <w:sz w:val="24"/>
          <w:szCs w:val="24"/>
          <w:lang w:val="en-US"/>
        </w:rPr>
        <w:t xml:space="preserve">Development of </w:t>
      </w:r>
      <w:r w:rsidRPr="00FC4E49">
        <w:rPr>
          <w:rFonts w:ascii="Times New Roman" w:hAnsi="Times New Roman" w:cs="Times New Roman"/>
          <w:noProof/>
          <w:sz w:val="24"/>
          <w:szCs w:val="24"/>
          <w:lang w:val="en-US"/>
        </w:rPr>
        <w:lastRenderedPageBreak/>
        <w:t>the Cerebral Cortex across Adolescence: A Multisample Study of Inter-Related Longitudinal Changes in Cortical Volume, Surface Area, and Thickness. J. Neurosci. 37, 3402–3412. doi:10.1523/JNEUROSCI.3302-16.2017</w:t>
      </w:r>
    </w:p>
    <w:p w14:paraId="48BDCCAC"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Wallace, G.L., Eisenberg, I.W., Robustelli, B., Dankner, N., Kenworthy, L., Giedd, J.N., Martin, A., 2015. Longitudinal Cortical Development During Adolescence and Young Adulthood in Autism Spectrum Disorder: Increased Cortical Thinning but Comparable Surface Area Changes. J. Am. Acad. Child Adolesc. Psychiatry 54, 464–469. doi:10.1016/j.jaac.2015.03.007</w:t>
      </w:r>
    </w:p>
    <w:p w14:paraId="3461AB77"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 xml:space="preserve">Wierenga, L.M., Langen, M., Oranje, B., Durston, S., 2014. Unique developmental trajectories of cortical thickness and </w:t>
      </w:r>
      <w:r w:rsidRPr="00FC4E49">
        <w:rPr>
          <w:rFonts w:ascii="Times New Roman" w:hAnsi="Times New Roman" w:cs="Times New Roman"/>
          <w:noProof/>
          <w:sz w:val="24"/>
          <w:szCs w:val="24"/>
          <w:lang w:val="en-US"/>
        </w:rPr>
        <w:lastRenderedPageBreak/>
        <w:t>surface area. Neuroimage 87, 120–126. doi:10.1016/j.neuroimage.2013.11.010</w:t>
      </w:r>
    </w:p>
    <w:p w14:paraId="21FBCAED"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bookmarkStart w:id="4" w:name="_Hlk512156316"/>
      <w:r w:rsidRPr="00FC4E49">
        <w:rPr>
          <w:rFonts w:ascii="Times New Roman" w:hAnsi="Times New Roman" w:cs="Times New Roman"/>
          <w:noProof/>
          <w:sz w:val="24"/>
          <w:szCs w:val="24"/>
          <w:lang w:val="en-US"/>
        </w:rPr>
        <w:t>Zatorre, R.J., Fields, R.D., Johansen-Berg, H., 2012. Plasticity in gray and white: neuroimaging changes in brain structure during learning. Nat. Neurosci. 15, 528–536. doi:10.1038/nn.3045</w:t>
      </w:r>
    </w:p>
    <w:bookmarkEnd w:id="4"/>
    <w:p w14:paraId="53A49FA4" w14:textId="77777777" w:rsidR="007F63D1" w:rsidRPr="00FC4E49"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szCs w:val="24"/>
          <w:lang w:val="en-US"/>
        </w:rPr>
      </w:pPr>
      <w:r w:rsidRPr="00FC4E49">
        <w:rPr>
          <w:rFonts w:ascii="Times New Roman" w:hAnsi="Times New Roman" w:cs="Times New Roman"/>
          <w:noProof/>
          <w:sz w:val="24"/>
          <w:szCs w:val="24"/>
          <w:lang w:val="en-US"/>
        </w:rPr>
        <w:t>Zatorre, R.J., Meyer, E., Gjedde, A., Evans, A.C., 1996. PET studies of phonetic processing of speech: review, replication, and reanalysis. Cereb Cortex 6, 21–30. doi:10.1093/cercor/6.1.21</w:t>
      </w:r>
    </w:p>
    <w:p w14:paraId="6D8D4399" w14:textId="77777777" w:rsidR="007F63D1" w:rsidRPr="002C3E85" w:rsidRDefault="007F63D1" w:rsidP="007F63D1">
      <w:pPr>
        <w:widowControl w:val="0"/>
        <w:autoSpaceDE w:val="0"/>
        <w:autoSpaceDN w:val="0"/>
        <w:adjustRightInd w:val="0"/>
        <w:spacing w:after="0" w:line="480" w:lineRule="auto"/>
        <w:ind w:left="480" w:hanging="480"/>
        <w:rPr>
          <w:rFonts w:ascii="Times New Roman" w:hAnsi="Times New Roman" w:cs="Times New Roman"/>
          <w:noProof/>
          <w:sz w:val="24"/>
        </w:rPr>
      </w:pPr>
      <w:r w:rsidRPr="00FC4E49">
        <w:rPr>
          <w:rFonts w:ascii="Times New Roman" w:hAnsi="Times New Roman" w:cs="Times New Roman"/>
          <w:noProof/>
          <w:sz w:val="24"/>
          <w:szCs w:val="24"/>
          <w:lang w:val="en-US"/>
        </w:rPr>
        <w:t xml:space="preserve">Zielinski, B.A., Prigge, M.B.D., Nielsen, J.A., Froehlich, A.L., Abildskov, T.J., Anderson, J.S., Fletcher, P.T., Zygmunt, K.M., Travers, B.G., Lange, N., Alexander, A.L., Bigler, E.D., Lainhart, J.E., 2014. Longitudinal changes in cortical thickness </w:t>
      </w:r>
      <w:r w:rsidRPr="00FC4E49">
        <w:rPr>
          <w:rFonts w:ascii="Times New Roman" w:hAnsi="Times New Roman" w:cs="Times New Roman"/>
          <w:noProof/>
          <w:sz w:val="24"/>
          <w:szCs w:val="24"/>
          <w:lang w:val="en-US"/>
        </w:rPr>
        <w:lastRenderedPageBreak/>
        <w:t xml:space="preserve">in autism and typical development. </w:t>
      </w:r>
      <w:r w:rsidRPr="002C3E85">
        <w:rPr>
          <w:rFonts w:ascii="Times New Roman" w:hAnsi="Times New Roman" w:cs="Times New Roman"/>
          <w:noProof/>
          <w:sz w:val="24"/>
          <w:szCs w:val="24"/>
        </w:rPr>
        <w:t>Brain 137, 1799–1812. doi:10.1093/brain/awu083</w:t>
      </w:r>
    </w:p>
    <w:p w14:paraId="71E31C24" w14:textId="106F64BF" w:rsidR="00E50100" w:rsidRPr="002C3E85" w:rsidRDefault="008D4B15" w:rsidP="00FD2558">
      <w:pPr>
        <w:widowControl w:val="0"/>
        <w:autoSpaceDE w:val="0"/>
        <w:autoSpaceDN w:val="0"/>
        <w:adjustRightInd w:val="0"/>
        <w:spacing w:line="480" w:lineRule="auto"/>
        <w:ind w:left="480" w:hanging="480"/>
        <w:rPr>
          <w:rFonts w:ascii="Times New Roman" w:hAnsi="Times New Roman" w:cs="Times New Roman"/>
          <w:sz w:val="24"/>
          <w:szCs w:val="24"/>
          <w:lang w:val="en-GB"/>
        </w:rPr>
      </w:pPr>
      <w:r w:rsidRPr="002C3E85">
        <w:rPr>
          <w:rFonts w:ascii="Times New Roman" w:hAnsi="Times New Roman" w:cs="Times New Roman"/>
          <w:sz w:val="24"/>
          <w:szCs w:val="24"/>
          <w:lang w:val="en-GB"/>
        </w:rPr>
        <w:fldChar w:fldCharType="end"/>
      </w:r>
    </w:p>
    <w:p w14:paraId="28943AAA" w14:textId="1873AF0D" w:rsidR="00DA7AAA" w:rsidRPr="002C3E85" w:rsidRDefault="00DA7AAA">
      <w:pPr>
        <w:rPr>
          <w:rFonts w:ascii="Times New Roman" w:hAnsi="Times New Roman" w:cs="Times New Roman"/>
          <w:sz w:val="24"/>
          <w:szCs w:val="24"/>
          <w:lang w:val="en-GB"/>
        </w:rPr>
      </w:pPr>
      <w:r w:rsidRPr="002C3E85">
        <w:rPr>
          <w:rFonts w:ascii="Times New Roman" w:hAnsi="Times New Roman" w:cs="Times New Roman"/>
          <w:sz w:val="24"/>
          <w:szCs w:val="24"/>
          <w:lang w:val="en-GB"/>
        </w:rPr>
        <w:br w:type="page"/>
      </w:r>
    </w:p>
    <w:p w14:paraId="290F3F58" w14:textId="3712C61E" w:rsidR="00C91BD8" w:rsidRPr="002C3E85" w:rsidRDefault="00DA7AAA" w:rsidP="00FD2558">
      <w:pPr>
        <w:spacing w:line="480" w:lineRule="auto"/>
        <w:jc w:val="both"/>
        <w:rPr>
          <w:rFonts w:ascii="Times New Roman" w:hAnsi="Times New Roman" w:cs="Times New Roman"/>
          <w:b/>
          <w:sz w:val="24"/>
          <w:szCs w:val="24"/>
          <w:lang w:val="en-GB"/>
        </w:rPr>
      </w:pPr>
      <w:r w:rsidRPr="002C3E85">
        <w:rPr>
          <w:rFonts w:ascii="Times New Roman" w:hAnsi="Times New Roman" w:cs="Times New Roman"/>
          <w:b/>
          <w:sz w:val="24"/>
          <w:szCs w:val="24"/>
          <w:lang w:val="en-GB"/>
        </w:rPr>
        <w:lastRenderedPageBreak/>
        <w:t>Tables and Figure Captions</w:t>
      </w:r>
    </w:p>
    <w:tbl>
      <w:tblPr>
        <w:tblW w:w="9214" w:type="dxa"/>
        <w:tblCellMar>
          <w:left w:w="70" w:type="dxa"/>
          <w:right w:w="70" w:type="dxa"/>
        </w:tblCellMar>
        <w:tblLook w:val="04A0" w:firstRow="1" w:lastRow="0" w:firstColumn="1" w:lastColumn="0" w:noHBand="0" w:noVBand="1"/>
      </w:tblPr>
      <w:tblGrid>
        <w:gridCol w:w="200"/>
        <w:gridCol w:w="3515"/>
        <w:gridCol w:w="340"/>
        <w:gridCol w:w="2608"/>
        <w:gridCol w:w="2551"/>
      </w:tblGrid>
      <w:tr w:rsidR="000E0999" w:rsidRPr="002C3E85" w14:paraId="1F103B44" w14:textId="77777777" w:rsidTr="000E0999">
        <w:trPr>
          <w:trHeight w:val="282"/>
        </w:trPr>
        <w:tc>
          <w:tcPr>
            <w:tcW w:w="3715" w:type="dxa"/>
            <w:gridSpan w:val="2"/>
            <w:tcBorders>
              <w:top w:val="nil"/>
              <w:left w:val="nil"/>
              <w:bottom w:val="nil"/>
              <w:right w:val="nil"/>
            </w:tcBorders>
            <w:shd w:val="clear" w:color="000000" w:fill="D0CECE"/>
            <w:noWrap/>
            <w:vAlign w:val="bottom"/>
            <w:hideMark/>
          </w:tcPr>
          <w:p w14:paraId="50CAEA04" w14:textId="77777777" w:rsidR="000E0999" w:rsidRPr="002C3E85" w:rsidRDefault="000E0999" w:rsidP="000E0999">
            <w:pPr>
              <w:spacing w:after="0" w:line="240" w:lineRule="auto"/>
              <w:rPr>
                <w:rFonts w:ascii="Times New Roman" w:eastAsia="Times New Roman" w:hAnsi="Times New Roman" w:cs="Times New Roman"/>
                <w:b/>
                <w:bCs/>
                <w:color w:val="000000"/>
                <w:sz w:val="24"/>
                <w:szCs w:val="24"/>
                <w:lang w:val="en-GB" w:eastAsia="fi-FI"/>
              </w:rPr>
            </w:pPr>
            <w:r w:rsidRPr="002C3E85">
              <w:rPr>
                <w:rFonts w:ascii="Times New Roman" w:eastAsia="Times New Roman" w:hAnsi="Times New Roman" w:cs="Times New Roman"/>
                <w:b/>
                <w:bCs/>
                <w:color w:val="000000"/>
                <w:sz w:val="24"/>
                <w:szCs w:val="24"/>
                <w:lang w:val="en-GB" w:eastAsia="fi-FI"/>
              </w:rPr>
              <w:t>Table 1.</w:t>
            </w:r>
          </w:p>
        </w:tc>
        <w:tc>
          <w:tcPr>
            <w:tcW w:w="340" w:type="dxa"/>
            <w:tcBorders>
              <w:top w:val="nil"/>
              <w:left w:val="nil"/>
              <w:bottom w:val="nil"/>
              <w:right w:val="nil"/>
            </w:tcBorders>
            <w:shd w:val="clear" w:color="000000" w:fill="D0CECE"/>
            <w:noWrap/>
            <w:vAlign w:val="bottom"/>
            <w:hideMark/>
          </w:tcPr>
          <w:p w14:paraId="13808016"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D0CECE"/>
            <w:noWrap/>
            <w:vAlign w:val="bottom"/>
            <w:hideMark/>
          </w:tcPr>
          <w:p w14:paraId="43BE7D4C"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551" w:type="dxa"/>
            <w:tcBorders>
              <w:top w:val="nil"/>
              <w:left w:val="nil"/>
              <w:bottom w:val="nil"/>
              <w:right w:val="nil"/>
            </w:tcBorders>
            <w:shd w:val="clear" w:color="000000" w:fill="D0CECE"/>
            <w:noWrap/>
            <w:vAlign w:val="bottom"/>
            <w:hideMark/>
          </w:tcPr>
          <w:p w14:paraId="7DD9940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r>
      <w:tr w:rsidR="000E0999" w:rsidRPr="002C3E85" w14:paraId="3EEB41F7" w14:textId="77777777" w:rsidTr="000E0999">
        <w:trPr>
          <w:trHeight w:val="282"/>
        </w:trPr>
        <w:tc>
          <w:tcPr>
            <w:tcW w:w="9214" w:type="dxa"/>
            <w:gridSpan w:val="5"/>
            <w:tcBorders>
              <w:top w:val="nil"/>
              <w:left w:val="nil"/>
              <w:bottom w:val="single" w:sz="4" w:space="0" w:color="auto"/>
              <w:right w:val="nil"/>
            </w:tcBorders>
            <w:shd w:val="clear" w:color="000000" w:fill="D0CECE"/>
            <w:noWrap/>
            <w:vAlign w:val="bottom"/>
            <w:hideMark/>
          </w:tcPr>
          <w:p w14:paraId="4CBE6310"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Participants' language background.</w:t>
            </w:r>
          </w:p>
        </w:tc>
      </w:tr>
      <w:tr w:rsidR="000E0999" w:rsidRPr="002C3E85" w14:paraId="1A16885B" w14:textId="77777777" w:rsidTr="000E0999">
        <w:trPr>
          <w:trHeight w:val="282"/>
        </w:trPr>
        <w:tc>
          <w:tcPr>
            <w:tcW w:w="3715" w:type="dxa"/>
            <w:gridSpan w:val="2"/>
            <w:tcBorders>
              <w:top w:val="single" w:sz="4" w:space="0" w:color="auto"/>
              <w:left w:val="nil"/>
              <w:bottom w:val="single" w:sz="4" w:space="0" w:color="auto"/>
              <w:right w:val="nil"/>
            </w:tcBorders>
            <w:shd w:val="clear" w:color="000000" w:fill="F2F2F2"/>
            <w:noWrap/>
            <w:vAlign w:val="bottom"/>
            <w:hideMark/>
          </w:tcPr>
          <w:p w14:paraId="624E82CF" w14:textId="6DDBDEC0"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Age of acquisition</w:t>
            </w:r>
          </w:p>
        </w:tc>
        <w:tc>
          <w:tcPr>
            <w:tcW w:w="340" w:type="dxa"/>
            <w:tcBorders>
              <w:top w:val="nil"/>
              <w:left w:val="nil"/>
              <w:bottom w:val="single" w:sz="4" w:space="0" w:color="auto"/>
              <w:right w:val="nil"/>
            </w:tcBorders>
            <w:shd w:val="clear" w:color="000000" w:fill="F2F2F2"/>
            <w:noWrap/>
            <w:vAlign w:val="bottom"/>
            <w:hideMark/>
          </w:tcPr>
          <w:p w14:paraId="78FD367B"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single" w:sz="4" w:space="0" w:color="auto"/>
              <w:right w:val="nil"/>
            </w:tcBorders>
            <w:shd w:val="clear" w:color="000000" w:fill="F2F2F2"/>
            <w:noWrap/>
            <w:vAlign w:val="bottom"/>
            <w:hideMark/>
          </w:tcPr>
          <w:p w14:paraId="2520137B"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Early bilinguals, M (SD)</w:t>
            </w:r>
          </w:p>
        </w:tc>
        <w:tc>
          <w:tcPr>
            <w:tcW w:w="2551" w:type="dxa"/>
            <w:tcBorders>
              <w:top w:val="nil"/>
              <w:left w:val="nil"/>
              <w:bottom w:val="single" w:sz="4" w:space="0" w:color="auto"/>
              <w:right w:val="nil"/>
            </w:tcBorders>
            <w:shd w:val="clear" w:color="000000" w:fill="F2F2F2"/>
            <w:noWrap/>
            <w:vAlign w:val="bottom"/>
            <w:hideMark/>
          </w:tcPr>
          <w:p w14:paraId="5A9826D4"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Late bilinguals, M (SD)</w:t>
            </w:r>
          </w:p>
        </w:tc>
      </w:tr>
      <w:tr w:rsidR="000E0999" w:rsidRPr="002C3E85" w14:paraId="63427C35" w14:textId="77777777" w:rsidTr="000E0999">
        <w:trPr>
          <w:trHeight w:val="282"/>
        </w:trPr>
        <w:tc>
          <w:tcPr>
            <w:tcW w:w="200" w:type="dxa"/>
            <w:tcBorders>
              <w:top w:val="nil"/>
              <w:left w:val="nil"/>
              <w:bottom w:val="nil"/>
              <w:right w:val="nil"/>
            </w:tcBorders>
            <w:shd w:val="clear" w:color="000000" w:fill="FFFFFF"/>
            <w:noWrap/>
            <w:vAlign w:val="bottom"/>
            <w:hideMark/>
          </w:tcPr>
          <w:p w14:paraId="6D79CFC4"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752481B2"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Finnish</w:t>
            </w:r>
          </w:p>
        </w:tc>
        <w:tc>
          <w:tcPr>
            <w:tcW w:w="340" w:type="dxa"/>
            <w:tcBorders>
              <w:top w:val="nil"/>
              <w:left w:val="nil"/>
              <w:bottom w:val="nil"/>
              <w:right w:val="nil"/>
            </w:tcBorders>
            <w:shd w:val="clear" w:color="000000" w:fill="FFFFFF"/>
            <w:noWrap/>
            <w:vAlign w:val="bottom"/>
            <w:hideMark/>
          </w:tcPr>
          <w:p w14:paraId="14906E4C"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03E40AFE" w14:textId="77777777" w:rsidR="000E0999" w:rsidRPr="002C3E85" w:rsidRDefault="000E0999" w:rsidP="000E0999">
            <w:pPr>
              <w:spacing w:after="0" w:line="240" w:lineRule="auto"/>
              <w:jc w:val="center"/>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from birth</w:t>
            </w:r>
          </w:p>
        </w:tc>
        <w:tc>
          <w:tcPr>
            <w:tcW w:w="2551" w:type="dxa"/>
            <w:tcBorders>
              <w:top w:val="nil"/>
              <w:left w:val="nil"/>
              <w:bottom w:val="nil"/>
              <w:right w:val="nil"/>
            </w:tcBorders>
            <w:shd w:val="clear" w:color="000000" w:fill="FFFFFF"/>
            <w:noWrap/>
            <w:vAlign w:val="bottom"/>
            <w:hideMark/>
          </w:tcPr>
          <w:p w14:paraId="5E865A49" w14:textId="77777777" w:rsidR="000E0999" w:rsidRPr="002C3E85" w:rsidRDefault="000E0999" w:rsidP="000E0999">
            <w:pPr>
              <w:spacing w:after="0" w:line="240" w:lineRule="auto"/>
              <w:jc w:val="center"/>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from birth</w:t>
            </w:r>
          </w:p>
        </w:tc>
      </w:tr>
      <w:tr w:rsidR="000E0999" w:rsidRPr="002C3E85" w14:paraId="57FE7862" w14:textId="77777777" w:rsidTr="000E0999">
        <w:trPr>
          <w:trHeight w:val="282"/>
        </w:trPr>
        <w:tc>
          <w:tcPr>
            <w:tcW w:w="200" w:type="dxa"/>
            <w:tcBorders>
              <w:top w:val="nil"/>
              <w:left w:val="nil"/>
              <w:bottom w:val="nil"/>
              <w:right w:val="nil"/>
            </w:tcBorders>
            <w:shd w:val="clear" w:color="000000" w:fill="FFFFFF"/>
            <w:noWrap/>
            <w:vAlign w:val="bottom"/>
            <w:hideMark/>
          </w:tcPr>
          <w:p w14:paraId="08A3E75B"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12EF4954"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Swedish</w:t>
            </w:r>
          </w:p>
        </w:tc>
        <w:tc>
          <w:tcPr>
            <w:tcW w:w="340" w:type="dxa"/>
            <w:tcBorders>
              <w:top w:val="nil"/>
              <w:left w:val="nil"/>
              <w:bottom w:val="nil"/>
              <w:right w:val="nil"/>
            </w:tcBorders>
            <w:shd w:val="clear" w:color="000000" w:fill="FFFFFF"/>
            <w:noWrap/>
            <w:vAlign w:val="bottom"/>
            <w:hideMark/>
          </w:tcPr>
          <w:p w14:paraId="00DCE8FF"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35E32B12"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2.35 (1.9)</w:t>
            </w:r>
          </w:p>
        </w:tc>
        <w:tc>
          <w:tcPr>
            <w:tcW w:w="2551" w:type="dxa"/>
            <w:tcBorders>
              <w:top w:val="nil"/>
              <w:left w:val="nil"/>
              <w:bottom w:val="nil"/>
              <w:right w:val="nil"/>
            </w:tcBorders>
            <w:shd w:val="clear" w:color="000000" w:fill="FFFFFF"/>
            <w:noWrap/>
            <w:vAlign w:val="bottom"/>
            <w:hideMark/>
          </w:tcPr>
          <w:p w14:paraId="66F8205D"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12.4 (1.1)</w:t>
            </w:r>
          </w:p>
        </w:tc>
      </w:tr>
      <w:tr w:rsidR="000E0999" w:rsidRPr="002C3E85" w14:paraId="10953760" w14:textId="77777777" w:rsidTr="000E0999">
        <w:trPr>
          <w:trHeight w:val="282"/>
        </w:trPr>
        <w:tc>
          <w:tcPr>
            <w:tcW w:w="200" w:type="dxa"/>
            <w:tcBorders>
              <w:top w:val="nil"/>
              <w:left w:val="nil"/>
              <w:bottom w:val="nil"/>
              <w:right w:val="nil"/>
            </w:tcBorders>
            <w:shd w:val="clear" w:color="000000" w:fill="FFFFFF"/>
            <w:noWrap/>
            <w:vAlign w:val="bottom"/>
            <w:hideMark/>
          </w:tcPr>
          <w:p w14:paraId="585D3752"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0B2017F7"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English</w:t>
            </w:r>
          </w:p>
        </w:tc>
        <w:tc>
          <w:tcPr>
            <w:tcW w:w="340" w:type="dxa"/>
            <w:tcBorders>
              <w:top w:val="nil"/>
              <w:left w:val="nil"/>
              <w:bottom w:val="nil"/>
              <w:right w:val="nil"/>
            </w:tcBorders>
            <w:shd w:val="clear" w:color="000000" w:fill="FFFFFF"/>
            <w:noWrap/>
            <w:vAlign w:val="bottom"/>
            <w:hideMark/>
          </w:tcPr>
          <w:p w14:paraId="694403AB"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auto" w:fill="auto"/>
            <w:noWrap/>
            <w:vAlign w:val="bottom"/>
            <w:hideMark/>
          </w:tcPr>
          <w:p w14:paraId="714DA60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9.35 (0.7)</w:t>
            </w:r>
          </w:p>
        </w:tc>
        <w:tc>
          <w:tcPr>
            <w:tcW w:w="2551" w:type="dxa"/>
            <w:tcBorders>
              <w:top w:val="nil"/>
              <w:left w:val="nil"/>
              <w:bottom w:val="nil"/>
              <w:right w:val="nil"/>
            </w:tcBorders>
            <w:shd w:val="clear" w:color="000000" w:fill="FFFFFF"/>
            <w:noWrap/>
            <w:vAlign w:val="bottom"/>
            <w:hideMark/>
          </w:tcPr>
          <w:p w14:paraId="4AE6BAB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8.96 (1.1)</w:t>
            </w:r>
          </w:p>
        </w:tc>
      </w:tr>
      <w:tr w:rsidR="000E0999" w:rsidRPr="002C3E85" w14:paraId="0AB57C7C" w14:textId="77777777" w:rsidTr="000E0999">
        <w:trPr>
          <w:trHeight w:val="162"/>
        </w:trPr>
        <w:tc>
          <w:tcPr>
            <w:tcW w:w="200" w:type="dxa"/>
            <w:tcBorders>
              <w:top w:val="nil"/>
              <w:left w:val="nil"/>
              <w:bottom w:val="nil"/>
              <w:right w:val="nil"/>
            </w:tcBorders>
            <w:shd w:val="clear" w:color="000000" w:fill="FFFFFF"/>
            <w:noWrap/>
            <w:vAlign w:val="bottom"/>
            <w:hideMark/>
          </w:tcPr>
          <w:p w14:paraId="477A2941"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348D721D"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315F91A9"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3A63D30B"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551" w:type="dxa"/>
            <w:tcBorders>
              <w:top w:val="nil"/>
              <w:left w:val="nil"/>
              <w:bottom w:val="nil"/>
              <w:right w:val="nil"/>
            </w:tcBorders>
            <w:shd w:val="clear" w:color="000000" w:fill="FFFFFF"/>
            <w:noWrap/>
            <w:vAlign w:val="bottom"/>
            <w:hideMark/>
          </w:tcPr>
          <w:p w14:paraId="22A40DE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r>
      <w:tr w:rsidR="000E0999" w:rsidRPr="002C3E85" w14:paraId="76DF409A" w14:textId="77777777" w:rsidTr="000E0999">
        <w:trPr>
          <w:trHeight w:val="282"/>
        </w:trPr>
        <w:tc>
          <w:tcPr>
            <w:tcW w:w="3715" w:type="dxa"/>
            <w:gridSpan w:val="2"/>
            <w:tcBorders>
              <w:top w:val="single" w:sz="4" w:space="0" w:color="auto"/>
              <w:left w:val="nil"/>
              <w:bottom w:val="single" w:sz="4" w:space="0" w:color="auto"/>
              <w:right w:val="nil"/>
            </w:tcBorders>
            <w:shd w:val="clear" w:color="000000" w:fill="F2F2F2"/>
            <w:noWrap/>
            <w:vAlign w:val="bottom"/>
            <w:hideMark/>
          </w:tcPr>
          <w:p w14:paraId="6F754B4E"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Languages used during childhood</w:t>
            </w:r>
          </w:p>
        </w:tc>
        <w:tc>
          <w:tcPr>
            <w:tcW w:w="340" w:type="dxa"/>
            <w:tcBorders>
              <w:top w:val="single" w:sz="4" w:space="0" w:color="auto"/>
              <w:left w:val="nil"/>
              <w:bottom w:val="single" w:sz="4" w:space="0" w:color="auto"/>
              <w:right w:val="nil"/>
            </w:tcBorders>
            <w:shd w:val="clear" w:color="000000" w:fill="F2F2F2"/>
            <w:noWrap/>
            <w:vAlign w:val="bottom"/>
            <w:hideMark/>
          </w:tcPr>
          <w:p w14:paraId="01D6DA43"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single" w:sz="4" w:space="0" w:color="auto"/>
              <w:left w:val="nil"/>
              <w:bottom w:val="single" w:sz="4" w:space="0" w:color="auto"/>
              <w:right w:val="nil"/>
            </w:tcBorders>
            <w:shd w:val="clear" w:color="000000" w:fill="F2F2F2"/>
            <w:noWrap/>
            <w:vAlign w:val="bottom"/>
            <w:hideMark/>
          </w:tcPr>
          <w:p w14:paraId="2A7FF79C"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Early bilinguals</w:t>
            </w:r>
          </w:p>
        </w:tc>
        <w:tc>
          <w:tcPr>
            <w:tcW w:w="2551" w:type="dxa"/>
            <w:tcBorders>
              <w:top w:val="single" w:sz="4" w:space="0" w:color="auto"/>
              <w:left w:val="nil"/>
              <w:bottom w:val="single" w:sz="4" w:space="0" w:color="auto"/>
              <w:right w:val="nil"/>
            </w:tcBorders>
            <w:shd w:val="clear" w:color="000000" w:fill="F2F2F2"/>
            <w:noWrap/>
            <w:vAlign w:val="bottom"/>
            <w:hideMark/>
          </w:tcPr>
          <w:p w14:paraId="0A4AE927"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Late bilinguals</w:t>
            </w:r>
          </w:p>
        </w:tc>
      </w:tr>
      <w:tr w:rsidR="000E0999" w:rsidRPr="002C3E85" w14:paraId="530EE0D4" w14:textId="77777777" w:rsidTr="000E0999">
        <w:trPr>
          <w:trHeight w:val="282"/>
        </w:trPr>
        <w:tc>
          <w:tcPr>
            <w:tcW w:w="200" w:type="dxa"/>
            <w:tcBorders>
              <w:top w:val="nil"/>
              <w:left w:val="nil"/>
              <w:bottom w:val="nil"/>
              <w:right w:val="nil"/>
            </w:tcBorders>
            <w:shd w:val="clear" w:color="000000" w:fill="FFFFFF"/>
            <w:noWrap/>
            <w:vAlign w:val="bottom"/>
            <w:hideMark/>
          </w:tcPr>
          <w:p w14:paraId="6DBE4010"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vAlign w:val="center"/>
            <w:hideMark/>
          </w:tcPr>
          <w:p w14:paraId="36ACAA36"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Both languages at home</w:t>
            </w:r>
          </w:p>
        </w:tc>
        <w:tc>
          <w:tcPr>
            <w:tcW w:w="340" w:type="dxa"/>
            <w:tcBorders>
              <w:top w:val="nil"/>
              <w:left w:val="nil"/>
              <w:bottom w:val="nil"/>
              <w:right w:val="nil"/>
            </w:tcBorders>
            <w:shd w:val="clear" w:color="000000" w:fill="FFFFFF"/>
            <w:noWrap/>
            <w:vAlign w:val="center"/>
            <w:hideMark/>
          </w:tcPr>
          <w:p w14:paraId="190AB1F6"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center"/>
            <w:hideMark/>
          </w:tcPr>
          <w:p w14:paraId="4A59E3C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70.6</w:t>
            </w:r>
          </w:p>
        </w:tc>
        <w:tc>
          <w:tcPr>
            <w:tcW w:w="2551" w:type="dxa"/>
            <w:tcBorders>
              <w:top w:val="nil"/>
              <w:left w:val="nil"/>
              <w:bottom w:val="nil"/>
              <w:right w:val="nil"/>
            </w:tcBorders>
            <w:shd w:val="clear" w:color="000000" w:fill="FFFFFF"/>
            <w:noWrap/>
            <w:vAlign w:val="center"/>
            <w:hideMark/>
          </w:tcPr>
          <w:p w14:paraId="75838EEC"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w:t>
            </w:r>
          </w:p>
        </w:tc>
      </w:tr>
      <w:tr w:rsidR="000E0999" w:rsidRPr="002C3E85" w14:paraId="455F7D98" w14:textId="77777777" w:rsidTr="000E0999">
        <w:trPr>
          <w:trHeight w:val="282"/>
        </w:trPr>
        <w:tc>
          <w:tcPr>
            <w:tcW w:w="200" w:type="dxa"/>
            <w:tcBorders>
              <w:top w:val="nil"/>
              <w:left w:val="nil"/>
              <w:bottom w:val="nil"/>
              <w:right w:val="nil"/>
            </w:tcBorders>
            <w:shd w:val="clear" w:color="000000" w:fill="FFFFFF"/>
            <w:noWrap/>
            <w:vAlign w:val="bottom"/>
            <w:hideMark/>
          </w:tcPr>
          <w:p w14:paraId="7CD410D6"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vAlign w:val="center"/>
            <w:hideMark/>
          </w:tcPr>
          <w:p w14:paraId="6E96CA31"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FIN at home, SWE outside home</w:t>
            </w:r>
          </w:p>
        </w:tc>
        <w:tc>
          <w:tcPr>
            <w:tcW w:w="340" w:type="dxa"/>
            <w:tcBorders>
              <w:top w:val="nil"/>
              <w:left w:val="nil"/>
              <w:bottom w:val="nil"/>
              <w:right w:val="nil"/>
            </w:tcBorders>
            <w:shd w:val="clear" w:color="000000" w:fill="FFFFFF"/>
            <w:noWrap/>
            <w:vAlign w:val="center"/>
            <w:hideMark/>
          </w:tcPr>
          <w:p w14:paraId="29D79BBC"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center"/>
            <w:hideMark/>
          </w:tcPr>
          <w:p w14:paraId="4F7E3E5B"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17.6</w:t>
            </w:r>
          </w:p>
        </w:tc>
        <w:tc>
          <w:tcPr>
            <w:tcW w:w="2551" w:type="dxa"/>
            <w:tcBorders>
              <w:top w:val="nil"/>
              <w:left w:val="nil"/>
              <w:bottom w:val="nil"/>
              <w:right w:val="nil"/>
            </w:tcBorders>
            <w:shd w:val="clear" w:color="000000" w:fill="FFFFFF"/>
            <w:noWrap/>
            <w:vAlign w:val="center"/>
            <w:hideMark/>
          </w:tcPr>
          <w:p w14:paraId="392B18B4"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w:t>
            </w:r>
          </w:p>
        </w:tc>
      </w:tr>
      <w:tr w:rsidR="000E0999" w:rsidRPr="002C3E85" w14:paraId="5DC0C5FB" w14:textId="77777777" w:rsidTr="000E0999">
        <w:trPr>
          <w:trHeight w:val="282"/>
        </w:trPr>
        <w:tc>
          <w:tcPr>
            <w:tcW w:w="200" w:type="dxa"/>
            <w:tcBorders>
              <w:top w:val="nil"/>
              <w:left w:val="nil"/>
              <w:bottom w:val="nil"/>
              <w:right w:val="nil"/>
            </w:tcBorders>
            <w:shd w:val="clear" w:color="000000" w:fill="FFFFFF"/>
            <w:noWrap/>
            <w:vAlign w:val="bottom"/>
            <w:hideMark/>
          </w:tcPr>
          <w:p w14:paraId="7B61FFA4"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vAlign w:val="center"/>
            <w:hideMark/>
          </w:tcPr>
          <w:p w14:paraId="79992518"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SWE at home, FIN outside home</w:t>
            </w:r>
          </w:p>
        </w:tc>
        <w:tc>
          <w:tcPr>
            <w:tcW w:w="340" w:type="dxa"/>
            <w:tcBorders>
              <w:top w:val="nil"/>
              <w:left w:val="nil"/>
              <w:bottom w:val="nil"/>
              <w:right w:val="nil"/>
            </w:tcBorders>
            <w:shd w:val="clear" w:color="000000" w:fill="FFFFFF"/>
            <w:noWrap/>
            <w:vAlign w:val="center"/>
            <w:hideMark/>
          </w:tcPr>
          <w:p w14:paraId="033106EE"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center"/>
            <w:hideMark/>
          </w:tcPr>
          <w:p w14:paraId="0AE379A8"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11.8</w:t>
            </w:r>
          </w:p>
        </w:tc>
        <w:tc>
          <w:tcPr>
            <w:tcW w:w="2551" w:type="dxa"/>
            <w:tcBorders>
              <w:top w:val="nil"/>
              <w:left w:val="nil"/>
              <w:bottom w:val="nil"/>
              <w:right w:val="nil"/>
            </w:tcBorders>
            <w:shd w:val="clear" w:color="000000" w:fill="FFFFFF"/>
            <w:noWrap/>
            <w:vAlign w:val="center"/>
            <w:hideMark/>
          </w:tcPr>
          <w:p w14:paraId="53BEE76B"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w:t>
            </w:r>
          </w:p>
        </w:tc>
      </w:tr>
      <w:tr w:rsidR="000E0999" w:rsidRPr="002C3E85" w14:paraId="1276BE01" w14:textId="77777777" w:rsidTr="000E0999">
        <w:trPr>
          <w:trHeight w:val="282"/>
        </w:trPr>
        <w:tc>
          <w:tcPr>
            <w:tcW w:w="200" w:type="dxa"/>
            <w:tcBorders>
              <w:top w:val="nil"/>
              <w:left w:val="nil"/>
              <w:bottom w:val="nil"/>
              <w:right w:val="nil"/>
            </w:tcBorders>
            <w:shd w:val="clear" w:color="000000" w:fill="FFFFFF"/>
            <w:noWrap/>
            <w:vAlign w:val="bottom"/>
            <w:hideMark/>
          </w:tcPr>
          <w:p w14:paraId="47782219"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66C0F2D8"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Only FIN</w:t>
            </w:r>
          </w:p>
        </w:tc>
        <w:tc>
          <w:tcPr>
            <w:tcW w:w="340" w:type="dxa"/>
            <w:tcBorders>
              <w:top w:val="nil"/>
              <w:left w:val="nil"/>
              <w:bottom w:val="nil"/>
              <w:right w:val="nil"/>
            </w:tcBorders>
            <w:shd w:val="clear" w:color="000000" w:fill="FFFFFF"/>
            <w:noWrap/>
            <w:vAlign w:val="bottom"/>
            <w:hideMark/>
          </w:tcPr>
          <w:p w14:paraId="1331398A"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center"/>
            <w:hideMark/>
          </w:tcPr>
          <w:p w14:paraId="62791A47"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w:t>
            </w:r>
          </w:p>
        </w:tc>
        <w:tc>
          <w:tcPr>
            <w:tcW w:w="2551" w:type="dxa"/>
            <w:tcBorders>
              <w:top w:val="nil"/>
              <w:left w:val="nil"/>
              <w:bottom w:val="nil"/>
              <w:right w:val="nil"/>
            </w:tcBorders>
            <w:shd w:val="clear" w:color="000000" w:fill="FFFFFF"/>
            <w:noWrap/>
            <w:vAlign w:val="bottom"/>
            <w:hideMark/>
          </w:tcPr>
          <w:p w14:paraId="5AF20A01"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100</w:t>
            </w:r>
          </w:p>
        </w:tc>
      </w:tr>
      <w:tr w:rsidR="000E0999" w:rsidRPr="002C3E85" w14:paraId="714998A0" w14:textId="77777777" w:rsidTr="000E0999">
        <w:trPr>
          <w:trHeight w:val="162"/>
        </w:trPr>
        <w:tc>
          <w:tcPr>
            <w:tcW w:w="200" w:type="dxa"/>
            <w:tcBorders>
              <w:top w:val="nil"/>
              <w:left w:val="nil"/>
              <w:bottom w:val="nil"/>
              <w:right w:val="nil"/>
            </w:tcBorders>
            <w:shd w:val="clear" w:color="000000" w:fill="FFFFFF"/>
            <w:noWrap/>
            <w:vAlign w:val="bottom"/>
            <w:hideMark/>
          </w:tcPr>
          <w:p w14:paraId="7063E694"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4391C123"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49AB41D8"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4A09C50C"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551" w:type="dxa"/>
            <w:tcBorders>
              <w:top w:val="nil"/>
              <w:left w:val="nil"/>
              <w:bottom w:val="nil"/>
              <w:right w:val="nil"/>
            </w:tcBorders>
            <w:shd w:val="clear" w:color="000000" w:fill="FFFFFF"/>
            <w:noWrap/>
            <w:vAlign w:val="bottom"/>
            <w:hideMark/>
          </w:tcPr>
          <w:p w14:paraId="73D9456F"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r>
      <w:tr w:rsidR="000E0999" w:rsidRPr="002C3E85" w14:paraId="2714C9C7" w14:textId="77777777" w:rsidTr="000E0999">
        <w:trPr>
          <w:trHeight w:val="282"/>
        </w:trPr>
        <w:tc>
          <w:tcPr>
            <w:tcW w:w="3715" w:type="dxa"/>
            <w:gridSpan w:val="2"/>
            <w:tcBorders>
              <w:top w:val="single" w:sz="4" w:space="0" w:color="auto"/>
              <w:left w:val="nil"/>
              <w:bottom w:val="single" w:sz="4" w:space="0" w:color="auto"/>
              <w:right w:val="nil"/>
            </w:tcBorders>
            <w:shd w:val="clear" w:color="000000" w:fill="F2F2F2"/>
            <w:noWrap/>
            <w:vAlign w:val="bottom"/>
            <w:hideMark/>
          </w:tcPr>
          <w:p w14:paraId="2F712225"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Post-L2 language history</w:t>
            </w:r>
          </w:p>
        </w:tc>
        <w:tc>
          <w:tcPr>
            <w:tcW w:w="340" w:type="dxa"/>
            <w:tcBorders>
              <w:top w:val="single" w:sz="4" w:space="0" w:color="auto"/>
              <w:left w:val="nil"/>
              <w:bottom w:val="single" w:sz="4" w:space="0" w:color="auto"/>
              <w:right w:val="nil"/>
            </w:tcBorders>
            <w:shd w:val="clear" w:color="000000" w:fill="F2F2F2"/>
            <w:noWrap/>
            <w:vAlign w:val="bottom"/>
            <w:hideMark/>
          </w:tcPr>
          <w:p w14:paraId="2237AE33"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single" w:sz="4" w:space="0" w:color="auto"/>
              <w:left w:val="nil"/>
              <w:bottom w:val="single" w:sz="4" w:space="0" w:color="auto"/>
              <w:right w:val="nil"/>
            </w:tcBorders>
            <w:shd w:val="clear" w:color="000000" w:fill="F2F2F2"/>
            <w:noWrap/>
            <w:vAlign w:val="bottom"/>
            <w:hideMark/>
          </w:tcPr>
          <w:p w14:paraId="4D229C50"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Early bilinguals, M (SD)</w:t>
            </w:r>
          </w:p>
        </w:tc>
        <w:tc>
          <w:tcPr>
            <w:tcW w:w="2551" w:type="dxa"/>
            <w:tcBorders>
              <w:top w:val="single" w:sz="4" w:space="0" w:color="auto"/>
              <w:left w:val="nil"/>
              <w:bottom w:val="single" w:sz="4" w:space="0" w:color="auto"/>
              <w:right w:val="nil"/>
            </w:tcBorders>
            <w:shd w:val="clear" w:color="000000" w:fill="F2F2F2"/>
            <w:noWrap/>
            <w:vAlign w:val="bottom"/>
            <w:hideMark/>
          </w:tcPr>
          <w:p w14:paraId="43D39555"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Late bilinguals, M (SD)</w:t>
            </w:r>
          </w:p>
        </w:tc>
      </w:tr>
      <w:tr w:rsidR="000E0999" w:rsidRPr="002C3E85" w14:paraId="433F5E70" w14:textId="77777777" w:rsidTr="000E0999">
        <w:trPr>
          <w:trHeight w:val="282"/>
        </w:trPr>
        <w:tc>
          <w:tcPr>
            <w:tcW w:w="200" w:type="dxa"/>
            <w:tcBorders>
              <w:top w:val="nil"/>
              <w:left w:val="nil"/>
              <w:bottom w:val="nil"/>
              <w:right w:val="nil"/>
            </w:tcBorders>
            <w:shd w:val="clear" w:color="000000" w:fill="FFFFFF"/>
            <w:noWrap/>
            <w:vAlign w:val="bottom"/>
            <w:hideMark/>
          </w:tcPr>
          <w:p w14:paraId="638DA059"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4B4D53FE"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No. of post-L2 lang. studied</w:t>
            </w:r>
          </w:p>
        </w:tc>
        <w:tc>
          <w:tcPr>
            <w:tcW w:w="340" w:type="dxa"/>
            <w:tcBorders>
              <w:top w:val="nil"/>
              <w:left w:val="nil"/>
              <w:bottom w:val="nil"/>
              <w:right w:val="nil"/>
            </w:tcBorders>
            <w:shd w:val="clear" w:color="000000" w:fill="FFFFFF"/>
            <w:noWrap/>
            <w:vAlign w:val="bottom"/>
            <w:hideMark/>
          </w:tcPr>
          <w:p w14:paraId="709C130F"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2E9413D9"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2.2 (1.1)</w:t>
            </w:r>
          </w:p>
        </w:tc>
        <w:tc>
          <w:tcPr>
            <w:tcW w:w="2551" w:type="dxa"/>
            <w:tcBorders>
              <w:top w:val="nil"/>
              <w:left w:val="nil"/>
              <w:bottom w:val="nil"/>
              <w:right w:val="nil"/>
            </w:tcBorders>
            <w:shd w:val="clear" w:color="000000" w:fill="FFFFFF"/>
            <w:noWrap/>
            <w:vAlign w:val="bottom"/>
            <w:hideMark/>
          </w:tcPr>
          <w:p w14:paraId="01CA26CE"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2.7 (1.1)</w:t>
            </w:r>
          </w:p>
        </w:tc>
      </w:tr>
      <w:tr w:rsidR="000E0999" w:rsidRPr="002C3E85" w14:paraId="40F0EEB2" w14:textId="77777777" w:rsidTr="000E0999">
        <w:trPr>
          <w:trHeight w:val="282"/>
        </w:trPr>
        <w:tc>
          <w:tcPr>
            <w:tcW w:w="200" w:type="dxa"/>
            <w:tcBorders>
              <w:top w:val="nil"/>
              <w:left w:val="nil"/>
              <w:bottom w:val="nil"/>
              <w:right w:val="nil"/>
            </w:tcBorders>
            <w:shd w:val="clear" w:color="000000" w:fill="FFFFFF"/>
            <w:noWrap/>
            <w:vAlign w:val="bottom"/>
            <w:hideMark/>
          </w:tcPr>
          <w:p w14:paraId="7116D1F8"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855" w:type="dxa"/>
            <w:gridSpan w:val="2"/>
            <w:tcBorders>
              <w:top w:val="nil"/>
              <w:left w:val="nil"/>
              <w:bottom w:val="nil"/>
              <w:right w:val="nil"/>
            </w:tcBorders>
            <w:shd w:val="clear" w:color="000000" w:fill="FFFFFF"/>
            <w:noWrap/>
            <w:vAlign w:val="bottom"/>
            <w:hideMark/>
          </w:tcPr>
          <w:p w14:paraId="1381FB6D"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Years of studying post-L2 lang.</w:t>
            </w:r>
          </w:p>
        </w:tc>
        <w:tc>
          <w:tcPr>
            <w:tcW w:w="2608" w:type="dxa"/>
            <w:tcBorders>
              <w:top w:val="nil"/>
              <w:left w:val="nil"/>
              <w:bottom w:val="nil"/>
              <w:right w:val="nil"/>
            </w:tcBorders>
            <w:shd w:val="clear" w:color="000000" w:fill="FFFFFF"/>
            <w:noWrap/>
            <w:vAlign w:val="bottom"/>
            <w:hideMark/>
          </w:tcPr>
          <w:p w14:paraId="7C974076"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10.5 (3.6)</w:t>
            </w:r>
          </w:p>
        </w:tc>
        <w:tc>
          <w:tcPr>
            <w:tcW w:w="2551" w:type="dxa"/>
            <w:tcBorders>
              <w:top w:val="nil"/>
              <w:left w:val="nil"/>
              <w:bottom w:val="nil"/>
              <w:right w:val="nil"/>
            </w:tcBorders>
            <w:shd w:val="clear" w:color="000000" w:fill="FFFFFF"/>
            <w:noWrap/>
            <w:vAlign w:val="bottom"/>
            <w:hideMark/>
          </w:tcPr>
          <w:p w14:paraId="5190F417"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7.0 (3.1)</w:t>
            </w:r>
          </w:p>
        </w:tc>
      </w:tr>
      <w:tr w:rsidR="000E0999" w:rsidRPr="002C3E85" w14:paraId="4E2A6A3E" w14:textId="77777777" w:rsidTr="000E0999">
        <w:trPr>
          <w:trHeight w:val="162"/>
        </w:trPr>
        <w:tc>
          <w:tcPr>
            <w:tcW w:w="200" w:type="dxa"/>
            <w:tcBorders>
              <w:top w:val="nil"/>
              <w:left w:val="nil"/>
              <w:bottom w:val="nil"/>
              <w:right w:val="nil"/>
            </w:tcBorders>
            <w:shd w:val="clear" w:color="000000" w:fill="FFFFFF"/>
            <w:noWrap/>
            <w:vAlign w:val="bottom"/>
            <w:hideMark/>
          </w:tcPr>
          <w:p w14:paraId="7602026B"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4623C851"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65C8B898"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605E9202"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551" w:type="dxa"/>
            <w:tcBorders>
              <w:top w:val="nil"/>
              <w:left w:val="nil"/>
              <w:bottom w:val="nil"/>
              <w:right w:val="nil"/>
            </w:tcBorders>
            <w:shd w:val="clear" w:color="000000" w:fill="FFFFFF"/>
            <w:noWrap/>
            <w:vAlign w:val="bottom"/>
            <w:hideMark/>
          </w:tcPr>
          <w:p w14:paraId="27143B0F"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r>
      <w:tr w:rsidR="000E0999" w:rsidRPr="002C3E85" w14:paraId="7AEFB77E" w14:textId="77777777" w:rsidTr="000E0999">
        <w:trPr>
          <w:trHeight w:val="282"/>
        </w:trPr>
        <w:tc>
          <w:tcPr>
            <w:tcW w:w="3715" w:type="dxa"/>
            <w:gridSpan w:val="2"/>
            <w:tcBorders>
              <w:top w:val="single" w:sz="4" w:space="0" w:color="auto"/>
              <w:left w:val="nil"/>
              <w:bottom w:val="single" w:sz="4" w:space="0" w:color="auto"/>
              <w:right w:val="nil"/>
            </w:tcBorders>
            <w:shd w:val="clear" w:color="000000" w:fill="F2F2F2"/>
            <w:noWrap/>
            <w:vAlign w:val="bottom"/>
            <w:hideMark/>
          </w:tcPr>
          <w:p w14:paraId="4C3AA46A"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Language usage</w:t>
            </w:r>
          </w:p>
        </w:tc>
        <w:tc>
          <w:tcPr>
            <w:tcW w:w="340" w:type="dxa"/>
            <w:tcBorders>
              <w:top w:val="single" w:sz="4" w:space="0" w:color="auto"/>
              <w:left w:val="nil"/>
              <w:bottom w:val="single" w:sz="4" w:space="0" w:color="auto"/>
              <w:right w:val="nil"/>
            </w:tcBorders>
            <w:shd w:val="clear" w:color="000000" w:fill="F2F2F2"/>
            <w:noWrap/>
            <w:vAlign w:val="bottom"/>
            <w:hideMark/>
          </w:tcPr>
          <w:p w14:paraId="00C252D3"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single" w:sz="4" w:space="0" w:color="auto"/>
              <w:left w:val="nil"/>
              <w:bottom w:val="single" w:sz="4" w:space="0" w:color="auto"/>
              <w:right w:val="nil"/>
            </w:tcBorders>
            <w:shd w:val="clear" w:color="000000" w:fill="F2F2F2"/>
            <w:noWrap/>
            <w:vAlign w:val="bottom"/>
            <w:hideMark/>
          </w:tcPr>
          <w:p w14:paraId="39F013BD"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Early bilinguals, mean %</w:t>
            </w:r>
          </w:p>
        </w:tc>
        <w:tc>
          <w:tcPr>
            <w:tcW w:w="2551" w:type="dxa"/>
            <w:tcBorders>
              <w:top w:val="single" w:sz="4" w:space="0" w:color="auto"/>
              <w:left w:val="nil"/>
              <w:bottom w:val="single" w:sz="4" w:space="0" w:color="auto"/>
              <w:right w:val="nil"/>
            </w:tcBorders>
            <w:shd w:val="clear" w:color="000000" w:fill="F2F2F2"/>
            <w:noWrap/>
            <w:vAlign w:val="bottom"/>
            <w:hideMark/>
          </w:tcPr>
          <w:p w14:paraId="4A31FE25"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Late bilinguals, mean %</w:t>
            </w:r>
          </w:p>
        </w:tc>
      </w:tr>
      <w:tr w:rsidR="000E0999" w:rsidRPr="002C3E85" w14:paraId="29A472D3" w14:textId="77777777" w:rsidTr="000E0999">
        <w:trPr>
          <w:trHeight w:val="282"/>
        </w:trPr>
        <w:tc>
          <w:tcPr>
            <w:tcW w:w="200" w:type="dxa"/>
            <w:tcBorders>
              <w:top w:val="nil"/>
              <w:left w:val="nil"/>
              <w:bottom w:val="nil"/>
              <w:right w:val="nil"/>
            </w:tcBorders>
            <w:shd w:val="clear" w:color="000000" w:fill="FFFFFF"/>
            <w:noWrap/>
            <w:vAlign w:val="bottom"/>
            <w:hideMark/>
          </w:tcPr>
          <w:p w14:paraId="595F45BF"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37039CA9"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209DC4EE"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5F98A784"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L1 / L2 / Other</w:t>
            </w:r>
          </w:p>
        </w:tc>
        <w:tc>
          <w:tcPr>
            <w:tcW w:w="2551" w:type="dxa"/>
            <w:tcBorders>
              <w:top w:val="nil"/>
              <w:left w:val="nil"/>
              <w:bottom w:val="nil"/>
              <w:right w:val="nil"/>
            </w:tcBorders>
            <w:shd w:val="clear" w:color="000000" w:fill="FFFFFF"/>
            <w:noWrap/>
            <w:vAlign w:val="bottom"/>
            <w:hideMark/>
          </w:tcPr>
          <w:p w14:paraId="7E5F509C"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L1 / L2 / Other</w:t>
            </w:r>
          </w:p>
        </w:tc>
      </w:tr>
      <w:tr w:rsidR="00F95D25" w:rsidRPr="002C3E85" w14:paraId="457F94C9" w14:textId="77777777" w:rsidTr="00F95D25">
        <w:trPr>
          <w:trHeight w:val="282"/>
        </w:trPr>
        <w:tc>
          <w:tcPr>
            <w:tcW w:w="200" w:type="dxa"/>
            <w:tcBorders>
              <w:top w:val="nil"/>
              <w:left w:val="nil"/>
              <w:bottom w:val="nil"/>
              <w:right w:val="nil"/>
            </w:tcBorders>
            <w:shd w:val="clear" w:color="000000" w:fill="FFFFFF"/>
            <w:noWrap/>
            <w:vAlign w:val="bottom"/>
            <w:hideMark/>
          </w:tcPr>
          <w:p w14:paraId="24D5CFC3"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39902DC7"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Overall</w:t>
            </w:r>
          </w:p>
        </w:tc>
        <w:tc>
          <w:tcPr>
            <w:tcW w:w="340" w:type="dxa"/>
            <w:tcBorders>
              <w:top w:val="nil"/>
              <w:left w:val="nil"/>
              <w:bottom w:val="nil"/>
              <w:right w:val="nil"/>
            </w:tcBorders>
            <w:shd w:val="clear" w:color="000000" w:fill="FFFFFF"/>
            <w:noWrap/>
            <w:vAlign w:val="bottom"/>
            <w:hideMark/>
          </w:tcPr>
          <w:p w14:paraId="6B38FF23"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hideMark/>
          </w:tcPr>
          <w:p w14:paraId="04A0C560" w14:textId="37E5B09D"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40.0 / 37.1 / 22.4</w:t>
            </w:r>
          </w:p>
        </w:tc>
        <w:tc>
          <w:tcPr>
            <w:tcW w:w="2551" w:type="dxa"/>
            <w:tcBorders>
              <w:top w:val="nil"/>
              <w:left w:val="nil"/>
              <w:bottom w:val="nil"/>
              <w:right w:val="nil"/>
            </w:tcBorders>
            <w:shd w:val="clear" w:color="000000" w:fill="FFFFFF"/>
            <w:noWrap/>
            <w:hideMark/>
          </w:tcPr>
          <w:p w14:paraId="26C09778" w14:textId="2562223D"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68.3 / 28.3 / 3.3</w:t>
            </w:r>
          </w:p>
        </w:tc>
      </w:tr>
      <w:tr w:rsidR="00F95D25" w:rsidRPr="002C3E85" w14:paraId="69677A17" w14:textId="77777777" w:rsidTr="00F95D25">
        <w:trPr>
          <w:trHeight w:val="282"/>
        </w:trPr>
        <w:tc>
          <w:tcPr>
            <w:tcW w:w="200" w:type="dxa"/>
            <w:tcBorders>
              <w:top w:val="nil"/>
              <w:left w:val="nil"/>
              <w:bottom w:val="nil"/>
              <w:right w:val="nil"/>
            </w:tcBorders>
            <w:shd w:val="clear" w:color="000000" w:fill="FFFFFF"/>
            <w:noWrap/>
            <w:vAlign w:val="bottom"/>
            <w:hideMark/>
          </w:tcPr>
          <w:p w14:paraId="4A7BB3B8"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06AA6560"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Speaking</w:t>
            </w:r>
          </w:p>
        </w:tc>
        <w:tc>
          <w:tcPr>
            <w:tcW w:w="340" w:type="dxa"/>
            <w:tcBorders>
              <w:top w:val="nil"/>
              <w:left w:val="nil"/>
              <w:bottom w:val="nil"/>
              <w:right w:val="nil"/>
            </w:tcBorders>
            <w:shd w:val="clear" w:color="000000" w:fill="FFFFFF"/>
            <w:noWrap/>
            <w:vAlign w:val="bottom"/>
            <w:hideMark/>
          </w:tcPr>
          <w:p w14:paraId="51FFCAF2"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hideMark/>
          </w:tcPr>
          <w:p w14:paraId="5D199328" w14:textId="5B47A156"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43.5 / 44.1 / 12.4</w:t>
            </w:r>
          </w:p>
        </w:tc>
        <w:tc>
          <w:tcPr>
            <w:tcW w:w="2551" w:type="dxa"/>
            <w:tcBorders>
              <w:top w:val="nil"/>
              <w:left w:val="nil"/>
              <w:bottom w:val="nil"/>
              <w:right w:val="nil"/>
            </w:tcBorders>
            <w:shd w:val="clear" w:color="000000" w:fill="FFFFFF"/>
            <w:noWrap/>
            <w:hideMark/>
          </w:tcPr>
          <w:p w14:paraId="392F5F4A" w14:textId="743B4AA6"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85.8 / 13.8 / 0.8</w:t>
            </w:r>
          </w:p>
        </w:tc>
      </w:tr>
      <w:tr w:rsidR="00F95D25" w:rsidRPr="002C3E85" w14:paraId="6DF47270" w14:textId="77777777" w:rsidTr="00F95D25">
        <w:trPr>
          <w:trHeight w:val="282"/>
        </w:trPr>
        <w:tc>
          <w:tcPr>
            <w:tcW w:w="200" w:type="dxa"/>
            <w:tcBorders>
              <w:top w:val="nil"/>
              <w:left w:val="nil"/>
              <w:bottom w:val="nil"/>
              <w:right w:val="nil"/>
            </w:tcBorders>
            <w:shd w:val="clear" w:color="000000" w:fill="FFFFFF"/>
            <w:noWrap/>
            <w:vAlign w:val="bottom"/>
            <w:hideMark/>
          </w:tcPr>
          <w:p w14:paraId="41C3A6E3"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09E626D6"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Reading</w:t>
            </w:r>
          </w:p>
        </w:tc>
        <w:tc>
          <w:tcPr>
            <w:tcW w:w="340" w:type="dxa"/>
            <w:tcBorders>
              <w:top w:val="nil"/>
              <w:left w:val="nil"/>
              <w:bottom w:val="nil"/>
              <w:right w:val="nil"/>
            </w:tcBorders>
            <w:shd w:val="clear" w:color="000000" w:fill="FFFFFF"/>
            <w:noWrap/>
            <w:vAlign w:val="bottom"/>
            <w:hideMark/>
          </w:tcPr>
          <w:p w14:paraId="5D6CA772"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hideMark/>
          </w:tcPr>
          <w:p w14:paraId="2C60BA19" w14:textId="529D0637"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30.6 / 37.6 / 31.8</w:t>
            </w:r>
          </w:p>
        </w:tc>
        <w:tc>
          <w:tcPr>
            <w:tcW w:w="2551" w:type="dxa"/>
            <w:tcBorders>
              <w:top w:val="nil"/>
              <w:left w:val="nil"/>
              <w:bottom w:val="nil"/>
              <w:right w:val="nil"/>
            </w:tcBorders>
            <w:shd w:val="clear" w:color="000000" w:fill="FFFFFF"/>
            <w:noWrap/>
            <w:hideMark/>
          </w:tcPr>
          <w:p w14:paraId="15D02A53" w14:textId="5958EB0D"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53.3 / 43.3 / 3.3</w:t>
            </w:r>
          </w:p>
        </w:tc>
      </w:tr>
      <w:tr w:rsidR="00F95D25" w:rsidRPr="002C3E85" w14:paraId="5168D69F" w14:textId="77777777" w:rsidTr="00F95D25">
        <w:trPr>
          <w:trHeight w:val="282"/>
        </w:trPr>
        <w:tc>
          <w:tcPr>
            <w:tcW w:w="200" w:type="dxa"/>
            <w:tcBorders>
              <w:top w:val="nil"/>
              <w:left w:val="nil"/>
              <w:bottom w:val="nil"/>
              <w:right w:val="nil"/>
            </w:tcBorders>
            <w:shd w:val="clear" w:color="000000" w:fill="FFFFFF"/>
            <w:noWrap/>
            <w:vAlign w:val="bottom"/>
            <w:hideMark/>
          </w:tcPr>
          <w:p w14:paraId="55D72D0B"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3AE7F0AA"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Listening</w:t>
            </w:r>
          </w:p>
        </w:tc>
        <w:tc>
          <w:tcPr>
            <w:tcW w:w="340" w:type="dxa"/>
            <w:tcBorders>
              <w:top w:val="nil"/>
              <w:left w:val="nil"/>
              <w:bottom w:val="nil"/>
              <w:right w:val="nil"/>
            </w:tcBorders>
            <w:shd w:val="clear" w:color="000000" w:fill="FFFFFF"/>
            <w:noWrap/>
            <w:vAlign w:val="bottom"/>
            <w:hideMark/>
          </w:tcPr>
          <w:p w14:paraId="6F087249"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hideMark/>
          </w:tcPr>
          <w:p w14:paraId="32155421" w14:textId="47921183"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41.8 / 33.5 / 24.7</w:t>
            </w:r>
          </w:p>
        </w:tc>
        <w:tc>
          <w:tcPr>
            <w:tcW w:w="2551" w:type="dxa"/>
            <w:tcBorders>
              <w:top w:val="nil"/>
              <w:left w:val="nil"/>
              <w:bottom w:val="nil"/>
              <w:right w:val="nil"/>
            </w:tcBorders>
            <w:shd w:val="clear" w:color="000000" w:fill="FFFFFF"/>
            <w:noWrap/>
            <w:hideMark/>
          </w:tcPr>
          <w:p w14:paraId="77494855" w14:textId="00C1461E"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62.9 / 34.6 / 2.5</w:t>
            </w:r>
          </w:p>
        </w:tc>
      </w:tr>
      <w:tr w:rsidR="00F95D25" w:rsidRPr="002C3E85" w14:paraId="5F431F5F" w14:textId="77777777" w:rsidTr="00F95D25">
        <w:trPr>
          <w:trHeight w:val="282"/>
        </w:trPr>
        <w:tc>
          <w:tcPr>
            <w:tcW w:w="200" w:type="dxa"/>
            <w:tcBorders>
              <w:top w:val="nil"/>
              <w:left w:val="nil"/>
              <w:bottom w:val="nil"/>
              <w:right w:val="nil"/>
            </w:tcBorders>
            <w:shd w:val="clear" w:color="000000" w:fill="FFFFFF"/>
            <w:noWrap/>
            <w:vAlign w:val="bottom"/>
            <w:hideMark/>
          </w:tcPr>
          <w:p w14:paraId="3DFE6169"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62EBD634"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Writing</w:t>
            </w:r>
          </w:p>
        </w:tc>
        <w:tc>
          <w:tcPr>
            <w:tcW w:w="340" w:type="dxa"/>
            <w:tcBorders>
              <w:top w:val="nil"/>
              <w:left w:val="nil"/>
              <w:bottom w:val="nil"/>
              <w:right w:val="nil"/>
            </w:tcBorders>
            <w:shd w:val="clear" w:color="000000" w:fill="FFFFFF"/>
            <w:noWrap/>
            <w:vAlign w:val="bottom"/>
            <w:hideMark/>
          </w:tcPr>
          <w:p w14:paraId="0C8579A9" w14:textId="77777777" w:rsidR="00F95D25" w:rsidRPr="002C3E85" w:rsidRDefault="00F95D25" w:rsidP="00F95D25">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hideMark/>
          </w:tcPr>
          <w:p w14:paraId="77990A07" w14:textId="00C40E16"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30.6 / 45.9 / 25.0</w:t>
            </w:r>
          </w:p>
        </w:tc>
        <w:tc>
          <w:tcPr>
            <w:tcW w:w="2551" w:type="dxa"/>
            <w:tcBorders>
              <w:top w:val="nil"/>
              <w:left w:val="nil"/>
              <w:bottom w:val="nil"/>
              <w:right w:val="nil"/>
            </w:tcBorders>
            <w:shd w:val="clear" w:color="000000" w:fill="FFFFFF"/>
            <w:noWrap/>
            <w:hideMark/>
          </w:tcPr>
          <w:p w14:paraId="4522B33E" w14:textId="199343C4" w:rsidR="00F95D25" w:rsidRPr="002C3E85" w:rsidRDefault="00F95D25" w:rsidP="00F95D25">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hAnsi="Times New Roman" w:cs="Times New Roman"/>
                <w:sz w:val="24"/>
                <w:szCs w:val="24"/>
                <w:lang w:val="en-GB"/>
              </w:rPr>
              <w:t>60.8 / 36.7 / 2.9</w:t>
            </w:r>
          </w:p>
        </w:tc>
      </w:tr>
      <w:tr w:rsidR="000E0999" w:rsidRPr="002C3E85" w14:paraId="42F6BB9D" w14:textId="77777777" w:rsidTr="000E0999">
        <w:trPr>
          <w:trHeight w:val="162"/>
        </w:trPr>
        <w:tc>
          <w:tcPr>
            <w:tcW w:w="200" w:type="dxa"/>
            <w:tcBorders>
              <w:top w:val="nil"/>
              <w:left w:val="nil"/>
              <w:bottom w:val="nil"/>
              <w:right w:val="nil"/>
            </w:tcBorders>
            <w:shd w:val="clear" w:color="000000" w:fill="FFFFFF"/>
            <w:noWrap/>
            <w:vAlign w:val="bottom"/>
            <w:hideMark/>
          </w:tcPr>
          <w:p w14:paraId="2D177527"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77F61362"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36529BFA"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1A368596"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551" w:type="dxa"/>
            <w:tcBorders>
              <w:top w:val="nil"/>
              <w:left w:val="nil"/>
              <w:bottom w:val="nil"/>
              <w:right w:val="nil"/>
            </w:tcBorders>
            <w:shd w:val="clear" w:color="000000" w:fill="FFFFFF"/>
            <w:noWrap/>
            <w:vAlign w:val="bottom"/>
            <w:hideMark/>
          </w:tcPr>
          <w:p w14:paraId="38AF951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r>
      <w:tr w:rsidR="000E0999" w:rsidRPr="002C3E85" w14:paraId="37E15C08" w14:textId="77777777" w:rsidTr="000E0999">
        <w:trPr>
          <w:trHeight w:val="282"/>
        </w:trPr>
        <w:tc>
          <w:tcPr>
            <w:tcW w:w="3715" w:type="dxa"/>
            <w:gridSpan w:val="2"/>
            <w:tcBorders>
              <w:top w:val="single" w:sz="4" w:space="0" w:color="auto"/>
              <w:left w:val="nil"/>
              <w:bottom w:val="single" w:sz="4" w:space="0" w:color="auto"/>
              <w:right w:val="nil"/>
            </w:tcBorders>
            <w:shd w:val="clear" w:color="000000" w:fill="F2F2F2"/>
            <w:noWrap/>
            <w:vAlign w:val="bottom"/>
            <w:hideMark/>
          </w:tcPr>
          <w:p w14:paraId="0E885B57"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xml:space="preserve">Self-estimated language skills </w:t>
            </w:r>
            <w:r w:rsidRPr="002C3E85">
              <w:rPr>
                <w:rFonts w:ascii="Times New Roman" w:eastAsia="Times New Roman" w:hAnsi="Times New Roman" w:cs="Times New Roman"/>
                <w:color w:val="000000"/>
                <w:sz w:val="24"/>
                <w:szCs w:val="24"/>
                <w:vertAlign w:val="superscript"/>
                <w:lang w:val="en-GB" w:eastAsia="fi-FI"/>
              </w:rPr>
              <w:t>a</w:t>
            </w:r>
          </w:p>
        </w:tc>
        <w:tc>
          <w:tcPr>
            <w:tcW w:w="340" w:type="dxa"/>
            <w:tcBorders>
              <w:top w:val="single" w:sz="4" w:space="0" w:color="auto"/>
              <w:left w:val="nil"/>
              <w:bottom w:val="single" w:sz="4" w:space="0" w:color="auto"/>
              <w:right w:val="nil"/>
            </w:tcBorders>
            <w:shd w:val="clear" w:color="000000" w:fill="F2F2F2"/>
            <w:noWrap/>
            <w:vAlign w:val="bottom"/>
            <w:hideMark/>
          </w:tcPr>
          <w:p w14:paraId="2024E243"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single" w:sz="4" w:space="0" w:color="auto"/>
              <w:left w:val="nil"/>
              <w:bottom w:val="single" w:sz="4" w:space="0" w:color="auto"/>
              <w:right w:val="nil"/>
            </w:tcBorders>
            <w:shd w:val="clear" w:color="000000" w:fill="F2F2F2"/>
            <w:noWrap/>
            <w:vAlign w:val="bottom"/>
            <w:hideMark/>
          </w:tcPr>
          <w:p w14:paraId="4208ED05"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Early bilinguals, Median</w:t>
            </w:r>
          </w:p>
        </w:tc>
        <w:tc>
          <w:tcPr>
            <w:tcW w:w="2551" w:type="dxa"/>
            <w:tcBorders>
              <w:top w:val="single" w:sz="4" w:space="0" w:color="auto"/>
              <w:left w:val="nil"/>
              <w:bottom w:val="single" w:sz="4" w:space="0" w:color="auto"/>
              <w:right w:val="nil"/>
            </w:tcBorders>
            <w:shd w:val="clear" w:color="000000" w:fill="F2F2F2"/>
            <w:noWrap/>
            <w:vAlign w:val="bottom"/>
            <w:hideMark/>
          </w:tcPr>
          <w:p w14:paraId="6B79B9FF"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Late bilinguals, Median</w:t>
            </w:r>
          </w:p>
        </w:tc>
      </w:tr>
      <w:tr w:rsidR="000E0999" w:rsidRPr="002C3E85" w14:paraId="310DDFA7" w14:textId="77777777" w:rsidTr="000E0999">
        <w:trPr>
          <w:trHeight w:val="282"/>
        </w:trPr>
        <w:tc>
          <w:tcPr>
            <w:tcW w:w="200" w:type="dxa"/>
            <w:tcBorders>
              <w:top w:val="nil"/>
              <w:left w:val="nil"/>
              <w:bottom w:val="nil"/>
              <w:right w:val="nil"/>
            </w:tcBorders>
            <w:shd w:val="clear" w:color="000000" w:fill="FFFFFF"/>
            <w:noWrap/>
            <w:vAlign w:val="bottom"/>
            <w:hideMark/>
          </w:tcPr>
          <w:p w14:paraId="5B946410"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66CFACC0"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48233404"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098F575F"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L1 / L2 / Other</w:t>
            </w:r>
          </w:p>
        </w:tc>
        <w:tc>
          <w:tcPr>
            <w:tcW w:w="2551" w:type="dxa"/>
            <w:tcBorders>
              <w:top w:val="nil"/>
              <w:left w:val="nil"/>
              <w:bottom w:val="nil"/>
              <w:right w:val="nil"/>
            </w:tcBorders>
            <w:shd w:val="clear" w:color="000000" w:fill="FFFFFF"/>
            <w:noWrap/>
            <w:vAlign w:val="bottom"/>
            <w:hideMark/>
          </w:tcPr>
          <w:p w14:paraId="5B1789CA"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L1 / L2 / Other</w:t>
            </w:r>
          </w:p>
        </w:tc>
      </w:tr>
      <w:tr w:rsidR="000E0999" w:rsidRPr="002C3E85" w14:paraId="6947D863" w14:textId="77777777" w:rsidTr="000E0999">
        <w:trPr>
          <w:trHeight w:val="282"/>
        </w:trPr>
        <w:tc>
          <w:tcPr>
            <w:tcW w:w="200" w:type="dxa"/>
            <w:tcBorders>
              <w:top w:val="nil"/>
              <w:left w:val="nil"/>
              <w:bottom w:val="nil"/>
              <w:right w:val="nil"/>
            </w:tcBorders>
            <w:shd w:val="clear" w:color="000000" w:fill="FFFFFF"/>
            <w:noWrap/>
            <w:vAlign w:val="bottom"/>
            <w:hideMark/>
          </w:tcPr>
          <w:p w14:paraId="7C49D844"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515" w:type="dxa"/>
            <w:tcBorders>
              <w:top w:val="nil"/>
              <w:left w:val="nil"/>
              <w:bottom w:val="nil"/>
              <w:right w:val="nil"/>
            </w:tcBorders>
            <w:shd w:val="clear" w:color="000000" w:fill="FFFFFF"/>
            <w:noWrap/>
            <w:vAlign w:val="bottom"/>
            <w:hideMark/>
          </w:tcPr>
          <w:p w14:paraId="37FA974C"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Overall</w:t>
            </w:r>
          </w:p>
        </w:tc>
        <w:tc>
          <w:tcPr>
            <w:tcW w:w="340" w:type="dxa"/>
            <w:tcBorders>
              <w:top w:val="nil"/>
              <w:left w:val="nil"/>
              <w:bottom w:val="nil"/>
              <w:right w:val="nil"/>
            </w:tcBorders>
            <w:shd w:val="clear" w:color="000000" w:fill="FFFFFF"/>
            <w:noWrap/>
            <w:vAlign w:val="bottom"/>
            <w:hideMark/>
          </w:tcPr>
          <w:p w14:paraId="238B1C59"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2ACB3EBA"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7  /  6</w:t>
            </w:r>
          </w:p>
        </w:tc>
        <w:tc>
          <w:tcPr>
            <w:tcW w:w="2551" w:type="dxa"/>
            <w:tcBorders>
              <w:top w:val="nil"/>
              <w:left w:val="nil"/>
              <w:bottom w:val="nil"/>
              <w:right w:val="nil"/>
            </w:tcBorders>
            <w:shd w:val="clear" w:color="000000" w:fill="FFFFFF"/>
            <w:noWrap/>
            <w:vAlign w:val="bottom"/>
            <w:hideMark/>
          </w:tcPr>
          <w:p w14:paraId="5232287B"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7  /  5</w:t>
            </w:r>
          </w:p>
        </w:tc>
      </w:tr>
      <w:tr w:rsidR="000E0999" w:rsidRPr="002C3E85" w14:paraId="54AA8DCF" w14:textId="77777777" w:rsidTr="000E0999">
        <w:trPr>
          <w:trHeight w:val="282"/>
        </w:trPr>
        <w:tc>
          <w:tcPr>
            <w:tcW w:w="200" w:type="dxa"/>
            <w:tcBorders>
              <w:top w:val="nil"/>
              <w:left w:val="nil"/>
              <w:bottom w:val="nil"/>
              <w:right w:val="nil"/>
            </w:tcBorders>
            <w:shd w:val="clear" w:color="000000" w:fill="FFFFFF"/>
            <w:noWrap/>
            <w:vAlign w:val="bottom"/>
            <w:hideMark/>
          </w:tcPr>
          <w:p w14:paraId="044548C7"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515" w:type="dxa"/>
            <w:tcBorders>
              <w:top w:val="nil"/>
              <w:left w:val="nil"/>
              <w:bottom w:val="nil"/>
              <w:right w:val="nil"/>
            </w:tcBorders>
            <w:shd w:val="clear" w:color="000000" w:fill="FFFFFF"/>
            <w:noWrap/>
            <w:vAlign w:val="bottom"/>
            <w:hideMark/>
          </w:tcPr>
          <w:p w14:paraId="7105A29A"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Speaking</w:t>
            </w:r>
          </w:p>
        </w:tc>
        <w:tc>
          <w:tcPr>
            <w:tcW w:w="340" w:type="dxa"/>
            <w:tcBorders>
              <w:top w:val="nil"/>
              <w:left w:val="nil"/>
              <w:bottom w:val="nil"/>
              <w:right w:val="nil"/>
            </w:tcBorders>
            <w:shd w:val="clear" w:color="000000" w:fill="FFFFFF"/>
            <w:noWrap/>
            <w:vAlign w:val="bottom"/>
            <w:hideMark/>
          </w:tcPr>
          <w:p w14:paraId="003BE383"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1493CBEB"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7  /  6</w:t>
            </w:r>
          </w:p>
        </w:tc>
        <w:tc>
          <w:tcPr>
            <w:tcW w:w="2551" w:type="dxa"/>
            <w:tcBorders>
              <w:top w:val="nil"/>
              <w:left w:val="nil"/>
              <w:bottom w:val="nil"/>
              <w:right w:val="nil"/>
            </w:tcBorders>
            <w:shd w:val="clear" w:color="000000" w:fill="FFFFFF"/>
            <w:noWrap/>
            <w:vAlign w:val="bottom"/>
            <w:hideMark/>
          </w:tcPr>
          <w:p w14:paraId="0502BA1D"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6  /  5</w:t>
            </w:r>
          </w:p>
        </w:tc>
      </w:tr>
      <w:tr w:rsidR="000E0999" w:rsidRPr="002C3E85" w14:paraId="55CECAFA" w14:textId="77777777" w:rsidTr="000E0999">
        <w:trPr>
          <w:trHeight w:val="282"/>
        </w:trPr>
        <w:tc>
          <w:tcPr>
            <w:tcW w:w="200" w:type="dxa"/>
            <w:tcBorders>
              <w:top w:val="nil"/>
              <w:left w:val="nil"/>
              <w:bottom w:val="nil"/>
              <w:right w:val="nil"/>
            </w:tcBorders>
            <w:shd w:val="clear" w:color="000000" w:fill="FFFFFF"/>
            <w:noWrap/>
            <w:vAlign w:val="bottom"/>
            <w:hideMark/>
          </w:tcPr>
          <w:p w14:paraId="2E0F0EBB"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lastRenderedPageBreak/>
              <w:t> </w:t>
            </w:r>
          </w:p>
        </w:tc>
        <w:tc>
          <w:tcPr>
            <w:tcW w:w="3515" w:type="dxa"/>
            <w:tcBorders>
              <w:top w:val="nil"/>
              <w:left w:val="nil"/>
              <w:bottom w:val="nil"/>
              <w:right w:val="nil"/>
            </w:tcBorders>
            <w:shd w:val="clear" w:color="000000" w:fill="FFFFFF"/>
            <w:noWrap/>
            <w:vAlign w:val="bottom"/>
            <w:hideMark/>
          </w:tcPr>
          <w:p w14:paraId="12B4E165"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Reading</w:t>
            </w:r>
          </w:p>
        </w:tc>
        <w:tc>
          <w:tcPr>
            <w:tcW w:w="340" w:type="dxa"/>
            <w:tcBorders>
              <w:top w:val="nil"/>
              <w:left w:val="nil"/>
              <w:bottom w:val="nil"/>
              <w:right w:val="nil"/>
            </w:tcBorders>
            <w:shd w:val="clear" w:color="000000" w:fill="FFFFFF"/>
            <w:noWrap/>
            <w:vAlign w:val="bottom"/>
            <w:hideMark/>
          </w:tcPr>
          <w:p w14:paraId="4037A1C7"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3146311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7  /  6</w:t>
            </w:r>
          </w:p>
        </w:tc>
        <w:tc>
          <w:tcPr>
            <w:tcW w:w="2551" w:type="dxa"/>
            <w:tcBorders>
              <w:top w:val="nil"/>
              <w:left w:val="nil"/>
              <w:bottom w:val="nil"/>
              <w:right w:val="nil"/>
            </w:tcBorders>
            <w:shd w:val="clear" w:color="000000" w:fill="FFFFFF"/>
            <w:noWrap/>
            <w:vAlign w:val="bottom"/>
            <w:hideMark/>
          </w:tcPr>
          <w:p w14:paraId="6CD58150"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6  /  5</w:t>
            </w:r>
          </w:p>
        </w:tc>
      </w:tr>
      <w:tr w:rsidR="000E0999" w:rsidRPr="002C3E85" w14:paraId="6E27684D" w14:textId="77777777" w:rsidTr="000E0999">
        <w:trPr>
          <w:trHeight w:val="282"/>
        </w:trPr>
        <w:tc>
          <w:tcPr>
            <w:tcW w:w="200" w:type="dxa"/>
            <w:tcBorders>
              <w:top w:val="nil"/>
              <w:left w:val="nil"/>
              <w:bottom w:val="nil"/>
              <w:right w:val="nil"/>
            </w:tcBorders>
            <w:shd w:val="clear" w:color="000000" w:fill="FFFFFF"/>
            <w:noWrap/>
            <w:vAlign w:val="bottom"/>
            <w:hideMark/>
          </w:tcPr>
          <w:p w14:paraId="794DCED4"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515" w:type="dxa"/>
            <w:tcBorders>
              <w:top w:val="nil"/>
              <w:left w:val="nil"/>
              <w:bottom w:val="nil"/>
              <w:right w:val="nil"/>
            </w:tcBorders>
            <w:shd w:val="clear" w:color="000000" w:fill="FFFFFF"/>
            <w:noWrap/>
            <w:vAlign w:val="bottom"/>
            <w:hideMark/>
          </w:tcPr>
          <w:p w14:paraId="39049E71"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Listening</w:t>
            </w:r>
          </w:p>
        </w:tc>
        <w:tc>
          <w:tcPr>
            <w:tcW w:w="340" w:type="dxa"/>
            <w:tcBorders>
              <w:top w:val="nil"/>
              <w:left w:val="nil"/>
              <w:bottom w:val="nil"/>
              <w:right w:val="nil"/>
            </w:tcBorders>
            <w:shd w:val="clear" w:color="000000" w:fill="FFFFFF"/>
            <w:noWrap/>
            <w:vAlign w:val="bottom"/>
            <w:hideMark/>
          </w:tcPr>
          <w:p w14:paraId="013F1F9C"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6DAC4CE1"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7  /  6</w:t>
            </w:r>
          </w:p>
        </w:tc>
        <w:tc>
          <w:tcPr>
            <w:tcW w:w="2551" w:type="dxa"/>
            <w:tcBorders>
              <w:top w:val="nil"/>
              <w:left w:val="nil"/>
              <w:bottom w:val="nil"/>
              <w:right w:val="nil"/>
            </w:tcBorders>
            <w:shd w:val="clear" w:color="000000" w:fill="FFFFFF"/>
            <w:noWrap/>
            <w:vAlign w:val="bottom"/>
            <w:hideMark/>
          </w:tcPr>
          <w:p w14:paraId="060E5033"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6  /  5</w:t>
            </w:r>
          </w:p>
        </w:tc>
      </w:tr>
      <w:tr w:rsidR="000E0999" w:rsidRPr="002C3E85" w14:paraId="4392FFFA" w14:textId="77777777" w:rsidTr="000E0999">
        <w:trPr>
          <w:trHeight w:val="282"/>
        </w:trPr>
        <w:tc>
          <w:tcPr>
            <w:tcW w:w="200" w:type="dxa"/>
            <w:tcBorders>
              <w:top w:val="nil"/>
              <w:left w:val="nil"/>
              <w:bottom w:val="nil"/>
              <w:right w:val="nil"/>
            </w:tcBorders>
            <w:shd w:val="clear" w:color="000000" w:fill="FFFFFF"/>
            <w:noWrap/>
            <w:vAlign w:val="bottom"/>
            <w:hideMark/>
          </w:tcPr>
          <w:p w14:paraId="78D93F84"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515" w:type="dxa"/>
            <w:tcBorders>
              <w:top w:val="nil"/>
              <w:left w:val="nil"/>
              <w:bottom w:val="nil"/>
              <w:right w:val="nil"/>
            </w:tcBorders>
            <w:shd w:val="clear" w:color="000000" w:fill="FFFFFF"/>
            <w:noWrap/>
            <w:vAlign w:val="bottom"/>
            <w:hideMark/>
          </w:tcPr>
          <w:p w14:paraId="41669A5F"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Writing</w:t>
            </w:r>
          </w:p>
        </w:tc>
        <w:tc>
          <w:tcPr>
            <w:tcW w:w="340" w:type="dxa"/>
            <w:tcBorders>
              <w:top w:val="nil"/>
              <w:left w:val="nil"/>
              <w:bottom w:val="nil"/>
              <w:right w:val="nil"/>
            </w:tcBorders>
            <w:shd w:val="clear" w:color="000000" w:fill="FFFFFF"/>
            <w:noWrap/>
            <w:vAlign w:val="bottom"/>
            <w:hideMark/>
          </w:tcPr>
          <w:p w14:paraId="183D0C40"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790BAFA4"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7  /  6</w:t>
            </w:r>
          </w:p>
        </w:tc>
        <w:tc>
          <w:tcPr>
            <w:tcW w:w="2551" w:type="dxa"/>
            <w:tcBorders>
              <w:top w:val="nil"/>
              <w:left w:val="nil"/>
              <w:bottom w:val="nil"/>
              <w:right w:val="nil"/>
            </w:tcBorders>
            <w:shd w:val="clear" w:color="000000" w:fill="FFFFFF"/>
            <w:noWrap/>
            <w:vAlign w:val="bottom"/>
            <w:hideMark/>
          </w:tcPr>
          <w:p w14:paraId="505E0FDA"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7  /  6  /  5</w:t>
            </w:r>
          </w:p>
        </w:tc>
      </w:tr>
      <w:tr w:rsidR="000E0999" w:rsidRPr="002C3E85" w14:paraId="314571B3" w14:textId="77777777" w:rsidTr="000E0999">
        <w:trPr>
          <w:trHeight w:val="162"/>
        </w:trPr>
        <w:tc>
          <w:tcPr>
            <w:tcW w:w="200" w:type="dxa"/>
            <w:tcBorders>
              <w:top w:val="nil"/>
              <w:left w:val="nil"/>
              <w:bottom w:val="nil"/>
              <w:right w:val="nil"/>
            </w:tcBorders>
            <w:shd w:val="clear" w:color="000000" w:fill="FFFFFF"/>
            <w:noWrap/>
            <w:vAlign w:val="bottom"/>
            <w:hideMark/>
          </w:tcPr>
          <w:p w14:paraId="7972F53B"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515" w:type="dxa"/>
            <w:tcBorders>
              <w:top w:val="nil"/>
              <w:left w:val="nil"/>
              <w:bottom w:val="nil"/>
              <w:right w:val="nil"/>
            </w:tcBorders>
            <w:shd w:val="clear" w:color="000000" w:fill="FFFFFF"/>
            <w:noWrap/>
            <w:vAlign w:val="bottom"/>
            <w:hideMark/>
          </w:tcPr>
          <w:p w14:paraId="4A36C95A"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340" w:type="dxa"/>
            <w:tcBorders>
              <w:top w:val="nil"/>
              <w:left w:val="nil"/>
              <w:bottom w:val="nil"/>
              <w:right w:val="nil"/>
            </w:tcBorders>
            <w:shd w:val="clear" w:color="000000" w:fill="FFFFFF"/>
            <w:noWrap/>
            <w:vAlign w:val="bottom"/>
            <w:hideMark/>
          </w:tcPr>
          <w:p w14:paraId="32D75158" w14:textId="77777777"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608" w:type="dxa"/>
            <w:tcBorders>
              <w:top w:val="nil"/>
              <w:left w:val="nil"/>
              <w:bottom w:val="nil"/>
              <w:right w:val="nil"/>
            </w:tcBorders>
            <w:shd w:val="clear" w:color="000000" w:fill="FFFFFF"/>
            <w:noWrap/>
            <w:vAlign w:val="bottom"/>
            <w:hideMark/>
          </w:tcPr>
          <w:p w14:paraId="09587A09"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c>
          <w:tcPr>
            <w:tcW w:w="2551" w:type="dxa"/>
            <w:tcBorders>
              <w:top w:val="nil"/>
              <w:left w:val="nil"/>
              <w:bottom w:val="nil"/>
              <w:right w:val="nil"/>
            </w:tcBorders>
            <w:shd w:val="clear" w:color="000000" w:fill="FFFFFF"/>
            <w:noWrap/>
            <w:vAlign w:val="bottom"/>
            <w:hideMark/>
          </w:tcPr>
          <w:p w14:paraId="224E4F50"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w:t>
            </w:r>
          </w:p>
        </w:tc>
      </w:tr>
      <w:tr w:rsidR="000E0999" w:rsidRPr="002C3E85" w14:paraId="5006191A" w14:textId="77777777" w:rsidTr="000E0999">
        <w:trPr>
          <w:trHeight w:val="282"/>
        </w:trPr>
        <w:tc>
          <w:tcPr>
            <w:tcW w:w="4055" w:type="dxa"/>
            <w:gridSpan w:val="3"/>
            <w:tcBorders>
              <w:top w:val="single" w:sz="4" w:space="0" w:color="auto"/>
              <w:left w:val="nil"/>
              <w:bottom w:val="single" w:sz="4" w:space="0" w:color="auto"/>
              <w:right w:val="nil"/>
            </w:tcBorders>
            <w:shd w:val="clear" w:color="000000" w:fill="F2F2F2"/>
            <w:noWrap/>
            <w:vAlign w:val="bottom"/>
            <w:hideMark/>
          </w:tcPr>
          <w:p w14:paraId="5027BE5D" w14:textId="03DF2ACA" w:rsidR="000E0999" w:rsidRPr="002C3E85" w:rsidRDefault="004E4001"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xml:space="preserve">Objective </w:t>
            </w:r>
            <w:r w:rsidR="0039269D" w:rsidRPr="002C3E85">
              <w:rPr>
                <w:rFonts w:ascii="Times New Roman" w:eastAsia="Times New Roman" w:hAnsi="Times New Roman" w:cs="Times New Roman"/>
                <w:color w:val="000000"/>
                <w:sz w:val="24"/>
                <w:szCs w:val="24"/>
                <w:lang w:val="en-GB" w:eastAsia="fi-FI"/>
              </w:rPr>
              <w:t>language</w:t>
            </w:r>
            <w:r w:rsidR="000E0999" w:rsidRPr="002C3E85">
              <w:rPr>
                <w:rFonts w:ascii="Times New Roman" w:eastAsia="Times New Roman" w:hAnsi="Times New Roman" w:cs="Times New Roman"/>
                <w:color w:val="000000"/>
                <w:sz w:val="24"/>
                <w:szCs w:val="24"/>
                <w:lang w:val="en-GB" w:eastAsia="fi-FI"/>
              </w:rPr>
              <w:t xml:space="preserve"> skills</w:t>
            </w:r>
          </w:p>
        </w:tc>
        <w:tc>
          <w:tcPr>
            <w:tcW w:w="2608" w:type="dxa"/>
            <w:tcBorders>
              <w:top w:val="single" w:sz="4" w:space="0" w:color="auto"/>
              <w:left w:val="nil"/>
              <w:bottom w:val="single" w:sz="4" w:space="0" w:color="auto"/>
              <w:right w:val="nil"/>
            </w:tcBorders>
            <w:shd w:val="clear" w:color="000000" w:fill="F2F2F2"/>
            <w:noWrap/>
            <w:vAlign w:val="bottom"/>
            <w:hideMark/>
          </w:tcPr>
          <w:p w14:paraId="1FBEC390" w14:textId="17A4C40B"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p>
        </w:tc>
        <w:tc>
          <w:tcPr>
            <w:tcW w:w="2551" w:type="dxa"/>
            <w:tcBorders>
              <w:top w:val="single" w:sz="4" w:space="0" w:color="auto"/>
              <w:left w:val="nil"/>
              <w:bottom w:val="single" w:sz="4" w:space="0" w:color="auto"/>
              <w:right w:val="nil"/>
            </w:tcBorders>
            <w:shd w:val="clear" w:color="000000" w:fill="F2F2F2"/>
            <w:noWrap/>
            <w:vAlign w:val="bottom"/>
            <w:hideMark/>
          </w:tcPr>
          <w:p w14:paraId="7461339E" w14:textId="77777777"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Late bilinguals, Median</w:t>
            </w:r>
          </w:p>
        </w:tc>
      </w:tr>
      <w:tr w:rsidR="000E0999" w:rsidRPr="002C3E85" w14:paraId="11CDD4EA" w14:textId="77777777" w:rsidTr="000E0999">
        <w:trPr>
          <w:trHeight w:val="282"/>
        </w:trPr>
        <w:tc>
          <w:tcPr>
            <w:tcW w:w="200" w:type="dxa"/>
            <w:tcBorders>
              <w:top w:val="nil"/>
              <w:left w:val="nil"/>
              <w:bottom w:val="nil"/>
              <w:right w:val="nil"/>
            </w:tcBorders>
            <w:shd w:val="clear" w:color="000000" w:fill="FFFFFF"/>
            <w:noWrap/>
            <w:vAlign w:val="bottom"/>
            <w:hideMark/>
          </w:tcPr>
          <w:p w14:paraId="14FDD915"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855" w:type="dxa"/>
            <w:gridSpan w:val="2"/>
            <w:tcBorders>
              <w:top w:val="nil"/>
              <w:left w:val="nil"/>
              <w:bottom w:val="nil"/>
              <w:right w:val="nil"/>
            </w:tcBorders>
            <w:shd w:val="clear" w:color="000000" w:fill="FFFFFF"/>
            <w:noWrap/>
            <w:vAlign w:val="bottom"/>
            <w:hideMark/>
          </w:tcPr>
          <w:p w14:paraId="697DBDEA" w14:textId="499A0E75" w:rsidR="000E0999" w:rsidRPr="002C3E85" w:rsidRDefault="000E0999" w:rsidP="000E0999">
            <w:pPr>
              <w:spacing w:after="0" w:line="240" w:lineRule="auto"/>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Grade in</w:t>
            </w:r>
            <w:r w:rsidR="00B624B0" w:rsidRPr="002C3E85">
              <w:rPr>
                <w:rFonts w:ascii="Times New Roman" w:eastAsia="Times New Roman" w:hAnsi="Times New Roman" w:cs="Times New Roman"/>
                <w:color w:val="000000"/>
                <w:sz w:val="24"/>
                <w:szCs w:val="24"/>
                <w:lang w:val="en-GB" w:eastAsia="fi-FI"/>
              </w:rPr>
              <w:t xml:space="preserve"> the English part of the national Finnish</w:t>
            </w:r>
            <w:r w:rsidRPr="002C3E85">
              <w:rPr>
                <w:rFonts w:ascii="Times New Roman" w:eastAsia="Times New Roman" w:hAnsi="Times New Roman" w:cs="Times New Roman"/>
                <w:color w:val="000000"/>
                <w:sz w:val="24"/>
                <w:szCs w:val="24"/>
                <w:lang w:val="en-GB" w:eastAsia="fi-FI"/>
              </w:rPr>
              <w:t> Matriculation Examination</w:t>
            </w:r>
          </w:p>
        </w:tc>
        <w:tc>
          <w:tcPr>
            <w:tcW w:w="2608" w:type="dxa"/>
            <w:tcBorders>
              <w:top w:val="nil"/>
              <w:left w:val="nil"/>
              <w:bottom w:val="nil"/>
              <w:right w:val="nil"/>
            </w:tcBorders>
            <w:shd w:val="clear" w:color="000000" w:fill="FFFFFF"/>
            <w:noWrap/>
            <w:vAlign w:val="bottom"/>
            <w:hideMark/>
          </w:tcPr>
          <w:p w14:paraId="17EB9832" w14:textId="445F0079"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p>
        </w:tc>
        <w:tc>
          <w:tcPr>
            <w:tcW w:w="2551" w:type="dxa"/>
            <w:tcBorders>
              <w:top w:val="nil"/>
              <w:left w:val="nil"/>
              <w:bottom w:val="nil"/>
              <w:right w:val="nil"/>
            </w:tcBorders>
            <w:shd w:val="clear" w:color="000000" w:fill="FFFFFF"/>
            <w:noWrap/>
            <w:vAlign w:val="bottom"/>
            <w:hideMark/>
          </w:tcPr>
          <w:p w14:paraId="443A7601" w14:textId="52A06873" w:rsidR="000E0999" w:rsidRPr="002C3E85" w:rsidRDefault="000E0999" w:rsidP="000E0999">
            <w:pPr>
              <w:spacing w:after="0" w:line="240" w:lineRule="auto"/>
              <w:jc w:val="center"/>
              <w:rPr>
                <w:rFonts w:ascii="Times New Roman" w:eastAsia="Times New Roman" w:hAnsi="Times New Roman" w:cs="Times New Roman"/>
                <w:color w:val="000000"/>
                <w:sz w:val="24"/>
                <w:szCs w:val="24"/>
                <w:lang w:val="en-GB" w:eastAsia="fi-FI"/>
              </w:rPr>
            </w:pPr>
            <w:r w:rsidRPr="002C3E85">
              <w:rPr>
                <w:rFonts w:ascii="Times New Roman" w:eastAsia="Times New Roman" w:hAnsi="Times New Roman" w:cs="Times New Roman"/>
                <w:color w:val="000000"/>
                <w:sz w:val="24"/>
                <w:szCs w:val="24"/>
                <w:lang w:val="en-GB" w:eastAsia="fi-FI"/>
              </w:rPr>
              <w:t xml:space="preserve">E </w:t>
            </w:r>
            <w:r w:rsidR="009F18B6" w:rsidRPr="002C3E85">
              <w:rPr>
                <w:rFonts w:ascii="Times New Roman" w:eastAsia="Times New Roman" w:hAnsi="Times New Roman" w:cs="Times New Roman"/>
                <w:color w:val="000000"/>
                <w:sz w:val="24"/>
                <w:szCs w:val="24"/>
                <w:vertAlign w:val="superscript"/>
                <w:lang w:val="en-GB" w:eastAsia="fi-FI"/>
              </w:rPr>
              <w:t>b</w:t>
            </w:r>
          </w:p>
        </w:tc>
      </w:tr>
      <w:tr w:rsidR="000E0999" w:rsidRPr="002C3E85" w14:paraId="706EF3AB" w14:textId="77777777" w:rsidTr="000E0999">
        <w:trPr>
          <w:trHeight w:val="162"/>
        </w:trPr>
        <w:tc>
          <w:tcPr>
            <w:tcW w:w="200" w:type="dxa"/>
            <w:tcBorders>
              <w:top w:val="nil"/>
              <w:left w:val="nil"/>
              <w:bottom w:val="single" w:sz="4" w:space="0" w:color="auto"/>
              <w:right w:val="nil"/>
            </w:tcBorders>
            <w:shd w:val="clear" w:color="000000" w:fill="FFFFFF"/>
            <w:noWrap/>
            <w:vAlign w:val="bottom"/>
            <w:hideMark/>
          </w:tcPr>
          <w:p w14:paraId="206DD29A"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515" w:type="dxa"/>
            <w:tcBorders>
              <w:top w:val="nil"/>
              <w:left w:val="nil"/>
              <w:bottom w:val="single" w:sz="4" w:space="0" w:color="auto"/>
              <w:right w:val="nil"/>
            </w:tcBorders>
            <w:shd w:val="clear" w:color="000000" w:fill="FFFFFF"/>
            <w:noWrap/>
            <w:vAlign w:val="bottom"/>
            <w:hideMark/>
          </w:tcPr>
          <w:p w14:paraId="30351D43"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340" w:type="dxa"/>
            <w:tcBorders>
              <w:top w:val="nil"/>
              <w:left w:val="nil"/>
              <w:bottom w:val="single" w:sz="4" w:space="0" w:color="auto"/>
              <w:right w:val="nil"/>
            </w:tcBorders>
            <w:shd w:val="clear" w:color="000000" w:fill="FFFFFF"/>
            <w:noWrap/>
            <w:vAlign w:val="bottom"/>
            <w:hideMark/>
          </w:tcPr>
          <w:p w14:paraId="00B0597A"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2608" w:type="dxa"/>
            <w:tcBorders>
              <w:top w:val="nil"/>
              <w:left w:val="nil"/>
              <w:bottom w:val="single" w:sz="4" w:space="0" w:color="auto"/>
              <w:right w:val="nil"/>
            </w:tcBorders>
            <w:shd w:val="clear" w:color="000000" w:fill="FFFFFF"/>
            <w:noWrap/>
            <w:vAlign w:val="bottom"/>
            <w:hideMark/>
          </w:tcPr>
          <w:p w14:paraId="08655166"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c>
          <w:tcPr>
            <w:tcW w:w="2551" w:type="dxa"/>
            <w:tcBorders>
              <w:top w:val="nil"/>
              <w:left w:val="nil"/>
              <w:bottom w:val="single" w:sz="4" w:space="0" w:color="auto"/>
              <w:right w:val="nil"/>
            </w:tcBorders>
            <w:shd w:val="clear" w:color="000000" w:fill="FFFFFF"/>
            <w:noWrap/>
            <w:vAlign w:val="bottom"/>
            <w:hideMark/>
          </w:tcPr>
          <w:p w14:paraId="31F072C0" w14:textId="77777777" w:rsidR="000E0999" w:rsidRPr="002C3E85" w:rsidRDefault="000E0999" w:rsidP="000E0999">
            <w:pPr>
              <w:spacing w:after="0" w:line="240" w:lineRule="auto"/>
              <w:rPr>
                <w:rFonts w:ascii="Georgia" w:eastAsia="Times New Roman" w:hAnsi="Georgia" w:cs="Calibri"/>
                <w:color w:val="000000"/>
                <w:sz w:val="20"/>
                <w:szCs w:val="20"/>
                <w:lang w:val="en-GB" w:eastAsia="fi-FI"/>
              </w:rPr>
            </w:pPr>
            <w:r w:rsidRPr="002C3E85">
              <w:rPr>
                <w:rFonts w:ascii="Georgia" w:eastAsia="Times New Roman" w:hAnsi="Georgia" w:cs="Calibri"/>
                <w:color w:val="000000"/>
                <w:sz w:val="20"/>
                <w:szCs w:val="20"/>
                <w:lang w:val="en-GB" w:eastAsia="fi-FI"/>
              </w:rPr>
              <w:t> </w:t>
            </w:r>
          </w:p>
        </w:tc>
      </w:tr>
      <w:tr w:rsidR="000E0999" w:rsidRPr="00FC4E49" w14:paraId="324C9274" w14:textId="77777777" w:rsidTr="000E0999">
        <w:trPr>
          <w:trHeight w:val="282"/>
        </w:trPr>
        <w:tc>
          <w:tcPr>
            <w:tcW w:w="9214" w:type="dxa"/>
            <w:gridSpan w:val="5"/>
            <w:tcBorders>
              <w:top w:val="single" w:sz="4" w:space="0" w:color="auto"/>
              <w:left w:val="nil"/>
              <w:bottom w:val="nil"/>
              <w:right w:val="nil"/>
            </w:tcBorders>
            <w:shd w:val="clear" w:color="000000" w:fill="FFFFFF"/>
            <w:noWrap/>
            <w:vAlign w:val="bottom"/>
            <w:hideMark/>
          </w:tcPr>
          <w:p w14:paraId="6B86ED5A" w14:textId="77777777" w:rsidR="000E0999" w:rsidRPr="002C3E85" w:rsidRDefault="000E0999" w:rsidP="000E0999">
            <w:pPr>
              <w:spacing w:after="0" w:line="240" w:lineRule="auto"/>
              <w:rPr>
                <w:rFonts w:ascii="Times New Roman" w:eastAsia="Times New Roman" w:hAnsi="Times New Roman" w:cs="Times New Roman"/>
                <w:color w:val="000000"/>
                <w:sz w:val="20"/>
                <w:szCs w:val="20"/>
                <w:lang w:val="en-GB" w:eastAsia="fi-FI"/>
              </w:rPr>
            </w:pPr>
            <w:r w:rsidRPr="002C3E85">
              <w:rPr>
                <w:rFonts w:ascii="Times New Roman" w:eastAsia="Times New Roman" w:hAnsi="Times New Roman" w:cs="Times New Roman"/>
                <w:color w:val="000000"/>
                <w:sz w:val="20"/>
                <w:szCs w:val="20"/>
                <w:vertAlign w:val="superscript"/>
                <w:lang w:val="en-GB" w:eastAsia="fi-FI"/>
              </w:rPr>
              <w:t>a</w:t>
            </w:r>
            <w:r w:rsidRPr="002C3E85">
              <w:rPr>
                <w:rFonts w:ascii="Times New Roman" w:eastAsia="Times New Roman" w:hAnsi="Times New Roman" w:cs="Times New Roman"/>
                <w:color w:val="000000"/>
                <w:sz w:val="20"/>
                <w:szCs w:val="20"/>
                <w:lang w:val="en-GB" w:eastAsia="fi-FI"/>
              </w:rPr>
              <w:t xml:space="preserve"> A seven-point Likert-type scale, where 7=Excellent, 6=Very Good, 5=Good, 4=Average, 3=Acceptable,</w:t>
            </w:r>
          </w:p>
        </w:tc>
      </w:tr>
      <w:tr w:rsidR="000E0999" w:rsidRPr="002C3E85" w14:paraId="6296E55C" w14:textId="77777777" w:rsidTr="000E0999">
        <w:trPr>
          <w:trHeight w:val="255"/>
        </w:trPr>
        <w:tc>
          <w:tcPr>
            <w:tcW w:w="9214" w:type="dxa"/>
            <w:gridSpan w:val="5"/>
            <w:tcBorders>
              <w:top w:val="nil"/>
              <w:left w:val="nil"/>
              <w:bottom w:val="nil"/>
              <w:right w:val="nil"/>
            </w:tcBorders>
            <w:shd w:val="clear" w:color="000000" w:fill="FFFFFF"/>
            <w:noWrap/>
            <w:vAlign w:val="bottom"/>
            <w:hideMark/>
          </w:tcPr>
          <w:p w14:paraId="3E9B3040" w14:textId="77777777" w:rsidR="000E0999" w:rsidRPr="002C3E85" w:rsidRDefault="000E0999" w:rsidP="000E0999">
            <w:pPr>
              <w:spacing w:after="0" w:line="240" w:lineRule="auto"/>
              <w:rPr>
                <w:rFonts w:ascii="Times New Roman" w:eastAsia="Times New Roman" w:hAnsi="Times New Roman" w:cs="Times New Roman"/>
                <w:color w:val="000000"/>
                <w:sz w:val="20"/>
                <w:szCs w:val="20"/>
                <w:lang w:val="en-GB" w:eastAsia="fi-FI"/>
              </w:rPr>
            </w:pPr>
            <w:r w:rsidRPr="002C3E85">
              <w:rPr>
                <w:rFonts w:ascii="Times New Roman" w:eastAsia="Times New Roman" w:hAnsi="Times New Roman" w:cs="Times New Roman"/>
                <w:color w:val="000000"/>
                <w:sz w:val="20"/>
                <w:szCs w:val="20"/>
                <w:lang w:val="en-GB" w:eastAsia="fi-FI"/>
              </w:rPr>
              <w:t>2=Poor, 1=Very Poor</w:t>
            </w:r>
          </w:p>
        </w:tc>
      </w:tr>
      <w:tr w:rsidR="000E0999" w:rsidRPr="002C3E85" w14:paraId="22424783" w14:textId="77777777" w:rsidTr="000E0999">
        <w:trPr>
          <w:trHeight w:val="255"/>
        </w:trPr>
        <w:tc>
          <w:tcPr>
            <w:tcW w:w="9214" w:type="dxa"/>
            <w:gridSpan w:val="5"/>
            <w:tcBorders>
              <w:top w:val="nil"/>
              <w:left w:val="nil"/>
              <w:bottom w:val="nil"/>
              <w:right w:val="nil"/>
            </w:tcBorders>
            <w:shd w:val="clear" w:color="000000" w:fill="FFFFFF"/>
            <w:noWrap/>
            <w:vAlign w:val="bottom"/>
            <w:hideMark/>
          </w:tcPr>
          <w:p w14:paraId="78EC749B" w14:textId="420876A0" w:rsidR="000E0999" w:rsidRPr="002C3E85" w:rsidRDefault="009F18B6" w:rsidP="000E0999">
            <w:pPr>
              <w:spacing w:after="0" w:line="240" w:lineRule="auto"/>
              <w:rPr>
                <w:rFonts w:ascii="Times New Roman" w:eastAsia="Times New Roman" w:hAnsi="Times New Roman" w:cs="Times New Roman"/>
                <w:color w:val="000000"/>
                <w:sz w:val="20"/>
                <w:szCs w:val="20"/>
                <w:lang w:val="en-GB" w:eastAsia="fi-FI"/>
              </w:rPr>
            </w:pPr>
            <w:r w:rsidRPr="002C3E85">
              <w:rPr>
                <w:rFonts w:ascii="Times New Roman" w:eastAsia="Times New Roman" w:hAnsi="Times New Roman" w:cs="Times New Roman"/>
                <w:color w:val="000000"/>
                <w:sz w:val="20"/>
                <w:szCs w:val="20"/>
                <w:vertAlign w:val="superscript"/>
                <w:lang w:val="en-GB" w:eastAsia="fi-FI"/>
              </w:rPr>
              <w:t>b</w:t>
            </w:r>
            <w:r w:rsidR="000E0999" w:rsidRPr="002C3E85">
              <w:rPr>
                <w:rFonts w:ascii="Times New Roman" w:eastAsia="Times New Roman" w:hAnsi="Times New Roman" w:cs="Times New Roman"/>
                <w:color w:val="000000"/>
                <w:sz w:val="20"/>
                <w:szCs w:val="20"/>
                <w:lang w:val="en-GB" w:eastAsia="fi-FI"/>
              </w:rPr>
              <w:t xml:space="preserve"> E = eximia cum laude approbatur, the second best grade</w:t>
            </w:r>
            <w:r w:rsidR="00B624B0" w:rsidRPr="002C3E85">
              <w:rPr>
                <w:rFonts w:ascii="Times New Roman" w:eastAsia="Times New Roman" w:hAnsi="Times New Roman" w:cs="Times New Roman"/>
                <w:color w:val="000000"/>
                <w:sz w:val="20"/>
                <w:szCs w:val="20"/>
                <w:lang w:val="en-GB" w:eastAsia="fi-FI"/>
              </w:rPr>
              <w:t>, top 20% of students</w:t>
            </w:r>
          </w:p>
        </w:tc>
      </w:tr>
    </w:tbl>
    <w:p w14:paraId="64D6350F" w14:textId="52EF0289" w:rsidR="00FE10FF" w:rsidRPr="002C3E85" w:rsidRDefault="00FE10FF" w:rsidP="00FD2558">
      <w:pPr>
        <w:spacing w:line="480" w:lineRule="auto"/>
        <w:jc w:val="both"/>
        <w:rPr>
          <w:rFonts w:ascii="Times New Roman" w:hAnsi="Times New Roman" w:cs="Times New Roman"/>
          <w:b/>
          <w:sz w:val="24"/>
          <w:szCs w:val="24"/>
          <w:lang w:val="en-GB"/>
        </w:rPr>
      </w:pPr>
    </w:p>
    <w:p w14:paraId="36411504" w14:textId="77777777" w:rsidR="00FE10FF" w:rsidRPr="002C3E85" w:rsidRDefault="00FE10FF">
      <w:pPr>
        <w:rPr>
          <w:rFonts w:ascii="Times New Roman" w:hAnsi="Times New Roman" w:cs="Times New Roman"/>
          <w:b/>
          <w:sz w:val="24"/>
          <w:szCs w:val="24"/>
          <w:lang w:val="en-GB"/>
        </w:rPr>
      </w:pPr>
      <w:r w:rsidRPr="002C3E85">
        <w:rPr>
          <w:rFonts w:ascii="Times New Roman" w:hAnsi="Times New Roman" w:cs="Times New Roman"/>
          <w:b/>
          <w:sz w:val="24"/>
          <w:szCs w:val="24"/>
          <w:lang w:val="en-GB"/>
        </w:rPr>
        <w:br w:type="page"/>
      </w:r>
    </w:p>
    <w:p w14:paraId="15755FF5" w14:textId="0DCA68B4" w:rsidR="00DA7AAA" w:rsidRPr="002C3E85" w:rsidRDefault="00FE10FF" w:rsidP="00FD2558">
      <w:pPr>
        <w:spacing w:line="480" w:lineRule="auto"/>
        <w:jc w:val="both"/>
        <w:rPr>
          <w:rFonts w:ascii="Times New Roman" w:hAnsi="Times New Roman" w:cs="Times New Roman"/>
          <w:sz w:val="24"/>
          <w:szCs w:val="24"/>
          <w:lang w:val="en-GB"/>
        </w:rPr>
      </w:pPr>
      <w:r w:rsidRPr="002C3E85">
        <w:rPr>
          <w:rFonts w:ascii="Times New Roman" w:hAnsi="Times New Roman" w:cs="Times New Roman"/>
          <w:b/>
          <w:sz w:val="24"/>
          <w:szCs w:val="24"/>
          <w:lang w:val="en-GB"/>
        </w:rPr>
        <w:lastRenderedPageBreak/>
        <w:t xml:space="preserve">Fig. 1. </w:t>
      </w:r>
      <w:r w:rsidRPr="002C3E85">
        <w:rPr>
          <w:rFonts w:ascii="Times New Roman" w:hAnsi="Times New Roman" w:cs="Times New Roman"/>
          <w:sz w:val="24"/>
          <w:szCs w:val="24"/>
          <w:lang w:val="en-GB"/>
        </w:rPr>
        <w:t xml:space="preserve">A hypothetical situation where GM volume (blue and red cubes) appears identical between the groups despite significant differences in cortical surface area (dashed line) and thickness (solid line).   </w:t>
      </w:r>
    </w:p>
    <w:p w14:paraId="291F8760" w14:textId="2F1F571D" w:rsidR="00C96A37" w:rsidRPr="002C3E85" w:rsidRDefault="00C96A37" w:rsidP="00FD2558">
      <w:pPr>
        <w:spacing w:line="480" w:lineRule="auto"/>
        <w:jc w:val="both"/>
        <w:rPr>
          <w:rFonts w:ascii="Times New Roman" w:hAnsi="Times New Roman" w:cs="Times New Roman"/>
          <w:sz w:val="24"/>
          <w:szCs w:val="24"/>
          <w:lang w:val="en-GB"/>
        </w:rPr>
      </w:pPr>
    </w:p>
    <w:p w14:paraId="605DB71E" w14:textId="0AAE98F8" w:rsidR="00C96A37" w:rsidRPr="006B3E8A" w:rsidRDefault="00C96A37" w:rsidP="00FD2558">
      <w:pPr>
        <w:spacing w:line="480" w:lineRule="auto"/>
        <w:jc w:val="both"/>
        <w:rPr>
          <w:rFonts w:ascii="Times New Roman" w:hAnsi="Times New Roman" w:cs="Times New Roman"/>
          <w:sz w:val="24"/>
          <w:szCs w:val="24"/>
          <w:lang w:val="en-GB"/>
        </w:rPr>
      </w:pPr>
      <w:r w:rsidRPr="002C3E85">
        <w:rPr>
          <w:rFonts w:ascii="Times New Roman" w:hAnsi="Times New Roman" w:cs="Times New Roman"/>
          <w:b/>
          <w:sz w:val="24"/>
          <w:szCs w:val="24"/>
          <w:lang w:val="en-GB"/>
        </w:rPr>
        <w:t xml:space="preserve">Fig. 2. A) </w:t>
      </w:r>
      <w:r w:rsidRPr="002C3E85">
        <w:rPr>
          <w:rFonts w:ascii="Times New Roman" w:hAnsi="Times New Roman" w:cs="Times New Roman"/>
          <w:sz w:val="24"/>
          <w:szCs w:val="24"/>
          <w:lang w:val="en-GB"/>
        </w:rPr>
        <w:t>Illustration of the included ROIs: POp in light brown, PTr in orange, SMG in green, IPC in purple and STG in cyan portrayed on a standard MNI152 brain. The colouring of the ROIs is adapted from Desikan and colleagues' (2006) original figure.</w:t>
      </w:r>
      <w:r w:rsidRPr="002C3E85">
        <w:rPr>
          <w:rFonts w:ascii="Times New Roman" w:hAnsi="Times New Roman" w:cs="Times New Roman"/>
          <w:b/>
          <w:sz w:val="24"/>
          <w:szCs w:val="24"/>
          <w:lang w:val="en-GB"/>
        </w:rPr>
        <w:t xml:space="preserve"> B) </w:t>
      </w:r>
      <w:r w:rsidRPr="002C3E85">
        <w:rPr>
          <w:rFonts w:ascii="Times New Roman" w:hAnsi="Times New Roman" w:cs="Times New Roman"/>
          <w:sz w:val="24"/>
          <w:szCs w:val="24"/>
          <w:lang w:val="en-GB"/>
        </w:rPr>
        <w:t xml:space="preserve">Cortical area, volume and mean curvature values from ROIs where significant differences between groups were observed with the linear mixed model analysis. * p &lt; 0.05, ** p &lt; 0.01, *** p &lt; 0.001. POp = pars opercularis, PTr = pars triangularis, SMG = supramarginal gyrus, IPC = </w:t>
      </w:r>
      <w:r w:rsidRPr="002C3E85">
        <w:rPr>
          <w:rFonts w:ascii="Times New Roman" w:hAnsi="Times New Roman" w:cs="Times New Roman"/>
          <w:sz w:val="24"/>
          <w:szCs w:val="24"/>
          <w:lang w:val="en-GB"/>
        </w:rPr>
        <w:lastRenderedPageBreak/>
        <w:t>inferior parietal cortex, STG = superior temporal gyrus. Note that area is in units of x103 mm2 and volume is in units of x103 mm3, mean curvature is unitless.</w:t>
      </w:r>
    </w:p>
    <w:sectPr w:rsidR="00C96A37" w:rsidRPr="006B3E8A" w:rsidSect="00FC4E49">
      <w:headerReference w:type="default" r:id="rId11"/>
      <w:footerReference w:type="default" r:id="rId12"/>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650F3E" w14:textId="77777777" w:rsidR="003629AC" w:rsidRDefault="003629AC" w:rsidP="00E80AF8">
      <w:pPr>
        <w:spacing w:after="0" w:line="240" w:lineRule="auto"/>
      </w:pPr>
      <w:r>
        <w:separator/>
      </w:r>
    </w:p>
  </w:endnote>
  <w:endnote w:type="continuationSeparator" w:id="0">
    <w:p w14:paraId="15DD436D" w14:textId="77777777" w:rsidR="003629AC" w:rsidRDefault="003629AC" w:rsidP="00E80A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4593043"/>
      <w:docPartObj>
        <w:docPartGallery w:val="Page Numbers (Bottom of Page)"/>
        <w:docPartUnique/>
      </w:docPartObj>
    </w:sdtPr>
    <w:sdtEndPr>
      <w:rPr>
        <w:noProof/>
      </w:rPr>
    </w:sdtEndPr>
    <w:sdtContent>
      <w:p w14:paraId="54E802BE" w14:textId="00F6B0EF" w:rsidR="002C3E85" w:rsidRDefault="002C3E85">
        <w:pPr>
          <w:pStyle w:val="Footer"/>
          <w:jc w:val="right"/>
        </w:pPr>
        <w:r>
          <w:fldChar w:fldCharType="begin"/>
        </w:r>
        <w:r>
          <w:instrText xml:space="preserve"> PAGE   \* MERGEFORMAT </w:instrText>
        </w:r>
        <w:r>
          <w:fldChar w:fldCharType="separate"/>
        </w:r>
        <w:r w:rsidR="00CA50B1">
          <w:rPr>
            <w:noProof/>
          </w:rPr>
          <w:t>1</w:t>
        </w:r>
        <w:r>
          <w:rPr>
            <w:noProof/>
          </w:rPr>
          <w:fldChar w:fldCharType="end"/>
        </w:r>
      </w:p>
    </w:sdtContent>
  </w:sdt>
  <w:p w14:paraId="596802DE" w14:textId="77777777" w:rsidR="002C3E85" w:rsidRDefault="002C3E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FEE3DF" w14:textId="77777777" w:rsidR="003629AC" w:rsidRDefault="003629AC" w:rsidP="00E80AF8">
      <w:pPr>
        <w:spacing w:after="0" w:line="240" w:lineRule="auto"/>
      </w:pPr>
      <w:r>
        <w:separator/>
      </w:r>
    </w:p>
  </w:footnote>
  <w:footnote w:type="continuationSeparator" w:id="0">
    <w:p w14:paraId="56CD9DB2" w14:textId="77777777" w:rsidR="003629AC" w:rsidRDefault="003629AC" w:rsidP="00E80AF8">
      <w:pPr>
        <w:spacing w:after="0" w:line="240" w:lineRule="auto"/>
      </w:pPr>
      <w:r>
        <w:continuationSeparator/>
      </w:r>
    </w:p>
  </w:footnote>
  <w:footnote w:id="1">
    <w:p w14:paraId="0AFDDF17" w14:textId="430781DB" w:rsidR="002C3E85" w:rsidRPr="00025630" w:rsidRDefault="002C3E85" w:rsidP="00BC105F">
      <w:pPr>
        <w:pStyle w:val="FootnoteText"/>
        <w:spacing w:line="480" w:lineRule="auto"/>
        <w:jc w:val="both"/>
        <w:rPr>
          <w:rFonts w:ascii="Times New Roman" w:hAnsi="Times New Roman" w:cs="Times New Roman"/>
          <w:lang w:val="en-US"/>
        </w:rPr>
      </w:pPr>
      <w:r w:rsidRPr="00D100C2">
        <w:rPr>
          <w:rStyle w:val="FootnoteReference"/>
        </w:rPr>
        <w:footnoteRef/>
      </w:r>
      <w:r w:rsidRPr="00D100C2">
        <w:rPr>
          <w:rFonts w:ascii="Times New Roman" w:hAnsi="Times New Roman" w:cs="Times New Roman"/>
          <w:lang w:val="en-US"/>
        </w:rPr>
        <w:t xml:space="preserve"> All early bilinguals, as well as the majority of the late bilinguals, estimated their L2 skills to be either “excellent” or “very good” and only a handful (N=4) of the late bilingual participants self-rated their L2 skills as “good”. None reported L2 skills below “good”. As the early bilinguals reported continuous use of both L1 and L2 since the childhood, their self-reported language proficiency was considered a reliable estimate of their objective L2 proficiency. To make sure that the late bilinguals’ L2 proficiency indeed matched their high self-reported level, participants’ L2 language skills were objectively evaluated based on their success in a national English exam, taken as part of the Finnish Matriculation Examination at the end of the Finnish upper secondary school at the age of 18. In line with the self-reported language skills, all late bilingual participants had scored within the top 20 % in their examination.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4F5213" w14:textId="4FB2B578" w:rsidR="002C3E85" w:rsidRPr="00AD3CE0" w:rsidRDefault="002C3E85">
    <w:pPr>
      <w:pStyle w:val="Header"/>
      <w:rPr>
        <w:rFonts w:ascii="Times New Roman" w:hAnsi="Times New Roman" w:cs="Times New Roman"/>
        <w:sz w:val="24"/>
        <w:szCs w:val="24"/>
      </w:rPr>
    </w:pPr>
    <w:r w:rsidRPr="00AD3CE0">
      <w:rPr>
        <w:rFonts w:ascii="Times New Roman" w:hAnsi="Times New Roman" w:cs="Times New Roman"/>
        <w:sz w:val="24"/>
        <w:szCs w:val="24"/>
      </w:rPr>
      <w:ptab w:relativeTo="margin" w:alignment="center" w:leader="none"/>
    </w:r>
    <w:r w:rsidRPr="00AD3CE0">
      <w:rPr>
        <w:rFonts w:ascii="Times New Roman" w:hAnsi="Times New Roman" w:cs="Times New Roman"/>
        <w:sz w:val="24"/>
        <w:szCs w:val="24"/>
      </w:rPr>
      <w:t>Sini Hämäläinen</w:t>
    </w:r>
    <w:r w:rsidRPr="00AD3CE0">
      <w:rPr>
        <w:rFonts w:ascii="Times New Roman" w:hAnsi="Times New Roman" w:cs="Times New Roman"/>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10E58"/>
    <w:multiLevelType w:val="hybridMultilevel"/>
    <w:tmpl w:val="747AE2F8"/>
    <w:lvl w:ilvl="0" w:tplc="63AE7EAE">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CA94FD2"/>
    <w:multiLevelType w:val="hybridMultilevel"/>
    <w:tmpl w:val="9CFC0C08"/>
    <w:lvl w:ilvl="0" w:tplc="8E8E5538">
      <w:start w:val="7"/>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840E40"/>
    <w:multiLevelType w:val="multilevel"/>
    <w:tmpl w:val="D59A26E6"/>
    <w:lvl w:ilvl="0">
      <w:start w:val="1"/>
      <w:numFmt w:val="decimal"/>
      <w:lvlText w:val="%1."/>
      <w:lvlJc w:val="left"/>
      <w:pPr>
        <w:ind w:left="30" w:hanging="390"/>
      </w:pPr>
      <w:rPr>
        <w:rFonts w:hint="default"/>
      </w:rPr>
    </w:lvl>
    <w:lvl w:ilvl="1">
      <w:start w:val="1"/>
      <w:numFmt w:val="decimal"/>
      <w:lvlText w:val="%1.%2."/>
      <w:lvlJc w:val="left"/>
      <w:pPr>
        <w:ind w:left="360" w:hanging="720"/>
      </w:pPr>
      <w:rPr>
        <w:rFonts w:hint="default"/>
      </w:rPr>
    </w:lvl>
    <w:lvl w:ilvl="2">
      <w:start w:val="1"/>
      <w:numFmt w:val="decimal"/>
      <w:lvlText w:val="%1.%2.%3."/>
      <w:lvlJc w:val="left"/>
      <w:pPr>
        <w:ind w:left="360" w:hanging="720"/>
      </w:pPr>
      <w:rPr>
        <w:rFonts w:hint="default"/>
      </w:rPr>
    </w:lvl>
    <w:lvl w:ilvl="3">
      <w:start w:val="1"/>
      <w:numFmt w:val="decimal"/>
      <w:lvlText w:val="%1.%2.%3.%4."/>
      <w:lvlJc w:val="left"/>
      <w:pPr>
        <w:ind w:left="720" w:hanging="108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080" w:hanging="1440"/>
      </w:pPr>
      <w:rPr>
        <w:rFonts w:hint="default"/>
      </w:rPr>
    </w:lvl>
    <w:lvl w:ilvl="7">
      <w:start w:val="1"/>
      <w:numFmt w:val="decimal"/>
      <w:lvlText w:val="%1.%2.%3.%4.%5.%6.%7.%8."/>
      <w:lvlJc w:val="left"/>
      <w:pPr>
        <w:ind w:left="1440" w:hanging="1800"/>
      </w:pPr>
      <w:rPr>
        <w:rFonts w:hint="default"/>
      </w:rPr>
    </w:lvl>
    <w:lvl w:ilvl="8">
      <w:start w:val="1"/>
      <w:numFmt w:val="decimal"/>
      <w:lvlText w:val="%1.%2.%3.%4.%5.%6.%7.%8.%9."/>
      <w:lvlJc w:val="left"/>
      <w:pPr>
        <w:ind w:left="1440" w:hanging="1800"/>
      </w:pPr>
      <w:rPr>
        <w:rFonts w:hint="default"/>
      </w:rPr>
    </w:lvl>
  </w:abstractNum>
  <w:abstractNum w:abstractNumId="3" w15:restartNumberingAfterBreak="0">
    <w:nsid w:val="13ED2332"/>
    <w:multiLevelType w:val="hybridMultilevel"/>
    <w:tmpl w:val="4DD0BE90"/>
    <w:lvl w:ilvl="0" w:tplc="C27E0364">
      <w:start w:val="7"/>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F91B78"/>
    <w:multiLevelType w:val="hybridMultilevel"/>
    <w:tmpl w:val="60AAE49C"/>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1BF24C9B"/>
    <w:multiLevelType w:val="hybridMultilevel"/>
    <w:tmpl w:val="BB205946"/>
    <w:lvl w:ilvl="0" w:tplc="FB4C1750">
      <w:numFmt w:val="bullet"/>
      <w:lvlText w:val="-"/>
      <w:lvlJc w:val="left"/>
      <w:pPr>
        <w:ind w:left="1665" w:hanging="360"/>
      </w:pPr>
      <w:rPr>
        <w:rFonts w:ascii="Times New Roman" w:eastAsiaTheme="minorHAnsi" w:hAnsi="Times New Roman" w:cs="Times New Roman" w:hint="default"/>
      </w:rPr>
    </w:lvl>
    <w:lvl w:ilvl="1" w:tplc="040B0003" w:tentative="1">
      <w:start w:val="1"/>
      <w:numFmt w:val="bullet"/>
      <w:lvlText w:val="o"/>
      <w:lvlJc w:val="left"/>
      <w:pPr>
        <w:ind w:left="2385" w:hanging="360"/>
      </w:pPr>
      <w:rPr>
        <w:rFonts w:ascii="Courier New" w:hAnsi="Courier New" w:cs="Courier New" w:hint="default"/>
      </w:rPr>
    </w:lvl>
    <w:lvl w:ilvl="2" w:tplc="040B0005" w:tentative="1">
      <w:start w:val="1"/>
      <w:numFmt w:val="bullet"/>
      <w:lvlText w:val=""/>
      <w:lvlJc w:val="left"/>
      <w:pPr>
        <w:ind w:left="3105" w:hanging="360"/>
      </w:pPr>
      <w:rPr>
        <w:rFonts w:ascii="Wingdings" w:hAnsi="Wingdings" w:hint="default"/>
      </w:rPr>
    </w:lvl>
    <w:lvl w:ilvl="3" w:tplc="040B0001" w:tentative="1">
      <w:start w:val="1"/>
      <w:numFmt w:val="bullet"/>
      <w:lvlText w:val=""/>
      <w:lvlJc w:val="left"/>
      <w:pPr>
        <w:ind w:left="3825" w:hanging="360"/>
      </w:pPr>
      <w:rPr>
        <w:rFonts w:ascii="Symbol" w:hAnsi="Symbol" w:hint="default"/>
      </w:rPr>
    </w:lvl>
    <w:lvl w:ilvl="4" w:tplc="040B0003" w:tentative="1">
      <w:start w:val="1"/>
      <w:numFmt w:val="bullet"/>
      <w:lvlText w:val="o"/>
      <w:lvlJc w:val="left"/>
      <w:pPr>
        <w:ind w:left="4545" w:hanging="360"/>
      </w:pPr>
      <w:rPr>
        <w:rFonts w:ascii="Courier New" w:hAnsi="Courier New" w:cs="Courier New" w:hint="default"/>
      </w:rPr>
    </w:lvl>
    <w:lvl w:ilvl="5" w:tplc="040B0005" w:tentative="1">
      <w:start w:val="1"/>
      <w:numFmt w:val="bullet"/>
      <w:lvlText w:val=""/>
      <w:lvlJc w:val="left"/>
      <w:pPr>
        <w:ind w:left="5265" w:hanging="360"/>
      </w:pPr>
      <w:rPr>
        <w:rFonts w:ascii="Wingdings" w:hAnsi="Wingdings" w:hint="default"/>
      </w:rPr>
    </w:lvl>
    <w:lvl w:ilvl="6" w:tplc="040B0001" w:tentative="1">
      <w:start w:val="1"/>
      <w:numFmt w:val="bullet"/>
      <w:lvlText w:val=""/>
      <w:lvlJc w:val="left"/>
      <w:pPr>
        <w:ind w:left="5985" w:hanging="360"/>
      </w:pPr>
      <w:rPr>
        <w:rFonts w:ascii="Symbol" w:hAnsi="Symbol" w:hint="default"/>
      </w:rPr>
    </w:lvl>
    <w:lvl w:ilvl="7" w:tplc="040B0003" w:tentative="1">
      <w:start w:val="1"/>
      <w:numFmt w:val="bullet"/>
      <w:lvlText w:val="o"/>
      <w:lvlJc w:val="left"/>
      <w:pPr>
        <w:ind w:left="6705" w:hanging="360"/>
      </w:pPr>
      <w:rPr>
        <w:rFonts w:ascii="Courier New" w:hAnsi="Courier New" w:cs="Courier New" w:hint="default"/>
      </w:rPr>
    </w:lvl>
    <w:lvl w:ilvl="8" w:tplc="040B0005" w:tentative="1">
      <w:start w:val="1"/>
      <w:numFmt w:val="bullet"/>
      <w:lvlText w:val=""/>
      <w:lvlJc w:val="left"/>
      <w:pPr>
        <w:ind w:left="7425" w:hanging="360"/>
      </w:pPr>
      <w:rPr>
        <w:rFonts w:ascii="Wingdings" w:hAnsi="Wingdings" w:hint="default"/>
      </w:rPr>
    </w:lvl>
  </w:abstractNum>
  <w:abstractNum w:abstractNumId="6" w15:restartNumberingAfterBreak="0">
    <w:nsid w:val="1F2A5899"/>
    <w:multiLevelType w:val="hybridMultilevel"/>
    <w:tmpl w:val="D89C8266"/>
    <w:lvl w:ilvl="0" w:tplc="755A8BBA">
      <w:start w:val="3"/>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221D6EFA"/>
    <w:multiLevelType w:val="hybridMultilevel"/>
    <w:tmpl w:val="87D46BE4"/>
    <w:lvl w:ilvl="0" w:tplc="F768D27C">
      <w:start w:val="1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38957CD4"/>
    <w:multiLevelType w:val="hybridMultilevel"/>
    <w:tmpl w:val="2708B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AF4C2E"/>
    <w:multiLevelType w:val="hybridMultilevel"/>
    <w:tmpl w:val="A44A2C12"/>
    <w:lvl w:ilvl="0" w:tplc="F732DB00">
      <w:start w:val="1"/>
      <w:numFmt w:val="bullet"/>
      <w:lvlText w:val="•"/>
      <w:lvlJc w:val="left"/>
      <w:pPr>
        <w:tabs>
          <w:tab w:val="num" w:pos="720"/>
        </w:tabs>
        <w:ind w:left="720" w:hanging="360"/>
      </w:pPr>
      <w:rPr>
        <w:rFonts w:ascii="Arial" w:hAnsi="Arial" w:hint="default"/>
      </w:rPr>
    </w:lvl>
    <w:lvl w:ilvl="1" w:tplc="2AC88BA2">
      <w:start w:val="1"/>
      <w:numFmt w:val="bullet"/>
      <w:lvlText w:val="•"/>
      <w:lvlJc w:val="left"/>
      <w:pPr>
        <w:tabs>
          <w:tab w:val="num" w:pos="1440"/>
        </w:tabs>
        <w:ind w:left="1440" w:hanging="360"/>
      </w:pPr>
      <w:rPr>
        <w:rFonts w:ascii="Arial" w:hAnsi="Arial" w:hint="default"/>
      </w:rPr>
    </w:lvl>
    <w:lvl w:ilvl="2" w:tplc="56706EEA" w:tentative="1">
      <w:start w:val="1"/>
      <w:numFmt w:val="bullet"/>
      <w:lvlText w:val="•"/>
      <w:lvlJc w:val="left"/>
      <w:pPr>
        <w:tabs>
          <w:tab w:val="num" w:pos="2160"/>
        </w:tabs>
        <w:ind w:left="2160" w:hanging="360"/>
      </w:pPr>
      <w:rPr>
        <w:rFonts w:ascii="Arial" w:hAnsi="Arial" w:hint="default"/>
      </w:rPr>
    </w:lvl>
    <w:lvl w:ilvl="3" w:tplc="93FCA76C" w:tentative="1">
      <w:start w:val="1"/>
      <w:numFmt w:val="bullet"/>
      <w:lvlText w:val="•"/>
      <w:lvlJc w:val="left"/>
      <w:pPr>
        <w:tabs>
          <w:tab w:val="num" w:pos="2880"/>
        </w:tabs>
        <w:ind w:left="2880" w:hanging="360"/>
      </w:pPr>
      <w:rPr>
        <w:rFonts w:ascii="Arial" w:hAnsi="Arial" w:hint="default"/>
      </w:rPr>
    </w:lvl>
    <w:lvl w:ilvl="4" w:tplc="4FD865B0" w:tentative="1">
      <w:start w:val="1"/>
      <w:numFmt w:val="bullet"/>
      <w:lvlText w:val="•"/>
      <w:lvlJc w:val="left"/>
      <w:pPr>
        <w:tabs>
          <w:tab w:val="num" w:pos="3600"/>
        </w:tabs>
        <w:ind w:left="3600" w:hanging="360"/>
      </w:pPr>
      <w:rPr>
        <w:rFonts w:ascii="Arial" w:hAnsi="Arial" w:hint="default"/>
      </w:rPr>
    </w:lvl>
    <w:lvl w:ilvl="5" w:tplc="8F7C0C7E" w:tentative="1">
      <w:start w:val="1"/>
      <w:numFmt w:val="bullet"/>
      <w:lvlText w:val="•"/>
      <w:lvlJc w:val="left"/>
      <w:pPr>
        <w:tabs>
          <w:tab w:val="num" w:pos="4320"/>
        </w:tabs>
        <w:ind w:left="4320" w:hanging="360"/>
      </w:pPr>
      <w:rPr>
        <w:rFonts w:ascii="Arial" w:hAnsi="Arial" w:hint="default"/>
      </w:rPr>
    </w:lvl>
    <w:lvl w:ilvl="6" w:tplc="79505E96" w:tentative="1">
      <w:start w:val="1"/>
      <w:numFmt w:val="bullet"/>
      <w:lvlText w:val="•"/>
      <w:lvlJc w:val="left"/>
      <w:pPr>
        <w:tabs>
          <w:tab w:val="num" w:pos="5040"/>
        </w:tabs>
        <w:ind w:left="5040" w:hanging="360"/>
      </w:pPr>
      <w:rPr>
        <w:rFonts w:ascii="Arial" w:hAnsi="Arial" w:hint="default"/>
      </w:rPr>
    </w:lvl>
    <w:lvl w:ilvl="7" w:tplc="3440D59A" w:tentative="1">
      <w:start w:val="1"/>
      <w:numFmt w:val="bullet"/>
      <w:lvlText w:val="•"/>
      <w:lvlJc w:val="left"/>
      <w:pPr>
        <w:tabs>
          <w:tab w:val="num" w:pos="5760"/>
        </w:tabs>
        <w:ind w:left="5760" w:hanging="360"/>
      </w:pPr>
      <w:rPr>
        <w:rFonts w:ascii="Arial" w:hAnsi="Arial" w:hint="default"/>
      </w:rPr>
    </w:lvl>
    <w:lvl w:ilvl="8" w:tplc="198EB9B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8BA17F7"/>
    <w:multiLevelType w:val="hybridMultilevel"/>
    <w:tmpl w:val="F38E37DA"/>
    <w:lvl w:ilvl="0" w:tplc="96E8AA7C">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5D595CCE"/>
    <w:multiLevelType w:val="hybridMultilevel"/>
    <w:tmpl w:val="E7728480"/>
    <w:lvl w:ilvl="0" w:tplc="D63C5E58">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5DDD2E22"/>
    <w:multiLevelType w:val="hybridMultilevel"/>
    <w:tmpl w:val="89BC69B4"/>
    <w:lvl w:ilvl="0" w:tplc="789ECDBE">
      <w:start w:val="3"/>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5E535AA0"/>
    <w:multiLevelType w:val="hybridMultilevel"/>
    <w:tmpl w:val="A3A2243E"/>
    <w:lvl w:ilvl="0" w:tplc="40F2FECC">
      <w:start w:val="7"/>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035146D"/>
    <w:multiLevelType w:val="hybridMultilevel"/>
    <w:tmpl w:val="55C2691C"/>
    <w:lvl w:ilvl="0" w:tplc="21BA2D12">
      <w:start w:val="7"/>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3406892"/>
    <w:multiLevelType w:val="hybridMultilevel"/>
    <w:tmpl w:val="C0B2EDEC"/>
    <w:lvl w:ilvl="0" w:tplc="6992992C">
      <w:start w:val="3"/>
      <w:numFmt w:val="bullet"/>
      <w:lvlText w:val="-"/>
      <w:lvlJc w:val="left"/>
      <w:pPr>
        <w:ind w:left="360" w:hanging="360"/>
      </w:pPr>
      <w:rPr>
        <w:rFonts w:ascii="Calibri" w:eastAsiaTheme="minorHAnsi" w:hAnsi="Calibri" w:cstheme="minorBidi"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6" w15:restartNumberingAfterBreak="0">
    <w:nsid w:val="660478D1"/>
    <w:multiLevelType w:val="hybridMultilevel"/>
    <w:tmpl w:val="7820FF6A"/>
    <w:lvl w:ilvl="0" w:tplc="64268A0C">
      <w:start w:val="7"/>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6F41A4"/>
    <w:multiLevelType w:val="hybridMultilevel"/>
    <w:tmpl w:val="9D58B1BC"/>
    <w:lvl w:ilvl="0" w:tplc="029C5F94">
      <w:start w:val="1"/>
      <w:numFmt w:val="decimal"/>
      <w:lvlText w:val="%1."/>
      <w:lvlJc w:val="left"/>
      <w:pPr>
        <w:ind w:left="1080" w:hanging="720"/>
      </w:pPr>
      <w:rPr>
        <w:rFonts w:hint="default"/>
      </w:r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76E1634C"/>
    <w:multiLevelType w:val="hybridMultilevel"/>
    <w:tmpl w:val="D08E6E82"/>
    <w:lvl w:ilvl="0" w:tplc="68608974">
      <w:start w:val="7"/>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67515D"/>
    <w:multiLevelType w:val="hybridMultilevel"/>
    <w:tmpl w:val="C3066B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 w15:restartNumberingAfterBreak="0">
    <w:nsid w:val="7B8A3AA8"/>
    <w:multiLevelType w:val="hybridMultilevel"/>
    <w:tmpl w:val="55DEB36A"/>
    <w:lvl w:ilvl="0" w:tplc="BB7C3882">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7CC72A0F"/>
    <w:multiLevelType w:val="hybridMultilevel"/>
    <w:tmpl w:val="6928BCF4"/>
    <w:lvl w:ilvl="0" w:tplc="5866DE0E">
      <w:start w:val="2"/>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7"/>
  </w:num>
  <w:num w:numId="3">
    <w:abstractNumId w:val="2"/>
  </w:num>
  <w:num w:numId="4">
    <w:abstractNumId w:val="12"/>
  </w:num>
  <w:num w:numId="5">
    <w:abstractNumId w:val="15"/>
  </w:num>
  <w:num w:numId="6">
    <w:abstractNumId w:val="9"/>
  </w:num>
  <w:num w:numId="7">
    <w:abstractNumId w:val="6"/>
  </w:num>
  <w:num w:numId="8">
    <w:abstractNumId w:val="7"/>
  </w:num>
  <w:num w:numId="9">
    <w:abstractNumId w:val="0"/>
  </w:num>
  <w:num w:numId="10">
    <w:abstractNumId w:val="20"/>
  </w:num>
  <w:num w:numId="11">
    <w:abstractNumId w:val="11"/>
  </w:num>
  <w:num w:numId="12">
    <w:abstractNumId w:val="5"/>
  </w:num>
  <w:num w:numId="13">
    <w:abstractNumId w:val="8"/>
  </w:num>
  <w:num w:numId="14">
    <w:abstractNumId w:val="16"/>
  </w:num>
  <w:num w:numId="15">
    <w:abstractNumId w:val="18"/>
  </w:num>
  <w:num w:numId="16">
    <w:abstractNumId w:val="3"/>
  </w:num>
  <w:num w:numId="17">
    <w:abstractNumId w:val="13"/>
  </w:num>
  <w:num w:numId="18">
    <w:abstractNumId w:val="14"/>
  </w:num>
  <w:num w:numId="19">
    <w:abstractNumId w:val="1"/>
  </w:num>
  <w:num w:numId="20">
    <w:abstractNumId w:val="10"/>
  </w:num>
  <w:num w:numId="21">
    <w:abstractNumId w:val="21"/>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F3E"/>
    <w:rsid w:val="00000870"/>
    <w:rsid w:val="00000B44"/>
    <w:rsid w:val="00001D22"/>
    <w:rsid w:val="00005DBA"/>
    <w:rsid w:val="00006866"/>
    <w:rsid w:val="00007A3B"/>
    <w:rsid w:val="00010A95"/>
    <w:rsid w:val="00010DAC"/>
    <w:rsid w:val="00011747"/>
    <w:rsid w:val="00011DDC"/>
    <w:rsid w:val="00011F51"/>
    <w:rsid w:val="000124DA"/>
    <w:rsid w:val="00013015"/>
    <w:rsid w:val="00013902"/>
    <w:rsid w:val="00014422"/>
    <w:rsid w:val="000144F5"/>
    <w:rsid w:val="0001464F"/>
    <w:rsid w:val="00014A2D"/>
    <w:rsid w:val="0001569D"/>
    <w:rsid w:val="000160C7"/>
    <w:rsid w:val="0001681E"/>
    <w:rsid w:val="00017C31"/>
    <w:rsid w:val="00022926"/>
    <w:rsid w:val="00022F46"/>
    <w:rsid w:val="00023144"/>
    <w:rsid w:val="00023389"/>
    <w:rsid w:val="00023448"/>
    <w:rsid w:val="00023A1B"/>
    <w:rsid w:val="00023B4E"/>
    <w:rsid w:val="00024091"/>
    <w:rsid w:val="000241CC"/>
    <w:rsid w:val="00024249"/>
    <w:rsid w:val="00025630"/>
    <w:rsid w:val="00026769"/>
    <w:rsid w:val="00027461"/>
    <w:rsid w:val="00030210"/>
    <w:rsid w:val="00030B6E"/>
    <w:rsid w:val="00030C06"/>
    <w:rsid w:val="00030D01"/>
    <w:rsid w:val="000316AA"/>
    <w:rsid w:val="0003188E"/>
    <w:rsid w:val="00032E22"/>
    <w:rsid w:val="00032ED0"/>
    <w:rsid w:val="000337FD"/>
    <w:rsid w:val="00034AED"/>
    <w:rsid w:val="00034BC9"/>
    <w:rsid w:val="000359EB"/>
    <w:rsid w:val="00036111"/>
    <w:rsid w:val="00036523"/>
    <w:rsid w:val="000372C4"/>
    <w:rsid w:val="00037ED2"/>
    <w:rsid w:val="00041321"/>
    <w:rsid w:val="00041CE2"/>
    <w:rsid w:val="0004232B"/>
    <w:rsid w:val="00042585"/>
    <w:rsid w:val="000443B0"/>
    <w:rsid w:val="00044523"/>
    <w:rsid w:val="00044951"/>
    <w:rsid w:val="00044A37"/>
    <w:rsid w:val="00045FBE"/>
    <w:rsid w:val="000462DD"/>
    <w:rsid w:val="00046508"/>
    <w:rsid w:val="00047C2D"/>
    <w:rsid w:val="000509F2"/>
    <w:rsid w:val="00050B6B"/>
    <w:rsid w:val="00052408"/>
    <w:rsid w:val="000537B6"/>
    <w:rsid w:val="00056D14"/>
    <w:rsid w:val="00056DA0"/>
    <w:rsid w:val="000613CC"/>
    <w:rsid w:val="00061AA6"/>
    <w:rsid w:val="00061F3F"/>
    <w:rsid w:val="000623B6"/>
    <w:rsid w:val="000624EA"/>
    <w:rsid w:val="00062C84"/>
    <w:rsid w:val="0006491B"/>
    <w:rsid w:val="00064CFC"/>
    <w:rsid w:val="00064F31"/>
    <w:rsid w:val="0006561B"/>
    <w:rsid w:val="00066599"/>
    <w:rsid w:val="00066D95"/>
    <w:rsid w:val="000677DA"/>
    <w:rsid w:val="0006781A"/>
    <w:rsid w:val="00067FB4"/>
    <w:rsid w:val="0007057A"/>
    <w:rsid w:val="0007304F"/>
    <w:rsid w:val="00073A26"/>
    <w:rsid w:val="000741D6"/>
    <w:rsid w:val="000747A5"/>
    <w:rsid w:val="00075029"/>
    <w:rsid w:val="0007574B"/>
    <w:rsid w:val="0007577A"/>
    <w:rsid w:val="00076D98"/>
    <w:rsid w:val="0008194A"/>
    <w:rsid w:val="00081D79"/>
    <w:rsid w:val="0008220D"/>
    <w:rsid w:val="000822FB"/>
    <w:rsid w:val="000849AC"/>
    <w:rsid w:val="00084F3A"/>
    <w:rsid w:val="0008546D"/>
    <w:rsid w:val="0008599C"/>
    <w:rsid w:val="00086DB2"/>
    <w:rsid w:val="0008758B"/>
    <w:rsid w:val="00087676"/>
    <w:rsid w:val="000908E9"/>
    <w:rsid w:val="00091192"/>
    <w:rsid w:val="00091D9C"/>
    <w:rsid w:val="00091E4A"/>
    <w:rsid w:val="0009204F"/>
    <w:rsid w:val="00093603"/>
    <w:rsid w:val="000945CF"/>
    <w:rsid w:val="000946C3"/>
    <w:rsid w:val="00094F08"/>
    <w:rsid w:val="00096319"/>
    <w:rsid w:val="000967CF"/>
    <w:rsid w:val="00096B8C"/>
    <w:rsid w:val="000A0341"/>
    <w:rsid w:val="000A0A36"/>
    <w:rsid w:val="000A0F0F"/>
    <w:rsid w:val="000A1AB1"/>
    <w:rsid w:val="000A2684"/>
    <w:rsid w:val="000A2D00"/>
    <w:rsid w:val="000A2E39"/>
    <w:rsid w:val="000A387A"/>
    <w:rsid w:val="000A3A26"/>
    <w:rsid w:val="000A3F06"/>
    <w:rsid w:val="000A3F9D"/>
    <w:rsid w:val="000A59B0"/>
    <w:rsid w:val="000A6567"/>
    <w:rsid w:val="000A712D"/>
    <w:rsid w:val="000A79B6"/>
    <w:rsid w:val="000B109C"/>
    <w:rsid w:val="000B18FA"/>
    <w:rsid w:val="000B24AF"/>
    <w:rsid w:val="000B29FD"/>
    <w:rsid w:val="000B3B6A"/>
    <w:rsid w:val="000B3BB7"/>
    <w:rsid w:val="000B4621"/>
    <w:rsid w:val="000B66F7"/>
    <w:rsid w:val="000B671A"/>
    <w:rsid w:val="000B6EF0"/>
    <w:rsid w:val="000B6FE1"/>
    <w:rsid w:val="000B78C9"/>
    <w:rsid w:val="000B7B8F"/>
    <w:rsid w:val="000C028C"/>
    <w:rsid w:val="000C05FC"/>
    <w:rsid w:val="000C0C92"/>
    <w:rsid w:val="000C122F"/>
    <w:rsid w:val="000C1B80"/>
    <w:rsid w:val="000C1F85"/>
    <w:rsid w:val="000C21DF"/>
    <w:rsid w:val="000C269B"/>
    <w:rsid w:val="000C2A9A"/>
    <w:rsid w:val="000C2CFA"/>
    <w:rsid w:val="000C3407"/>
    <w:rsid w:val="000C3FB9"/>
    <w:rsid w:val="000C40C9"/>
    <w:rsid w:val="000C464D"/>
    <w:rsid w:val="000C6E61"/>
    <w:rsid w:val="000C7502"/>
    <w:rsid w:val="000C774C"/>
    <w:rsid w:val="000D01F3"/>
    <w:rsid w:val="000D07D8"/>
    <w:rsid w:val="000D08DA"/>
    <w:rsid w:val="000D14E1"/>
    <w:rsid w:val="000D1B77"/>
    <w:rsid w:val="000D274C"/>
    <w:rsid w:val="000D2F81"/>
    <w:rsid w:val="000D3577"/>
    <w:rsid w:val="000D4AFD"/>
    <w:rsid w:val="000D4E42"/>
    <w:rsid w:val="000D5DA5"/>
    <w:rsid w:val="000D6580"/>
    <w:rsid w:val="000D6B6A"/>
    <w:rsid w:val="000D731A"/>
    <w:rsid w:val="000D7346"/>
    <w:rsid w:val="000E075F"/>
    <w:rsid w:val="000E0999"/>
    <w:rsid w:val="000E0BB2"/>
    <w:rsid w:val="000E3704"/>
    <w:rsid w:val="000E38ED"/>
    <w:rsid w:val="000E3AF7"/>
    <w:rsid w:val="000E3DDB"/>
    <w:rsid w:val="000E4323"/>
    <w:rsid w:val="000E4655"/>
    <w:rsid w:val="000E4CD3"/>
    <w:rsid w:val="000E57D9"/>
    <w:rsid w:val="000E6ED2"/>
    <w:rsid w:val="000E71C4"/>
    <w:rsid w:val="000E7C59"/>
    <w:rsid w:val="000F03B3"/>
    <w:rsid w:val="000F17A8"/>
    <w:rsid w:val="000F3094"/>
    <w:rsid w:val="000F38C3"/>
    <w:rsid w:val="000F3D59"/>
    <w:rsid w:val="000F4DA4"/>
    <w:rsid w:val="000F50C4"/>
    <w:rsid w:val="000F5264"/>
    <w:rsid w:val="000F52E2"/>
    <w:rsid w:val="000F53C8"/>
    <w:rsid w:val="000F548B"/>
    <w:rsid w:val="000F56CD"/>
    <w:rsid w:val="000F6267"/>
    <w:rsid w:val="000F627B"/>
    <w:rsid w:val="000F75CB"/>
    <w:rsid w:val="000F7A1D"/>
    <w:rsid w:val="000F7D74"/>
    <w:rsid w:val="001004C3"/>
    <w:rsid w:val="001011A2"/>
    <w:rsid w:val="0010287E"/>
    <w:rsid w:val="001035C1"/>
    <w:rsid w:val="0010376A"/>
    <w:rsid w:val="0010407C"/>
    <w:rsid w:val="00105698"/>
    <w:rsid w:val="001068E5"/>
    <w:rsid w:val="00106CB7"/>
    <w:rsid w:val="00106F71"/>
    <w:rsid w:val="001105D7"/>
    <w:rsid w:val="00113BF8"/>
    <w:rsid w:val="001140F9"/>
    <w:rsid w:val="001141C4"/>
    <w:rsid w:val="0011572D"/>
    <w:rsid w:val="00117A95"/>
    <w:rsid w:val="00120B06"/>
    <w:rsid w:val="00120F9C"/>
    <w:rsid w:val="00120FB8"/>
    <w:rsid w:val="00121519"/>
    <w:rsid w:val="0012306B"/>
    <w:rsid w:val="00124037"/>
    <w:rsid w:val="001244B5"/>
    <w:rsid w:val="00124647"/>
    <w:rsid w:val="00124D08"/>
    <w:rsid w:val="00124DD8"/>
    <w:rsid w:val="001268B7"/>
    <w:rsid w:val="00127154"/>
    <w:rsid w:val="00127B22"/>
    <w:rsid w:val="00131500"/>
    <w:rsid w:val="00132ACE"/>
    <w:rsid w:val="00132E02"/>
    <w:rsid w:val="00133DB8"/>
    <w:rsid w:val="00134076"/>
    <w:rsid w:val="00136AB3"/>
    <w:rsid w:val="001372A7"/>
    <w:rsid w:val="00137C7F"/>
    <w:rsid w:val="00140F77"/>
    <w:rsid w:val="001421A7"/>
    <w:rsid w:val="00142F8F"/>
    <w:rsid w:val="001430C8"/>
    <w:rsid w:val="00143741"/>
    <w:rsid w:val="001438CA"/>
    <w:rsid w:val="0014611B"/>
    <w:rsid w:val="00146735"/>
    <w:rsid w:val="00146DEB"/>
    <w:rsid w:val="0014719C"/>
    <w:rsid w:val="00150482"/>
    <w:rsid w:val="00150B86"/>
    <w:rsid w:val="0015139F"/>
    <w:rsid w:val="001515E2"/>
    <w:rsid w:val="001517A9"/>
    <w:rsid w:val="0015281C"/>
    <w:rsid w:val="00154916"/>
    <w:rsid w:val="00154E05"/>
    <w:rsid w:val="00155BFC"/>
    <w:rsid w:val="00157324"/>
    <w:rsid w:val="00160184"/>
    <w:rsid w:val="00160CFB"/>
    <w:rsid w:val="001618EC"/>
    <w:rsid w:val="00161CD5"/>
    <w:rsid w:val="001635FD"/>
    <w:rsid w:val="0016407E"/>
    <w:rsid w:val="001642BF"/>
    <w:rsid w:val="00164319"/>
    <w:rsid w:val="00165038"/>
    <w:rsid w:val="00165A3D"/>
    <w:rsid w:val="00165EFE"/>
    <w:rsid w:val="001679DF"/>
    <w:rsid w:val="00170F2A"/>
    <w:rsid w:val="0017293E"/>
    <w:rsid w:val="00173BB2"/>
    <w:rsid w:val="00173E7B"/>
    <w:rsid w:val="001741EB"/>
    <w:rsid w:val="00174317"/>
    <w:rsid w:val="0017488E"/>
    <w:rsid w:val="00177CE6"/>
    <w:rsid w:val="00181CCB"/>
    <w:rsid w:val="001829E1"/>
    <w:rsid w:val="001832F3"/>
    <w:rsid w:val="0018337A"/>
    <w:rsid w:val="00183BEB"/>
    <w:rsid w:val="00183C48"/>
    <w:rsid w:val="001844CA"/>
    <w:rsid w:val="0018623E"/>
    <w:rsid w:val="0019024F"/>
    <w:rsid w:val="00191239"/>
    <w:rsid w:val="0019229D"/>
    <w:rsid w:val="0019275B"/>
    <w:rsid w:val="0019312A"/>
    <w:rsid w:val="001937FC"/>
    <w:rsid w:val="00194F09"/>
    <w:rsid w:val="0019550E"/>
    <w:rsid w:val="001968F8"/>
    <w:rsid w:val="001975FC"/>
    <w:rsid w:val="001A02E4"/>
    <w:rsid w:val="001A08D3"/>
    <w:rsid w:val="001A093E"/>
    <w:rsid w:val="001A165B"/>
    <w:rsid w:val="001A1D87"/>
    <w:rsid w:val="001A225B"/>
    <w:rsid w:val="001A23A0"/>
    <w:rsid w:val="001A285A"/>
    <w:rsid w:val="001A2EB1"/>
    <w:rsid w:val="001A358B"/>
    <w:rsid w:val="001A50CA"/>
    <w:rsid w:val="001A5C4D"/>
    <w:rsid w:val="001A6993"/>
    <w:rsid w:val="001A6CBC"/>
    <w:rsid w:val="001A6F60"/>
    <w:rsid w:val="001A7478"/>
    <w:rsid w:val="001B03DC"/>
    <w:rsid w:val="001B0DAB"/>
    <w:rsid w:val="001B1BE5"/>
    <w:rsid w:val="001B27D3"/>
    <w:rsid w:val="001B4562"/>
    <w:rsid w:val="001B5C26"/>
    <w:rsid w:val="001B64F2"/>
    <w:rsid w:val="001B655E"/>
    <w:rsid w:val="001B72B8"/>
    <w:rsid w:val="001C0D49"/>
    <w:rsid w:val="001C19CF"/>
    <w:rsid w:val="001C19E9"/>
    <w:rsid w:val="001C1E13"/>
    <w:rsid w:val="001C24B9"/>
    <w:rsid w:val="001C24C5"/>
    <w:rsid w:val="001C2804"/>
    <w:rsid w:val="001C2B8C"/>
    <w:rsid w:val="001C4BB0"/>
    <w:rsid w:val="001C4D8E"/>
    <w:rsid w:val="001C53E9"/>
    <w:rsid w:val="001C6178"/>
    <w:rsid w:val="001C65B7"/>
    <w:rsid w:val="001C6945"/>
    <w:rsid w:val="001C7269"/>
    <w:rsid w:val="001C760E"/>
    <w:rsid w:val="001D14BF"/>
    <w:rsid w:val="001D6052"/>
    <w:rsid w:val="001D703A"/>
    <w:rsid w:val="001E3C63"/>
    <w:rsid w:val="001E3D4F"/>
    <w:rsid w:val="001E3F65"/>
    <w:rsid w:val="001E4D36"/>
    <w:rsid w:val="001E58CE"/>
    <w:rsid w:val="001E5AEA"/>
    <w:rsid w:val="001E6168"/>
    <w:rsid w:val="001E65C6"/>
    <w:rsid w:val="001E7F95"/>
    <w:rsid w:val="001F06C7"/>
    <w:rsid w:val="001F601F"/>
    <w:rsid w:val="001F6856"/>
    <w:rsid w:val="001F6BA0"/>
    <w:rsid w:val="001F74A0"/>
    <w:rsid w:val="00200050"/>
    <w:rsid w:val="0020011B"/>
    <w:rsid w:val="002001B6"/>
    <w:rsid w:val="002006FD"/>
    <w:rsid w:val="00200736"/>
    <w:rsid w:val="002020E7"/>
    <w:rsid w:val="0020229C"/>
    <w:rsid w:val="002024CD"/>
    <w:rsid w:val="00202F27"/>
    <w:rsid w:val="002039D0"/>
    <w:rsid w:val="00204A40"/>
    <w:rsid w:val="00204A63"/>
    <w:rsid w:val="00205BBE"/>
    <w:rsid w:val="00211CD9"/>
    <w:rsid w:val="002122CE"/>
    <w:rsid w:val="00212856"/>
    <w:rsid w:val="00212FB7"/>
    <w:rsid w:val="0021346B"/>
    <w:rsid w:val="00214A07"/>
    <w:rsid w:val="0021572C"/>
    <w:rsid w:val="00216108"/>
    <w:rsid w:val="00217623"/>
    <w:rsid w:val="00217E21"/>
    <w:rsid w:val="00217E35"/>
    <w:rsid w:val="002218C8"/>
    <w:rsid w:val="00221BBA"/>
    <w:rsid w:val="0022299B"/>
    <w:rsid w:val="00222D9D"/>
    <w:rsid w:val="002232F9"/>
    <w:rsid w:val="0022351C"/>
    <w:rsid w:val="00223975"/>
    <w:rsid w:val="0022698B"/>
    <w:rsid w:val="002272CA"/>
    <w:rsid w:val="00230538"/>
    <w:rsid w:val="002317DE"/>
    <w:rsid w:val="002325C1"/>
    <w:rsid w:val="00233444"/>
    <w:rsid w:val="00234B3F"/>
    <w:rsid w:val="00234CD9"/>
    <w:rsid w:val="002351A2"/>
    <w:rsid w:val="00236359"/>
    <w:rsid w:val="002365FD"/>
    <w:rsid w:val="00236AF2"/>
    <w:rsid w:val="0023709E"/>
    <w:rsid w:val="00240C01"/>
    <w:rsid w:val="00240CEC"/>
    <w:rsid w:val="00240E29"/>
    <w:rsid w:val="00241E78"/>
    <w:rsid w:val="00241F89"/>
    <w:rsid w:val="002426F3"/>
    <w:rsid w:val="00242921"/>
    <w:rsid w:val="002429FD"/>
    <w:rsid w:val="00244FF6"/>
    <w:rsid w:val="00245132"/>
    <w:rsid w:val="0024513C"/>
    <w:rsid w:val="00245819"/>
    <w:rsid w:val="00245846"/>
    <w:rsid w:val="00246984"/>
    <w:rsid w:val="00246E09"/>
    <w:rsid w:val="002473DC"/>
    <w:rsid w:val="00247426"/>
    <w:rsid w:val="002474A5"/>
    <w:rsid w:val="002508B7"/>
    <w:rsid w:val="002510EE"/>
    <w:rsid w:val="00251F44"/>
    <w:rsid w:val="002526B9"/>
    <w:rsid w:val="002528DE"/>
    <w:rsid w:val="00253009"/>
    <w:rsid w:val="002534E5"/>
    <w:rsid w:val="00254411"/>
    <w:rsid w:val="00255DB8"/>
    <w:rsid w:val="0025688C"/>
    <w:rsid w:val="00256F3F"/>
    <w:rsid w:val="00261655"/>
    <w:rsid w:val="00262059"/>
    <w:rsid w:val="002629D4"/>
    <w:rsid w:val="00263050"/>
    <w:rsid w:val="00263C72"/>
    <w:rsid w:val="00266D53"/>
    <w:rsid w:val="00266EED"/>
    <w:rsid w:val="00267A51"/>
    <w:rsid w:val="00267DED"/>
    <w:rsid w:val="00270629"/>
    <w:rsid w:val="00271134"/>
    <w:rsid w:val="00272E67"/>
    <w:rsid w:val="00274557"/>
    <w:rsid w:val="00274B71"/>
    <w:rsid w:val="00275E28"/>
    <w:rsid w:val="00276DD4"/>
    <w:rsid w:val="00280A52"/>
    <w:rsid w:val="00280BE1"/>
    <w:rsid w:val="0028163A"/>
    <w:rsid w:val="002818EA"/>
    <w:rsid w:val="00282022"/>
    <w:rsid w:val="00282FE9"/>
    <w:rsid w:val="002830C8"/>
    <w:rsid w:val="00284322"/>
    <w:rsid w:val="002851C2"/>
    <w:rsid w:val="00285F50"/>
    <w:rsid w:val="00286463"/>
    <w:rsid w:val="00290288"/>
    <w:rsid w:val="0029066C"/>
    <w:rsid w:val="00292649"/>
    <w:rsid w:val="00293938"/>
    <w:rsid w:val="00293C55"/>
    <w:rsid w:val="002941FD"/>
    <w:rsid w:val="00294698"/>
    <w:rsid w:val="002951D0"/>
    <w:rsid w:val="002955A9"/>
    <w:rsid w:val="00295A6D"/>
    <w:rsid w:val="0029687F"/>
    <w:rsid w:val="002A01A4"/>
    <w:rsid w:val="002A0D6B"/>
    <w:rsid w:val="002A28FB"/>
    <w:rsid w:val="002A2AD8"/>
    <w:rsid w:val="002A2C7A"/>
    <w:rsid w:val="002A3445"/>
    <w:rsid w:val="002A43BB"/>
    <w:rsid w:val="002A45CE"/>
    <w:rsid w:val="002A4ED3"/>
    <w:rsid w:val="002A5113"/>
    <w:rsid w:val="002A57B6"/>
    <w:rsid w:val="002A5819"/>
    <w:rsid w:val="002A5FF8"/>
    <w:rsid w:val="002A73F4"/>
    <w:rsid w:val="002A7542"/>
    <w:rsid w:val="002A79B0"/>
    <w:rsid w:val="002A7A4E"/>
    <w:rsid w:val="002B0179"/>
    <w:rsid w:val="002B06E9"/>
    <w:rsid w:val="002B0A37"/>
    <w:rsid w:val="002B131C"/>
    <w:rsid w:val="002B1B12"/>
    <w:rsid w:val="002B2A9B"/>
    <w:rsid w:val="002B2F62"/>
    <w:rsid w:val="002B3EE2"/>
    <w:rsid w:val="002B3F6A"/>
    <w:rsid w:val="002B4A67"/>
    <w:rsid w:val="002B4D4A"/>
    <w:rsid w:val="002B5052"/>
    <w:rsid w:val="002B649F"/>
    <w:rsid w:val="002C1804"/>
    <w:rsid w:val="002C2D87"/>
    <w:rsid w:val="002C3223"/>
    <w:rsid w:val="002C3D59"/>
    <w:rsid w:val="002C3E85"/>
    <w:rsid w:val="002C451D"/>
    <w:rsid w:val="002C46B1"/>
    <w:rsid w:val="002C4770"/>
    <w:rsid w:val="002C4E65"/>
    <w:rsid w:val="002C5628"/>
    <w:rsid w:val="002C5D60"/>
    <w:rsid w:val="002C6306"/>
    <w:rsid w:val="002C644A"/>
    <w:rsid w:val="002C7A94"/>
    <w:rsid w:val="002D017A"/>
    <w:rsid w:val="002D090A"/>
    <w:rsid w:val="002D18D5"/>
    <w:rsid w:val="002D2095"/>
    <w:rsid w:val="002D2A64"/>
    <w:rsid w:val="002D4320"/>
    <w:rsid w:val="002D5B0C"/>
    <w:rsid w:val="002D7D6A"/>
    <w:rsid w:val="002D7E83"/>
    <w:rsid w:val="002E0627"/>
    <w:rsid w:val="002E20AA"/>
    <w:rsid w:val="002E23C9"/>
    <w:rsid w:val="002E2488"/>
    <w:rsid w:val="002E51EA"/>
    <w:rsid w:val="002E5261"/>
    <w:rsid w:val="002E552C"/>
    <w:rsid w:val="002E5D12"/>
    <w:rsid w:val="002E6AA9"/>
    <w:rsid w:val="002E6E60"/>
    <w:rsid w:val="002F03AC"/>
    <w:rsid w:val="002F11F4"/>
    <w:rsid w:val="002F1D85"/>
    <w:rsid w:val="002F2145"/>
    <w:rsid w:val="002F36FA"/>
    <w:rsid w:val="002F37E8"/>
    <w:rsid w:val="002F3D90"/>
    <w:rsid w:val="002F4271"/>
    <w:rsid w:val="002F4A16"/>
    <w:rsid w:val="002F4CB4"/>
    <w:rsid w:val="002F51D7"/>
    <w:rsid w:val="002F6E52"/>
    <w:rsid w:val="002F7FD7"/>
    <w:rsid w:val="0030026A"/>
    <w:rsid w:val="003010A8"/>
    <w:rsid w:val="00301755"/>
    <w:rsid w:val="003018F2"/>
    <w:rsid w:val="00301E88"/>
    <w:rsid w:val="00302005"/>
    <w:rsid w:val="00302165"/>
    <w:rsid w:val="00302F09"/>
    <w:rsid w:val="0030361B"/>
    <w:rsid w:val="0030368A"/>
    <w:rsid w:val="00303938"/>
    <w:rsid w:val="00303D91"/>
    <w:rsid w:val="00304CE1"/>
    <w:rsid w:val="0030653C"/>
    <w:rsid w:val="00307602"/>
    <w:rsid w:val="00310C94"/>
    <w:rsid w:val="0031107A"/>
    <w:rsid w:val="003113F1"/>
    <w:rsid w:val="00312C09"/>
    <w:rsid w:val="00313FB3"/>
    <w:rsid w:val="00316982"/>
    <w:rsid w:val="00316AFC"/>
    <w:rsid w:val="003201BB"/>
    <w:rsid w:val="003215A7"/>
    <w:rsid w:val="00323603"/>
    <w:rsid w:val="00323CF6"/>
    <w:rsid w:val="00324902"/>
    <w:rsid w:val="00324BF9"/>
    <w:rsid w:val="00325E13"/>
    <w:rsid w:val="003273C4"/>
    <w:rsid w:val="00330614"/>
    <w:rsid w:val="0033194D"/>
    <w:rsid w:val="003327A0"/>
    <w:rsid w:val="00332C48"/>
    <w:rsid w:val="003339F9"/>
    <w:rsid w:val="00333AB5"/>
    <w:rsid w:val="0033452D"/>
    <w:rsid w:val="003350B7"/>
    <w:rsid w:val="0033591B"/>
    <w:rsid w:val="0033716D"/>
    <w:rsid w:val="0033741C"/>
    <w:rsid w:val="00337B05"/>
    <w:rsid w:val="0034074B"/>
    <w:rsid w:val="00340E78"/>
    <w:rsid w:val="003418E6"/>
    <w:rsid w:val="00341D03"/>
    <w:rsid w:val="00342F30"/>
    <w:rsid w:val="0034328D"/>
    <w:rsid w:val="00343779"/>
    <w:rsid w:val="00343844"/>
    <w:rsid w:val="003450CD"/>
    <w:rsid w:val="0034540A"/>
    <w:rsid w:val="00345979"/>
    <w:rsid w:val="00345FD2"/>
    <w:rsid w:val="003462FC"/>
    <w:rsid w:val="00347C75"/>
    <w:rsid w:val="0035079B"/>
    <w:rsid w:val="0035183D"/>
    <w:rsid w:val="003519B3"/>
    <w:rsid w:val="0035293A"/>
    <w:rsid w:val="00352A54"/>
    <w:rsid w:val="0035462E"/>
    <w:rsid w:val="00354EC4"/>
    <w:rsid w:val="003552AB"/>
    <w:rsid w:val="003555AB"/>
    <w:rsid w:val="00355B01"/>
    <w:rsid w:val="00355D83"/>
    <w:rsid w:val="0035667E"/>
    <w:rsid w:val="00356F5C"/>
    <w:rsid w:val="00356F9D"/>
    <w:rsid w:val="003571B0"/>
    <w:rsid w:val="00357291"/>
    <w:rsid w:val="003607C5"/>
    <w:rsid w:val="00360BEE"/>
    <w:rsid w:val="00360F90"/>
    <w:rsid w:val="003610EB"/>
    <w:rsid w:val="00361669"/>
    <w:rsid w:val="00361C32"/>
    <w:rsid w:val="00362650"/>
    <w:rsid w:val="003626D3"/>
    <w:rsid w:val="003629AC"/>
    <w:rsid w:val="00362FD2"/>
    <w:rsid w:val="00364029"/>
    <w:rsid w:val="003642F0"/>
    <w:rsid w:val="00364920"/>
    <w:rsid w:val="00364BC7"/>
    <w:rsid w:val="00364D43"/>
    <w:rsid w:val="003658C6"/>
    <w:rsid w:val="00365E7E"/>
    <w:rsid w:val="00366E01"/>
    <w:rsid w:val="00367096"/>
    <w:rsid w:val="003705A1"/>
    <w:rsid w:val="00370FC4"/>
    <w:rsid w:val="00372A11"/>
    <w:rsid w:val="00373301"/>
    <w:rsid w:val="00373F28"/>
    <w:rsid w:val="0037402F"/>
    <w:rsid w:val="00376966"/>
    <w:rsid w:val="00377632"/>
    <w:rsid w:val="00377852"/>
    <w:rsid w:val="003778C7"/>
    <w:rsid w:val="00377FD2"/>
    <w:rsid w:val="00380A94"/>
    <w:rsid w:val="00380AE2"/>
    <w:rsid w:val="00381CA8"/>
    <w:rsid w:val="0038200D"/>
    <w:rsid w:val="00382456"/>
    <w:rsid w:val="00382895"/>
    <w:rsid w:val="0038320A"/>
    <w:rsid w:val="00383B1D"/>
    <w:rsid w:val="00384ACD"/>
    <w:rsid w:val="00384C47"/>
    <w:rsid w:val="00385A09"/>
    <w:rsid w:val="00385D83"/>
    <w:rsid w:val="00386589"/>
    <w:rsid w:val="00386C7C"/>
    <w:rsid w:val="00387183"/>
    <w:rsid w:val="00387A0F"/>
    <w:rsid w:val="00390908"/>
    <w:rsid w:val="003911B3"/>
    <w:rsid w:val="003912D7"/>
    <w:rsid w:val="00392122"/>
    <w:rsid w:val="0039269D"/>
    <w:rsid w:val="00392FCD"/>
    <w:rsid w:val="00393023"/>
    <w:rsid w:val="0039387C"/>
    <w:rsid w:val="00393B06"/>
    <w:rsid w:val="00393DAE"/>
    <w:rsid w:val="003942AF"/>
    <w:rsid w:val="00394316"/>
    <w:rsid w:val="0039507B"/>
    <w:rsid w:val="00395E78"/>
    <w:rsid w:val="00396529"/>
    <w:rsid w:val="00396864"/>
    <w:rsid w:val="00396CD1"/>
    <w:rsid w:val="00396D18"/>
    <w:rsid w:val="00397B20"/>
    <w:rsid w:val="00397BFE"/>
    <w:rsid w:val="003A003D"/>
    <w:rsid w:val="003A0DA8"/>
    <w:rsid w:val="003A1F85"/>
    <w:rsid w:val="003A29B7"/>
    <w:rsid w:val="003A425A"/>
    <w:rsid w:val="003A5491"/>
    <w:rsid w:val="003A7F86"/>
    <w:rsid w:val="003B23C3"/>
    <w:rsid w:val="003B28A5"/>
    <w:rsid w:val="003B370C"/>
    <w:rsid w:val="003B3815"/>
    <w:rsid w:val="003B3AAF"/>
    <w:rsid w:val="003B3AF9"/>
    <w:rsid w:val="003B4894"/>
    <w:rsid w:val="003B56D8"/>
    <w:rsid w:val="003B57A9"/>
    <w:rsid w:val="003B5F78"/>
    <w:rsid w:val="003B76BC"/>
    <w:rsid w:val="003B790A"/>
    <w:rsid w:val="003C11BF"/>
    <w:rsid w:val="003C18BF"/>
    <w:rsid w:val="003C23AF"/>
    <w:rsid w:val="003C2B4C"/>
    <w:rsid w:val="003C2BD2"/>
    <w:rsid w:val="003C337A"/>
    <w:rsid w:val="003C3E76"/>
    <w:rsid w:val="003C3F0A"/>
    <w:rsid w:val="003C441D"/>
    <w:rsid w:val="003C4D88"/>
    <w:rsid w:val="003C51A6"/>
    <w:rsid w:val="003C5A6D"/>
    <w:rsid w:val="003C7131"/>
    <w:rsid w:val="003D2055"/>
    <w:rsid w:val="003D2710"/>
    <w:rsid w:val="003D2A51"/>
    <w:rsid w:val="003D2B92"/>
    <w:rsid w:val="003D2D79"/>
    <w:rsid w:val="003D33A2"/>
    <w:rsid w:val="003D391D"/>
    <w:rsid w:val="003D4985"/>
    <w:rsid w:val="003D6D76"/>
    <w:rsid w:val="003D74CD"/>
    <w:rsid w:val="003E0363"/>
    <w:rsid w:val="003E03B1"/>
    <w:rsid w:val="003E2F03"/>
    <w:rsid w:val="003E4346"/>
    <w:rsid w:val="003E4726"/>
    <w:rsid w:val="003E54C2"/>
    <w:rsid w:val="003E6D56"/>
    <w:rsid w:val="003E783E"/>
    <w:rsid w:val="003E7A05"/>
    <w:rsid w:val="003F007F"/>
    <w:rsid w:val="003F0B5B"/>
    <w:rsid w:val="003F0C01"/>
    <w:rsid w:val="003F1183"/>
    <w:rsid w:val="003F12C3"/>
    <w:rsid w:val="003F12E0"/>
    <w:rsid w:val="003F2D4D"/>
    <w:rsid w:val="003F4593"/>
    <w:rsid w:val="003F4E5D"/>
    <w:rsid w:val="003F759C"/>
    <w:rsid w:val="00402203"/>
    <w:rsid w:val="004031FD"/>
    <w:rsid w:val="00403F00"/>
    <w:rsid w:val="00404197"/>
    <w:rsid w:val="00406196"/>
    <w:rsid w:val="004064EB"/>
    <w:rsid w:val="00407474"/>
    <w:rsid w:val="00407734"/>
    <w:rsid w:val="00407C5F"/>
    <w:rsid w:val="004101EA"/>
    <w:rsid w:val="00413611"/>
    <w:rsid w:val="0041389E"/>
    <w:rsid w:val="00413B1B"/>
    <w:rsid w:val="00414EF0"/>
    <w:rsid w:val="00414EF4"/>
    <w:rsid w:val="004151EB"/>
    <w:rsid w:val="0041641A"/>
    <w:rsid w:val="00416D20"/>
    <w:rsid w:val="00416DF4"/>
    <w:rsid w:val="00417F91"/>
    <w:rsid w:val="00420797"/>
    <w:rsid w:val="00420ADD"/>
    <w:rsid w:val="00420C0C"/>
    <w:rsid w:val="00420CCD"/>
    <w:rsid w:val="004219DA"/>
    <w:rsid w:val="00421C7B"/>
    <w:rsid w:val="00422349"/>
    <w:rsid w:val="00422CF1"/>
    <w:rsid w:val="00423509"/>
    <w:rsid w:val="004243C4"/>
    <w:rsid w:val="00424C6F"/>
    <w:rsid w:val="00426B5C"/>
    <w:rsid w:val="00426C61"/>
    <w:rsid w:val="00426EA3"/>
    <w:rsid w:val="004275A7"/>
    <w:rsid w:val="00427B9D"/>
    <w:rsid w:val="0043089D"/>
    <w:rsid w:val="004312F3"/>
    <w:rsid w:val="0043327B"/>
    <w:rsid w:val="00433863"/>
    <w:rsid w:val="00433B04"/>
    <w:rsid w:val="004354C6"/>
    <w:rsid w:val="00435BCF"/>
    <w:rsid w:val="004368B4"/>
    <w:rsid w:val="00436CE2"/>
    <w:rsid w:val="00437EF2"/>
    <w:rsid w:val="00441B58"/>
    <w:rsid w:val="0044391D"/>
    <w:rsid w:val="00443B36"/>
    <w:rsid w:val="00443FB2"/>
    <w:rsid w:val="00444435"/>
    <w:rsid w:val="0044716C"/>
    <w:rsid w:val="00450595"/>
    <w:rsid w:val="00452C5F"/>
    <w:rsid w:val="00452F25"/>
    <w:rsid w:val="00453DBC"/>
    <w:rsid w:val="00453DC3"/>
    <w:rsid w:val="0045493B"/>
    <w:rsid w:val="004549FA"/>
    <w:rsid w:val="00455246"/>
    <w:rsid w:val="00455809"/>
    <w:rsid w:val="00456721"/>
    <w:rsid w:val="00456B2A"/>
    <w:rsid w:val="00456B4A"/>
    <w:rsid w:val="00456EEF"/>
    <w:rsid w:val="004574DE"/>
    <w:rsid w:val="00457E4A"/>
    <w:rsid w:val="00457FA2"/>
    <w:rsid w:val="00460285"/>
    <w:rsid w:val="004602FC"/>
    <w:rsid w:val="00460AA3"/>
    <w:rsid w:val="00461056"/>
    <w:rsid w:val="0046111F"/>
    <w:rsid w:val="00461CEF"/>
    <w:rsid w:val="004624DE"/>
    <w:rsid w:val="00462F7D"/>
    <w:rsid w:val="00463234"/>
    <w:rsid w:val="00463E4A"/>
    <w:rsid w:val="004647AA"/>
    <w:rsid w:val="0046485C"/>
    <w:rsid w:val="0046662C"/>
    <w:rsid w:val="004666C1"/>
    <w:rsid w:val="00466750"/>
    <w:rsid w:val="00467277"/>
    <w:rsid w:val="00470D89"/>
    <w:rsid w:val="00472716"/>
    <w:rsid w:val="00472958"/>
    <w:rsid w:val="0047355F"/>
    <w:rsid w:val="00473711"/>
    <w:rsid w:val="00473D6D"/>
    <w:rsid w:val="00474B9F"/>
    <w:rsid w:val="00474C90"/>
    <w:rsid w:val="00476DE8"/>
    <w:rsid w:val="00476E2D"/>
    <w:rsid w:val="00476E7E"/>
    <w:rsid w:val="004770F7"/>
    <w:rsid w:val="0047725A"/>
    <w:rsid w:val="00477E4B"/>
    <w:rsid w:val="00480EF2"/>
    <w:rsid w:val="004817B3"/>
    <w:rsid w:val="0048189C"/>
    <w:rsid w:val="00482820"/>
    <w:rsid w:val="00482EB9"/>
    <w:rsid w:val="004853B9"/>
    <w:rsid w:val="00487073"/>
    <w:rsid w:val="00487C92"/>
    <w:rsid w:val="00490508"/>
    <w:rsid w:val="00490CDA"/>
    <w:rsid w:val="00491583"/>
    <w:rsid w:val="004915C8"/>
    <w:rsid w:val="00491687"/>
    <w:rsid w:val="00491AF3"/>
    <w:rsid w:val="004929D0"/>
    <w:rsid w:val="00492C11"/>
    <w:rsid w:val="004930F6"/>
    <w:rsid w:val="0049327B"/>
    <w:rsid w:val="0049465C"/>
    <w:rsid w:val="00496940"/>
    <w:rsid w:val="00496CE0"/>
    <w:rsid w:val="00496E67"/>
    <w:rsid w:val="004A14F0"/>
    <w:rsid w:val="004A177D"/>
    <w:rsid w:val="004A1A48"/>
    <w:rsid w:val="004A1EC1"/>
    <w:rsid w:val="004A2ED8"/>
    <w:rsid w:val="004A3AC8"/>
    <w:rsid w:val="004A4802"/>
    <w:rsid w:val="004A592E"/>
    <w:rsid w:val="004A68D7"/>
    <w:rsid w:val="004A6BDF"/>
    <w:rsid w:val="004B15CB"/>
    <w:rsid w:val="004B16B5"/>
    <w:rsid w:val="004B4145"/>
    <w:rsid w:val="004B4655"/>
    <w:rsid w:val="004B47A3"/>
    <w:rsid w:val="004B491C"/>
    <w:rsid w:val="004B49C5"/>
    <w:rsid w:val="004B4BAE"/>
    <w:rsid w:val="004B4ECD"/>
    <w:rsid w:val="004B5C18"/>
    <w:rsid w:val="004B62FF"/>
    <w:rsid w:val="004C094B"/>
    <w:rsid w:val="004C0A3B"/>
    <w:rsid w:val="004C1170"/>
    <w:rsid w:val="004C1E1A"/>
    <w:rsid w:val="004C2F2C"/>
    <w:rsid w:val="004C35C4"/>
    <w:rsid w:val="004C367E"/>
    <w:rsid w:val="004C3912"/>
    <w:rsid w:val="004C5565"/>
    <w:rsid w:val="004C5F4E"/>
    <w:rsid w:val="004C6CE9"/>
    <w:rsid w:val="004C7D83"/>
    <w:rsid w:val="004D1090"/>
    <w:rsid w:val="004D1836"/>
    <w:rsid w:val="004D1AD4"/>
    <w:rsid w:val="004D2D49"/>
    <w:rsid w:val="004D40CB"/>
    <w:rsid w:val="004D68B8"/>
    <w:rsid w:val="004D7E8A"/>
    <w:rsid w:val="004E055A"/>
    <w:rsid w:val="004E06C9"/>
    <w:rsid w:val="004E0DA8"/>
    <w:rsid w:val="004E4001"/>
    <w:rsid w:val="004E5169"/>
    <w:rsid w:val="004E5D99"/>
    <w:rsid w:val="004E5F0B"/>
    <w:rsid w:val="004E62B3"/>
    <w:rsid w:val="004E6A4F"/>
    <w:rsid w:val="004E715E"/>
    <w:rsid w:val="004E7C02"/>
    <w:rsid w:val="004F025D"/>
    <w:rsid w:val="004F17BD"/>
    <w:rsid w:val="004F1916"/>
    <w:rsid w:val="004F206F"/>
    <w:rsid w:val="004F21FC"/>
    <w:rsid w:val="004F2C24"/>
    <w:rsid w:val="004F2FD9"/>
    <w:rsid w:val="004F346E"/>
    <w:rsid w:val="004F38FD"/>
    <w:rsid w:val="004F3E80"/>
    <w:rsid w:val="004F4360"/>
    <w:rsid w:val="004F4F76"/>
    <w:rsid w:val="004F5959"/>
    <w:rsid w:val="004F7310"/>
    <w:rsid w:val="004F760F"/>
    <w:rsid w:val="004F7E99"/>
    <w:rsid w:val="0050094F"/>
    <w:rsid w:val="00501085"/>
    <w:rsid w:val="0050206C"/>
    <w:rsid w:val="005020D6"/>
    <w:rsid w:val="00502EF8"/>
    <w:rsid w:val="005045A9"/>
    <w:rsid w:val="00504FCC"/>
    <w:rsid w:val="005069ED"/>
    <w:rsid w:val="00507522"/>
    <w:rsid w:val="005104BF"/>
    <w:rsid w:val="00510657"/>
    <w:rsid w:val="00512E12"/>
    <w:rsid w:val="005133F0"/>
    <w:rsid w:val="00515003"/>
    <w:rsid w:val="00515180"/>
    <w:rsid w:val="005156E7"/>
    <w:rsid w:val="00515ADC"/>
    <w:rsid w:val="00516D9A"/>
    <w:rsid w:val="00516F8C"/>
    <w:rsid w:val="00517A98"/>
    <w:rsid w:val="00521948"/>
    <w:rsid w:val="00521AE4"/>
    <w:rsid w:val="00522174"/>
    <w:rsid w:val="00522952"/>
    <w:rsid w:val="00522DED"/>
    <w:rsid w:val="005231E5"/>
    <w:rsid w:val="00523884"/>
    <w:rsid w:val="00524442"/>
    <w:rsid w:val="005252D0"/>
    <w:rsid w:val="00525322"/>
    <w:rsid w:val="00526235"/>
    <w:rsid w:val="005266CF"/>
    <w:rsid w:val="005279C2"/>
    <w:rsid w:val="00527ADD"/>
    <w:rsid w:val="00527D50"/>
    <w:rsid w:val="00530355"/>
    <w:rsid w:val="00530468"/>
    <w:rsid w:val="005304EA"/>
    <w:rsid w:val="0053140E"/>
    <w:rsid w:val="00531E3E"/>
    <w:rsid w:val="00534A76"/>
    <w:rsid w:val="005371AE"/>
    <w:rsid w:val="00540E5E"/>
    <w:rsid w:val="00541025"/>
    <w:rsid w:val="00541C1D"/>
    <w:rsid w:val="00542498"/>
    <w:rsid w:val="00543227"/>
    <w:rsid w:val="00543632"/>
    <w:rsid w:val="00543F6D"/>
    <w:rsid w:val="005443F9"/>
    <w:rsid w:val="005448AC"/>
    <w:rsid w:val="00545B5C"/>
    <w:rsid w:val="00545EF2"/>
    <w:rsid w:val="00546451"/>
    <w:rsid w:val="00546E79"/>
    <w:rsid w:val="0054716A"/>
    <w:rsid w:val="00547616"/>
    <w:rsid w:val="00547F8B"/>
    <w:rsid w:val="00550E53"/>
    <w:rsid w:val="00551836"/>
    <w:rsid w:val="005529EB"/>
    <w:rsid w:val="00552AB4"/>
    <w:rsid w:val="00554CB9"/>
    <w:rsid w:val="0055522B"/>
    <w:rsid w:val="00555F29"/>
    <w:rsid w:val="00556FA1"/>
    <w:rsid w:val="00557519"/>
    <w:rsid w:val="00557BCC"/>
    <w:rsid w:val="005607B8"/>
    <w:rsid w:val="00560848"/>
    <w:rsid w:val="00560E50"/>
    <w:rsid w:val="00562E4F"/>
    <w:rsid w:val="00563640"/>
    <w:rsid w:val="005646D9"/>
    <w:rsid w:val="00564DC4"/>
    <w:rsid w:val="005654E5"/>
    <w:rsid w:val="005658D9"/>
    <w:rsid w:val="00565A5E"/>
    <w:rsid w:val="00565D1D"/>
    <w:rsid w:val="00565DE6"/>
    <w:rsid w:val="00565F8A"/>
    <w:rsid w:val="005709B2"/>
    <w:rsid w:val="005712FE"/>
    <w:rsid w:val="005733E6"/>
    <w:rsid w:val="005736F6"/>
    <w:rsid w:val="005741EF"/>
    <w:rsid w:val="00575422"/>
    <w:rsid w:val="00575D99"/>
    <w:rsid w:val="005762E1"/>
    <w:rsid w:val="00576753"/>
    <w:rsid w:val="00576954"/>
    <w:rsid w:val="005769A5"/>
    <w:rsid w:val="005774EA"/>
    <w:rsid w:val="005809B4"/>
    <w:rsid w:val="00582A48"/>
    <w:rsid w:val="005831C3"/>
    <w:rsid w:val="005838CB"/>
    <w:rsid w:val="00584C2B"/>
    <w:rsid w:val="00585076"/>
    <w:rsid w:val="0058507D"/>
    <w:rsid w:val="00585C8F"/>
    <w:rsid w:val="00585D4B"/>
    <w:rsid w:val="00585DB8"/>
    <w:rsid w:val="00586EBF"/>
    <w:rsid w:val="00590309"/>
    <w:rsid w:val="0059031E"/>
    <w:rsid w:val="005911EB"/>
    <w:rsid w:val="00591910"/>
    <w:rsid w:val="00592138"/>
    <w:rsid w:val="005924E0"/>
    <w:rsid w:val="00592AC3"/>
    <w:rsid w:val="00595548"/>
    <w:rsid w:val="00595E9D"/>
    <w:rsid w:val="005964DD"/>
    <w:rsid w:val="00596A65"/>
    <w:rsid w:val="0059752F"/>
    <w:rsid w:val="005A05A9"/>
    <w:rsid w:val="005A101B"/>
    <w:rsid w:val="005A10F5"/>
    <w:rsid w:val="005A25A6"/>
    <w:rsid w:val="005A4B91"/>
    <w:rsid w:val="005A4C40"/>
    <w:rsid w:val="005A56AF"/>
    <w:rsid w:val="005A5BF4"/>
    <w:rsid w:val="005A6034"/>
    <w:rsid w:val="005A62AF"/>
    <w:rsid w:val="005A6309"/>
    <w:rsid w:val="005A6944"/>
    <w:rsid w:val="005A72E0"/>
    <w:rsid w:val="005B09FE"/>
    <w:rsid w:val="005B0FCB"/>
    <w:rsid w:val="005B1AB4"/>
    <w:rsid w:val="005B20E7"/>
    <w:rsid w:val="005B2114"/>
    <w:rsid w:val="005B2841"/>
    <w:rsid w:val="005B3A55"/>
    <w:rsid w:val="005B3B81"/>
    <w:rsid w:val="005B446F"/>
    <w:rsid w:val="005B4683"/>
    <w:rsid w:val="005B5BDB"/>
    <w:rsid w:val="005B6617"/>
    <w:rsid w:val="005B6A25"/>
    <w:rsid w:val="005B7317"/>
    <w:rsid w:val="005B7DFD"/>
    <w:rsid w:val="005C0817"/>
    <w:rsid w:val="005C09BB"/>
    <w:rsid w:val="005C17EE"/>
    <w:rsid w:val="005C3CCC"/>
    <w:rsid w:val="005C5739"/>
    <w:rsid w:val="005C5B9D"/>
    <w:rsid w:val="005C5D7E"/>
    <w:rsid w:val="005C6108"/>
    <w:rsid w:val="005C7AC1"/>
    <w:rsid w:val="005D076E"/>
    <w:rsid w:val="005D0B43"/>
    <w:rsid w:val="005D2387"/>
    <w:rsid w:val="005D2AAE"/>
    <w:rsid w:val="005D6632"/>
    <w:rsid w:val="005D77DC"/>
    <w:rsid w:val="005D79D0"/>
    <w:rsid w:val="005E0336"/>
    <w:rsid w:val="005E09F5"/>
    <w:rsid w:val="005E1463"/>
    <w:rsid w:val="005E29DF"/>
    <w:rsid w:val="005E3DAB"/>
    <w:rsid w:val="005E3FBA"/>
    <w:rsid w:val="005E4EFD"/>
    <w:rsid w:val="005E5E37"/>
    <w:rsid w:val="005E5EDC"/>
    <w:rsid w:val="005E7F4F"/>
    <w:rsid w:val="005F114B"/>
    <w:rsid w:val="005F32E4"/>
    <w:rsid w:val="005F4DB7"/>
    <w:rsid w:val="005F5449"/>
    <w:rsid w:val="005F559C"/>
    <w:rsid w:val="005F5FF1"/>
    <w:rsid w:val="005F60E8"/>
    <w:rsid w:val="005F65E3"/>
    <w:rsid w:val="005F78A2"/>
    <w:rsid w:val="005F7F46"/>
    <w:rsid w:val="0060043E"/>
    <w:rsid w:val="00600DA3"/>
    <w:rsid w:val="0060133B"/>
    <w:rsid w:val="00601F32"/>
    <w:rsid w:val="00601FBC"/>
    <w:rsid w:val="006035C4"/>
    <w:rsid w:val="00603E52"/>
    <w:rsid w:val="006044DC"/>
    <w:rsid w:val="00605FD0"/>
    <w:rsid w:val="00606573"/>
    <w:rsid w:val="00606E16"/>
    <w:rsid w:val="0061021D"/>
    <w:rsid w:val="00610C01"/>
    <w:rsid w:val="00611429"/>
    <w:rsid w:val="00612464"/>
    <w:rsid w:val="006126BB"/>
    <w:rsid w:val="00612A50"/>
    <w:rsid w:val="00612CBF"/>
    <w:rsid w:val="00615F34"/>
    <w:rsid w:val="006160FA"/>
    <w:rsid w:val="0061641F"/>
    <w:rsid w:val="0061657A"/>
    <w:rsid w:val="00616798"/>
    <w:rsid w:val="00616F73"/>
    <w:rsid w:val="00620723"/>
    <w:rsid w:val="00620E12"/>
    <w:rsid w:val="00621C29"/>
    <w:rsid w:val="0062220B"/>
    <w:rsid w:val="00622C18"/>
    <w:rsid w:val="0062310B"/>
    <w:rsid w:val="0062386F"/>
    <w:rsid w:val="0062466E"/>
    <w:rsid w:val="00627A63"/>
    <w:rsid w:val="00630B8C"/>
    <w:rsid w:val="00631559"/>
    <w:rsid w:val="006327B9"/>
    <w:rsid w:val="00634016"/>
    <w:rsid w:val="00635F07"/>
    <w:rsid w:val="0063690B"/>
    <w:rsid w:val="00636DEE"/>
    <w:rsid w:val="00637080"/>
    <w:rsid w:val="006405B5"/>
    <w:rsid w:val="00644312"/>
    <w:rsid w:val="00644A7C"/>
    <w:rsid w:val="00645B53"/>
    <w:rsid w:val="006464C1"/>
    <w:rsid w:val="00646EA3"/>
    <w:rsid w:val="00647429"/>
    <w:rsid w:val="00647542"/>
    <w:rsid w:val="00650A34"/>
    <w:rsid w:val="00651149"/>
    <w:rsid w:val="006518F6"/>
    <w:rsid w:val="00651D00"/>
    <w:rsid w:val="00652CE4"/>
    <w:rsid w:val="0065325E"/>
    <w:rsid w:val="00653313"/>
    <w:rsid w:val="00653612"/>
    <w:rsid w:val="00653850"/>
    <w:rsid w:val="006538C4"/>
    <w:rsid w:val="00654801"/>
    <w:rsid w:val="00654EED"/>
    <w:rsid w:val="00657EAD"/>
    <w:rsid w:val="006607C3"/>
    <w:rsid w:val="006608B9"/>
    <w:rsid w:val="00661E12"/>
    <w:rsid w:val="00663741"/>
    <w:rsid w:val="006647CF"/>
    <w:rsid w:val="00664DEF"/>
    <w:rsid w:val="00664F23"/>
    <w:rsid w:val="006655D3"/>
    <w:rsid w:val="006658C5"/>
    <w:rsid w:val="00665D2D"/>
    <w:rsid w:val="00665D47"/>
    <w:rsid w:val="0066619B"/>
    <w:rsid w:val="0066623F"/>
    <w:rsid w:val="00666346"/>
    <w:rsid w:val="00666BDD"/>
    <w:rsid w:val="00666FC5"/>
    <w:rsid w:val="00667A92"/>
    <w:rsid w:val="00667E58"/>
    <w:rsid w:val="006700CF"/>
    <w:rsid w:val="00670459"/>
    <w:rsid w:val="0067086F"/>
    <w:rsid w:val="00672309"/>
    <w:rsid w:val="0067255B"/>
    <w:rsid w:val="006732B8"/>
    <w:rsid w:val="00675699"/>
    <w:rsid w:val="00676259"/>
    <w:rsid w:val="0067659C"/>
    <w:rsid w:val="0067755E"/>
    <w:rsid w:val="00677622"/>
    <w:rsid w:val="006804AB"/>
    <w:rsid w:val="00681F79"/>
    <w:rsid w:val="00681FCB"/>
    <w:rsid w:val="006825EB"/>
    <w:rsid w:val="006826D2"/>
    <w:rsid w:val="00682852"/>
    <w:rsid w:val="006828F3"/>
    <w:rsid w:val="00684935"/>
    <w:rsid w:val="0068590B"/>
    <w:rsid w:val="006903AD"/>
    <w:rsid w:val="00690BCA"/>
    <w:rsid w:val="0069119C"/>
    <w:rsid w:val="00691E07"/>
    <w:rsid w:val="00693FB7"/>
    <w:rsid w:val="00694050"/>
    <w:rsid w:val="00695890"/>
    <w:rsid w:val="006958A5"/>
    <w:rsid w:val="00695CF5"/>
    <w:rsid w:val="00696081"/>
    <w:rsid w:val="006972E8"/>
    <w:rsid w:val="00697335"/>
    <w:rsid w:val="006A1863"/>
    <w:rsid w:val="006A511B"/>
    <w:rsid w:val="006A5134"/>
    <w:rsid w:val="006A594D"/>
    <w:rsid w:val="006A62D2"/>
    <w:rsid w:val="006B036C"/>
    <w:rsid w:val="006B03D3"/>
    <w:rsid w:val="006B0D64"/>
    <w:rsid w:val="006B34A9"/>
    <w:rsid w:val="006B34D6"/>
    <w:rsid w:val="006B34F6"/>
    <w:rsid w:val="006B3702"/>
    <w:rsid w:val="006B3E8A"/>
    <w:rsid w:val="006B4036"/>
    <w:rsid w:val="006B4CB0"/>
    <w:rsid w:val="006B4F55"/>
    <w:rsid w:val="006B57C4"/>
    <w:rsid w:val="006B5A71"/>
    <w:rsid w:val="006B61D9"/>
    <w:rsid w:val="006C03A6"/>
    <w:rsid w:val="006C04C3"/>
    <w:rsid w:val="006C0B41"/>
    <w:rsid w:val="006C0FAE"/>
    <w:rsid w:val="006C11E3"/>
    <w:rsid w:val="006C1595"/>
    <w:rsid w:val="006C1CBB"/>
    <w:rsid w:val="006C3016"/>
    <w:rsid w:val="006C3C60"/>
    <w:rsid w:val="006C4992"/>
    <w:rsid w:val="006C5020"/>
    <w:rsid w:val="006C5260"/>
    <w:rsid w:val="006C577B"/>
    <w:rsid w:val="006C5996"/>
    <w:rsid w:val="006C6D65"/>
    <w:rsid w:val="006C7649"/>
    <w:rsid w:val="006C798D"/>
    <w:rsid w:val="006D01F5"/>
    <w:rsid w:val="006D0B23"/>
    <w:rsid w:val="006D29A1"/>
    <w:rsid w:val="006D2BE6"/>
    <w:rsid w:val="006D4B0B"/>
    <w:rsid w:val="006D4B78"/>
    <w:rsid w:val="006D5725"/>
    <w:rsid w:val="006D5D0E"/>
    <w:rsid w:val="006D6BE0"/>
    <w:rsid w:val="006D71AE"/>
    <w:rsid w:val="006D734C"/>
    <w:rsid w:val="006D7440"/>
    <w:rsid w:val="006E03E5"/>
    <w:rsid w:val="006E05A6"/>
    <w:rsid w:val="006E1118"/>
    <w:rsid w:val="006E1B22"/>
    <w:rsid w:val="006E1BB3"/>
    <w:rsid w:val="006E1CBF"/>
    <w:rsid w:val="006E256A"/>
    <w:rsid w:val="006E3F64"/>
    <w:rsid w:val="006E5729"/>
    <w:rsid w:val="006E5B82"/>
    <w:rsid w:val="006E6A6D"/>
    <w:rsid w:val="006E778B"/>
    <w:rsid w:val="006E7B9C"/>
    <w:rsid w:val="006F30E9"/>
    <w:rsid w:val="006F41A8"/>
    <w:rsid w:val="006F4425"/>
    <w:rsid w:val="006F4508"/>
    <w:rsid w:val="006F48E3"/>
    <w:rsid w:val="006F71C9"/>
    <w:rsid w:val="006F77C1"/>
    <w:rsid w:val="006F7A49"/>
    <w:rsid w:val="007007F8"/>
    <w:rsid w:val="0070159A"/>
    <w:rsid w:val="007015C2"/>
    <w:rsid w:val="007024C1"/>
    <w:rsid w:val="00702CCA"/>
    <w:rsid w:val="0070471A"/>
    <w:rsid w:val="00704FE4"/>
    <w:rsid w:val="00706019"/>
    <w:rsid w:val="0071052B"/>
    <w:rsid w:val="00710F30"/>
    <w:rsid w:val="00711FF9"/>
    <w:rsid w:val="0071259D"/>
    <w:rsid w:val="007136BA"/>
    <w:rsid w:val="00714067"/>
    <w:rsid w:val="0071412F"/>
    <w:rsid w:val="00717750"/>
    <w:rsid w:val="007207D3"/>
    <w:rsid w:val="007211FB"/>
    <w:rsid w:val="007213B1"/>
    <w:rsid w:val="00721C1F"/>
    <w:rsid w:val="00723146"/>
    <w:rsid w:val="00723F57"/>
    <w:rsid w:val="007250A5"/>
    <w:rsid w:val="007252D2"/>
    <w:rsid w:val="0072631C"/>
    <w:rsid w:val="007264D6"/>
    <w:rsid w:val="00726987"/>
    <w:rsid w:val="00726B58"/>
    <w:rsid w:val="00727046"/>
    <w:rsid w:val="00727227"/>
    <w:rsid w:val="00727471"/>
    <w:rsid w:val="00727A02"/>
    <w:rsid w:val="0073065C"/>
    <w:rsid w:val="00730738"/>
    <w:rsid w:val="00731261"/>
    <w:rsid w:val="00731D48"/>
    <w:rsid w:val="00731D8D"/>
    <w:rsid w:val="00732A3F"/>
    <w:rsid w:val="00732B38"/>
    <w:rsid w:val="00733FF8"/>
    <w:rsid w:val="007346F4"/>
    <w:rsid w:val="00736A8B"/>
    <w:rsid w:val="007402B0"/>
    <w:rsid w:val="00740689"/>
    <w:rsid w:val="00740E46"/>
    <w:rsid w:val="007414A6"/>
    <w:rsid w:val="00741B8D"/>
    <w:rsid w:val="007448CA"/>
    <w:rsid w:val="007456C4"/>
    <w:rsid w:val="0074598C"/>
    <w:rsid w:val="00745B25"/>
    <w:rsid w:val="007466EE"/>
    <w:rsid w:val="00746A56"/>
    <w:rsid w:val="00747DCA"/>
    <w:rsid w:val="00753B0E"/>
    <w:rsid w:val="00753C29"/>
    <w:rsid w:val="00753E00"/>
    <w:rsid w:val="00754766"/>
    <w:rsid w:val="00754A87"/>
    <w:rsid w:val="0075753D"/>
    <w:rsid w:val="00760751"/>
    <w:rsid w:val="00760EA7"/>
    <w:rsid w:val="0076133E"/>
    <w:rsid w:val="00761CB2"/>
    <w:rsid w:val="00761CC3"/>
    <w:rsid w:val="007629CB"/>
    <w:rsid w:val="00762A6C"/>
    <w:rsid w:val="00762B27"/>
    <w:rsid w:val="00763356"/>
    <w:rsid w:val="00764365"/>
    <w:rsid w:val="00764644"/>
    <w:rsid w:val="00764867"/>
    <w:rsid w:val="00764CDF"/>
    <w:rsid w:val="0076634C"/>
    <w:rsid w:val="0076638E"/>
    <w:rsid w:val="00766B40"/>
    <w:rsid w:val="00766DF3"/>
    <w:rsid w:val="00771F84"/>
    <w:rsid w:val="007727E0"/>
    <w:rsid w:val="007745C9"/>
    <w:rsid w:val="00774AC8"/>
    <w:rsid w:val="00774F15"/>
    <w:rsid w:val="007768B1"/>
    <w:rsid w:val="00777959"/>
    <w:rsid w:val="00777C10"/>
    <w:rsid w:val="00777C89"/>
    <w:rsid w:val="0078019D"/>
    <w:rsid w:val="007804DF"/>
    <w:rsid w:val="0078113F"/>
    <w:rsid w:val="00782811"/>
    <w:rsid w:val="00782E8D"/>
    <w:rsid w:val="0078444A"/>
    <w:rsid w:val="00785C3F"/>
    <w:rsid w:val="00786030"/>
    <w:rsid w:val="00786644"/>
    <w:rsid w:val="00786CEC"/>
    <w:rsid w:val="0078748F"/>
    <w:rsid w:val="00787666"/>
    <w:rsid w:val="00790555"/>
    <w:rsid w:val="00791359"/>
    <w:rsid w:val="007914F7"/>
    <w:rsid w:val="0079164B"/>
    <w:rsid w:val="00792753"/>
    <w:rsid w:val="007931D8"/>
    <w:rsid w:val="0079494D"/>
    <w:rsid w:val="00794A14"/>
    <w:rsid w:val="00795844"/>
    <w:rsid w:val="007958C1"/>
    <w:rsid w:val="0079643F"/>
    <w:rsid w:val="00796C44"/>
    <w:rsid w:val="00797538"/>
    <w:rsid w:val="00797924"/>
    <w:rsid w:val="007A00BA"/>
    <w:rsid w:val="007A17BE"/>
    <w:rsid w:val="007A22F4"/>
    <w:rsid w:val="007A28F6"/>
    <w:rsid w:val="007A38DA"/>
    <w:rsid w:val="007A4B77"/>
    <w:rsid w:val="007A6568"/>
    <w:rsid w:val="007A69FA"/>
    <w:rsid w:val="007A7B5E"/>
    <w:rsid w:val="007B04CC"/>
    <w:rsid w:val="007B07FC"/>
    <w:rsid w:val="007B14C1"/>
    <w:rsid w:val="007B2816"/>
    <w:rsid w:val="007B3947"/>
    <w:rsid w:val="007B4D24"/>
    <w:rsid w:val="007B5875"/>
    <w:rsid w:val="007B7219"/>
    <w:rsid w:val="007B75E1"/>
    <w:rsid w:val="007B771B"/>
    <w:rsid w:val="007B77F8"/>
    <w:rsid w:val="007C11EC"/>
    <w:rsid w:val="007C31EF"/>
    <w:rsid w:val="007C48EC"/>
    <w:rsid w:val="007C537F"/>
    <w:rsid w:val="007C55EC"/>
    <w:rsid w:val="007C5EC0"/>
    <w:rsid w:val="007C77FB"/>
    <w:rsid w:val="007D0131"/>
    <w:rsid w:val="007D024E"/>
    <w:rsid w:val="007D1327"/>
    <w:rsid w:val="007D1E7E"/>
    <w:rsid w:val="007D2596"/>
    <w:rsid w:val="007D2D65"/>
    <w:rsid w:val="007D477C"/>
    <w:rsid w:val="007D49CF"/>
    <w:rsid w:val="007D5EBF"/>
    <w:rsid w:val="007D64D7"/>
    <w:rsid w:val="007E0881"/>
    <w:rsid w:val="007E1C96"/>
    <w:rsid w:val="007E22A0"/>
    <w:rsid w:val="007E302A"/>
    <w:rsid w:val="007E367D"/>
    <w:rsid w:val="007E37A6"/>
    <w:rsid w:val="007E4D7C"/>
    <w:rsid w:val="007E5C68"/>
    <w:rsid w:val="007E6E0A"/>
    <w:rsid w:val="007F024A"/>
    <w:rsid w:val="007F05C5"/>
    <w:rsid w:val="007F24FD"/>
    <w:rsid w:val="007F2840"/>
    <w:rsid w:val="007F28B9"/>
    <w:rsid w:val="007F2CF9"/>
    <w:rsid w:val="007F3893"/>
    <w:rsid w:val="007F458E"/>
    <w:rsid w:val="007F4E67"/>
    <w:rsid w:val="007F5315"/>
    <w:rsid w:val="007F63D1"/>
    <w:rsid w:val="007F71BA"/>
    <w:rsid w:val="007F7300"/>
    <w:rsid w:val="007F7615"/>
    <w:rsid w:val="007F787A"/>
    <w:rsid w:val="0080021B"/>
    <w:rsid w:val="00800AF3"/>
    <w:rsid w:val="0080193D"/>
    <w:rsid w:val="00801BCD"/>
    <w:rsid w:val="008031C4"/>
    <w:rsid w:val="00803D32"/>
    <w:rsid w:val="00804919"/>
    <w:rsid w:val="0080493E"/>
    <w:rsid w:val="00804B6A"/>
    <w:rsid w:val="00804E80"/>
    <w:rsid w:val="008065E5"/>
    <w:rsid w:val="0080671E"/>
    <w:rsid w:val="00806DDC"/>
    <w:rsid w:val="00807517"/>
    <w:rsid w:val="00807A38"/>
    <w:rsid w:val="00812CDE"/>
    <w:rsid w:val="00812D45"/>
    <w:rsid w:val="00812E13"/>
    <w:rsid w:val="00812E28"/>
    <w:rsid w:val="00814352"/>
    <w:rsid w:val="00814552"/>
    <w:rsid w:val="00815B27"/>
    <w:rsid w:val="008165C6"/>
    <w:rsid w:val="008174AE"/>
    <w:rsid w:val="00817D03"/>
    <w:rsid w:val="00821227"/>
    <w:rsid w:val="008225F7"/>
    <w:rsid w:val="0082271A"/>
    <w:rsid w:val="00822B23"/>
    <w:rsid w:val="00822C07"/>
    <w:rsid w:val="0082408B"/>
    <w:rsid w:val="00824D13"/>
    <w:rsid w:val="00825155"/>
    <w:rsid w:val="00825258"/>
    <w:rsid w:val="00825593"/>
    <w:rsid w:val="00825F0A"/>
    <w:rsid w:val="00825FC3"/>
    <w:rsid w:val="00826848"/>
    <w:rsid w:val="008273E0"/>
    <w:rsid w:val="008279EC"/>
    <w:rsid w:val="00827EA9"/>
    <w:rsid w:val="00830321"/>
    <w:rsid w:val="008303A9"/>
    <w:rsid w:val="008306B4"/>
    <w:rsid w:val="008311DB"/>
    <w:rsid w:val="00832587"/>
    <w:rsid w:val="008331D9"/>
    <w:rsid w:val="00833A30"/>
    <w:rsid w:val="00835F81"/>
    <w:rsid w:val="008370F2"/>
    <w:rsid w:val="0084069C"/>
    <w:rsid w:val="00840739"/>
    <w:rsid w:val="008407CC"/>
    <w:rsid w:val="00840F1B"/>
    <w:rsid w:val="0084137C"/>
    <w:rsid w:val="00841A72"/>
    <w:rsid w:val="00841AA9"/>
    <w:rsid w:val="008421EA"/>
    <w:rsid w:val="00842EC8"/>
    <w:rsid w:val="0084334A"/>
    <w:rsid w:val="0084383D"/>
    <w:rsid w:val="00843CA1"/>
    <w:rsid w:val="0084464D"/>
    <w:rsid w:val="00844AE4"/>
    <w:rsid w:val="00845C80"/>
    <w:rsid w:val="008464FF"/>
    <w:rsid w:val="00846882"/>
    <w:rsid w:val="00847CA2"/>
    <w:rsid w:val="0085182A"/>
    <w:rsid w:val="008518CD"/>
    <w:rsid w:val="008520C9"/>
    <w:rsid w:val="00852946"/>
    <w:rsid w:val="0085475B"/>
    <w:rsid w:val="00854C65"/>
    <w:rsid w:val="008559A5"/>
    <w:rsid w:val="00856B33"/>
    <w:rsid w:val="0086051B"/>
    <w:rsid w:val="00860C14"/>
    <w:rsid w:val="00861888"/>
    <w:rsid w:val="008618E5"/>
    <w:rsid w:val="0086223B"/>
    <w:rsid w:val="00862FED"/>
    <w:rsid w:val="00864925"/>
    <w:rsid w:val="0086563F"/>
    <w:rsid w:val="00865856"/>
    <w:rsid w:val="00865FC1"/>
    <w:rsid w:val="0086697E"/>
    <w:rsid w:val="008671BE"/>
    <w:rsid w:val="00867AE5"/>
    <w:rsid w:val="00870868"/>
    <w:rsid w:val="0087132D"/>
    <w:rsid w:val="00871449"/>
    <w:rsid w:val="00871C66"/>
    <w:rsid w:val="00872905"/>
    <w:rsid w:val="00874794"/>
    <w:rsid w:val="0087514C"/>
    <w:rsid w:val="00875498"/>
    <w:rsid w:val="00875EB7"/>
    <w:rsid w:val="00876731"/>
    <w:rsid w:val="00877114"/>
    <w:rsid w:val="00877FA0"/>
    <w:rsid w:val="0088066E"/>
    <w:rsid w:val="00880C1C"/>
    <w:rsid w:val="00881A11"/>
    <w:rsid w:val="008840BD"/>
    <w:rsid w:val="00884251"/>
    <w:rsid w:val="0088439D"/>
    <w:rsid w:val="0088480C"/>
    <w:rsid w:val="00885DB5"/>
    <w:rsid w:val="00885F70"/>
    <w:rsid w:val="00887399"/>
    <w:rsid w:val="0088743D"/>
    <w:rsid w:val="008878FD"/>
    <w:rsid w:val="00887A07"/>
    <w:rsid w:val="00887D17"/>
    <w:rsid w:val="00891110"/>
    <w:rsid w:val="008914F7"/>
    <w:rsid w:val="008918B9"/>
    <w:rsid w:val="00891B88"/>
    <w:rsid w:val="00892D8B"/>
    <w:rsid w:val="00894165"/>
    <w:rsid w:val="0089471E"/>
    <w:rsid w:val="00895D13"/>
    <w:rsid w:val="00895DBE"/>
    <w:rsid w:val="0089731B"/>
    <w:rsid w:val="0089794D"/>
    <w:rsid w:val="00897C36"/>
    <w:rsid w:val="00897DA2"/>
    <w:rsid w:val="008A0DD5"/>
    <w:rsid w:val="008A16F8"/>
    <w:rsid w:val="008A20DD"/>
    <w:rsid w:val="008A22D4"/>
    <w:rsid w:val="008A271D"/>
    <w:rsid w:val="008A2B3E"/>
    <w:rsid w:val="008A330A"/>
    <w:rsid w:val="008A5179"/>
    <w:rsid w:val="008A5564"/>
    <w:rsid w:val="008A675C"/>
    <w:rsid w:val="008B1335"/>
    <w:rsid w:val="008B1B97"/>
    <w:rsid w:val="008B2228"/>
    <w:rsid w:val="008B22B7"/>
    <w:rsid w:val="008B246E"/>
    <w:rsid w:val="008B27EC"/>
    <w:rsid w:val="008B383B"/>
    <w:rsid w:val="008B3B4B"/>
    <w:rsid w:val="008B3FEB"/>
    <w:rsid w:val="008B413A"/>
    <w:rsid w:val="008B4DF0"/>
    <w:rsid w:val="008B5AA0"/>
    <w:rsid w:val="008B5C8E"/>
    <w:rsid w:val="008B5E05"/>
    <w:rsid w:val="008B6011"/>
    <w:rsid w:val="008B6020"/>
    <w:rsid w:val="008B6327"/>
    <w:rsid w:val="008B6547"/>
    <w:rsid w:val="008B683E"/>
    <w:rsid w:val="008B794F"/>
    <w:rsid w:val="008B7CD6"/>
    <w:rsid w:val="008C0D75"/>
    <w:rsid w:val="008C1C22"/>
    <w:rsid w:val="008C1F45"/>
    <w:rsid w:val="008C2658"/>
    <w:rsid w:val="008C2D70"/>
    <w:rsid w:val="008C308B"/>
    <w:rsid w:val="008C3907"/>
    <w:rsid w:val="008C57FC"/>
    <w:rsid w:val="008C5F6D"/>
    <w:rsid w:val="008C6331"/>
    <w:rsid w:val="008D0C2E"/>
    <w:rsid w:val="008D0FAD"/>
    <w:rsid w:val="008D1BC6"/>
    <w:rsid w:val="008D3A01"/>
    <w:rsid w:val="008D48F2"/>
    <w:rsid w:val="008D4AA7"/>
    <w:rsid w:val="008D4B15"/>
    <w:rsid w:val="008D5548"/>
    <w:rsid w:val="008D593F"/>
    <w:rsid w:val="008D5B95"/>
    <w:rsid w:val="008D602A"/>
    <w:rsid w:val="008D75C7"/>
    <w:rsid w:val="008E003E"/>
    <w:rsid w:val="008E0F22"/>
    <w:rsid w:val="008E1231"/>
    <w:rsid w:val="008E2998"/>
    <w:rsid w:val="008E4373"/>
    <w:rsid w:val="008E4701"/>
    <w:rsid w:val="008E5728"/>
    <w:rsid w:val="008E622D"/>
    <w:rsid w:val="008E673C"/>
    <w:rsid w:val="008E6B96"/>
    <w:rsid w:val="008E6F45"/>
    <w:rsid w:val="008E7415"/>
    <w:rsid w:val="008E7C08"/>
    <w:rsid w:val="008F0038"/>
    <w:rsid w:val="008F06F2"/>
    <w:rsid w:val="008F0A99"/>
    <w:rsid w:val="008F3D6E"/>
    <w:rsid w:val="008F5276"/>
    <w:rsid w:val="008F566E"/>
    <w:rsid w:val="008F5931"/>
    <w:rsid w:val="008F7789"/>
    <w:rsid w:val="008F7AC9"/>
    <w:rsid w:val="00900236"/>
    <w:rsid w:val="009019FD"/>
    <w:rsid w:val="00901A48"/>
    <w:rsid w:val="00903F99"/>
    <w:rsid w:val="00904C44"/>
    <w:rsid w:val="00904EF0"/>
    <w:rsid w:val="009061C7"/>
    <w:rsid w:val="0090691C"/>
    <w:rsid w:val="009073B3"/>
    <w:rsid w:val="00907776"/>
    <w:rsid w:val="009100F3"/>
    <w:rsid w:val="00910EC5"/>
    <w:rsid w:val="00911C76"/>
    <w:rsid w:val="00912A83"/>
    <w:rsid w:val="00912BC4"/>
    <w:rsid w:val="00912D15"/>
    <w:rsid w:val="0091348C"/>
    <w:rsid w:val="00914193"/>
    <w:rsid w:val="009143BA"/>
    <w:rsid w:val="009155A2"/>
    <w:rsid w:val="00915A1B"/>
    <w:rsid w:val="00915FD5"/>
    <w:rsid w:val="009167AC"/>
    <w:rsid w:val="00920643"/>
    <w:rsid w:val="009234C5"/>
    <w:rsid w:val="00923F40"/>
    <w:rsid w:val="009244B6"/>
    <w:rsid w:val="00924FB4"/>
    <w:rsid w:val="00925B2A"/>
    <w:rsid w:val="00926460"/>
    <w:rsid w:val="0092697D"/>
    <w:rsid w:val="00926A8A"/>
    <w:rsid w:val="00931876"/>
    <w:rsid w:val="00932104"/>
    <w:rsid w:val="00932330"/>
    <w:rsid w:val="00932720"/>
    <w:rsid w:val="00933F71"/>
    <w:rsid w:val="00934151"/>
    <w:rsid w:val="00934395"/>
    <w:rsid w:val="00934470"/>
    <w:rsid w:val="0093470E"/>
    <w:rsid w:val="00934E03"/>
    <w:rsid w:val="009366AD"/>
    <w:rsid w:val="00936AFB"/>
    <w:rsid w:val="00940F79"/>
    <w:rsid w:val="009413E4"/>
    <w:rsid w:val="00942EA6"/>
    <w:rsid w:val="00944888"/>
    <w:rsid w:val="00945715"/>
    <w:rsid w:val="009475C8"/>
    <w:rsid w:val="00947A51"/>
    <w:rsid w:val="00950A43"/>
    <w:rsid w:val="00950AFA"/>
    <w:rsid w:val="00950D56"/>
    <w:rsid w:val="009510D5"/>
    <w:rsid w:val="00951A7E"/>
    <w:rsid w:val="00951C92"/>
    <w:rsid w:val="009524C3"/>
    <w:rsid w:val="00952BA3"/>
    <w:rsid w:val="00952E8B"/>
    <w:rsid w:val="00955834"/>
    <w:rsid w:val="00955BF8"/>
    <w:rsid w:val="00956182"/>
    <w:rsid w:val="009578D0"/>
    <w:rsid w:val="00957AB5"/>
    <w:rsid w:val="009615B8"/>
    <w:rsid w:val="009615DA"/>
    <w:rsid w:val="0096235F"/>
    <w:rsid w:val="00963B49"/>
    <w:rsid w:val="00964323"/>
    <w:rsid w:val="00965BCC"/>
    <w:rsid w:val="00965C9C"/>
    <w:rsid w:val="00967EC5"/>
    <w:rsid w:val="009707F9"/>
    <w:rsid w:val="00970E64"/>
    <w:rsid w:val="00971D86"/>
    <w:rsid w:val="00971F2C"/>
    <w:rsid w:val="009738E0"/>
    <w:rsid w:val="009755E4"/>
    <w:rsid w:val="00975DE4"/>
    <w:rsid w:val="00975E42"/>
    <w:rsid w:val="00975E65"/>
    <w:rsid w:val="00977061"/>
    <w:rsid w:val="00980C14"/>
    <w:rsid w:val="00981A5C"/>
    <w:rsid w:val="0098324A"/>
    <w:rsid w:val="00984031"/>
    <w:rsid w:val="00984528"/>
    <w:rsid w:val="00986528"/>
    <w:rsid w:val="00987242"/>
    <w:rsid w:val="00987A43"/>
    <w:rsid w:val="00987D19"/>
    <w:rsid w:val="00990ADA"/>
    <w:rsid w:val="009923AD"/>
    <w:rsid w:val="00992C84"/>
    <w:rsid w:val="00994AA0"/>
    <w:rsid w:val="009A0451"/>
    <w:rsid w:val="009A159C"/>
    <w:rsid w:val="009A4379"/>
    <w:rsid w:val="009A63E0"/>
    <w:rsid w:val="009A673F"/>
    <w:rsid w:val="009A69AD"/>
    <w:rsid w:val="009A7C05"/>
    <w:rsid w:val="009A7DBE"/>
    <w:rsid w:val="009B10AC"/>
    <w:rsid w:val="009B1850"/>
    <w:rsid w:val="009B1CCD"/>
    <w:rsid w:val="009B1ECD"/>
    <w:rsid w:val="009B2763"/>
    <w:rsid w:val="009B27E4"/>
    <w:rsid w:val="009B4611"/>
    <w:rsid w:val="009B5B10"/>
    <w:rsid w:val="009B6839"/>
    <w:rsid w:val="009C02D3"/>
    <w:rsid w:val="009C0905"/>
    <w:rsid w:val="009C1615"/>
    <w:rsid w:val="009C1B83"/>
    <w:rsid w:val="009C21B4"/>
    <w:rsid w:val="009C25BF"/>
    <w:rsid w:val="009C2A63"/>
    <w:rsid w:val="009C2C69"/>
    <w:rsid w:val="009C3906"/>
    <w:rsid w:val="009C48BE"/>
    <w:rsid w:val="009C4B8D"/>
    <w:rsid w:val="009C5424"/>
    <w:rsid w:val="009C58D8"/>
    <w:rsid w:val="009C5A79"/>
    <w:rsid w:val="009C7224"/>
    <w:rsid w:val="009C7578"/>
    <w:rsid w:val="009D046F"/>
    <w:rsid w:val="009D082E"/>
    <w:rsid w:val="009D30F8"/>
    <w:rsid w:val="009D3994"/>
    <w:rsid w:val="009D3D77"/>
    <w:rsid w:val="009D4712"/>
    <w:rsid w:val="009D5E88"/>
    <w:rsid w:val="009D5EE1"/>
    <w:rsid w:val="009D601F"/>
    <w:rsid w:val="009D6776"/>
    <w:rsid w:val="009D7692"/>
    <w:rsid w:val="009D7C1C"/>
    <w:rsid w:val="009D7CFD"/>
    <w:rsid w:val="009D7D6E"/>
    <w:rsid w:val="009E0B0D"/>
    <w:rsid w:val="009E0B26"/>
    <w:rsid w:val="009E11DB"/>
    <w:rsid w:val="009E1C9A"/>
    <w:rsid w:val="009E21C8"/>
    <w:rsid w:val="009E28DF"/>
    <w:rsid w:val="009E31EB"/>
    <w:rsid w:val="009E33F5"/>
    <w:rsid w:val="009E3D2A"/>
    <w:rsid w:val="009E3DB5"/>
    <w:rsid w:val="009E5C60"/>
    <w:rsid w:val="009E5E38"/>
    <w:rsid w:val="009E648E"/>
    <w:rsid w:val="009E738D"/>
    <w:rsid w:val="009E7DD5"/>
    <w:rsid w:val="009F18B6"/>
    <w:rsid w:val="009F20CF"/>
    <w:rsid w:val="009F2444"/>
    <w:rsid w:val="009F2925"/>
    <w:rsid w:val="009F4695"/>
    <w:rsid w:val="009F5A07"/>
    <w:rsid w:val="009F5E7C"/>
    <w:rsid w:val="00A00174"/>
    <w:rsid w:val="00A001EE"/>
    <w:rsid w:val="00A00EA9"/>
    <w:rsid w:val="00A010A5"/>
    <w:rsid w:val="00A03D41"/>
    <w:rsid w:val="00A04108"/>
    <w:rsid w:val="00A0444C"/>
    <w:rsid w:val="00A04586"/>
    <w:rsid w:val="00A04B3F"/>
    <w:rsid w:val="00A05B5E"/>
    <w:rsid w:val="00A05F35"/>
    <w:rsid w:val="00A06854"/>
    <w:rsid w:val="00A06C50"/>
    <w:rsid w:val="00A070B7"/>
    <w:rsid w:val="00A07F43"/>
    <w:rsid w:val="00A1070D"/>
    <w:rsid w:val="00A10D07"/>
    <w:rsid w:val="00A10D2C"/>
    <w:rsid w:val="00A11A24"/>
    <w:rsid w:val="00A126A2"/>
    <w:rsid w:val="00A1346F"/>
    <w:rsid w:val="00A13CA4"/>
    <w:rsid w:val="00A142CB"/>
    <w:rsid w:val="00A14468"/>
    <w:rsid w:val="00A14C97"/>
    <w:rsid w:val="00A15395"/>
    <w:rsid w:val="00A15D36"/>
    <w:rsid w:val="00A15D99"/>
    <w:rsid w:val="00A15F1A"/>
    <w:rsid w:val="00A17184"/>
    <w:rsid w:val="00A178C8"/>
    <w:rsid w:val="00A20078"/>
    <w:rsid w:val="00A20842"/>
    <w:rsid w:val="00A20C61"/>
    <w:rsid w:val="00A22538"/>
    <w:rsid w:val="00A225B9"/>
    <w:rsid w:val="00A23E98"/>
    <w:rsid w:val="00A23FA4"/>
    <w:rsid w:val="00A25D09"/>
    <w:rsid w:val="00A27317"/>
    <w:rsid w:val="00A277F2"/>
    <w:rsid w:val="00A27C21"/>
    <w:rsid w:val="00A304D3"/>
    <w:rsid w:val="00A31477"/>
    <w:rsid w:val="00A31D90"/>
    <w:rsid w:val="00A31F3F"/>
    <w:rsid w:val="00A324AE"/>
    <w:rsid w:val="00A32504"/>
    <w:rsid w:val="00A3263D"/>
    <w:rsid w:val="00A33A66"/>
    <w:rsid w:val="00A35850"/>
    <w:rsid w:val="00A35A48"/>
    <w:rsid w:val="00A36FB7"/>
    <w:rsid w:val="00A37071"/>
    <w:rsid w:val="00A374BC"/>
    <w:rsid w:val="00A3784A"/>
    <w:rsid w:val="00A37EAC"/>
    <w:rsid w:val="00A40CB2"/>
    <w:rsid w:val="00A41587"/>
    <w:rsid w:val="00A41A89"/>
    <w:rsid w:val="00A4243E"/>
    <w:rsid w:val="00A441D4"/>
    <w:rsid w:val="00A446B0"/>
    <w:rsid w:val="00A44B93"/>
    <w:rsid w:val="00A45616"/>
    <w:rsid w:val="00A45667"/>
    <w:rsid w:val="00A45F10"/>
    <w:rsid w:val="00A464AF"/>
    <w:rsid w:val="00A467BD"/>
    <w:rsid w:val="00A46FB7"/>
    <w:rsid w:val="00A501F1"/>
    <w:rsid w:val="00A50242"/>
    <w:rsid w:val="00A513BC"/>
    <w:rsid w:val="00A5167D"/>
    <w:rsid w:val="00A5195F"/>
    <w:rsid w:val="00A5246B"/>
    <w:rsid w:val="00A52C1F"/>
    <w:rsid w:val="00A52F05"/>
    <w:rsid w:val="00A548A6"/>
    <w:rsid w:val="00A551F2"/>
    <w:rsid w:val="00A60BB3"/>
    <w:rsid w:val="00A626D4"/>
    <w:rsid w:val="00A62BC8"/>
    <w:rsid w:val="00A6317E"/>
    <w:rsid w:val="00A633C8"/>
    <w:rsid w:val="00A64918"/>
    <w:rsid w:val="00A64A66"/>
    <w:rsid w:val="00A662B9"/>
    <w:rsid w:val="00A66648"/>
    <w:rsid w:val="00A66888"/>
    <w:rsid w:val="00A6790D"/>
    <w:rsid w:val="00A706E6"/>
    <w:rsid w:val="00A708E2"/>
    <w:rsid w:val="00A71689"/>
    <w:rsid w:val="00A730FE"/>
    <w:rsid w:val="00A739A0"/>
    <w:rsid w:val="00A73D66"/>
    <w:rsid w:val="00A73DD1"/>
    <w:rsid w:val="00A74571"/>
    <w:rsid w:val="00A751DC"/>
    <w:rsid w:val="00A756C5"/>
    <w:rsid w:val="00A76739"/>
    <w:rsid w:val="00A76F69"/>
    <w:rsid w:val="00A77AF8"/>
    <w:rsid w:val="00A8259F"/>
    <w:rsid w:val="00A82744"/>
    <w:rsid w:val="00A82811"/>
    <w:rsid w:val="00A84977"/>
    <w:rsid w:val="00A84C55"/>
    <w:rsid w:val="00A84CE2"/>
    <w:rsid w:val="00A8630D"/>
    <w:rsid w:val="00A863DA"/>
    <w:rsid w:val="00A864BA"/>
    <w:rsid w:val="00A86654"/>
    <w:rsid w:val="00A87D80"/>
    <w:rsid w:val="00A87E6B"/>
    <w:rsid w:val="00A9051B"/>
    <w:rsid w:val="00A90E90"/>
    <w:rsid w:val="00A91734"/>
    <w:rsid w:val="00A9240A"/>
    <w:rsid w:val="00A926F0"/>
    <w:rsid w:val="00A9485A"/>
    <w:rsid w:val="00A95A50"/>
    <w:rsid w:val="00A95AAC"/>
    <w:rsid w:val="00A95AB2"/>
    <w:rsid w:val="00A96438"/>
    <w:rsid w:val="00A96BAB"/>
    <w:rsid w:val="00A97F3E"/>
    <w:rsid w:val="00AA0C93"/>
    <w:rsid w:val="00AA0D2C"/>
    <w:rsid w:val="00AA127A"/>
    <w:rsid w:val="00AA169F"/>
    <w:rsid w:val="00AA175A"/>
    <w:rsid w:val="00AA19C4"/>
    <w:rsid w:val="00AA34F1"/>
    <w:rsid w:val="00AA3C8F"/>
    <w:rsid w:val="00AA48A3"/>
    <w:rsid w:val="00AA4A83"/>
    <w:rsid w:val="00AA4C95"/>
    <w:rsid w:val="00AA517D"/>
    <w:rsid w:val="00AA5E61"/>
    <w:rsid w:val="00AA687B"/>
    <w:rsid w:val="00AA71B8"/>
    <w:rsid w:val="00AB1F4C"/>
    <w:rsid w:val="00AB50E1"/>
    <w:rsid w:val="00AB5E03"/>
    <w:rsid w:val="00AB6D89"/>
    <w:rsid w:val="00AB72E3"/>
    <w:rsid w:val="00AB7401"/>
    <w:rsid w:val="00AC01EE"/>
    <w:rsid w:val="00AC07D9"/>
    <w:rsid w:val="00AC098C"/>
    <w:rsid w:val="00AC1E16"/>
    <w:rsid w:val="00AC2414"/>
    <w:rsid w:val="00AC3351"/>
    <w:rsid w:val="00AC4671"/>
    <w:rsid w:val="00AC6944"/>
    <w:rsid w:val="00AC717F"/>
    <w:rsid w:val="00AC7385"/>
    <w:rsid w:val="00AC754F"/>
    <w:rsid w:val="00AD0B3C"/>
    <w:rsid w:val="00AD3CE0"/>
    <w:rsid w:val="00AD3FA2"/>
    <w:rsid w:val="00AD4D7A"/>
    <w:rsid w:val="00AD520C"/>
    <w:rsid w:val="00AD5B6A"/>
    <w:rsid w:val="00AD609B"/>
    <w:rsid w:val="00AD61DC"/>
    <w:rsid w:val="00AD6F6D"/>
    <w:rsid w:val="00AD78F9"/>
    <w:rsid w:val="00AD7ACA"/>
    <w:rsid w:val="00AE1EF4"/>
    <w:rsid w:val="00AE3633"/>
    <w:rsid w:val="00AE4317"/>
    <w:rsid w:val="00AE560F"/>
    <w:rsid w:val="00AE698B"/>
    <w:rsid w:val="00AE74FE"/>
    <w:rsid w:val="00AE760E"/>
    <w:rsid w:val="00AE7854"/>
    <w:rsid w:val="00AF0351"/>
    <w:rsid w:val="00AF0F3F"/>
    <w:rsid w:val="00AF17EB"/>
    <w:rsid w:val="00AF2B12"/>
    <w:rsid w:val="00AF3035"/>
    <w:rsid w:val="00AF40F5"/>
    <w:rsid w:val="00AF4278"/>
    <w:rsid w:val="00AF498D"/>
    <w:rsid w:val="00AF49ED"/>
    <w:rsid w:val="00AF5698"/>
    <w:rsid w:val="00AF6C3E"/>
    <w:rsid w:val="00AF7449"/>
    <w:rsid w:val="00AF7BA2"/>
    <w:rsid w:val="00B0000F"/>
    <w:rsid w:val="00B00652"/>
    <w:rsid w:val="00B00A81"/>
    <w:rsid w:val="00B00DD3"/>
    <w:rsid w:val="00B01689"/>
    <w:rsid w:val="00B02052"/>
    <w:rsid w:val="00B0237D"/>
    <w:rsid w:val="00B02393"/>
    <w:rsid w:val="00B02A8F"/>
    <w:rsid w:val="00B02E19"/>
    <w:rsid w:val="00B04B45"/>
    <w:rsid w:val="00B04E41"/>
    <w:rsid w:val="00B06611"/>
    <w:rsid w:val="00B0671B"/>
    <w:rsid w:val="00B06C80"/>
    <w:rsid w:val="00B07195"/>
    <w:rsid w:val="00B10406"/>
    <w:rsid w:val="00B1055F"/>
    <w:rsid w:val="00B115FA"/>
    <w:rsid w:val="00B12073"/>
    <w:rsid w:val="00B12287"/>
    <w:rsid w:val="00B13DFB"/>
    <w:rsid w:val="00B13E87"/>
    <w:rsid w:val="00B14AAD"/>
    <w:rsid w:val="00B15888"/>
    <w:rsid w:val="00B16091"/>
    <w:rsid w:val="00B161D2"/>
    <w:rsid w:val="00B16B73"/>
    <w:rsid w:val="00B173C9"/>
    <w:rsid w:val="00B17B36"/>
    <w:rsid w:val="00B17EBF"/>
    <w:rsid w:val="00B20182"/>
    <w:rsid w:val="00B205EF"/>
    <w:rsid w:val="00B20CD6"/>
    <w:rsid w:val="00B220B5"/>
    <w:rsid w:val="00B2379C"/>
    <w:rsid w:val="00B23AD6"/>
    <w:rsid w:val="00B27648"/>
    <w:rsid w:val="00B304C3"/>
    <w:rsid w:val="00B31395"/>
    <w:rsid w:val="00B31C0E"/>
    <w:rsid w:val="00B31F1D"/>
    <w:rsid w:val="00B33355"/>
    <w:rsid w:val="00B334A9"/>
    <w:rsid w:val="00B33A23"/>
    <w:rsid w:val="00B34204"/>
    <w:rsid w:val="00B37E52"/>
    <w:rsid w:val="00B405B7"/>
    <w:rsid w:val="00B41899"/>
    <w:rsid w:val="00B41D73"/>
    <w:rsid w:val="00B431B1"/>
    <w:rsid w:val="00B4361B"/>
    <w:rsid w:val="00B43765"/>
    <w:rsid w:val="00B43B2B"/>
    <w:rsid w:val="00B440AD"/>
    <w:rsid w:val="00B444D4"/>
    <w:rsid w:val="00B44DD5"/>
    <w:rsid w:val="00B4553D"/>
    <w:rsid w:val="00B45642"/>
    <w:rsid w:val="00B46820"/>
    <w:rsid w:val="00B47032"/>
    <w:rsid w:val="00B50A75"/>
    <w:rsid w:val="00B516C1"/>
    <w:rsid w:val="00B51A03"/>
    <w:rsid w:val="00B52415"/>
    <w:rsid w:val="00B5258E"/>
    <w:rsid w:val="00B52E93"/>
    <w:rsid w:val="00B52FDD"/>
    <w:rsid w:val="00B53106"/>
    <w:rsid w:val="00B5386D"/>
    <w:rsid w:val="00B53FE7"/>
    <w:rsid w:val="00B54163"/>
    <w:rsid w:val="00B5466E"/>
    <w:rsid w:val="00B55306"/>
    <w:rsid w:val="00B55418"/>
    <w:rsid w:val="00B5611D"/>
    <w:rsid w:val="00B56407"/>
    <w:rsid w:val="00B565A1"/>
    <w:rsid w:val="00B56609"/>
    <w:rsid w:val="00B56628"/>
    <w:rsid w:val="00B57161"/>
    <w:rsid w:val="00B60C02"/>
    <w:rsid w:val="00B60D70"/>
    <w:rsid w:val="00B60F6B"/>
    <w:rsid w:val="00B617E9"/>
    <w:rsid w:val="00B6212A"/>
    <w:rsid w:val="00B624B0"/>
    <w:rsid w:val="00B642D8"/>
    <w:rsid w:val="00B64F5B"/>
    <w:rsid w:val="00B66061"/>
    <w:rsid w:val="00B6680A"/>
    <w:rsid w:val="00B67237"/>
    <w:rsid w:val="00B721C8"/>
    <w:rsid w:val="00B7236F"/>
    <w:rsid w:val="00B73EAE"/>
    <w:rsid w:val="00B741A6"/>
    <w:rsid w:val="00B74782"/>
    <w:rsid w:val="00B748C4"/>
    <w:rsid w:val="00B74960"/>
    <w:rsid w:val="00B75333"/>
    <w:rsid w:val="00B766B6"/>
    <w:rsid w:val="00B76B05"/>
    <w:rsid w:val="00B77501"/>
    <w:rsid w:val="00B77A19"/>
    <w:rsid w:val="00B816F2"/>
    <w:rsid w:val="00B81FFA"/>
    <w:rsid w:val="00B82E8B"/>
    <w:rsid w:val="00B82F08"/>
    <w:rsid w:val="00B838DA"/>
    <w:rsid w:val="00B842AC"/>
    <w:rsid w:val="00B843AC"/>
    <w:rsid w:val="00B84C84"/>
    <w:rsid w:val="00B870EB"/>
    <w:rsid w:val="00B8775D"/>
    <w:rsid w:val="00B900E6"/>
    <w:rsid w:val="00B90141"/>
    <w:rsid w:val="00B90555"/>
    <w:rsid w:val="00B90788"/>
    <w:rsid w:val="00B918C1"/>
    <w:rsid w:val="00B918C5"/>
    <w:rsid w:val="00B91CAE"/>
    <w:rsid w:val="00B91D2E"/>
    <w:rsid w:val="00B91EA2"/>
    <w:rsid w:val="00B9356B"/>
    <w:rsid w:val="00B939F0"/>
    <w:rsid w:val="00B93CB5"/>
    <w:rsid w:val="00B9454C"/>
    <w:rsid w:val="00B94E8F"/>
    <w:rsid w:val="00B95E28"/>
    <w:rsid w:val="00B968F8"/>
    <w:rsid w:val="00B96D5E"/>
    <w:rsid w:val="00B9767D"/>
    <w:rsid w:val="00BA0895"/>
    <w:rsid w:val="00BA0AEC"/>
    <w:rsid w:val="00BA1BF3"/>
    <w:rsid w:val="00BA3394"/>
    <w:rsid w:val="00BA35FB"/>
    <w:rsid w:val="00BA5AF6"/>
    <w:rsid w:val="00BA5F33"/>
    <w:rsid w:val="00BA61C1"/>
    <w:rsid w:val="00BA6E55"/>
    <w:rsid w:val="00BA70DB"/>
    <w:rsid w:val="00BA72D6"/>
    <w:rsid w:val="00BA76BF"/>
    <w:rsid w:val="00BA7A09"/>
    <w:rsid w:val="00BB0AF8"/>
    <w:rsid w:val="00BB2DC0"/>
    <w:rsid w:val="00BB41B0"/>
    <w:rsid w:val="00BB511D"/>
    <w:rsid w:val="00BB5B59"/>
    <w:rsid w:val="00BB682F"/>
    <w:rsid w:val="00BB793B"/>
    <w:rsid w:val="00BB7D81"/>
    <w:rsid w:val="00BC020A"/>
    <w:rsid w:val="00BC0CB1"/>
    <w:rsid w:val="00BC105F"/>
    <w:rsid w:val="00BC15FA"/>
    <w:rsid w:val="00BC1968"/>
    <w:rsid w:val="00BC2038"/>
    <w:rsid w:val="00BC2AD0"/>
    <w:rsid w:val="00BC3108"/>
    <w:rsid w:val="00BC313B"/>
    <w:rsid w:val="00BC4BB0"/>
    <w:rsid w:val="00BC4DC7"/>
    <w:rsid w:val="00BC576D"/>
    <w:rsid w:val="00BC6D6D"/>
    <w:rsid w:val="00BC6DE4"/>
    <w:rsid w:val="00BC70D6"/>
    <w:rsid w:val="00BC742E"/>
    <w:rsid w:val="00BC7FDC"/>
    <w:rsid w:val="00BD0D82"/>
    <w:rsid w:val="00BD1500"/>
    <w:rsid w:val="00BD225C"/>
    <w:rsid w:val="00BD2604"/>
    <w:rsid w:val="00BD4218"/>
    <w:rsid w:val="00BD4A54"/>
    <w:rsid w:val="00BD53A9"/>
    <w:rsid w:val="00BD59C3"/>
    <w:rsid w:val="00BD6006"/>
    <w:rsid w:val="00BD6059"/>
    <w:rsid w:val="00BD63E8"/>
    <w:rsid w:val="00BD6B9B"/>
    <w:rsid w:val="00BD70C6"/>
    <w:rsid w:val="00BD7C9C"/>
    <w:rsid w:val="00BE0428"/>
    <w:rsid w:val="00BE0E09"/>
    <w:rsid w:val="00BE127E"/>
    <w:rsid w:val="00BE1368"/>
    <w:rsid w:val="00BE14C1"/>
    <w:rsid w:val="00BE1856"/>
    <w:rsid w:val="00BE2546"/>
    <w:rsid w:val="00BE2C65"/>
    <w:rsid w:val="00BE3B1D"/>
    <w:rsid w:val="00BE4CE2"/>
    <w:rsid w:val="00BE58E5"/>
    <w:rsid w:val="00BE65EE"/>
    <w:rsid w:val="00BE72CF"/>
    <w:rsid w:val="00BF01C0"/>
    <w:rsid w:val="00BF04A7"/>
    <w:rsid w:val="00BF04E4"/>
    <w:rsid w:val="00BF0766"/>
    <w:rsid w:val="00BF2A13"/>
    <w:rsid w:val="00BF2C46"/>
    <w:rsid w:val="00BF2E35"/>
    <w:rsid w:val="00BF3DC5"/>
    <w:rsid w:val="00BF3DD7"/>
    <w:rsid w:val="00BF3E95"/>
    <w:rsid w:val="00BF5241"/>
    <w:rsid w:val="00BF5789"/>
    <w:rsid w:val="00BF5965"/>
    <w:rsid w:val="00BF6F77"/>
    <w:rsid w:val="00BF71D1"/>
    <w:rsid w:val="00BF743C"/>
    <w:rsid w:val="00C01C0A"/>
    <w:rsid w:val="00C04418"/>
    <w:rsid w:val="00C048AF"/>
    <w:rsid w:val="00C04EA0"/>
    <w:rsid w:val="00C053D8"/>
    <w:rsid w:val="00C06CEE"/>
    <w:rsid w:val="00C07A0F"/>
    <w:rsid w:val="00C10C0F"/>
    <w:rsid w:val="00C11387"/>
    <w:rsid w:val="00C11B52"/>
    <w:rsid w:val="00C121AC"/>
    <w:rsid w:val="00C1249A"/>
    <w:rsid w:val="00C13881"/>
    <w:rsid w:val="00C1456E"/>
    <w:rsid w:val="00C14C49"/>
    <w:rsid w:val="00C15254"/>
    <w:rsid w:val="00C15E00"/>
    <w:rsid w:val="00C15F71"/>
    <w:rsid w:val="00C214B0"/>
    <w:rsid w:val="00C22409"/>
    <w:rsid w:val="00C22660"/>
    <w:rsid w:val="00C22707"/>
    <w:rsid w:val="00C2307A"/>
    <w:rsid w:val="00C23697"/>
    <w:rsid w:val="00C2480F"/>
    <w:rsid w:val="00C24923"/>
    <w:rsid w:val="00C253F3"/>
    <w:rsid w:val="00C26BA4"/>
    <w:rsid w:val="00C2766A"/>
    <w:rsid w:val="00C30685"/>
    <w:rsid w:val="00C30F55"/>
    <w:rsid w:val="00C3149B"/>
    <w:rsid w:val="00C317F9"/>
    <w:rsid w:val="00C32BF6"/>
    <w:rsid w:val="00C33321"/>
    <w:rsid w:val="00C33860"/>
    <w:rsid w:val="00C3389D"/>
    <w:rsid w:val="00C34B1F"/>
    <w:rsid w:val="00C35295"/>
    <w:rsid w:val="00C35B02"/>
    <w:rsid w:val="00C35CC0"/>
    <w:rsid w:val="00C36B9F"/>
    <w:rsid w:val="00C37678"/>
    <w:rsid w:val="00C40EF4"/>
    <w:rsid w:val="00C41BB3"/>
    <w:rsid w:val="00C41CF2"/>
    <w:rsid w:val="00C41FA1"/>
    <w:rsid w:val="00C42FB8"/>
    <w:rsid w:val="00C43462"/>
    <w:rsid w:val="00C439F4"/>
    <w:rsid w:val="00C45179"/>
    <w:rsid w:val="00C46F72"/>
    <w:rsid w:val="00C47269"/>
    <w:rsid w:val="00C47368"/>
    <w:rsid w:val="00C4743A"/>
    <w:rsid w:val="00C475EA"/>
    <w:rsid w:val="00C5005A"/>
    <w:rsid w:val="00C51712"/>
    <w:rsid w:val="00C5197A"/>
    <w:rsid w:val="00C524F3"/>
    <w:rsid w:val="00C54A02"/>
    <w:rsid w:val="00C55F32"/>
    <w:rsid w:val="00C562C6"/>
    <w:rsid w:val="00C608AA"/>
    <w:rsid w:val="00C60AC1"/>
    <w:rsid w:val="00C6257F"/>
    <w:rsid w:val="00C62B78"/>
    <w:rsid w:val="00C62D25"/>
    <w:rsid w:val="00C6318B"/>
    <w:rsid w:val="00C63B7C"/>
    <w:rsid w:val="00C63FFA"/>
    <w:rsid w:val="00C645BC"/>
    <w:rsid w:val="00C64747"/>
    <w:rsid w:val="00C658A1"/>
    <w:rsid w:val="00C65E40"/>
    <w:rsid w:val="00C66617"/>
    <w:rsid w:val="00C66DE2"/>
    <w:rsid w:val="00C70262"/>
    <w:rsid w:val="00C709E3"/>
    <w:rsid w:val="00C71872"/>
    <w:rsid w:val="00C7256D"/>
    <w:rsid w:val="00C73AD9"/>
    <w:rsid w:val="00C753F2"/>
    <w:rsid w:val="00C76B8D"/>
    <w:rsid w:val="00C77102"/>
    <w:rsid w:val="00C80A42"/>
    <w:rsid w:val="00C81053"/>
    <w:rsid w:val="00C8143F"/>
    <w:rsid w:val="00C82482"/>
    <w:rsid w:val="00C83684"/>
    <w:rsid w:val="00C83F5B"/>
    <w:rsid w:val="00C84C2C"/>
    <w:rsid w:val="00C85339"/>
    <w:rsid w:val="00C8537A"/>
    <w:rsid w:val="00C86245"/>
    <w:rsid w:val="00C91976"/>
    <w:rsid w:val="00C91BD8"/>
    <w:rsid w:val="00C91CA1"/>
    <w:rsid w:val="00C921E3"/>
    <w:rsid w:val="00C9447D"/>
    <w:rsid w:val="00C94594"/>
    <w:rsid w:val="00C96274"/>
    <w:rsid w:val="00C96A37"/>
    <w:rsid w:val="00C96B10"/>
    <w:rsid w:val="00CA07E0"/>
    <w:rsid w:val="00CA25FC"/>
    <w:rsid w:val="00CA3F5F"/>
    <w:rsid w:val="00CA45D6"/>
    <w:rsid w:val="00CA50B1"/>
    <w:rsid w:val="00CA51FF"/>
    <w:rsid w:val="00CA55F0"/>
    <w:rsid w:val="00CA5625"/>
    <w:rsid w:val="00CA5C66"/>
    <w:rsid w:val="00CA5DD7"/>
    <w:rsid w:val="00CA6AC3"/>
    <w:rsid w:val="00CA765B"/>
    <w:rsid w:val="00CB09AD"/>
    <w:rsid w:val="00CB144B"/>
    <w:rsid w:val="00CB157E"/>
    <w:rsid w:val="00CB20CA"/>
    <w:rsid w:val="00CB283D"/>
    <w:rsid w:val="00CB45BB"/>
    <w:rsid w:val="00CB4980"/>
    <w:rsid w:val="00CB569F"/>
    <w:rsid w:val="00CB6FE9"/>
    <w:rsid w:val="00CB7555"/>
    <w:rsid w:val="00CC0326"/>
    <w:rsid w:val="00CC0437"/>
    <w:rsid w:val="00CC1BEE"/>
    <w:rsid w:val="00CC20E3"/>
    <w:rsid w:val="00CC2578"/>
    <w:rsid w:val="00CC395F"/>
    <w:rsid w:val="00CC3CD3"/>
    <w:rsid w:val="00CC453C"/>
    <w:rsid w:val="00CC45E4"/>
    <w:rsid w:val="00CC4C2F"/>
    <w:rsid w:val="00CC4E41"/>
    <w:rsid w:val="00CC565A"/>
    <w:rsid w:val="00CC5730"/>
    <w:rsid w:val="00CC5EFE"/>
    <w:rsid w:val="00CC654E"/>
    <w:rsid w:val="00CC6871"/>
    <w:rsid w:val="00CC6B21"/>
    <w:rsid w:val="00CC7175"/>
    <w:rsid w:val="00CC795E"/>
    <w:rsid w:val="00CD04D1"/>
    <w:rsid w:val="00CD0E90"/>
    <w:rsid w:val="00CD1066"/>
    <w:rsid w:val="00CD1879"/>
    <w:rsid w:val="00CD2C2B"/>
    <w:rsid w:val="00CD32D5"/>
    <w:rsid w:val="00CD39B5"/>
    <w:rsid w:val="00CD4746"/>
    <w:rsid w:val="00CD48AA"/>
    <w:rsid w:val="00CD5D40"/>
    <w:rsid w:val="00CD6742"/>
    <w:rsid w:val="00CD67CF"/>
    <w:rsid w:val="00CD6AFE"/>
    <w:rsid w:val="00CD7195"/>
    <w:rsid w:val="00CD71BD"/>
    <w:rsid w:val="00CE0475"/>
    <w:rsid w:val="00CE0964"/>
    <w:rsid w:val="00CE1BFA"/>
    <w:rsid w:val="00CE21A5"/>
    <w:rsid w:val="00CE2D14"/>
    <w:rsid w:val="00CE2DFD"/>
    <w:rsid w:val="00CE2F24"/>
    <w:rsid w:val="00CE3D72"/>
    <w:rsid w:val="00CE4118"/>
    <w:rsid w:val="00CE41C0"/>
    <w:rsid w:val="00CE570A"/>
    <w:rsid w:val="00CE58AA"/>
    <w:rsid w:val="00CE5AC6"/>
    <w:rsid w:val="00CE64F6"/>
    <w:rsid w:val="00CE66AE"/>
    <w:rsid w:val="00CE70D5"/>
    <w:rsid w:val="00CE780F"/>
    <w:rsid w:val="00CF0B51"/>
    <w:rsid w:val="00CF1CCE"/>
    <w:rsid w:val="00CF2212"/>
    <w:rsid w:val="00CF2408"/>
    <w:rsid w:val="00CF4E18"/>
    <w:rsid w:val="00CF4F80"/>
    <w:rsid w:val="00CF6B83"/>
    <w:rsid w:val="00CF7149"/>
    <w:rsid w:val="00D00498"/>
    <w:rsid w:val="00D02FC1"/>
    <w:rsid w:val="00D031C0"/>
    <w:rsid w:val="00D0356A"/>
    <w:rsid w:val="00D05C4A"/>
    <w:rsid w:val="00D068DB"/>
    <w:rsid w:val="00D07501"/>
    <w:rsid w:val="00D07979"/>
    <w:rsid w:val="00D100C2"/>
    <w:rsid w:val="00D10A05"/>
    <w:rsid w:val="00D1101D"/>
    <w:rsid w:val="00D116FF"/>
    <w:rsid w:val="00D12613"/>
    <w:rsid w:val="00D12D87"/>
    <w:rsid w:val="00D14737"/>
    <w:rsid w:val="00D14C2C"/>
    <w:rsid w:val="00D14FAD"/>
    <w:rsid w:val="00D15558"/>
    <w:rsid w:val="00D16A43"/>
    <w:rsid w:val="00D16FBC"/>
    <w:rsid w:val="00D175D4"/>
    <w:rsid w:val="00D17874"/>
    <w:rsid w:val="00D17938"/>
    <w:rsid w:val="00D20488"/>
    <w:rsid w:val="00D20EED"/>
    <w:rsid w:val="00D210B7"/>
    <w:rsid w:val="00D22584"/>
    <w:rsid w:val="00D22C55"/>
    <w:rsid w:val="00D23D5C"/>
    <w:rsid w:val="00D243E4"/>
    <w:rsid w:val="00D24682"/>
    <w:rsid w:val="00D25046"/>
    <w:rsid w:val="00D255CA"/>
    <w:rsid w:val="00D26278"/>
    <w:rsid w:val="00D26D21"/>
    <w:rsid w:val="00D277EE"/>
    <w:rsid w:val="00D27DAD"/>
    <w:rsid w:val="00D30F0D"/>
    <w:rsid w:val="00D32217"/>
    <w:rsid w:val="00D3320A"/>
    <w:rsid w:val="00D33597"/>
    <w:rsid w:val="00D33D4E"/>
    <w:rsid w:val="00D346A5"/>
    <w:rsid w:val="00D35672"/>
    <w:rsid w:val="00D36D53"/>
    <w:rsid w:val="00D37271"/>
    <w:rsid w:val="00D376D9"/>
    <w:rsid w:val="00D37D5A"/>
    <w:rsid w:val="00D405D5"/>
    <w:rsid w:val="00D42658"/>
    <w:rsid w:val="00D42CFC"/>
    <w:rsid w:val="00D4354C"/>
    <w:rsid w:val="00D43841"/>
    <w:rsid w:val="00D44554"/>
    <w:rsid w:val="00D449AF"/>
    <w:rsid w:val="00D45B86"/>
    <w:rsid w:val="00D46313"/>
    <w:rsid w:val="00D46735"/>
    <w:rsid w:val="00D4725B"/>
    <w:rsid w:val="00D47E32"/>
    <w:rsid w:val="00D500D6"/>
    <w:rsid w:val="00D501C5"/>
    <w:rsid w:val="00D532FC"/>
    <w:rsid w:val="00D53DC3"/>
    <w:rsid w:val="00D5479B"/>
    <w:rsid w:val="00D548BB"/>
    <w:rsid w:val="00D55F6F"/>
    <w:rsid w:val="00D56898"/>
    <w:rsid w:val="00D56976"/>
    <w:rsid w:val="00D56D36"/>
    <w:rsid w:val="00D578A9"/>
    <w:rsid w:val="00D578B1"/>
    <w:rsid w:val="00D57DBD"/>
    <w:rsid w:val="00D60723"/>
    <w:rsid w:val="00D61796"/>
    <w:rsid w:val="00D618ED"/>
    <w:rsid w:val="00D618F2"/>
    <w:rsid w:val="00D62440"/>
    <w:rsid w:val="00D6325C"/>
    <w:rsid w:val="00D63C58"/>
    <w:rsid w:val="00D63DE3"/>
    <w:rsid w:val="00D643F5"/>
    <w:rsid w:val="00D64911"/>
    <w:rsid w:val="00D66264"/>
    <w:rsid w:val="00D67340"/>
    <w:rsid w:val="00D677CA"/>
    <w:rsid w:val="00D70346"/>
    <w:rsid w:val="00D71207"/>
    <w:rsid w:val="00D71DD0"/>
    <w:rsid w:val="00D71ED9"/>
    <w:rsid w:val="00D721F5"/>
    <w:rsid w:val="00D7221C"/>
    <w:rsid w:val="00D72EEA"/>
    <w:rsid w:val="00D73D07"/>
    <w:rsid w:val="00D7491E"/>
    <w:rsid w:val="00D749B3"/>
    <w:rsid w:val="00D749F4"/>
    <w:rsid w:val="00D74BBA"/>
    <w:rsid w:val="00D74F38"/>
    <w:rsid w:val="00D7642F"/>
    <w:rsid w:val="00D77188"/>
    <w:rsid w:val="00D77927"/>
    <w:rsid w:val="00D80317"/>
    <w:rsid w:val="00D82F40"/>
    <w:rsid w:val="00D8363E"/>
    <w:rsid w:val="00D860D3"/>
    <w:rsid w:val="00D86D60"/>
    <w:rsid w:val="00D90471"/>
    <w:rsid w:val="00D92718"/>
    <w:rsid w:val="00D92C74"/>
    <w:rsid w:val="00D93264"/>
    <w:rsid w:val="00D93774"/>
    <w:rsid w:val="00D93A43"/>
    <w:rsid w:val="00D942DD"/>
    <w:rsid w:val="00D94E48"/>
    <w:rsid w:val="00D95123"/>
    <w:rsid w:val="00D954FF"/>
    <w:rsid w:val="00D95915"/>
    <w:rsid w:val="00D95BED"/>
    <w:rsid w:val="00D96F61"/>
    <w:rsid w:val="00D97B40"/>
    <w:rsid w:val="00DA056F"/>
    <w:rsid w:val="00DA0803"/>
    <w:rsid w:val="00DA0E3C"/>
    <w:rsid w:val="00DA1B94"/>
    <w:rsid w:val="00DA2846"/>
    <w:rsid w:val="00DA2B74"/>
    <w:rsid w:val="00DA4133"/>
    <w:rsid w:val="00DA46F2"/>
    <w:rsid w:val="00DA5327"/>
    <w:rsid w:val="00DA69AD"/>
    <w:rsid w:val="00DA6A80"/>
    <w:rsid w:val="00DA788B"/>
    <w:rsid w:val="00DA7AAA"/>
    <w:rsid w:val="00DA7D35"/>
    <w:rsid w:val="00DB0455"/>
    <w:rsid w:val="00DB0474"/>
    <w:rsid w:val="00DB1464"/>
    <w:rsid w:val="00DB214B"/>
    <w:rsid w:val="00DB2173"/>
    <w:rsid w:val="00DB2A21"/>
    <w:rsid w:val="00DB2BA0"/>
    <w:rsid w:val="00DB37AB"/>
    <w:rsid w:val="00DB41A8"/>
    <w:rsid w:val="00DB4BFE"/>
    <w:rsid w:val="00DB4FFC"/>
    <w:rsid w:val="00DB5D05"/>
    <w:rsid w:val="00DB607E"/>
    <w:rsid w:val="00DB6325"/>
    <w:rsid w:val="00DB6D50"/>
    <w:rsid w:val="00DC03D2"/>
    <w:rsid w:val="00DC0D8D"/>
    <w:rsid w:val="00DC1FCA"/>
    <w:rsid w:val="00DC244E"/>
    <w:rsid w:val="00DC33CA"/>
    <w:rsid w:val="00DC5060"/>
    <w:rsid w:val="00DC774C"/>
    <w:rsid w:val="00DD07C3"/>
    <w:rsid w:val="00DD09E0"/>
    <w:rsid w:val="00DD0B89"/>
    <w:rsid w:val="00DD0D44"/>
    <w:rsid w:val="00DD1264"/>
    <w:rsid w:val="00DD138C"/>
    <w:rsid w:val="00DD1493"/>
    <w:rsid w:val="00DD1BF0"/>
    <w:rsid w:val="00DD1ECD"/>
    <w:rsid w:val="00DD2903"/>
    <w:rsid w:val="00DD42C3"/>
    <w:rsid w:val="00DD4920"/>
    <w:rsid w:val="00DD5DF6"/>
    <w:rsid w:val="00DD66AA"/>
    <w:rsid w:val="00DD685E"/>
    <w:rsid w:val="00DD7092"/>
    <w:rsid w:val="00DD734D"/>
    <w:rsid w:val="00DD7BCA"/>
    <w:rsid w:val="00DE026A"/>
    <w:rsid w:val="00DE04ED"/>
    <w:rsid w:val="00DE0886"/>
    <w:rsid w:val="00DE1762"/>
    <w:rsid w:val="00DE18C3"/>
    <w:rsid w:val="00DE338F"/>
    <w:rsid w:val="00DE36A5"/>
    <w:rsid w:val="00DE4728"/>
    <w:rsid w:val="00DE4B90"/>
    <w:rsid w:val="00DE51D2"/>
    <w:rsid w:val="00DE57D5"/>
    <w:rsid w:val="00DE5A87"/>
    <w:rsid w:val="00DE63B7"/>
    <w:rsid w:val="00DE6C4F"/>
    <w:rsid w:val="00DE73C9"/>
    <w:rsid w:val="00DF0A85"/>
    <w:rsid w:val="00DF1012"/>
    <w:rsid w:val="00DF1BFF"/>
    <w:rsid w:val="00DF2753"/>
    <w:rsid w:val="00DF287E"/>
    <w:rsid w:val="00DF417B"/>
    <w:rsid w:val="00DF491E"/>
    <w:rsid w:val="00DF506C"/>
    <w:rsid w:val="00DF518C"/>
    <w:rsid w:val="00DF5BC2"/>
    <w:rsid w:val="00DF6EB0"/>
    <w:rsid w:val="00DF719B"/>
    <w:rsid w:val="00E001CF"/>
    <w:rsid w:val="00E0041E"/>
    <w:rsid w:val="00E0072F"/>
    <w:rsid w:val="00E0099B"/>
    <w:rsid w:val="00E00B81"/>
    <w:rsid w:val="00E00ECD"/>
    <w:rsid w:val="00E00EE8"/>
    <w:rsid w:val="00E01404"/>
    <w:rsid w:val="00E01D15"/>
    <w:rsid w:val="00E0246C"/>
    <w:rsid w:val="00E03EB2"/>
    <w:rsid w:val="00E04E94"/>
    <w:rsid w:val="00E05BC6"/>
    <w:rsid w:val="00E05CFF"/>
    <w:rsid w:val="00E0749C"/>
    <w:rsid w:val="00E07525"/>
    <w:rsid w:val="00E0796C"/>
    <w:rsid w:val="00E129A9"/>
    <w:rsid w:val="00E14607"/>
    <w:rsid w:val="00E14970"/>
    <w:rsid w:val="00E1608D"/>
    <w:rsid w:val="00E16989"/>
    <w:rsid w:val="00E1764E"/>
    <w:rsid w:val="00E17E2B"/>
    <w:rsid w:val="00E20218"/>
    <w:rsid w:val="00E209A9"/>
    <w:rsid w:val="00E20F0F"/>
    <w:rsid w:val="00E211F2"/>
    <w:rsid w:val="00E21CE1"/>
    <w:rsid w:val="00E22662"/>
    <w:rsid w:val="00E254FC"/>
    <w:rsid w:val="00E255FC"/>
    <w:rsid w:val="00E25B99"/>
    <w:rsid w:val="00E2616E"/>
    <w:rsid w:val="00E273D5"/>
    <w:rsid w:val="00E27A9E"/>
    <w:rsid w:val="00E30131"/>
    <w:rsid w:val="00E3239A"/>
    <w:rsid w:val="00E3375F"/>
    <w:rsid w:val="00E338AC"/>
    <w:rsid w:val="00E33F4F"/>
    <w:rsid w:val="00E340E7"/>
    <w:rsid w:val="00E346E3"/>
    <w:rsid w:val="00E34F51"/>
    <w:rsid w:val="00E3559D"/>
    <w:rsid w:val="00E355D4"/>
    <w:rsid w:val="00E3585D"/>
    <w:rsid w:val="00E365FB"/>
    <w:rsid w:val="00E368ED"/>
    <w:rsid w:val="00E400BD"/>
    <w:rsid w:val="00E41080"/>
    <w:rsid w:val="00E41D71"/>
    <w:rsid w:val="00E43480"/>
    <w:rsid w:val="00E43ACF"/>
    <w:rsid w:val="00E43B1B"/>
    <w:rsid w:val="00E45624"/>
    <w:rsid w:val="00E45FDF"/>
    <w:rsid w:val="00E4638A"/>
    <w:rsid w:val="00E46C90"/>
    <w:rsid w:val="00E50100"/>
    <w:rsid w:val="00E52414"/>
    <w:rsid w:val="00E535C9"/>
    <w:rsid w:val="00E5406D"/>
    <w:rsid w:val="00E546C4"/>
    <w:rsid w:val="00E54BA1"/>
    <w:rsid w:val="00E55013"/>
    <w:rsid w:val="00E55BE2"/>
    <w:rsid w:val="00E57310"/>
    <w:rsid w:val="00E60210"/>
    <w:rsid w:val="00E60E60"/>
    <w:rsid w:val="00E60EB0"/>
    <w:rsid w:val="00E60F1F"/>
    <w:rsid w:val="00E61BB1"/>
    <w:rsid w:val="00E62107"/>
    <w:rsid w:val="00E62116"/>
    <w:rsid w:val="00E62E58"/>
    <w:rsid w:val="00E62F7F"/>
    <w:rsid w:val="00E63285"/>
    <w:rsid w:val="00E63869"/>
    <w:rsid w:val="00E63BC7"/>
    <w:rsid w:val="00E642F4"/>
    <w:rsid w:val="00E6534A"/>
    <w:rsid w:val="00E65756"/>
    <w:rsid w:val="00E70119"/>
    <w:rsid w:val="00E7058E"/>
    <w:rsid w:val="00E707CB"/>
    <w:rsid w:val="00E70EA6"/>
    <w:rsid w:val="00E713AB"/>
    <w:rsid w:val="00E713B5"/>
    <w:rsid w:val="00E71712"/>
    <w:rsid w:val="00E7271C"/>
    <w:rsid w:val="00E72CED"/>
    <w:rsid w:val="00E72F22"/>
    <w:rsid w:val="00E735A3"/>
    <w:rsid w:val="00E73716"/>
    <w:rsid w:val="00E74A7E"/>
    <w:rsid w:val="00E74CB2"/>
    <w:rsid w:val="00E76719"/>
    <w:rsid w:val="00E76F83"/>
    <w:rsid w:val="00E77BEF"/>
    <w:rsid w:val="00E80AF8"/>
    <w:rsid w:val="00E8160D"/>
    <w:rsid w:val="00E81BF1"/>
    <w:rsid w:val="00E83349"/>
    <w:rsid w:val="00E83E17"/>
    <w:rsid w:val="00E84932"/>
    <w:rsid w:val="00E85918"/>
    <w:rsid w:val="00E86376"/>
    <w:rsid w:val="00E86963"/>
    <w:rsid w:val="00E8714B"/>
    <w:rsid w:val="00E87508"/>
    <w:rsid w:val="00E876C9"/>
    <w:rsid w:val="00E87A44"/>
    <w:rsid w:val="00E90906"/>
    <w:rsid w:val="00E91D6E"/>
    <w:rsid w:val="00E93333"/>
    <w:rsid w:val="00E93A04"/>
    <w:rsid w:val="00E942F4"/>
    <w:rsid w:val="00E94437"/>
    <w:rsid w:val="00E9443F"/>
    <w:rsid w:val="00E945AA"/>
    <w:rsid w:val="00E94E55"/>
    <w:rsid w:val="00E9702F"/>
    <w:rsid w:val="00E97EAC"/>
    <w:rsid w:val="00EA1799"/>
    <w:rsid w:val="00EA17E7"/>
    <w:rsid w:val="00EA2538"/>
    <w:rsid w:val="00EA2CEB"/>
    <w:rsid w:val="00EA42A5"/>
    <w:rsid w:val="00EA662D"/>
    <w:rsid w:val="00EA6850"/>
    <w:rsid w:val="00EA7633"/>
    <w:rsid w:val="00EA7DB6"/>
    <w:rsid w:val="00EB094B"/>
    <w:rsid w:val="00EB099F"/>
    <w:rsid w:val="00EB27CF"/>
    <w:rsid w:val="00EB3D21"/>
    <w:rsid w:val="00EB4B2C"/>
    <w:rsid w:val="00EB500D"/>
    <w:rsid w:val="00EB546E"/>
    <w:rsid w:val="00EB55C1"/>
    <w:rsid w:val="00EB6D9D"/>
    <w:rsid w:val="00EC1248"/>
    <w:rsid w:val="00EC15CF"/>
    <w:rsid w:val="00EC2A4B"/>
    <w:rsid w:val="00EC3437"/>
    <w:rsid w:val="00EC3494"/>
    <w:rsid w:val="00EC396C"/>
    <w:rsid w:val="00EC40F0"/>
    <w:rsid w:val="00EC4473"/>
    <w:rsid w:val="00EC4BA5"/>
    <w:rsid w:val="00EC4E58"/>
    <w:rsid w:val="00EC60A0"/>
    <w:rsid w:val="00EC7BB5"/>
    <w:rsid w:val="00ED3BBF"/>
    <w:rsid w:val="00ED3EF6"/>
    <w:rsid w:val="00ED5DFE"/>
    <w:rsid w:val="00ED6BDE"/>
    <w:rsid w:val="00ED73F3"/>
    <w:rsid w:val="00ED777F"/>
    <w:rsid w:val="00ED7BC0"/>
    <w:rsid w:val="00EE1527"/>
    <w:rsid w:val="00EE1C50"/>
    <w:rsid w:val="00EE209C"/>
    <w:rsid w:val="00EE2146"/>
    <w:rsid w:val="00EE38BC"/>
    <w:rsid w:val="00EE4234"/>
    <w:rsid w:val="00EE4997"/>
    <w:rsid w:val="00EF040B"/>
    <w:rsid w:val="00EF05E2"/>
    <w:rsid w:val="00EF0E26"/>
    <w:rsid w:val="00EF1783"/>
    <w:rsid w:val="00EF1C04"/>
    <w:rsid w:val="00EF20B6"/>
    <w:rsid w:val="00EF2CEB"/>
    <w:rsid w:val="00EF2E90"/>
    <w:rsid w:val="00EF3163"/>
    <w:rsid w:val="00EF3822"/>
    <w:rsid w:val="00EF3FFD"/>
    <w:rsid w:val="00EF59D8"/>
    <w:rsid w:val="00EF5AAF"/>
    <w:rsid w:val="00EF5F6C"/>
    <w:rsid w:val="00EF6391"/>
    <w:rsid w:val="00F00414"/>
    <w:rsid w:val="00F00CDA"/>
    <w:rsid w:val="00F00EA8"/>
    <w:rsid w:val="00F0360D"/>
    <w:rsid w:val="00F0405D"/>
    <w:rsid w:val="00F0427D"/>
    <w:rsid w:val="00F05531"/>
    <w:rsid w:val="00F055B5"/>
    <w:rsid w:val="00F06EE7"/>
    <w:rsid w:val="00F07562"/>
    <w:rsid w:val="00F078FD"/>
    <w:rsid w:val="00F07DD5"/>
    <w:rsid w:val="00F100EE"/>
    <w:rsid w:val="00F115B8"/>
    <w:rsid w:val="00F125E6"/>
    <w:rsid w:val="00F12F68"/>
    <w:rsid w:val="00F13044"/>
    <w:rsid w:val="00F138EA"/>
    <w:rsid w:val="00F13D79"/>
    <w:rsid w:val="00F15B90"/>
    <w:rsid w:val="00F15BA7"/>
    <w:rsid w:val="00F16E76"/>
    <w:rsid w:val="00F17D5E"/>
    <w:rsid w:val="00F21D41"/>
    <w:rsid w:val="00F22B87"/>
    <w:rsid w:val="00F24044"/>
    <w:rsid w:val="00F24640"/>
    <w:rsid w:val="00F2488F"/>
    <w:rsid w:val="00F24949"/>
    <w:rsid w:val="00F2499D"/>
    <w:rsid w:val="00F24CFB"/>
    <w:rsid w:val="00F26B4C"/>
    <w:rsid w:val="00F2732B"/>
    <w:rsid w:val="00F2775F"/>
    <w:rsid w:val="00F30361"/>
    <w:rsid w:val="00F31079"/>
    <w:rsid w:val="00F31D68"/>
    <w:rsid w:val="00F32824"/>
    <w:rsid w:val="00F34463"/>
    <w:rsid w:val="00F345BF"/>
    <w:rsid w:val="00F34B80"/>
    <w:rsid w:val="00F36D7D"/>
    <w:rsid w:val="00F41773"/>
    <w:rsid w:val="00F41C3F"/>
    <w:rsid w:val="00F42016"/>
    <w:rsid w:val="00F42EC7"/>
    <w:rsid w:val="00F4442B"/>
    <w:rsid w:val="00F450A8"/>
    <w:rsid w:val="00F45E8F"/>
    <w:rsid w:val="00F45F74"/>
    <w:rsid w:val="00F461A7"/>
    <w:rsid w:val="00F465AC"/>
    <w:rsid w:val="00F46BAF"/>
    <w:rsid w:val="00F46CD9"/>
    <w:rsid w:val="00F47E05"/>
    <w:rsid w:val="00F51850"/>
    <w:rsid w:val="00F52587"/>
    <w:rsid w:val="00F5369A"/>
    <w:rsid w:val="00F53FC1"/>
    <w:rsid w:val="00F55998"/>
    <w:rsid w:val="00F55CE0"/>
    <w:rsid w:val="00F56860"/>
    <w:rsid w:val="00F56F90"/>
    <w:rsid w:val="00F57654"/>
    <w:rsid w:val="00F60ADB"/>
    <w:rsid w:val="00F6431B"/>
    <w:rsid w:val="00F64519"/>
    <w:rsid w:val="00F649D4"/>
    <w:rsid w:val="00F66BA5"/>
    <w:rsid w:val="00F67BC7"/>
    <w:rsid w:val="00F7197D"/>
    <w:rsid w:val="00F71F11"/>
    <w:rsid w:val="00F727A3"/>
    <w:rsid w:val="00F72F93"/>
    <w:rsid w:val="00F73C17"/>
    <w:rsid w:val="00F75344"/>
    <w:rsid w:val="00F75391"/>
    <w:rsid w:val="00F75A8C"/>
    <w:rsid w:val="00F77851"/>
    <w:rsid w:val="00F82140"/>
    <w:rsid w:val="00F830DC"/>
    <w:rsid w:val="00F83FBF"/>
    <w:rsid w:val="00F84940"/>
    <w:rsid w:val="00F84A87"/>
    <w:rsid w:val="00F852EC"/>
    <w:rsid w:val="00F85321"/>
    <w:rsid w:val="00F85695"/>
    <w:rsid w:val="00F879B0"/>
    <w:rsid w:val="00F901BB"/>
    <w:rsid w:val="00F903BC"/>
    <w:rsid w:val="00F9278A"/>
    <w:rsid w:val="00F95B17"/>
    <w:rsid w:val="00F95D25"/>
    <w:rsid w:val="00F95D4C"/>
    <w:rsid w:val="00F9622A"/>
    <w:rsid w:val="00F973C6"/>
    <w:rsid w:val="00F97B22"/>
    <w:rsid w:val="00F97E79"/>
    <w:rsid w:val="00FA0780"/>
    <w:rsid w:val="00FA084C"/>
    <w:rsid w:val="00FA0BB9"/>
    <w:rsid w:val="00FA0DEB"/>
    <w:rsid w:val="00FA1110"/>
    <w:rsid w:val="00FA2CCA"/>
    <w:rsid w:val="00FA35FF"/>
    <w:rsid w:val="00FA39F4"/>
    <w:rsid w:val="00FA4CD0"/>
    <w:rsid w:val="00FA74AB"/>
    <w:rsid w:val="00FA7944"/>
    <w:rsid w:val="00FB019F"/>
    <w:rsid w:val="00FB0539"/>
    <w:rsid w:val="00FB055A"/>
    <w:rsid w:val="00FB05F5"/>
    <w:rsid w:val="00FB0FD4"/>
    <w:rsid w:val="00FB1ACE"/>
    <w:rsid w:val="00FB27AB"/>
    <w:rsid w:val="00FB40FD"/>
    <w:rsid w:val="00FB49DA"/>
    <w:rsid w:val="00FB4B88"/>
    <w:rsid w:val="00FB4EF4"/>
    <w:rsid w:val="00FB50FC"/>
    <w:rsid w:val="00FB5BF6"/>
    <w:rsid w:val="00FB7508"/>
    <w:rsid w:val="00FC0409"/>
    <w:rsid w:val="00FC0E46"/>
    <w:rsid w:val="00FC0FAF"/>
    <w:rsid w:val="00FC1741"/>
    <w:rsid w:val="00FC178F"/>
    <w:rsid w:val="00FC259F"/>
    <w:rsid w:val="00FC2764"/>
    <w:rsid w:val="00FC29AD"/>
    <w:rsid w:val="00FC308A"/>
    <w:rsid w:val="00FC4E49"/>
    <w:rsid w:val="00FC572B"/>
    <w:rsid w:val="00FC5C2E"/>
    <w:rsid w:val="00FD06FD"/>
    <w:rsid w:val="00FD08A6"/>
    <w:rsid w:val="00FD1AEF"/>
    <w:rsid w:val="00FD2558"/>
    <w:rsid w:val="00FD2572"/>
    <w:rsid w:val="00FD2A8A"/>
    <w:rsid w:val="00FD34BA"/>
    <w:rsid w:val="00FD40C1"/>
    <w:rsid w:val="00FD46E0"/>
    <w:rsid w:val="00FD6232"/>
    <w:rsid w:val="00FD6435"/>
    <w:rsid w:val="00FD6AAD"/>
    <w:rsid w:val="00FD6D25"/>
    <w:rsid w:val="00FD709D"/>
    <w:rsid w:val="00FD7C84"/>
    <w:rsid w:val="00FE02B5"/>
    <w:rsid w:val="00FE03B2"/>
    <w:rsid w:val="00FE10FF"/>
    <w:rsid w:val="00FE23E7"/>
    <w:rsid w:val="00FE2541"/>
    <w:rsid w:val="00FE2FA7"/>
    <w:rsid w:val="00FE335C"/>
    <w:rsid w:val="00FE47DF"/>
    <w:rsid w:val="00FE5238"/>
    <w:rsid w:val="00FE5553"/>
    <w:rsid w:val="00FE5670"/>
    <w:rsid w:val="00FE58FD"/>
    <w:rsid w:val="00FF04B6"/>
    <w:rsid w:val="00FF096D"/>
    <w:rsid w:val="00FF2335"/>
    <w:rsid w:val="00FF406A"/>
    <w:rsid w:val="00FF505D"/>
    <w:rsid w:val="00FF7E47"/>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ECBC4D2"/>
  <w15:docId w15:val="{771418BC-8AE2-448D-9866-159EA3A6C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39F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370C"/>
    <w:pPr>
      <w:ind w:left="720"/>
      <w:contextualSpacing/>
    </w:pPr>
  </w:style>
  <w:style w:type="paragraph" w:styleId="Title">
    <w:name w:val="Title"/>
    <w:basedOn w:val="Normal"/>
    <w:next w:val="Normal"/>
    <w:link w:val="TitleChar"/>
    <w:qFormat/>
    <w:rsid w:val="003B370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3B37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370C"/>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B370C"/>
    <w:rPr>
      <w:rFonts w:eastAsiaTheme="minorEastAsia"/>
      <w:color w:val="5A5A5A" w:themeColor="text1" w:themeTint="A5"/>
      <w:spacing w:val="15"/>
    </w:rPr>
  </w:style>
  <w:style w:type="character" w:styleId="Hyperlink">
    <w:name w:val="Hyperlink"/>
    <w:basedOn w:val="DefaultParagraphFont"/>
    <w:uiPriority w:val="99"/>
    <w:unhideWhenUsed/>
    <w:rsid w:val="00DF506C"/>
    <w:rPr>
      <w:color w:val="0563C1" w:themeColor="hyperlink"/>
      <w:u w:val="single"/>
    </w:rPr>
  </w:style>
  <w:style w:type="character" w:styleId="LineNumber">
    <w:name w:val="line number"/>
    <w:basedOn w:val="DefaultParagraphFont"/>
    <w:uiPriority w:val="99"/>
    <w:semiHidden/>
    <w:unhideWhenUsed/>
    <w:rsid w:val="00352A54"/>
  </w:style>
  <w:style w:type="paragraph" w:styleId="FootnoteText">
    <w:name w:val="footnote text"/>
    <w:basedOn w:val="Normal"/>
    <w:link w:val="FootnoteTextChar"/>
    <w:uiPriority w:val="99"/>
    <w:unhideWhenUsed/>
    <w:rsid w:val="00E80AF8"/>
    <w:pPr>
      <w:spacing w:after="0" w:line="240" w:lineRule="auto"/>
    </w:pPr>
    <w:rPr>
      <w:sz w:val="20"/>
      <w:szCs w:val="20"/>
    </w:rPr>
  </w:style>
  <w:style w:type="character" w:customStyle="1" w:styleId="FootnoteTextChar">
    <w:name w:val="Footnote Text Char"/>
    <w:basedOn w:val="DefaultParagraphFont"/>
    <w:link w:val="FootnoteText"/>
    <w:uiPriority w:val="99"/>
    <w:rsid w:val="00E80AF8"/>
    <w:rPr>
      <w:sz w:val="20"/>
      <w:szCs w:val="20"/>
    </w:rPr>
  </w:style>
  <w:style w:type="character" w:styleId="FootnoteReference">
    <w:name w:val="footnote reference"/>
    <w:basedOn w:val="DefaultParagraphFont"/>
    <w:uiPriority w:val="99"/>
    <w:semiHidden/>
    <w:unhideWhenUsed/>
    <w:rsid w:val="00E80AF8"/>
    <w:rPr>
      <w:vertAlign w:val="superscript"/>
    </w:rPr>
  </w:style>
  <w:style w:type="character" w:styleId="CommentReference">
    <w:name w:val="annotation reference"/>
    <w:basedOn w:val="DefaultParagraphFont"/>
    <w:uiPriority w:val="99"/>
    <w:semiHidden/>
    <w:unhideWhenUsed/>
    <w:rsid w:val="00D405D5"/>
    <w:rPr>
      <w:sz w:val="16"/>
      <w:szCs w:val="16"/>
    </w:rPr>
  </w:style>
  <w:style w:type="paragraph" w:styleId="CommentText">
    <w:name w:val="annotation text"/>
    <w:basedOn w:val="Normal"/>
    <w:link w:val="CommentTextChar"/>
    <w:uiPriority w:val="99"/>
    <w:unhideWhenUsed/>
    <w:rsid w:val="00D405D5"/>
    <w:pPr>
      <w:spacing w:line="240" w:lineRule="auto"/>
    </w:pPr>
    <w:rPr>
      <w:sz w:val="20"/>
      <w:szCs w:val="20"/>
    </w:rPr>
  </w:style>
  <w:style w:type="character" w:customStyle="1" w:styleId="CommentTextChar">
    <w:name w:val="Comment Text Char"/>
    <w:basedOn w:val="DefaultParagraphFont"/>
    <w:link w:val="CommentText"/>
    <w:uiPriority w:val="99"/>
    <w:rsid w:val="00D405D5"/>
    <w:rPr>
      <w:sz w:val="20"/>
      <w:szCs w:val="20"/>
    </w:rPr>
  </w:style>
  <w:style w:type="paragraph" w:styleId="CommentSubject">
    <w:name w:val="annotation subject"/>
    <w:basedOn w:val="CommentText"/>
    <w:next w:val="CommentText"/>
    <w:link w:val="CommentSubjectChar"/>
    <w:uiPriority w:val="99"/>
    <w:semiHidden/>
    <w:unhideWhenUsed/>
    <w:rsid w:val="00D405D5"/>
    <w:rPr>
      <w:b/>
      <w:bCs/>
    </w:rPr>
  </w:style>
  <w:style w:type="character" w:customStyle="1" w:styleId="CommentSubjectChar">
    <w:name w:val="Comment Subject Char"/>
    <w:basedOn w:val="CommentTextChar"/>
    <w:link w:val="CommentSubject"/>
    <w:uiPriority w:val="99"/>
    <w:semiHidden/>
    <w:rsid w:val="00D405D5"/>
    <w:rPr>
      <w:b/>
      <w:bCs/>
      <w:sz w:val="20"/>
      <w:szCs w:val="20"/>
    </w:rPr>
  </w:style>
  <w:style w:type="paragraph" w:styleId="BalloonText">
    <w:name w:val="Balloon Text"/>
    <w:basedOn w:val="Normal"/>
    <w:link w:val="BalloonTextChar"/>
    <w:uiPriority w:val="99"/>
    <w:semiHidden/>
    <w:unhideWhenUsed/>
    <w:rsid w:val="00D405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05D5"/>
    <w:rPr>
      <w:rFonts w:ascii="Segoe UI" w:hAnsi="Segoe UI" w:cs="Segoe UI"/>
      <w:sz w:val="18"/>
      <w:szCs w:val="18"/>
    </w:rPr>
  </w:style>
  <w:style w:type="character" w:customStyle="1" w:styleId="apple-converted-space">
    <w:name w:val="apple-converted-space"/>
    <w:basedOn w:val="DefaultParagraphFont"/>
    <w:rsid w:val="00DC0D8D"/>
  </w:style>
  <w:style w:type="paragraph" w:styleId="Caption">
    <w:name w:val="caption"/>
    <w:basedOn w:val="Normal"/>
    <w:next w:val="Normal"/>
    <w:uiPriority w:val="35"/>
    <w:unhideWhenUsed/>
    <w:qFormat/>
    <w:rsid w:val="00BC3108"/>
    <w:pPr>
      <w:spacing w:after="200" w:line="240" w:lineRule="auto"/>
    </w:pPr>
    <w:rPr>
      <w:i/>
      <w:iCs/>
      <w:color w:val="44546A" w:themeColor="text2"/>
      <w:sz w:val="18"/>
      <w:szCs w:val="18"/>
    </w:rPr>
  </w:style>
  <w:style w:type="paragraph" w:styleId="Header">
    <w:name w:val="header"/>
    <w:basedOn w:val="Normal"/>
    <w:link w:val="HeaderChar"/>
    <w:uiPriority w:val="99"/>
    <w:unhideWhenUsed/>
    <w:rsid w:val="007B77F8"/>
    <w:pPr>
      <w:tabs>
        <w:tab w:val="center" w:pos="4819"/>
        <w:tab w:val="right" w:pos="9638"/>
      </w:tabs>
      <w:spacing w:after="0" w:line="240" w:lineRule="auto"/>
    </w:pPr>
  </w:style>
  <w:style w:type="character" w:customStyle="1" w:styleId="HeaderChar">
    <w:name w:val="Header Char"/>
    <w:basedOn w:val="DefaultParagraphFont"/>
    <w:link w:val="Header"/>
    <w:uiPriority w:val="99"/>
    <w:rsid w:val="007B77F8"/>
  </w:style>
  <w:style w:type="paragraph" w:styleId="Footer">
    <w:name w:val="footer"/>
    <w:basedOn w:val="Normal"/>
    <w:link w:val="FooterChar"/>
    <w:uiPriority w:val="99"/>
    <w:unhideWhenUsed/>
    <w:rsid w:val="007B77F8"/>
    <w:pPr>
      <w:tabs>
        <w:tab w:val="center" w:pos="4819"/>
        <w:tab w:val="right" w:pos="9638"/>
      </w:tabs>
      <w:spacing w:after="0" w:line="240" w:lineRule="auto"/>
    </w:pPr>
  </w:style>
  <w:style w:type="character" w:customStyle="1" w:styleId="FooterChar">
    <w:name w:val="Footer Char"/>
    <w:basedOn w:val="DefaultParagraphFont"/>
    <w:link w:val="Footer"/>
    <w:uiPriority w:val="99"/>
    <w:rsid w:val="007B77F8"/>
  </w:style>
  <w:style w:type="character" w:styleId="Emphasis">
    <w:name w:val="Emphasis"/>
    <w:basedOn w:val="DefaultParagraphFont"/>
    <w:uiPriority w:val="20"/>
    <w:qFormat/>
    <w:rsid w:val="00C15E00"/>
    <w:rPr>
      <w:i/>
      <w:iCs/>
    </w:rPr>
  </w:style>
  <w:style w:type="character" w:styleId="EndnoteReference">
    <w:name w:val="endnote reference"/>
    <w:basedOn w:val="DefaultParagraphFont"/>
    <w:uiPriority w:val="99"/>
    <w:semiHidden/>
    <w:unhideWhenUsed/>
    <w:rsid w:val="0088066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28534">
      <w:bodyDiv w:val="1"/>
      <w:marLeft w:val="0"/>
      <w:marRight w:val="0"/>
      <w:marTop w:val="0"/>
      <w:marBottom w:val="0"/>
      <w:divBdr>
        <w:top w:val="none" w:sz="0" w:space="0" w:color="auto"/>
        <w:left w:val="none" w:sz="0" w:space="0" w:color="auto"/>
        <w:bottom w:val="none" w:sz="0" w:space="0" w:color="auto"/>
        <w:right w:val="none" w:sz="0" w:space="0" w:color="auto"/>
      </w:divBdr>
    </w:div>
    <w:div w:id="111559477">
      <w:bodyDiv w:val="1"/>
      <w:marLeft w:val="0"/>
      <w:marRight w:val="0"/>
      <w:marTop w:val="0"/>
      <w:marBottom w:val="0"/>
      <w:divBdr>
        <w:top w:val="none" w:sz="0" w:space="0" w:color="auto"/>
        <w:left w:val="none" w:sz="0" w:space="0" w:color="auto"/>
        <w:bottom w:val="none" w:sz="0" w:space="0" w:color="auto"/>
        <w:right w:val="none" w:sz="0" w:space="0" w:color="auto"/>
      </w:divBdr>
    </w:div>
    <w:div w:id="129522848">
      <w:bodyDiv w:val="1"/>
      <w:marLeft w:val="0"/>
      <w:marRight w:val="0"/>
      <w:marTop w:val="0"/>
      <w:marBottom w:val="0"/>
      <w:divBdr>
        <w:top w:val="none" w:sz="0" w:space="0" w:color="auto"/>
        <w:left w:val="none" w:sz="0" w:space="0" w:color="auto"/>
        <w:bottom w:val="none" w:sz="0" w:space="0" w:color="auto"/>
        <w:right w:val="none" w:sz="0" w:space="0" w:color="auto"/>
      </w:divBdr>
    </w:div>
    <w:div w:id="196116014">
      <w:bodyDiv w:val="1"/>
      <w:marLeft w:val="0"/>
      <w:marRight w:val="0"/>
      <w:marTop w:val="0"/>
      <w:marBottom w:val="0"/>
      <w:divBdr>
        <w:top w:val="none" w:sz="0" w:space="0" w:color="auto"/>
        <w:left w:val="none" w:sz="0" w:space="0" w:color="auto"/>
        <w:bottom w:val="none" w:sz="0" w:space="0" w:color="auto"/>
        <w:right w:val="none" w:sz="0" w:space="0" w:color="auto"/>
      </w:divBdr>
    </w:div>
    <w:div w:id="240918260">
      <w:bodyDiv w:val="1"/>
      <w:marLeft w:val="0"/>
      <w:marRight w:val="0"/>
      <w:marTop w:val="0"/>
      <w:marBottom w:val="0"/>
      <w:divBdr>
        <w:top w:val="none" w:sz="0" w:space="0" w:color="auto"/>
        <w:left w:val="none" w:sz="0" w:space="0" w:color="auto"/>
        <w:bottom w:val="none" w:sz="0" w:space="0" w:color="auto"/>
        <w:right w:val="none" w:sz="0" w:space="0" w:color="auto"/>
      </w:divBdr>
    </w:div>
    <w:div w:id="250088468">
      <w:bodyDiv w:val="1"/>
      <w:marLeft w:val="0"/>
      <w:marRight w:val="0"/>
      <w:marTop w:val="0"/>
      <w:marBottom w:val="0"/>
      <w:divBdr>
        <w:top w:val="none" w:sz="0" w:space="0" w:color="auto"/>
        <w:left w:val="none" w:sz="0" w:space="0" w:color="auto"/>
        <w:bottom w:val="none" w:sz="0" w:space="0" w:color="auto"/>
        <w:right w:val="none" w:sz="0" w:space="0" w:color="auto"/>
      </w:divBdr>
    </w:div>
    <w:div w:id="349642328">
      <w:bodyDiv w:val="1"/>
      <w:marLeft w:val="0"/>
      <w:marRight w:val="0"/>
      <w:marTop w:val="0"/>
      <w:marBottom w:val="0"/>
      <w:divBdr>
        <w:top w:val="none" w:sz="0" w:space="0" w:color="auto"/>
        <w:left w:val="none" w:sz="0" w:space="0" w:color="auto"/>
        <w:bottom w:val="none" w:sz="0" w:space="0" w:color="auto"/>
        <w:right w:val="none" w:sz="0" w:space="0" w:color="auto"/>
      </w:divBdr>
    </w:div>
    <w:div w:id="357782047">
      <w:bodyDiv w:val="1"/>
      <w:marLeft w:val="0"/>
      <w:marRight w:val="0"/>
      <w:marTop w:val="0"/>
      <w:marBottom w:val="0"/>
      <w:divBdr>
        <w:top w:val="none" w:sz="0" w:space="0" w:color="auto"/>
        <w:left w:val="none" w:sz="0" w:space="0" w:color="auto"/>
        <w:bottom w:val="none" w:sz="0" w:space="0" w:color="auto"/>
        <w:right w:val="none" w:sz="0" w:space="0" w:color="auto"/>
      </w:divBdr>
    </w:div>
    <w:div w:id="406535121">
      <w:bodyDiv w:val="1"/>
      <w:marLeft w:val="0"/>
      <w:marRight w:val="0"/>
      <w:marTop w:val="0"/>
      <w:marBottom w:val="0"/>
      <w:divBdr>
        <w:top w:val="none" w:sz="0" w:space="0" w:color="auto"/>
        <w:left w:val="none" w:sz="0" w:space="0" w:color="auto"/>
        <w:bottom w:val="none" w:sz="0" w:space="0" w:color="auto"/>
        <w:right w:val="none" w:sz="0" w:space="0" w:color="auto"/>
      </w:divBdr>
    </w:div>
    <w:div w:id="408963522">
      <w:bodyDiv w:val="1"/>
      <w:marLeft w:val="0"/>
      <w:marRight w:val="0"/>
      <w:marTop w:val="0"/>
      <w:marBottom w:val="0"/>
      <w:divBdr>
        <w:top w:val="none" w:sz="0" w:space="0" w:color="auto"/>
        <w:left w:val="none" w:sz="0" w:space="0" w:color="auto"/>
        <w:bottom w:val="none" w:sz="0" w:space="0" w:color="auto"/>
        <w:right w:val="none" w:sz="0" w:space="0" w:color="auto"/>
      </w:divBdr>
    </w:div>
    <w:div w:id="507713176">
      <w:bodyDiv w:val="1"/>
      <w:marLeft w:val="0"/>
      <w:marRight w:val="0"/>
      <w:marTop w:val="0"/>
      <w:marBottom w:val="0"/>
      <w:divBdr>
        <w:top w:val="none" w:sz="0" w:space="0" w:color="auto"/>
        <w:left w:val="none" w:sz="0" w:space="0" w:color="auto"/>
        <w:bottom w:val="none" w:sz="0" w:space="0" w:color="auto"/>
        <w:right w:val="none" w:sz="0" w:space="0" w:color="auto"/>
      </w:divBdr>
    </w:div>
    <w:div w:id="536938739">
      <w:bodyDiv w:val="1"/>
      <w:marLeft w:val="0"/>
      <w:marRight w:val="0"/>
      <w:marTop w:val="0"/>
      <w:marBottom w:val="0"/>
      <w:divBdr>
        <w:top w:val="none" w:sz="0" w:space="0" w:color="auto"/>
        <w:left w:val="none" w:sz="0" w:space="0" w:color="auto"/>
        <w:bottom w:val="none" w:sz="0" w:space="0" w:color="auto"/>
        <w:right w:val="none" w:sz="0" w:space="0" w:color="auto"/>
      </w:divBdr>
    </w:div>
    <w:div w:id="592401541">
      <w:bodyDiv w:val="1"/>
      <w:marLeft w:val="0"/>
      <w:marRight w:val="0"/>
      <w:marTop w:val="0"/>
      <w:marBottom w:val="0"/>
      <w:divBdr>
        <w:top w:val="none" w:sz="0" w:space="0" w:color="auto"/>
        <w:left w:val="none" w:sz="0" w:space="0" w:color="auto"/>
        <w:bottom w:val="none" w:sz="0" w:space="0" w:color="auto"/>
        <w:right w:val="none" w:sz="0" w:space="0" w:color="auto"/>
      </w:divBdr>
    </w:div>
    <w:div w:id="608271233">
      <w:bodyDiv w:val="1"/>
      <w:marLeft w:val="0"/>
      <w:marRight w:val="0"/>
      <w:marTop w:val="0"/>
      <w:marBottom w:val="0"/>
      <w:divBdr>
        <w:top w:val="none" w:sz="0" w:space="0" w:color="auto"/>
        <w:left w:val="none" w:sz="0" w:space="0" w:color="auto"/>
        <w:bottom w:val="none" w:sz="0" w:space="0" w:color="auto"/>
        <w:right w:val="none" w:sz="0" w:space="0" w:color="auto"/>
      </w:divBdr>
    </w:div>
    <w:div w:id="712583066">
      <w:bodyDiv w:val="1"/>
      <w:marLeft w:val="0"/>
      <w:marRight w:val="0"/>
      <w:marTop w:val="0"/>
      <w:marBottom w:val="0"/>
      <w:divBdr>
        <w:top w:val="none" w:sz="0" w:space="0" w:color="auto"/>
        <w:left w:val="none" w:sz="0" w:space="0" w:color="auto"/>
        <w:bottom w:val="none" w:sz="0" w:space="0" w:color="auto"/>
        <w:right w:val="none" w:sz="0" w:space="0" w:color="auto"/>
      </w:divBdr>
    </w:div>
    <w:div w:id="831335918">
      <w:bodyDiv w:val="1"/>
      <w:marLeft w:val="0"/>
      <w:marRight w:val="0"/>
      <w:marTop w:val="0"/>
      <w:marBottom w:val="0"/>
      <w:divBdr>
        <w:top w:val="none" w:sz="0" w:space="0" w:color="auto"/>
        <w:left w:val="none" w:sz="0" w:space="0" w:color="auto"/>
        <w:bottom w:val="none" w:sz="0" w:space="0" w:color="auto"/>
        <w:right w:val="none" w:sz="0" w:space="0" w:color="auto"/>
      </w:divBdr>
    </w:div>
    <w:div w:id="833032234">
      <w:bodyDiv w:val="1"/>
      <w:marLeft w:val="0"/>
      <w:marRight w:val="0"/>
      <w:marTop w:val="0"/>
      <w:marBottom w:val="0"/>
      <w:divBdr>
        <w:top w:val="none" w:sz="0" w:space="0" w:color="auto"/>
        <w:left w:val="none" w:sz="0" w:space="0" w:color="auto"/>
        <w:bottom w:val="none" w:sz="0" w:space="0" w:color="auto"/>
        <w:right w:val="none" w:sz="0" w:space="0" w:color="auto"/>
      </w:divBdr>
    </w:div>
    <w:div w:id="885214713">
      <w:bodyDiv w:val="1"/>
      <w:marLeft w:val="0"/>
      <w:marRight w:val="0"/>
      <w:marTop w:val="0"/>
      <w:marBottom w:val="0"/>
      <w:divBdr>
        <w:top w:val="none" w:sz="0" w:space="0" w:color="auto"/>
        <w:left w:val="none" w:sz="0" w:space="0" w:color="auto"/>
        <w:bottom w:val="none" w:sz="0" w:space="0" w:color="auto"/>
        <w:right w:val="none" w:sz="0" w:space="0" w:color="auto"/>
      </w:divBdr>
    </w:div>
    <w:div w:id="927152945">
      <w:bodyDiv w:val="1"/>
      <w:marLeft w:val="0"/>
      <w:marRight w:val="0"/>
      <w:marTop w:val="0"/>
      <w:marBottom w:val="0"/>
      <w:divBdr>
        <w:top w:val="none" w:sz="0" w:space="0" w:color="auto"/>
        <w:left w:val="none" w:sz="0" w:space="0" w:color="auto"/>
        <w:bottom w:val="none" w:sz="0" w:space="0" w:color="auto"/>
        <w:right w:val="none" w:sz="0" w:space="0" w:color="auto"/>
      </w:divBdr>
    </w:div>
    <w:div w:id="959460360">
      <w:bodyDiv w:val="1"/>
      <w:marLeft w:val="0"/>
      <w:marRight w:val="0"/>
      <w:marTop w:val="0"/>
      <w:marBottom w:val="0"/>
      <w:divBdr>
        <w:top w:val="none" w:sz="0" w:space="0" w:color="auto"/>
        <w:left w:val="none" w:sz="0" w:space="0" w:color="auto"/>
        <w:bottom w:val="none" w:sz="0" w:space="0" w:color="auto"/>
        <w:right w:val="none" w:sz="0" w:space="0" w:color="auto"/>
      </w:divBdr>
    </w:div>
    <w:div w:id="990912175">
      <w:bodyDiv w:val="1"/>
      <w:marLeft w:val="0"/>
      <w:marRight w:val="0"/>
      <w:marTop w:val="0"/>
      <w:marBottom w:val="0"/>
      <w:divBdr>
        <w:top w:val="none" w:sz="0" w:space="0" w:color="auto"/>
        <w:left w:val="none" w:sz="0" w:space="0" w:color="auto"/>
        <w:bottom w:val="none" w:sz="0" w:space="0" w:color="auto"/>
        <w:right w:val="none" w:sz="0" w:space="0" w:color="auto"/>
      </w:divBdr>
    </w:div>
    <w:div w:id="1023045890">
      <w:bodyDiv w:val="1"/>
      <w:marLeft w:val="0"/>
      <w:marRight w:val="0"/>
      <w:marTop w:val="0"/>
      <w:marBottom w:val="0"/>
      <w:divBdr>
        <w:top w:val="none" w:sz="0" w:space="0" w:color="auto"/>
        <w:left w:val="none" w:sz="0" w:space="0" w:color="auto"/>
        <w:bottom w:val="none" w:sz="0" w:space="0" w:color="auto"/>
        <w:right w:val="none" w:sz="0" w:space="0" w:color="auto"/>
      </w:divBdr>
    </w:div>
    <w:div w:id="1077636118">
      <w:bodyDiv w:val="1"/>
      <w:marLeft w:val="0"/>
      <w:marRight w:val="0"/>
      <w:marTop w:val="0"/>
      <w:marBottom w:val="0"/>
      <w:divBdr>
        <w:top w:val="none" w:sz="0" w:space="0" w:color="auto"/>
        <w:left w:val="none" w:sz="0" w:space="0" w:color="auto"/>
        <w:bottom w:val="none" w:sz="0" w:space="0" w:color="auto"/>
        <w:right w:val="none" w:sz="0" w:space="0" w:color="auto"/>
      </w:divBdr>
    </w:div>
    <w:div w:id="1171678688">
      <w:bodyDiv w:val="1"/>
      <w:marLeft w:val="0"/>
      <w:marRight w:val="0"/>
      <w:marTop w:val="0"/>
      <w:marBottom w:val="0"/>
      <w:divBdr>
        <w:top w:val="none" w:sz="0" w:space="0" w:color="auto"/>
        <w:left w:val="none" w:sz="0" w:space="0" w:color="auto"/>
        <w:bottom w:val="none" w:sz="0" w:space="0" w:color="auto"/>
        <w:right w:val="none" w:sz="0" w:space="0" w:color="auto"/>
      </w:divBdr>
    </w:div>
    <w:div w:id="1377201127">
      <w:bodyDiv w:val="1"/>
      <w:marLeft w:val="0"/>
      <w:marRight w:val="0"/>
      <w:marTop w:val="0"/>
      <w:marBottom w:val="0"/>
      <w:divBdr>
        <w:top w:val="none" w:sz="0" w:space="0" w:color="auto"/>
        <w:left w:val="none" w:sz="0" w:space="0" w:color="auto"/>
        <w:bottom w:val="none" w:sz="0" w:space="0" w:color="auto"/>
        <w:right w:val="none" w:sz="0" w:space="0" w:color="auto"/>
      </w:divBdr>
    </w:div>
    <w:div w:id="1417747426">
      <w:bodyDiv w:val="1"/>
      <w:marLeft w:val="0"/>
      <w:marRight w:val="0"/>
      <w:marTop w:val="0"/>
      <w:marBottom w:val="0"/>
      <w:divBdr>
        <w:top w:val="none" w:sz="0" w:space="0" w:color="auto"/>
        <w:left w:val="none" w:sz="0" w:space="0" w:color="auto"/>
        <w:bottom w:val="none" w:sz="0" w:space="0" w:color="auto"/>
        <w:right w:val="none" w:sz="0" w:space="0" w:color="auto"/>
      </w:divBdr>
    </w:div>
    <w:div w:id="1434326346">
      <w:bodyDiv w:val="1"/>
      <w:marLeft w:val="0"/>
      <w:marRight w:val="0"/>
      <w:marTop w:val="0"/>
      <w:marBottom w:val="0"/>
      <w:divBdr>
        <w:top w:val="none" w:sz="0" w:space="0" w:color="auto"/>
        <w:left w:val="none" w:sz="0" w:space="0" w:color="auto"/>
        <w:bottom w:val="none" w:sz="0" w:space="0" w:color="auto"/>
        <w:right w:val="none" w:sz="0" w:space="0" w:color="auto"/>
      </w:divBdr>
    </w:div>
    <w:div w:id="1465856194">
      <w:bodyDiv w:val="1"/>
      <w:marLeft w:val="0"/>
      <w:marRight w:val="0"/>
      <w:marTop w:val="0"/>
      <w:marBottom w:val="0"/>
      <w:divBdr>
        <w:top w:val="none" w:sz="0" w:space="0" w:color="auto"/>
        <w:left w:val="none" w:sz="0" w:space="0" w:color="auto"/>
        <w:bottom w:val="none" w:sz="0" w:space="0" w:color="auto"/>
        <w:right w:val="none" w:sz="0" w:space="0" w:color="auto"/>
      </w:divBdr>
    </w:div>
    <w:div w:id="1494906332">
      <w:bodyDiv w:val="1"/>
      <w:marLeft w:val="0"/>
      <w:marRight w:val="0"/>
      <w:marTop w:val="0"/>
      <w:marBottom w:val="0"/>
      <w:divBdr>
        <w:top w:val="none" w:sz="0" w:space="0" w:color="auto"/>
        <w:left w:val="none" w:sz="0" w:space="0" w:color="auto"/>
        <w:bottom w:val="none" w:sz="0" w:space="0" w:color="auto"/>
        <w:right w:val="none" w:sz="0" w:space="0" w:color="auto"/>
      </w:divBdr>
    </w:div>
    <w:div w:id="1544638619">
      <w:bodyDiv w:val="1"/>
      <w:marLeft w:val="0"/>
      <w:marRight w:val="0"/>
      <w:marTop w:val="0"/>
      <w:marBottom w:val="0"/>
      <w:divBdr>
        <w:top w:val="none" w:sz="0" w:space="0" w:color="auto"/>
        <w:left w:val="none" w:sz="0" w:space="0" w:color="auto"/>
        <w:bottom w:val="none" w:sz="0" w:space="0" w:color="auto"/>
        <w:right w:val="none" w:sz="0" w:space="0" w:color="auto"/>
      </w:divBdr>
    </w:div>
    <w:div w:id="1708330553">
      <w:bodyDiv w:val="1"/>
      <w:marLeft w:val="0"/>
      <w:marRight w:val="0"/>
      <w:marTop w:val="0"/>
      <w:marBottom w:val="0"/>
      <w:divBdr>
        <w:top w:val="none" w:sz="0" w:space="0" w:color="auto"/>
        <w:left w:val="none" w:sz="0" w:space="0" w:color="auto"/>
        <w:bottom w:val="none" w:sz="0" w:space="0" w:color="auto"/>
        <w:right w:val="none" w:sz="0" w:space="0" w:color="auto"/>
      </w:divBdr>
    </w:div>
    <w:div w:id="1767769627">
      <w:bodyDiv w:val="1"/>
      <w:marLeft w:val="0"/>
      <w:marRight w:val="0"/>
      <w:marTop w:val="0"/>
      <w:marBottom w:val="0"/>
      <w:divBdr>
        <w:top w:val="none" w:sz="0" w:space="0" w:color="auto"/>
        <w:left w:val="none" w:sz="0" w:space="0" w:color="auto"/>
        <w:bottom w:val="none" w:sz="0" w:space="0" w:color="auto"/>
        <w:right w:val="none" w:sz="0" w:space="0" w:color="auto"/>
      </w:divBdr>
    </w:div>
    <w:div w:id="1817869873">
      <w:bodyDiv w:val="1"/>
      <w:marLeft w:val="0"/>
      <w:marRight w:val="0"/>
      <w:marTop w:val="0"/>
      <w:marBottom w:val="0"/>
      <w:divBdr>
        <w:top w:val="none" w:sz="0" w:space="0" w:color="auto"/>
        <w:left w:val="none" w:sz="0" w:space="0" w:color="auto"/>
        <w:bottom w:val="none" w:sz="0" w:space="0" w:color="auto"/>
        <w:right w:val="none" w:sz="0" w:space="0" w:color="auto"/>
      </w:divBdr>
    </w:div>
    <w:div w:id="1832284580">
      <w:bodyDiv w:val="1"/>
      <w:marLeft w:val="0"/>
      <w:marRight w:val="0"/>
      <w:marTop w:val="0"/>
      <w:marBottom w:val="0"/>
      <w:divBdr>
        <w:top w:val="none" w:sz="0" w:space="0" w:color="auto"/>
        <w:left w:val="none" w:sz="0" w:space="0" w:color="auto"/>
        <w:bottom w:val="none" w:sz="0" w:space="0" w:color="auto"/>
        <w:right w:val="none" w:sz="0" w:space="0" w:color="auto"/>
      </w:divBdr>
    </w:div>
    <w:div w:id="1843348257">
      <w:bodyDiv w:val="1"/>
      <w:marLeft w:val="0"/>
      <w:marRight w:val="0"/>
      <w:marTop w:val="0"/>
      <w:marBottom w:val="0"/>
      <w:divBdr>
        <w:top w:val="none" w:sz="0" w:space="0" w:color="auto"/>
        <w:left w:val="none" w:sz="0" w:space="0" w:color="auto"/>
        <w:bottom w:val="none" w:sz="0" w:space="0" w:color="auto"/>
        <w:right w:val="none" w:sz="0" w:space="0" w:color="auto"/>
      </w:divBdr>
    </w:div>
    <w:div w:id="1910535987">
      <w:bodyDiv w:val="1"/>
      <w:marLeft w:val="0"/>
      <w:marRight w:val="0"/>
      <w:marTop w:val="0"/>
      <w:marBottom w:val="0"/>
      <w:divBdr>
        <w:top w:val="none" w:sz="0" w:space="0" w:color="auto"/>
        <w:left w:val="none" w:sz="0" w:space="0" w:color="auto"/>
        <w:bottom w:val="none" w:sz="0" w:space="0" w:color="auto"/>
        <w:right w:val="none" w:sz="0" w:space="0" w:color="auto"/>
      </w:divBdr>
    </w:div>
    <w:div w:id="1931424718">
      <w:bodyDiv w:val="1"/>
      <w:marLeft w:val="0"/>
      <w:marRight w:val="0"/>
      <w:marTop w:val="0"/>
      <w:marBottom w:val="0"/>
      <w:divBdr>
        <w:top w:val="none" w:sz="0" w:space="0" w:color="auto"/>
        <w:left w:val="none" w:sz="0" w:space="0" w:color="auto"/>
        <w:bottom w:val="none" w:sz="0" w:space="0" w:color="auto"/>
        <w:right w:val="none" w:sz="0" w:space="0" w:color="auto"/>
      </w:divBdr>
    </w:div>
    <w:div w:id="1980769000">
      <w:bodyDiv w:val="1"/>
      <w:marLeft w:val="0"/>
      <w:marRight w:val="0"/>
      <w:marTop w:val="0"/>
      <w:marBottom w:val="0"/>
      <w:divBdr>
        <w:top w:val="none" w:sz="0" w:space="0" w:color="auto"/>
        <w:left w:val="none" w:sz="0" w:space="0" w:color="auto"/>
        <w:bottom w:val="none" w:sz="0" w:space="0" w:color="auto"/>
        <w:right w:val="none" w:sz="0" w:space="0" w:color="auto"/>
      </w:divBdr>
    </w:div>
    <w:div w:id="2025859874">
      <w:bodyDiv w:val="1"/>
      <w:marLeft w:val="0"/>
      <w:marRight w:val="0"/>
      <w:marTop w:val="0"/>
      <w:marBottom w:val="0"/>
      <w:divBdr>
        <w:top w:val="none" w:sz="0" w:space="0" w:color="auto"/>
        <w:left w:val="none" w:sz="0" w:space="0" w:color="auto"/>
        <w:bottom w:val="none" w:sz="0" w:space="0" w:color="auto"/>
        <w:right w:val="none" w:sz="0" w:space="0" w:color="auto"/>
      </w:divBdr>
      <w:divsChild>
        <w:div w:id="456725792">
          <w:marLeft w:val="850"/>
          <w:marRight w:val="0"/>
          <w:marTop w:val="0"/>
          <w:marBottom w:val="160"/>
          <w:divBdr>
            <w:top w:val="none" w:sz="0" w:space="0" w:color="auto"/>
            <w:left w:val="none" w:sz="0" w:space="0" w:color="auto"/>
            <w:bottom w:val="none" w:sz="0" w:space="0" w:color="auto"/>
            <w:right w:val="none" w:sz="0" w:space="0" w:color="auto"/>
          </w:divBdr>
        </w:div>
      </w:divsChild>
    </w:div>
    <w:div w:id="2033603732">
      <w:bodyDiv w:val="1"/>
      <w:marLeft w:val="0"/>
      <w:marRight w:val="0"/>
      <w:marTop w:val="0"/>
      <w:marBottom w:val="0"/>
      <w:divBdr>
        <w:top w:val="none" w:sz="0" w:space="0" w:color="auto"/>
        <w:left w:val="none" w:sz="0" w:space="0" w:color="auto"/>
        <w:bottom w:val="none" w:sz="0" w:space="0" w:color="auto"/>
        <w:right w:val="none" w:sz="0" w:space="0" w:color="auto"/>
      </w:divBdr>
      <w:divsChild>
        <w:div w:id="2112622566">
          <w:marLeft w:val="418"/>
          <w:marRight w:val="0"/>
          <w:marTop w:val="0"/>
          <w:marBottom w:val="160"/>
          <w:divBdr>
            <w:top w:val="none" w:sz="0" w:space="0" w:color="auto"/>
            <w:left w:val="none" w:sz="0" w:space="0" w:color="auto"/>
            <w:bottom w:val="none" w:sz="0" w:space="0" w:color="auto"/>
            <w:right w:val="none" w:sz="0" w:space="0" w:color="auto"/>
          </w:divBdr>
        </w:div>
      </w:divsChild>
    </w:div>
    <w:div w:id="2097246784">
      <w:bodyDiv w:val="1"/>
      <w:marLeft w:val="0"/>
      <w:marRight w:val="0"/>
      <w:marTop w:val="0"/>
      <w:marBottom w:val="0"/>
      <w:divBdr>
        <w:top w:val="none" w:sz="0" w:space="0" w:color="auto"/>
        <w:left w:val="none" w:sz="0" w:space="0" w:color="auto"/>
        <w:bottom w:val="none" w:sz="0" w:space="0" w:color="auto"/>
        <w:right w:val="none" w:sz="0" w:space="0" w:color="auto"/>
      </w:divBdr>
    </w:div>
    <w:div w:id="2106460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ni.hamalainen@helsinki.fi"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surfer.nmr.mgh.harvard.edu/fswiki/Qdec)" TargetMode="External"/><Relationship Id="rId4" Type="http://schemas.openxmlformats.org/officeDocument/2006/relationships/settings" Target="settings.xml"/><Relationship Id="rId9" Type="http://schemas.openxmlformats.org/officeDocument/2006/relationships/hyperlink" Target="http://freesurfer.n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CA91C-6072-486C-8791-2D4BFF0D7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31409</Words>
  <Characters>254416</Characters>
  <Application>Microsoft Office Word</Application>
  <DocSecurity>0</DocSecurity>
  <Lines>2120</Lines>
  <Paragraphs>570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285255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Sini Jakonen</dc:creator>
  <cp:keywords/>
  <dc:description/>
  <cp:lastModifiedBy>Kimmo Niukko</cp:lastModifiedBy>
  <cp:revision>2</cp:revision>
  <dcterms:created xsi:type="dcterms:W3CDTF">2018-08-24T06:11:00Z</dcterms:created>
  <dcterms:modified xsi:type="dcterms:W3CDTF">2018-08-24T06:11:00Z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http://www.zotero.org/styles/apa</vt:lpwstr>
  </property>
  <property fmtid="{D5CDD505-2E9C-101B-9397-08002B2CF9AE}" pid="4" name="Mendeley Recent Style Name 0_1">
    <vt:lpwstr>American Psychological Association 6th edition</vt:lpwstr>
  </property>
  <property fmtid="{D5CDD505-2E9C-101B-9397-08002B2CF9AE}" pid="5" name="Mendeley Recent Style Id 1_1">
    <vt:lpwstr>http://www.zotero.org/styles/cerebral-cortex</vt:lpwstr>
  </property>
  <property fmtid="{D5CDD505-2E9C-101B-9397-08002B2CF9AE}" pid="6" name="Mendeley Recent Style Name 1_1">
    <vt:lpwstr>Cerebral Cortex</vt:lpwstr>
  </property>
  <property fmtid="{D5CDD505-2E9C-101B-9397-08002B2CF9AE}" pid="7" name="Mendeley Recent Style Id 2_1">
    <vt:lpwstr>http://www.zotero.org/styles/chicago-author-date</vt:lpwstr>
  </property>
  <property fmtid="{D5CDD505-2E9C-101B-9397-08002B2CF9AE}" pid="8" name="Mendeley Recent Style Name 2_1">
    <vt:lpwstr>Chicago Manual of Style 16th edition (author-date)</vt:lpwstr>
  </property>
  <property fmtid="{D5CDD505-2E9C-101B-9397-08002B2CF9AE}" pid="9" name="Mendeley Recent Style Id 3_1">
    <vt:lpwstr>http://www.zotero.org/styles/cortex</vt:lpwstr>
  </property>
  <property fmtid="{D5CDD505-2E9C-101B-9397-08002B2CF9AE}" pid="10" name="Mendeley Recent Style Name 3_1">
    <vt:lpwstr>Cortex</vt:lpwstr>
  </property>
  <property fmtid="{D5CDD505-2E9C-101B-9397-08002B2CF9AE}" pid="11" name="Mendeley Recent Style Id 4_1">
    <vt:lpwstr>http://www.zotero.org/styles/harvard1</vt:lpwstr>
  </property>
  <property fmtid="{D5CDD505-2E9C-101B-9397-08002B2CF9AE}" pid="12" name="Mendeley Recent Style Name 4_1">
    <vt:lpwstr>Harvard Reference format 1 (author-date)</vt:lpwstr>
  </property>
  <property fmtid="{D5CDD505-2E9C-101B-9397-08002B2CF9AE}" pid="13" name="Mendeley Recent Style Id 5_1">
    <vt:lpwstr>http://www.zotero.org/styles/sh-human-brain-mapping</vt:lpwstr>
  </property>
  <property fmtid="{D5CDD505-2E9C-101B-9397-08002B2CF9AE}" pid="14" name="Mendeley Recent Style Name 5_1">
    <vt:lpwstr>Human Brain Mapping (custom)</vt:lpwstr>
  </property>
  <property fmtid="{D5CDD505-2E9C-101B-9397-08002B2CF9AE}" pid="15" name="Mendeley Recent Style Id 6_1">
    <vt:lpwstr>http://www.zotero.org/styles/nature</vt:lpwstr>
  </property>
  <property fmtid="{D5CDD505-2E9C-101B-9397-08002B2CF9AE}" pid="16" name="Mendeley Recent Style Name 6_1">
    <vt:lpwstr>Nature</vt:lpwstr>
  </property>
  <property fmtid="{D5CDD505-2E9C-101B-9397-08002B2CF9AE}" pid="17" name="Mendeley Recent Style Id 7_1">
    <vt:lpwstr>http://www.zotero.org/styles/neuroimage</vt:lpwstr>
  </property>
  <property fmtid="{D5CDD505-2E9C-101B-9397-08002B2CF9AE}" pid="18" name="Mendeley Recent Style Name 7_1">
    <vt:lpwstr>NeuroImage</vt:lpwstr>
  </property>
  <property fmtid="{D5CDD505-2E9C-101B-9397-08002B2CF9AE}" pid="19" name="Mendeley Recent Style Id 8_1">
    <vt:lpwstr>http://www.zotero.org/styles/neuropsychologia</vt:lpwstr>
  </property>
  <property fmtid="{D5CDD505-2E9C-101B-9397-08002B2CF9AE}" pid="20" name="Mendeley Recent Style Name 8_1">
    <vt:lpwstr>Neuropsychologia</vt:lpwstr>
  </property>
  <property fmtid="{D5CDD505-2E9C-101B-9397-08002B2CF9AE}" pid="21" name="Mendeley Recent Style Id 9_1">
    <vt:lpwstr>http://www.zotero.org/styles/oxford-university-press-scimed-author-date</vt:lpwstr>
  </property>
  <property fmtid="{D5CDD505-2E9C-101B-9397-08002B2CF9AE}" pid="22" name="Mendeley Recent Style Name 9_1">
    <vt:lpwstr>Oxford University Press SciMed (author-date)</vt:lpwstr>
  </property>
  <property fmtid="{D5CDD505-2E9C-101B-9397-08002B2CF9AE}" pid="23" name="Mendeley Unique User Id_1">
    <vt:lpwstr>ac28b8b5-2bdf-3e9d-9912-95a5ce7fdfb1</vt:lpwstr>
  </property>
  <property fmtid="{D5CDD505-2E9C-101B-9397-08002B2CF9AE}" pid="24" name="Mendeley Citation Style_1">
    <vt:lpwstr>http://www.zotero.org/styles/neuropsychologia</vt:lpwstr>
  </property>
</Properties>
</file>