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4FF" w:rsidRPr="00D71DD6" w:rsidRDefault="00DF3A1B">
      <w:pPr>
        <w:rPr>
          <w:b/>
        </w:rPr>
      </w:pPr>
      <w:r w:rsidRPr="00D71DD6">
        <w:rPr>
          <w:b/>
        </w:rPr>
        <w:t>Do fundamental rights determine the scope of EU law?</w:t>
      </w:r>
    </w:p>
    <w:p w:rsidR="00DF3A1B" w:rsidRDefault="00DF3A1B">
      <w:r>
        <w:t xml:space="preserve">It is well-recognised that EU fundamental rights apply within the scope of EU law, as established for general principles in </w:t>
      </w:r>
      <w:r w:rsidRPr="008537AE">
        <w:rPr>
          <w:i/>
        </w:rPr>
        <w:t>ERT</w:t>
      </w:r>
      <w:r>
        <w:t xml:space="preserve"> and for the Charter in </w:t>
      </w:r>
      <w:proofErr w:type="spellStart"/>
      <w:r w:rsidRPr="008537AE">
        <w:rPr>
          <w:i/>
        </w:rPr>
        <w:t>Åkerberg</w:t>
      </w:r>
      <w:proofErr w:type="spellEnd"/>
      <w:r w:rsidRPr="008537AE">
        <w:rPr>
          <w:i/>
        </w:rPr>
        <w:t xml:space="preserve"> </w:t>
      </w:r>
      <w:proofErr w:type="spellStart"/>
      <w:r w:rsidRPr="008537AE">
        <w:rPr>
          <w:i/>
        </w:rPr>
        <w:t>Fransson</w:t>
      </w:r>
      <w:proofErr w:type="spellEnd"/>
      <w:r>
        <w:t>.</w:t>
      </w:r>
      <w:r w:rsidR="008537AE">
        <w:rPr>
          <w:rStyle w:val="FootnoteReference"/>
        </w:rPr>
        <w:footnoteReference w:id="1"/>
      </w:r>
      <w:r>
        <w:t xml:space="preserve"> </w:t>
      </w:r>
      <w:r w:rsidR="00354B04">
        <w:t>But</w:t>
      </w:r>
      <w:r>
        <w:t xml:space="preserve"> can fundamental rights influence the scope of EU law? On the one hand, the whole idea seems odd. If fundamental rights only apply within the scope of EU law, using them to determine that scope involves circular logic. On the other hand, it seems normal to interpret the Treaty in the light of fundamental rights. If this is applied to the four freedoms and to </w:t>
      </w:r>
      <w:r w:rsidR="00354B04">
        <w:t xml:space="preserve">EU </w:t>
      </w:r>
      <w:r>
        <w:t xml:space="preserve">citizenship, the inevitable consequence is that fundamental rights help to settle </w:t>
      </w:r>
      <w:r w:rsidR="00D128A9">
        <w:t>its</w:t>
      </w:r>
      <w:r>
        <w:t xml:space="preserve"> reach.</w:t>
      </w:r>
    </w:p>
    <w:p w:rsidR="00697785" w:rsidRDefault="00CA36D3" w:rsidP="00CA36D3">
      <w:r>
        <w:t>The Court’s case law has waxed and waned, and its reasoning has often remained studi</w:t>
      </w:r>
      <w:r w:rsidR="00D71DD6">
        <w:t>edly</w:t>
      </w:r>
      <w:r>
        <w:t xml:space="preserve"> ambiguous. In the earlier case law, the prime example is the ruling in </w:t>
      </w:r>
      <w:r w:rsidRPr="00697785">
        <w:rPr>
          <w:i/>
        </w:rPr>
        <w:t>Carpenter</w:t>
      </w:r>
      <w:r>
        <w:t>,</w:t>
      </w:r>
      <w:r>
        <w:rPr>
          <w:rStyle w:val="FootnoteReference"/>
        </w:rPr>
        <w:footnoteReference w:id="2"/>
      </w:r>
      <w:r>
        <w:t xml:space="preserve"> </w:t>
      </w:r>
      <w:r w:rsidR="00D71DD6">
        <w:t xml:space="preserve">one of the most criticised free movement rulings ever, </w:t>
      </w:r>
      <w:r>
        <w:t>where the Court held that the UK immigration rules had a detrimental effect to the family life of the Carpenters and th</w:t>
      </w:r>
      <w:r w:rsidR="00D128A9">
        <w:t xml:space="preserve">erefore to the conditions under </w:t>
      </w:r>
      <w:bookmarkStart w:id="0" w:name="_GoBack"/>
      <w:bookmarkEnd w:id="0"/>
      <w:r>
        <w:t xml:space="preserve">which </w:t>
      </w:r>
      <w:r w:rsidR="00D128A9">
        <w:t xml:space="preserve">the </w:t>
      </w:r>
      <w:r>
        <w:t xml:space="preserve">free movement of services was exercised. In the words of </w:t>
      </w:r>
      <w:proofErr w:type="spellStart"/>
      <w:r>
        <w:t>Vassilios</w:t>
      </w:r>
      <w:proofErr w:type="spellEnd"/>
      <w:r>
        <w:t xml:space="preserve"> </w:t>
      </w:r>
      <w:proofErr w:type="spellStart"/>
      <w:r>
        <w:t>Skouris</w:t>
      </w:r>
      <w:proofErr w:type="spellEnd"/>
      <w:r>
        <w:t xml:space="preserve">, a former President of the Court, </w:t>
      </w:r>
      <w:r w:rsidR="00697785">
        <w:t>the difficult task of the Court to reconcile the four freedoms and fundamental rights ‘becomes even more delicate when fundamental rights are used to interpret and expand the scope of a fundamental freedom’.</w:t>
      </w:r>
      <w:r w:rsidR="00697785">
        <w:rPr>
          <w:rStyle w:val="FootnoteReference"/>
        </w:rPr>
        <w:footnoteReference w:id="3"/>
      </w:r>
    </w:p>
    <w:p w:rsidR="00305547" w:rsidRDefault="008D6EF8" w:rsidP="00CA36D3">
      <w:r>
        <w:t xml:space="preserve">At Lisbon, the Member States were alert to the possibility of the Charter </w:t>
      </w:r>
      <w:r w:rsidR="00D71DD6">
        <w:t xml:space="preserve">being used to expand </w:t>
      </w:r>
      <w:r>
        <w:t>the reach of EU law, and wrote down safeguards against it. Particularly important is Article 51(2) CFR, according to which t</w:t>
      </w:r>
      <w:r w:rsidRPr="008D6EF8">
        <w:t xml:space="preserve">he </w:t>
      </w:r>
      <w:r>
        <w:t>‘</w:t>
      </w:r>
      <w:r w:rsidRPr="008D6EF8">
        <w:t>Charter does not extend the field of application of Union law beyond the powers of the Union or establish any new power or task for the Union, or modify powers and tasks as defined in the Treaties.</w:t>
      </w:r>
      <w:r>
        <w:t xml:space="preserve">’ The Court took this limitation seriously in the Grand Chamber ruling in </w:t>
      </w:r>
      <w:proofErr w:type="spellStart"/>
      <w:r w:rsidRPr="00641D08">
        <w:rPr>
          <w:i/>
        </w:rPr>
        <w:t>Dereci</w:t>
      </w:r>
      <w:proofErr w:type="spellEnd"/>
      <w:r>
        <w:t>.</w:t>
      </w:r>
      <w:r w:rsidR="00305547">
        <w:rPr>
          <w:rStyle w:val="FootnoteReference"/>
        </w:rPr>
        <w:footnoteReference w:id="4"/>
      </w:r>
      <w:r>
        <w:t xml:space="preserve"> It </w:t>
      </w:r>
      <w:r w:rsidR="00305547">
        <w:t xml:space="preserve">firmly refused to extend the reach of Article 20 TFEU on EU citizenship on grounds of the right to family life. Instead a two-step approach was adopted: the applicability of the citizenship rules was to be determined first, and only if they were applicable would the EU law right to family life be of any relevance. To </w:t>
      </w:r>
      <w:r w:rsidR="00CE634E">
        <w:t xml:space="preserve">have </w:t>
      </w:r>
      <w:r w:rsidR="00305547">
        <w:t>do</w:t>
      </w:r>
      <w:r w:rsidR="00CE634E">
        <w:t>ne</w:t>
      </w:r>
      <w:r w:rsidR="00305547">
        <w:t xml:space="preserve"> otherwise, explained President </w:t>
      </w:r>
      <w:proofErr w:type="spellStart"/>
      <w:r w:rsidR="00305547">
        <w:t>Lenaerts</w:t>
      </w:r>
      <w:proofErr w:type="spellEnd"/>
      <w:r w:rsidR="00305547">
        <w:t xml:space="preserve"> extra-judicially, would </w:t>
      </w:r>
      <w:r w:rsidR="00CE634E">
        <w:t xml:space="preserve">have </w:t>
      </w:r>
      <w:r w:rsidR="00305547">
        <w:t>violate</w:t>
      </w:r>
      <w:r w:rsidR="00CE634E">
        <w:t>d</w:t>
      </w:r>
      <w:r w:rsidR="00305547">
        <w:t xml:space="preserve"> Article 51(2) CFR.</w:t>
      </w:r>
      <w:r w:rsidR="00641D08">
        <w:rPr>
          <w:rStyle w:val="FootnoteReference"/>
        </w:rPr>
        <w:footnoteReference w:id="5"/>
      </w:r>
    </w:p>
    <w:p w:rsidR="00695480" w:rsidRDefault="00641D08" w:rsidP="00CA36D3">
      <w:r>
        <w:t xml:space="preserve">In the last couple of years the firmness of </w:t>
      </w:r>
      <w:proofErr w:type="spellStart"/>
      <w:r w:rsidRPr="00D71DD6">
        <w:rPr>
          <w:i/>
        </w:rPr>
        <w:t>Dereci</w:t>
      </w:r>
      <w:proofErr w:type="spellEnd"/>
      <w:r w:rsidRPr="00D71DD6">
        <w:rPr>
          <w:i/>
        </w:rPr>
        <w:t xml:space="preserve"> </w:t>
      </w:r>
      <w:r>
        <w:t>has been replaced by a more ambiguous state of affairs both for the internal market and for citizenship.</w:t>
      </w:r>
      <w:r w:rsidR="00695480">
        <w:t xml:space="preserve"> In </w:t>
      </w:r>
      <w:r w:rsidR="00695480" w:rsidRPr="00695480">
        <w:rPr>
          <w:i/>
        </w:rPr>
        <w:t xml:space="preserve">AGET </w:t>
      </w:r>
      <w:proofErr w:type="spellStart"/>
      <w:r w:rsidR="00695480" w:rsidRPr="00695480">
        <w:rPr>
          <w:i/>
        </w:rPr>
        <w:t>Iraklis</w:t>
      </w:r>
      <w:proofErr w:type="spellEnd"/>
      <w:r w:rsidR="00695480">
        <w:t xml:space="preserve"> on the reach of Article 49 TFEU, Advocate General Wahl straightforwardly argued that the right of establishment needed to be interpreted expansively due to the freedom to conduct </w:t>
      </w:r>
      <w:r w:rsidR="00CE634E">
        <w:t xml:space="preserve">a </w:t>
      </w:r>
      <w:r w:rsidR="00695480">
        <w:t>business enshrined in Article 16 CFR.</w:t>
      </w:r>
      <w:r w:rsidR="00BB6C91">
        <w:rPr>
          <w:rStyle w:val="FootnoteReference"/>
        </w:rPr>
        <w:footnoteReference w:id="6"/>
      </w:r>
      <w:r w:rsidR="00695480">
        <w:t xml:space="preserve"> The Grand Chamber followed him in substance, devoting a paragraph to ‘certain freedoms which economic operators generally enjoy’,</w:t>
      </w:r>
      <w:r w:rsidR="00BB6C91">
        <w:rPr>
          <w:rStyle w:val="FootnoteReference"/>
        </w:rPr>
        <w:footnoteReference w:id="7"/>
      </w:r>
      <w:r w:rsidR="00695480">
        <w:t xml:space="preserve"> although it did not mention the Charter by name. </w:t>
      </w:r>
    </w:p>
    <w:p w:rsidR="00305547" w:rsidRDefault="00695480" w:rsidP="00CA36D3">
      <w:proofErr w:type="gramStart"/>
      <w:r>
        <w:t xml:space="preserve">In the field of citizenship, </w:t>
      </w:r>
      <w:r w:rsidR="00CE634E">
        <w:t xml:space="preserve">in the case of </w:t>
      </w:r>
      <w:r w:rsidR="00CE634E" w:rsidRPr="00D71DD6">
        <w:rPr>
          <w:i/>
        </w:rPr>
        <w:t>NA</w:t>
      </w:r>
      <w:r w:rsidR="00CE634E">
        <w:t xml:space="preserve"> </w:t>
      </w:r>
      <w:r>
        <w:t xml:space="preserve">Advocate General </w:t>
      </w:r>
      <w:proofErr w:type="spellStart"/>
      <w:r>
        <w:t>Wathelet</w:t>
      </w:r>
      <w:proofErr w:type="spellEnd"/>
      <w:r>
        <w:t xml:space="preserve"> firmly rejected the idea of interpreting Article 20 TFEU in the light of the Charter.</w:t>
      </w:r>
      <w:proofErr w:type="gramEnd"/>
      <w:r w:rsidR="00BB6C91">
        <w:rPr>
          <w:rStyle w:val="FootnoteReference"/>
        </w:rPr>
        <w:footnoteReference w:id="8"/>
      </w:r>
      <w:r>
        <w:t xml:space="preserve"> The Grand Chamber </w:t>
      </w:r>
      <w:r w:rsidR="00BB6C91">
        <w:t xml:space="preserve">decided not to follow that </w:t>
      </w:r>
      <w:r w:rsidR="00BB6C91">
        <w:lastRenderedPageBreak/>
        <w:t xml:space="preserve">advice in </w:t>
      </w:r>
      <w:r w:rsidR="00BB6C91" w:rsidRPr="00BB6C91">
        <w:rPr>
          <w:i/>
        </w:rPr>
        <w:t>Chavez</w:t>
      </w:r>
      <w:r w:rsidR="00BB6C91">
        <w:t>.</w:t>
      </w:r>
      <w:r w:rsidR="00BB6C91">
        <w:rPr>
          <w:rStyle w:val="FootnoteReference"/>
        </w:rPr>
        <w:footnoteReference w:id="9"/>
      </w:r>
      <w:r w:rsidR="00BB6C91">
        <w:t xml:space="preserve"> Instead, it held that when assessing whether Article 20</w:t>
      </w:r>
      <w:r w:rsidR="006C74FF">
        <w:t xml:space="preserve"> TFEU</w:t>
      </w:r>
      <w:r w:rsidR="00BB6C91">
        <w:t xml:space="preserve"> had been breached in the first place, the </w:t>
      </w:r>
      <w:r w:rsidR="00BB6C91" w:rsidRPr="00BB6C91">
        <w:t xml:space="preserve">authorities must take account of the right to respect for family life, as stated in Article 7 </w:t>
      </w:r>
      <w:r w:rsidR="00BB6C91">
        <w:t xml:space="preserve">CFR, </w:t>
      </w:r>
      <w:r w:rsidR="00BB6C91" w:rsidRPr="00BB6C91">
        <w:t xml:space="preserve">read in conjunction with Article 24(2) </w:t>
      </w:r>
      <w:r w:rsidR="00BB6C91">
        <w:t xml:space="preserve">CFR on </w:t>
      </w:r>
      <w:r w:rsidR="00BB6C91" w:rsidRPr="00BB6C91">
        <w:t>the best interests of the child.</w:t>
      </w:r>
      <w:r w:rsidR="006C74FF">
        <w:t xml:space="preserve"> </w:t>
      </w:r>
      <w:r w:rsidR="00746016">
        <w:t xml:space="preserve">This is now becoming settled case law. In </w:t>
      </w:r>
      <w:r w:rsidR="00746016" w:rsidRPr="00746016">
        <w:rPr>
          <w:i/>
        </w:rPr>
        <w:t>KA</w:t>
      </w:r>
      <w:r w:rsidR="00746016">
        <w:t xml:space="preserve"> the Grand Chamber cited </w:t>
      </w:r>
      <w:r w:rsidR="00746016" w:rsidRPr="00746016">
        <w:rPr>
          <w:i/>
        </w:rPr>
        <w:t>Chavez</w:t>
      </w:r>
      <w:r w:rsidR="00746016">
        <w:t xml:space="preserve"> with approval and again tasked the authorities to assess the existence of a violation of Article 20 TFEU in the light of the Charter.</w:t>
      </w:r>
      <w:r w:rsidR="00746016">
        <w:rPr>
          <w:rStyle w:val="FootnoteReference"/>
        </w:rPr>
        <w:footnoteReference w:id="10"/>
      </w:r>
    </w:p>
    <w:p w:rsidR="008D6EF8" w:rsidRDefault="00305547" w:rsidP="00CA36D3">
      <w:r>
        <w:t xml:space="preserve"> </w:t>
      </w:r>
      <w:r w:rsidR="00746016">
        <w:t>At first glance, the approach of the Court makes sense. It is normal to use fundamental rights to interpret the Treaty – it is one of their key roles</w:t>
      </w:r>
      <w:r w:rsidR="00050BE1">
        <w:t xml:space="preserve"> and well recognised in long-standing case law.</w:t>
      </w:r>
      <w:r w:rsidR="00050BE1">
        <w:rPr>
          <w:rStyle w:val="FootnoteReference"/>
        </w:rPr>
        <w:footnoteReference w:id="11"/>
      </w:r>
      <w:r w:rsidR="00050BE1">
        <w:t xml:space="preserve"> It may also be attractive on the facts. </w:t>
      </w:r>
      <w:r w:rsidR="005B76A2">
        <w:t>In an</w:t>
      </w:r>
      <w:r w:rsidR="00050BE1">
        <w:t xml:space="preserve"> Article 20 TFEU case where a third-country national mother of an EU national child is facing deportation </w:t>
      </w:r>
      <w:r w:rsidR="00CE634E">
        <w:t>on grounds that a</w:t>
      </w:r>
      <w:r w:rsidR="00050BE1">
        <w:t xml:space="preserve"> separated</w:t>
      </w:r>
      <w:r w:rsidR="00CE634E">
        <w:t xml:space="preserve"> EU national</w:t>
      </w:r>
      <w:r w:rsidR="00050BE1">
        <w:t xml:space="preserve"> father could in principle assume custody, any judge with a heart is likely to wish to interject </w:t>
      </w:r>
      <w:r w:rsidR="005B76A2">
        <w:t xml:space="preserve">a </w:t>
      </w:r>
      <w:r w:rsidR="00050BE1">
        <w:t xml:space="preserve">consideration </w:t>
      </w:r>
      <w:r w:rsidR="005B76A2">
        <w:t>of</w:t>
      </w:r>
      <w:r w:rsidR="00050BE1">
        <w:t xml:space="preserve"> the best interest of the child into the assessment. The argument </w:t>
      </w:r>
      <w:r w:rsidR="00CE634E">
        <w:t>of</w:t>
      </w:r>
      <w:r w:rsidR="00050BE1">
        <w:t xml:space="preserve"> the national government that the father is assumed not to be able to </w:t>
      </w:r>
      <w:r w:rsidR="006C0BD1">
        <w:t>care for the child</w:t>
      </w:r>
      <w:r w:rsidR="00050BE1">
        <w:t xml:space="preserve"> if he is dead</w:t>
      </w:r>
      <w:r w:rsidR="006C0BD1">
        <w:t xml:space="preserve">, </w:t>
      </w:r>
      <w:r w:rsidR="00050BE1">
        <w:t xml:space="preserve">in jail </w:t>
      </w:r>
      <w:r w:rsidR="006C0BD1">
        <w:t>or confined to an institution</w:t>
      </w:r>
      <w:r w:rsidR="006C0BD1">
        <w:rPr>
          <w:rStyle w:val="FootnoteReference"/>
        </w:rPr>
        <w:footnoteReference w:id="12"/>
      </w:r>
      <w:r w:rsidR="006C0BD1">
        <w:t xml:space="preserve"> may not fully reassure.</w:t>
      </w:r>
    </w:p>
    <w:p w:rsidR="00C157B3" w:rsidRDefault="006C0BD1" w:rsidP="00CA36D3">
      <w:r>
        <w:t xml:space="preserve">Yet there are reasons for caution. From the perspective of the black letter law, the Court </w:t>
      </w:r>
      <w:r w:rsidR="00D71DD6">
        <w:t>is doing what Articles 6(</w:t>
      </w:r>
      <w:r w:rsidR="005B76A2">
        <w:t>1) TEU and 51(2) CFR we</w:t>
      </w:r>
      <w:r>
        <w:t xml:space="preserve">re meant to prevent. </w:t>
      </w:r>
      <w:r w:rsidR="00431089">
        <w:t>As a matter of logic, it is rel</w:t>
      </w:r>
      <w:r>
        <w:t xml:space="preserve">ying on a circular argument where rights applying within the scope of the Treaty serve to determine that scope. This </w:t>
      </w:r>
      <w:r w:rsidR="00431089">
        <w:t xml:space="preserve">also </w:t>
      </w:r>
      <w:r>
        <w:t>has the capacity to drive</w:t>
      </w:r>
      <w:r w:rsidR="00431089">
        <w:t xml:space="preserve"> a</w:t>
      </w:r>
      <w:r>
        <w:t xml:space="preserve"> coach and horses through the Court’s interpretation of Article 51(1) CFR. Any insistence that the limits to the Charter’s application are respected </w:t>
      </w:r>
      <w:r w:rsidR="00C157B3">
        <w:t>by confining it</w:t>
      </w:r>
      <w:r>
        <w:t xml:space="preserve"> to the scope of EU law are unconvincing </w:t>
      </w:r>
      <w:r w:rsidR="00431089">
        <w:t>if</w:t>
      </w:r>
      <w:r>
        <w:t xml:space="preserve"> that scope itself is influenced by the Charter.</w:t>
      </w:r>
      <w:r w:rsidR="00AC596A">
        <w:t xml:space="preserve"> </w:t>
      </w:r>
      <w:r>
        <w:t xml:space="preserve">From the </w:t>
      </w:r>
      <w:r w:rsidR="00AC596A">
        <w:t xml:space="preserve">perspective of free movement law, the development casts doubts on the </w:t>
      </w:r>
      <w:r w:rsidR="00D71DD6">
        <w:t xml:space="preserve">few remaining </w:t>
      </w:r>
      <w:r w:rsidR="00AC596A">
        <w:t>limits</w:t>
      </w:r>
      <w:r w:rsidR="00431089">
        <w:t xml:space="preserve"> to the scope of the four freedoms</w:t>
      </w:r>
      <w:r w:rsidR="00AC596A">
        <w:t xml:space="preserve">. If free movement of goods is interpreted in the light of the freedom to conduct </w:t>
      </w:r>
      <w:r w:rsidR="00431089">
        <w:t xml:space="preserve">a </w:t>
      </w:r>
      <w:r w:rsidR="00AC596A">
        <w:t xml:space="preserve">business, how can it not apply to national rules that </w:t>
      </w:r>
      <w:r w:rsidR="00431089">
        <w:t>operate</w:t>
      </w:r>
      <w:r w:rsidR="00AC596A">
        <w:t xml:space="preserve"> even-handedly and </w:t>
      </w:r>
      <w:r w:rsidR="005B76A2">
        <w:t>relate to</w:t>
      </w:r>
      <w:r w:rsidR="00AC596A">
        <w:t xml:space="preserve"> selling arrangements or </w:t>
      </w:r>
      <w:r w:rsidR="00431089">
        <w:t>exports?</w:t>
      </w:r>
      <w:r w:rsidR="00AC596A">
        <w:t xml:space="preserve"> </w:t>
      </w:r>
      <w:r w:rsidR="00C157B3" w:rsidRPr="00C157B3">
        <w:t xml:space="preserve">For citizenship, the right to family life has the potential to push the application of </w:t>
      </w:r>
      <w:r w:rsidR="00C157B3" w:rsidRPr="00C157B3">
        <w:rPr>
          <w:i/>
        </w:rPr>
        <w:t>Ruiz Zambrano</w:t>
      </w:r>
      <w:r w:rsidR="00C157B3" w:rsidRPr="00C157B3">
        <w:t xml:space="preserve"> from an exception to a rule with significant consequences for national immigration regimes.</w:t>
      </w:r>
    </w:p>
    <w:p w:rsidR="00AC596A" w:rsidRDefault="00AC596A" w:rsidP="00CA36D3">
      <w:r>
        <w:t xml:space="preserve">It is also doubtful whether the extension is truly needed. </w:t>
      </w:r>
      <w:r w:rsidRPr="00D71DD6">
        <w:rPr>
          <w:i/>
        </w:rPr>
        <w:t xml:space="preserve">AGET </w:t>
      </w:r>
      <w:proofErr w:type="spellStart"/>
      <w:r w:rsidRPr="00D71DD6">
        <w:rPr>
          <w:i/>
        </w:rPr>
        <w:t>Iraklis</w:t>
      </w:r>
      <w:proofErr w:type="spellEnd"/>
      <w:r>
        <w:t xml:space="preserve"> could have been decided on more </w:t>
      </w:r>
      <w:r w:rsidR="005B76A2">
        <w:t>traditional grounds. It is well-</w:t>
      </w:r>
      <w:r>
        <w:t xml:space="preserve">recognised in competition law that barriers to exit, which were in issue, </w:t>
      </w:r>
      <w:r w:rsidR="00431089">
        <w:t>also act as</w:t>
      </w:r>
      <w:r>
        <w:t xml:space="preserve"> barriers to entry. A company </w:t>
      </w:r>
      <w:r w:rsidR="00B41CA4">
        <w:t xml:space="preserve">contemplating entry </w:t>
      </w:r>
      <w:r w:rsidR="00431089">
        <w:t>to a</w:t>
      </w:r>
      <w:r>
        <w:t xml:space="preserve"> market will always consider whether an exit is possible if the entry proves unsuccessful. It is easy to view an exit restriction as an obstacle to market access</w:t>
      </w:r>
      <w:r w:rsidR="00431089">
        <w:t>;</w:t>
      </w:r>
      <w:r>
        <w:t xml:space="preserve"> there was no need to bring the</w:t>
      </w:r>
      <w:r w:rsidR="005B76A2">
        <w:t xml:space="preserve"> freedom</w:t>
      </w:r>
      <w:r>
        <w:t xml:space="preserve"> to conduct </w:t>
      </w:r>
      <w:r w:rsidR="00431089">
        <w:t xml:space="preserve">a </w:t>
      </w:r>
      <w:r>
        <w:t xml:space="preserve">business into the equation. In the citizenship cases it must be remembered that the Court is not supposed to </w:t>
      </w:r>
      <w:r w:rsidR="005B76A2">
        <w:t>act as</w:t>
      </w:r>
      <w:r>
        <w:t xml:space="preserve"> a general human rights court. </w:t>
      </w:r>
      <w:r w:rsidR="00A76B66">
        <w:t xml:space="preserve">If national immigration rules </w:t>
      </w:r>
      <w:r w:rsidR="005B76A2">
        <w:t>result in</w:t>
      </w:r>
      <w:r w:rsidR="00A76B66">
        <w:t xml:space="preserve"> human rights </w:t>
      </w:r>
      <w:proofErr w:type="gramStart"/>
      <w:r w:rsidR="00A76B66">
        <w:t>violations</w:t>
      </w:r>
      <w:r w:rsidR="005B76A2">
        <w:t>,</w:t>
      </w:r>
      <w:r w:rsidR="00A76B66">
        <w:t xml:space="preserve"> that is</w:t>
      </w:r>
      <w:proofErr w:type="gramEnd"/>
      <w:r w:rsidR="00A76B66">
        <w:t xml:space="preserve"> in the main a matter for </w:t>
      </w:r>
      <w:r w:rsidR="00B41CA4">
        <w:t>national courts</w:t>
      </w:r>
      <w:r w:rsidR="00A76B66">
        <w:t xml:space="preserve"> and the EC</w:t>
      </w:r>
      <w:r w:rsidR="00B41CA4">
        <w:t>t</w:t>
      </w:r>
      <w:r w:rsidR="00A76B66">
        <w:t>HR, as the Court itself remarked in</w:t>
      </w:r>
      <w:r w:rsidR="00A76B66" w:rsidRPr="00D71DD6">
        <w:rPr>
          <w:i/>
        </w:rPr>
        <w:t xml:space="preserve"> </w:t>
      </w:r>
      <w:proofErr w:type="spellStart"/>
      <w:r w:rsidR="00A76B66" w:rsidRPr="00D71DD6">
        <w:rPr>
          <w:i/>
        </w:rPr>
        <w:t>Dereci</w:t>
      </w:r>
      <w:proofErr w:type="spellEnd"/>
      <w:r w:rsidR="00A76B66">
        <w:t xml:space="preserve">. Fundamental rights are of critical importance for the EU legal order, but so are the jurisdictional limits that the EU’s system of divided government depends upon. Undermining these limits is risky, even </w:t>
      </w:r>
      <w:r w:rsidR="00431089">
        <w:t>when</w:t>
      </w:r>
      <w:r w:rsidR="00A76B66">
        <w:t xml:space="preserve"> it is done in the name of fundamental rights.</w:t>
      </w:r>
    </w:p>
    <w:p w:rsidR="00CA36D3" w:rsidRDefault="00CA36D3" w:rsidP="00CA36D3">
      <w:r>
        <w:t xml:space="preserve">  </w:t>
      </w:r>
      <w:r w:rsidR="00D71DD6">
        <w:t>JS</w:t>
      </w:r>
    </w:p>
    <w:sectPr w:rsidR="00CA36D3">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A6E" w:rsidRDefault="00B97A6E" w:rsidP="00CA36D3">
      <w:pPr>
        <w:spacing w:after="0" w:line="240" w:lineRule="auto"/>
      </w:pPr>
      <w:r>
        <w:separator/>
      </w:r>
    </w:p>
  </w:endnote>
  <w:endnote w:type="continuationSeparator" w:id="0">
    <w:p w:rsidR="00B97A6E" w:rsidRDefault="00B97A6E" w:rsidP="00CA36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A6E" w:rsidRDefault="00B97A6E" w:rsidP="00CA36D3">
      <w:pPr>
        <w:spacing w:after="0" w:line="240" w:lineRule="auto"/>
      </w:pPr>
      <w:r>
        <w:separator/>
      </w:r>
    </w:p>
  </w:footnote>
  <w:footnote w:type="continuationSeparator" w:id="0">
    <w:p w:rsidR="00B97A6E" w:rsidRDefault="00B97A6E" w:rsidP="00CA36D3">
      <w:pPr>
        <w:spacing w:after="0" w:line="240" w:lineRule="auto"/>
      </w:pPr>
      <w:r>
        <w:continuationSeparator/>
      </w:r>
    </w:p>
  </w:footnote>
  <w:footnote w:id="1">
    <w:p w:rsidR="008537AE" w:rsidRPr="008537AE" w:rsidRDefault="008537AE">
      <w:pPr>
        <w:pStyle w:val="FootnoteText"/>
        <w:rPr>
          <w:lang w:val="sv-SE"/>
        </w:rPr>
      </w:pPr>
      <w:r>
        <w:rPr>
          <w:rStyle w:val="FootnoteReference"/>
        </w:rPr>
        <w:footnoteRef/>
      </w:r>
      <w:r w:rsidRPr="008537AE">
        <w:rPr>
          <w:lang w:val="sv-SE"/>
        </w:rPr>
        <w:t xml:space="preserve"> </w:t>
      </w:r>
      <w:r>
        <w:rPr>
          <w:lang w:val="sv-SE"/>
        </w:rPr>
        <w:t xml:space="preserve">Case C-260/89 </w:t>
      </w:r>
      <w:r w:rsidRPr="00354B04">
        <w:rPr>
          <w:i/>
          <w:lang w:val="sv-SE"/>
        </w:rPr>
        <w:t>ERT</w:t>
      </w:r>
      <w:r>
        <w:rPr>
          <w:lang w:val="sv-SE"/>
        </w:rPr>
        <w:t xml:space="preserve"> </w:t>
      </w:r>
      <w:proofErr w:type="gramStart"/>
      <w:r>
        <w:rPr>
          <w:lang w:val="sv-SE"/>
        </w:rPr>
        <w:t>EU:C</w:t>
      </w:r>
      <w:proofErr w:type="gramEnd"/>
      <w:r>
        <w:rPr>
          <w:lang w:val="sv-SE"/>
        </w:rPr>
        <w:t xml:space="preserve">:1991:254; </w:t>
      </w:r>
      <w:r w:rsidRPr="008537AE">
        <w:rPr>
          <w:lang w:val="sv-SE"/>
        </w:rPr>
        <w:t>Case C</w:t>
      </w:r>
      <w:r w:rsidRPr="008537AE">
        <w:rPr>
          <w:rFonts w:ascii="MS Gothic" w:eastAsia="MS Gothic" w:hAnsi="MS Gothic" w:cs="MS Gothic" w:hint="eastAsia"/>
          <w:lang w:val="sv-SE"/>
        </w:rPr>
        <w:t>‑</w:t>
      </w:r>
      <w:r w:rsidRPr="008537AE">
        <w:rPr>
          <w:lang w:val="sv-SE"/>
        </w:rPr>
        <w:t xml:space="preserve">617/10 </w:t>
      </w:r>
      <w:r w:rsidRPr="008537AE">
        <w:rPr>
          <w:i/>
          <w:lang w:val="sv-SE"/>
        </w:rPr>
        <w:t>Åkerberg Fransson</w:t>
      </w:r>
      <w:r w:rsidRPr="008537AE">
        <w:rPr>
          <w:lang w:val="sv-SE"/>
        </w:rPr>
        <w:t xml:space="preserve"> EU:C:2013:105</w:t>
      </w:r>
      <w:r>
        <w:rPr>
          <w:lang w:val="sv-SE"/>
        </w:rPr>
        <w:t>.</w:t>
      </w:r>
    </w:p>
  </w:footnote>
  <w:footnote w:id="2">
    <w:p w:rsidR="00CA36D3" w:rsidRPr="00CA36D3" w:rsidRDefault="00CA36D3">
      <w:pPr>
        <w:pStyle w:val="FootnoteText"/>
      </w:pPr>
      <w:r>
        <w:rPr>
          <w:rStyle w:val="FootnoteReference"/>
        </w:rPr>
        <w:footnoteRef/>
      </w:r>
      <w:r>
        <w:t xml:space="preserve"> </w:t>
      </w:r>
      <w:r w:rsidRPr="00CA36D3">
        <w:t>Case C-60/00</w:t>
      </w:r>
      <w:r>
        <w:t xml:space="preserve"> </w:t>
      </w:r>
      <w:r w:rsidRPr="00CA36D3">
        <w:rPr>
          <w:i/>
        </w:rPr>
        <w:t>Carpenter</w:t>
      </w:r>
      <w:r>
        <w:t xml:space="preserve"> </w:t>
      </w:r>
      <w:r w:rsidRPr="00CA36D3">
        <w:t>EU</w:t>
      </w:r>
      <w:proofErr w:type="gramStart"/>
      <w:r w:rsidRPr="00CA36D3">
        <w:t>:C:2002:434</w:t>
      </w:r>
      <w:proofErr w:type="gramEnd"/>
      <w:r>
        <w:t>.</w:t>
      </w:r>
    </w:p>
  </w:footnote>
  <w:footnote w:id="3">
    <w:p w:rsidR="00697785" w:rsidRPr="008D6EF8" w:rsidRDefault="00697785">
      <w:pPr>
        <w:pStyle w:val="FootnoteText"/>
      </w:pPr>
      <w:r>
        <w:rPr>
          <w:rStyle w:val="FootnoteReference"/>
        </w:rPr>
        <w:footnoteRef/>
      </w:r>
      <w:r>
        <w:t xml:space="preserve"> </w:t>
      </w:r>
      <w:r w:rsidR="008D6EF8" w:rsidRPr="008D6EF8">
        <w:t xml:space="preserve">V </w:t>
      </w:r>
      <w:proofErr w:type="spellStart"/>
      <w:r w:rsidR="008D6EF8" w:rsidRPr="008D6EF8">
        <w:t>Skouris</w:t>
      </w:r>
      <w:proofErr w:type="spellEnd"/>
      <w:r w:rsidR="008D6EF8" w:rsidRPr="008D6EF8">
        <w:t>, ’Fundamental Rights and Fundamental Freedoms: The Challenge of Striking a Delicate Balance’ (2006) 17 EBLR 225, 239.</w:t>
      </w:r>
    </w:p>
  </w:footnote>
  <w:footnote w:id="4">
    <w:p w:rsidR="00305547" w:rsidRPr="00695480" w:rsidRDefault="00305547">
      <w:pPr>
        <w:pStyle w:val="FootnoteText"/>
      </w:pPr>
      <w:r>
        <w:rPr>
          <w:rStyle w:val="FootnoteReference"/>
        </w:rPr>
        <w:footnoteRef/>
      </w:r>
      <w:r>
        <w:t xml:space="preserve"> </w:t>
      </w:r>
      <w:r w:rsidRPr="00305547">
        <w:t>Case C</w:t>
      </w:r>
      <w:r w:rsidRPr="00305547">
        <w:rPr>
          <w:rFonts w:ascii="MS Gothic" w:eastAsia="MS Gothic" w:hAnsi="MS Gothic" w:cs="MS Gothic" w:hint="eastAsia"/>
        </w:rPr>
        <w:t>‑</w:t>
      </w:r>
      <w:r w:rsidRPr="00305547">
        <w:t>256/11</w:t>
      </w:r>
      <w:r>
        <w:t xml:space="preserve"> </w:t>
      </w:r>
      <w:proofErr w:type="spellStart"/>
      <w:r w:rsidRPr="00305547">
        <w:rPr>
          <w:i/>
        </w:rPr>
        <w:t>Dereci</w:t>
      </w:r>
      <w:proofErr w:type="spellEnd"/>
      <w:r>
        <w:t xml:space="preserve"> </w:t>
      </w:r>
      <w:r w:rsidRPr="00305547">
        <w:t>EU</w:t>
      </w:r>
      <w:proofErr w:type="gramStart"/>
      <w:r w:rsidRPr="00305547">
        <w:t>:C:2011:734</w:t>
      </w:r>
      <w:proofErr w:type="gramEnd"/>
      <w:r>
        <w:t>.</w:t>
      </w:r>
      <w:r w:rsidR="00D71DD6">
        <w:t xml:space="preserve"> The case concerned the principle established in Case </w:t>
      </w:r>
      <w:r w:rsidR="00D71DD6" w:rsidRPr="00D71DD6">
        <w:t>C</w:t>
      </w:r>
      <w:r w:rsidR="00D71DD6" w:rsidRPr="00D71DD6">
        <w:rPr>
          <w:rFonts w:ascii="MS Gothic" w:eastAsia="MS Gothic" w:hAnsi="MS Gothic" w:cs="MS Gothic" w:hint="eastAsia"/>
        </w:rPr>
        <w:t>‑</w:t>
      </w:r>
      <w:r w:rsidR="00CE634E">
        <w:t>34/09</w:t>
      </w:r>
      <w:r w:rsidR="00D71DD6" w:rsidRPr="00D71DD6">
        <w:rPr>
          <w:i/>
          <w:iCs/>
          <w:sz w:val="22"/>
          <w:szCs w:val="22"/>
        </w:rPr>
        <w:t xml:space="preserve"> </w:t>
      </w:r>
      <w:r w:rsidR="00D71DD6" w:rsidRPr="00D71DD6">
        <w:rPr>
          <w:i/>
          <w:iCs/>
        </w:rPr>
        <w:t>Ruiz Zambrano</w:t>
      </w:r>
      <w:r w:rsidR="00D71DD6" w:rsidRPr="00D71DD6">
        <w:t xml:space="preserve"> EU</w:t>
      </w:r>
      <w:proofErr w:type="gramStart"/>
      <w:r w:rsidR="00D71DD6" w:rsidRPr="00D71DD6">
        <w:t>:C:2011:124</w:t>
      </w:r>
      <w:proofErr w:type="gramEnd"/>
      <w:r w:rsidR="00D71DD6">
        <w:t>, li</w:t>
      </w:r>
      <w:r w:rsidR="00CE634E">
        <w:t>ke all the citizenship rulings discussed in this editorial.</w:t>
      </w:r>
    </w:p>
  </w:footnote>
  <w:footnote w:id="5">
    <w:p w:rsidR="00641D08" w:rsidRPr="00641D08" w:rsidRDefault="00641D08">
      <w:pPr>
        <w:pStyle w:val="FootnoteText"/>
      </w:pPr>
      <w:r>
        <w:rPr>
          <w:rStyle w:val="FootnoteReference"/>
        </w:rPr>
        <w:footnoteRef/>
      </w:r>
      <w:r>
        <w:t xml:space="preserve"> </w:t>
      </w:r>
      <w:r w:rsidRPr="00641D08">
        <w:t xml:space="preserve">K </w:t>
      </w:r>
      <w:proofErr w:type="spellStart"/>
      <w:r w:rsidRPr="00641D08">
        <w:t>Lenaerts</w:t>
      </w:r>
      <w:proofErr w:type="spellEnd"/>
      <w:r w:rsidRPr="00641D08">
        <w:t>, 'The Court's Outer and Inner Selves' in M Adams</w:t>
      </w:r>
      <w:r>
        <w:t xml:space="preserve"> et al</w:t>
      </w:r>
      <w:r w:rsidRPr="00641D08">
        <w:t xml:space="preserve"> (</w:t>
      </w:r>
      <w:proofErr w:type="spellStart"/>
      <w:r w:rsidRPr="00641D08">
        <w:t>eds</w:t>
      </w:r>
      <w:proofErr w:type="spellEnd"/>
      <w:r w:rsidRPr="00641D08">
        <w:t xml:space="preserve">), </w:t>
      </w:r>
      <w:r w:rsidRPr="00641D08">
        <w:rPr>
          <w:i/>
        </w:rPr>
        <w:t>Judging Europe's Judges</w:t>
      </w:r>
      <w:r w:rsidRPr="00641D08">
        <w:t xml:space="preserve"> (Oxford: Hart Publishing, 2013)</w:t>
      </w:r>
      <w:r>
        <w:t>,</w:t>
      </w:r>
      <w:r w:rsidRPr="00641D08">
        <w:t xml:space="preserve"> 53</w:t>
      </w:r>
      <w:r>
        <w:t>.</w:t>
      </w:r>
    </w:p>
  </w:footnote>
  <w:footnote w:id="6">
    <w:p w:rsidR="00BB6C91" w:rsidRPr="00D71DD6" w:rsidRDefault="00BB6C91">
      <w:pPr>
        <w:pStyle w:val="FootnoteText"/>
        <w:rPr>
          <w:lang w:val="sv-SE"/>
        </w:rPr>
      </w:pPr>
      <w:r>
        <w:rPr>
          <w:rStyle w:val="FootnoteReference"/>
        </w:rPr>
        <w:footnoteRef/>
      </w:r>
      <w:r w:rsidRPr="00D71DD6">
        <w:rPr>
          <w:lang w:val="sv-SE"/>
        </w:rPr>
        <w:t xml:space="preserve"> </w:t>
      </w:r>
      <w:r w:rsidR="00D71DD6" w:rsidRPr="00D71DD6">
        <w:rPr>
          <w:lang w:val="sv-SE"/>
        </w:rPr>
        <w:t>Case C</w:t>
      </w:r>
      <w:r w:rsidR="00D71DD6" w:rsidRPr="00D71DD6">
        <w:rPr>
          <w:rFonts w:ascii="MS Gothic" w:eastAsia="MS Gothic" w:hAnsi="MS Gothic" w:cs="MS Gothic" w:hint="eastAsia"/>
          <w:lang w:val="sv-SE"/>
        </w:rPr>
        <w:t>‑</w:t>
      </w:r>
      <w:r w:rsidR="00D71DD6" w:rsidRPr="00D71DD6">
        <w:rPr>
          <w:lang w:val="sv-SE"/>
        </w:rPr>
        <w:t xml:space="preserve">201/15 </w:t>
      </w:r>
      <w:r w:rsidR="00D71DD6" w:rsidRPr="00D71DD6">
        <w:rPr>
          <w:i/>
          <w:lang w:val="sv-SE"/>
        </w:rPr>
        <w:t xml:space="preserve">AGET </w:t>
      </w:r>
      <w:proofErr w:type="spellStart"/>
      <w:r w:rsidR="00D71DD6" w:rsidRPr="00D71DD6">
        <w:rPr>
          <w:i/>
          <w:lang w:val="sv-SE"/>
        </w:rPr>
        <w:t>Iraklis</w:t>
      </w:r>
      <w:proofErr w:type="spellEnd"/>
      <w:r w:rsidR="005B76A2">
        <w:rPr>
          <w:lang w:val="sv-SE"/>
        </w:rPr>
        <w:t xml:space="preserve"> </w:t>
      </w:r>
      <w:proofErr w:type="gramStart"/>
      <w:r w:rsidR="005B76A2">
        <w:rPr>
          <w:lang w:val="sv-SE"/>
        </w:rPr>
        <w:t>EU:C</w:t>
      </w:r>
      <w:proofErr w:type="gramEnd"/>
      <w:r w:rsidR="005B76A2">
        <w:rPr>
          <w:lang w:val="sv-SE"/>
        </w:rPr>
        <w:t>:2016:429</w:t>
      </w:r>
      <w:r w:rsidR="00D71DD6" w:rsidRPr="00D71DD6">
        <w:rPr>
          <w:lang w:val="sv-SE"/>
        </w:rPr>
        <w:t xml:space="preserve">  para 49</w:t>
      </w:r>
      <w:r w:rsidR="00D71DD6">
        <w:rPr>
          <w:lang w:val="sv-SE"/>
        </w:rPr>
        <w:t>.</w:t>
      </w:r>
    </w:p>
  </w:footnote>
  <w:footnote w:id="7">
    <w:p w:rsidR="00BB6C91" w:rsidRPr="00D71DD6" w:rsidRDefault="00BB6C91">
      <w:pPr>
        <w:pStyle w:val="FootnoteText"/>
        <w:rPr>
          <w:lang w:val="sv-SE"/>
        </w:rPr>
      </w:pPr>
      <w:r>
        <w:rPr>
          <w:rStyle w:val="FootnoteReference"/>
        </w:rPr>
        <w:footnoteRef/>
      </w:r>
      <w:r w:rsidRPr="00D71DD6">
        <w:rPr>
          <w:lang w:val="sv-SE"/>
        </w:rPr>
        <w:t xml:space="preserve"> </w:t>
      </w:r>
      <w:r w:rsidR="00D71DD6" w:rsidRPr="00D71DD6">
        <w:rPr>
          <w:lang w:val="sv-SE"/>
        </w:rPr>
        <w:t>Case C</w:t>
      </w:r>
      <w:r w:rsidR="00D71DD6" w:rsidRPr="00D71DD6">
        <w:rPr>
          <w:rFonts w:ascii="MS Gothic" w:eastAsia="MS Gothic" w:hAnsi="MS Gothic" w:cs="MS Gothic" w:hint="eastAsia"/>
          <w:lang w:val="sv-SE"/>
        </w:rPr>
        <w:t>‑</w:t>
      </w:r>
      <w:r w:rsidR="00D71DD6" w:rsidRPr="00D71DD6">
        <w:rPr>
          <w:lang w:val="sv-SE"/>
        </w:rPr>
        <w:t xml:space="preserve">201/15 </w:t>
      </w:r>
      <w:r w:rsidR="00D71DD6" w:rsidRPr="00D71DD6">
        <w:rPr>
          <w:i/>
          <w:lang w:val="sv-SE"/>
        </w:rPr>
        <w:t xml:space="preserve">AGET </w:t>
      </w:r>
      <w:proofErr w:type="spellStart"/>
      <w:r w:rsidR="00D71DD6" w:rsidRPr="00D71DD6">
        <w:rPr>
          <w:i/>
          <w:lang w:val="sv-SE"/>
        </w:rPr>
        <w:t>Iraklis</w:t>
      </w:r>
      <w:proofErr w:type="spellEnd"/>
      <w:r w:rsidR="00D71DD6" w:rsidRPr="00D71DD6">
        <w:rPr>
          <w:lang w:val="sv-SE"/>
        </w:rPr>
        <w:t xml:space="preserve"> </w:t>
      </w:r>
      <w:proofErr w:type="gramStart"/>
      <w:r w:rsidR="00D71DD6" w:rsidRPr="00D71DD6">
        <w:rPr>
          <w:lang w:val="sv-SE"/>
        </w:rPr>
        <w:t>EU:C</w:t>
      </w:r>
      <w:proofErr w:type="gramEnd"/>
      <w:r w:rsidR="00D71DD6" w:rsidRPr="00D71DD6">
        <w:rPr>
          <w:lang w:val="sv-SE"/>
        </w:rPr>
        <w:t>:2016:972</w:t>
      </w:r>
      <w:r w:rsidR="00D71DD6">
        <w:rPr>
          <w:lang w:val="sv-SE"/>
        </w:rPr>
        <w:t xml:space="preserve"> para 55</w:t>
      </w:r>
      <w:r w:rsidR="00354B04">
        <w:rPr>
          <w:lang w:val="sv-SE"/>
        </w:rPr>
        <w:t>.</w:t>
      </w:r>
    </w:p>
  </w:footnote>
  <w:footnote w:id="8">
    <w:p w:rsidR="00BB6C91" w:rsidRPr="00BB6C91" w:rsidRDefault="00BB6C91">
      <w:pPr>
        <w:pStyle w:val="FootnoteText"/>
        <w:rPr>
          <w:lang w:val="sv-SE"/>
        </w:rPr>
      </w:pPr>
      <w:r>
        <w:rPr>
          <w:rStyle w:val="FootnoteReference"/>
        </w:rPr>
        <w:footnoteRef/>
      </w:r>
      <w:r w:rsidRPr="00BB6C91">
        <w:rPr>
          <w:lang w:val="sv-SE"/>
        </w:rPr>
        <w:t xml:space="preserve"> Case C</w:t>
      </w:r>
      <w:r w:rsidRPr="00BB6C91">
        <w:rPr>
          <w:rFonts w:ascii="MS Gothic" w:eastAsia="MS Gothic" w:hAnsi="MS Gothic" w:cs="MS Gothic" w:hint="eastAsia"/>
          <w:lang w:val="sv-SE"/>
        </w:rPr>
        <w:t>‑</w:t>
      </w:r>
      <w:r w:rsidRPr="00BB6C91">
        <w:rPr>
          <w:lang w:val="sv-SE"/>
        </w:rPr>
        <w:t xml:space="preserve">115/15 </w:t>
      </w:r>
      <w:r w:rsidRPr="00BB6C91">
        <w:rPr>
          <w:i/>
          <w:lang w:val="sv-SE"/>
        </w:rPr>
        <w:t xml:space="preserve">NA </w:t>
      </w:r>
      <w:proofErr w:type="gramStart"/>
      <w:r w:rsidRPr="00BB6C91">
        <w:rPr>
          <w:lang w:val="sv-SE"/>
        </w:rPr>
        <w:t>EU:C</w:t>
      </w:r>
      <w:proofErr w:type="gramEnd"/>
      <w:r w:rsidRPr="00BB6C91">
        <w:rPr>
          <w:lang w:val="sv-SE"/>
        </w:rPr>
        <w:t>:2016:259 paras 125-126.</w:t>
      </w:r>
    </w:p>
  </w:footnote>
  <w:footnote w:id="9">
    <w:p w:rsidR="00BB6C91" w:rsidRPr="006C74FF" w:rsidRDefault="00BB6C91">
      <w:pPr>
        <w:pStyle w:val="FootnoteText"/>
      </w:pPr>
      <w:r>
        <w:rPr>
          <w:rStyle w:val="FootnoteReference"/>
        </w:rPr>
        <w:footnoteRef/>
      </w:r>
      <w:r w:rsidRPr="006C74FF">
        <w:t xml:space="preserve"> </w:t>
      </w:r>
      <w:r w:rsidR="006C74FF" w:rsidRPr="006C74FF">
        <w:t>Case C</w:t>
      </w:r>
      <w:r w:rsidR="006C74FF" w:rsidRPr="006C74FF">
        <w:rPr>
          <w:rFonts w:ascii="MS Gothic" w:eastAsia="MS Gothic" w:hAnsi="MS Gothic" w:cs="MS Gothic" w:hint="eastAsia"/>
        </w:rPr>
        <w:t>‑</w:t>
      </w:r>
      <w:r w:rsidR="006C74FF" w:rsidRPr="006C74FF">
        <w:t xml:space="preserve">133/15 </w:t>
      </w:r>
      <w:r w:rsidR="006C74FF" w:rsidRPr="00354B04">
        <w:rPr>
          <w:i/>
        </w:rPr>
        <w:t>Chavez-</w:t>
      </w:r>
      <w:proofErr w:type="spellStart"/>
      <w:r w:rsidR="006C74FF" w:rsidRPr="00354B04">
        <w:rPr>
          <w:i/>
        </w:rPr>
        <w:t>Vilchez</w:t>
      </w:r>
      <w:proofErr w:type="spellEnd"/>
      <w:r w:rsidR="006C74FF" w:rsidRPr="006C74FF">
        <w:t xml:space="preserve"> EU</w:t>
      </w:r>
      <w:proofErr w:type="gramStart"/>
      <w:r w:rsidR="006C74FF" w:rsidRPr="006C74FF">
        <w:t>:C:2017:354</w:t>
      </w:r>
      <w:proofErr w:type="gramEnd"/>
      <w:r w:rsidR="006C74FF">
        <w:t xml:space="preserve">, in particular para 70. For a detailed analysis, see </w:t>
      </w:r>
      <w:r w:rsidR="006C74FF" w:rsidRPr="006C74FF">
        <w:t xml:space="preserve">H van </w:t>
      </w:r>
      <w:proofErr w:type="spellStart"/>
      <w:r w:rsidR="006C74FF" w:rsidRPr="006C74FF">
        <w:t>Eijken</w:t>
      </w:r>
      <w:proofErr w:type="spellEnd"/>
      <w:r w:rsidR="006C74FF">
        <w:t xml:space="preserve"> and </w:t>
      </w:r>
      <w:r w:rsidR="006C74FF" w:rsidRPr="006C74FF">
        <w:t xml:space="preserve">P </w:t>
      </w:r>
      <w:proofErr w:type="spellStart"/>
      <w:r w:rsidR="006C74FF" w:rsidRPr="006C74FF">
        <w:t>Phoa</w:t>
      </w:r>
      <w:proofErr w:type="spellEnd"/>
      <w:r w:rsidR="006C74FF">
        <w:t>, ‘</w:t>
      </w:r>
      <w:proofErr w:type="gramStart"/>
      <w:r w:rsidR="00746016" w:rsidRPr="00746016">
        <w:t>The</w:t>
      </w:r>
      <w:proofErr w:type="gramEnd"/>
      <w:r w:rsidR="00746016" w:rsidRPr="00746016">
        <w:t xml:space="preserve"> scope of Article 20 TFEU clarified in </w:t>
      </w:r>
      <w:r w:rsidR="00746016" w:rsidRPr="00746016">
        <w:rPr>
          <w:i/>
        </w:rPr>
        <w:t>Chavez-</w:t>
      </w:r>
      <w:proofErr w:type="spellStart"/>
      <w:r w:rsidR="00746016" w:rsidRPr="00746016">
        <w:rPr>
          <w:i/>
        </w:rPr>
        <w:t>Vilchez</w:t>
      </w:r>
      <w:proofErr w:type="spellEnd"/>
      <w:r w:rsidR="00746016">
        <w:t>: a</w:t>
      </w:r>
      <w:r w:rsidR="00746016" w:rsidRPr="00746016">
        <w:t>re the fundamental rights of minor EU citizens coming of age?</w:t>
      </w:r>
      <w:r w:rsidR="00746016">
        <w:t xml:space="preserve">’ </w:t>
      </w:r>
      <w:proofErr w:type="gramStart"/>
      <w:r w:rsidR="00746016">
        <w:t xml:space="preserve">(2018) 43 </w:t>
      </w:r>
      <w:proofErr w:type="spellStart"/>
      <w:r w:rsidR="00746016">
        <w:t>ELRev</w:t>
      </w:r>
      <w:proofErr w:type="spellEnd"/>
      <w:r w:rsidR="00746016">
        <w:t xml:space="preserve"> forthcoming.</w:t>
      </w:r>
      <w:proofErr w:type="gramEnd"/>
    </w:p>
  </w:footnote>
  <w:footnote w:id="10">
    <w:p w:rsidR="00746016" w:rsidRPr="00354B04" w:rsidRDefault="00746016">
      <w:pPr>
        <w:pStyle w:val="FootnoteText"/>
      </w:pPr>
      <w:r>
        <w:rPr>
          <w:rStyle w:val="FootnoteReference"/>
        </w:rPr>
        <w:footnoteRef/>
      </w:r>
      <w:r w:rsidRPr="00354B04">
        <w:t xml:space="preserve"> Case C</w:t>
      </w:r>
      <w:r w:rsidRPr="00354B04">
        <w:rPr>
          <w:rFonts w:ascii="MS Gothic" w:eastAsia="MS Gothic" w:hAnsi="MS Gothic" w:cs="MS Gothic" w:hint="eastAsia"/>
        </w:rPr>
        <w:t>‑</w:t>
      </w:r>
      <w:r w:rsidRPr="00354B04">
        <w:t xml:space="preserve">82/16 </w:t>
      </w:r>
      <w:r w:rsidRPr="00354B04">
        <w:rPr>
          <w:i/>
        </w:rPr>
        <w:t xml:space="preserve">KA </w:t>
      </w:r>
      <w:r w:rsidRPr="00354B04">
        <w:t>EU</w:t>
      </w:r>
      <w:proofErr w:type="gramStart"/>
      <w:r w:rsidRPr="00354B04">
        <w:t>:C:2018:308</w:t>
      </w:r>
      <w:proofErr w:type="gramEnd"/>
      <w:r w:rsidRPr="00354B04">
        <w:t xml:space="preserve"> para 71.</w:t>
      </w:r>
    </w:p>
  </w:footnote>
  <w:footnote w:id="11">
    <w:p w:rsidR="00050BE1" w:rsidRPr="00D71DD6" w:rsidRDefault="00050BE1">
      <w:pPr>
        <w:pStyle w:val="FootnoteText"/>
      </w:pPr>
      <w:r>
        <w:rPr>
          <w:rStyle w:val="FootnoteReference"/>
        </w:rPr>
        <w:footnoteRef/>
      </w:r>
      <w:r w:rsidRPr="00D71DD6">
        <w:t xml:space="preserve"> Se </w:t>
      </w:r>
      <w:proofErr w:type="spellStart"/>
      <w:r w:rsidRPr="00D71DD6">
        <w:t>eg</w:t>
      </w:r>
      <w:proofErr w:type="spellEnd"/>
      <w:r w:rsidRPr="00D71DD6">
        <w:t xml:space="preserve"> </w:t>
      </w:r>
      <w:r w:rsidR="00D71DD6" w:rsidRPr="00D71DD6">
        <w:t xml:space="preserve">Case C-50/00 P </w:t>
      </w:r>
      <w:r w:rsidR="00D71DD6" w:rsidRPr="00D71DD6">
        <w:rPr>
          <w:i/>
        </w:rPr>
        <w:t xml:space="preserve">Unión de </w:t>
      </w:r>
      <w:proofErr w:type="spellStart"/>
      <w:r w:rsidR="00D71DD6" w:rsidRPr="00D71DD6">
        <w:rPr>
          <w:i/>
        </w:rPr>
        <w:t>Pequeños</w:t>
      </w:r>
      <w:proofErr w:type="spellEnd"/>
      <w:r w:rsidR="00D71DD6" w:rsidRPr="00D71DD6">
        <w:rPr>
          <w:i/>
        </w:rPr>
        <w:t xml:space="preserve"> </w:t>
      </w:r>
      <w:proofErr w:type="spellStart"/>
      <w:r w:rsidR="00D71DD6" w:rsidRPr="00D71DD6">
        <w:rPr>
          <w:i/>
        </w:rPr>
        <w:t>Agricultores</w:t>
      </w:r>
      <w:proofErr w:type="spellEnd"/>
      <w:r w:rsidR="00D71DD6" w:rsidRPr="00D71DD6">
        <w:rPr>
          <w:i/>
        </w:rPr>
        <w:t xml:space="preserve"> </w:t>
      </w:r>
      <w:r w:rsidR="00D71DD6" w:rsidRPr="00D71DD6">
        <w:t>EU</w:t>
      </w:r>
      <w:proofErr w:type="gramStart"/>
      <w:r w:rsidR="00D71DD6" w:rsidRPr="00D71DD6">
        <w:t>:C:2002:462</w:t>
      </w:r>
      <w:proofErr w:type="gramEnd"/>
      <w:r w:rsidR="00D71DD6" w:rsidRPr="00D71DD6">
        <w:t xml:space="preserve"> para 44</w:t>
      </w:r>
      <w:r w:rsidR="00354B04">
        <w:t>.</w:t>
      </w:r>
    </w:p>
  </w:footnote>
  <w:footnote w:id="12">
    <w:p w:rsidR="006C0BD1" w:rsidRPr="006C0BD1" w:rsidRDefault="006C0BD1">
      <w:pPr>
        <w:pStyle w:val="FootnoteText"/>
        <w:rPr>
          <w:lang w:val="fi-FI"/>
        </w:rPr>
      </w:pPr>
      <w:r>
        <w:rPr>
          <w:rStyle w:val="FootnoteReference"/>
        </w:rPr>
        <w:footnoteRef/>
      </w:r>
      <w:r>
        <w:t xml:space="preserve"> </w:t>
      </w:r>
      <w:proofErr w:type="spellStart"/>
      <w:r w:rsidRPr="006C0BD1">
        <w:rPr>
          <w:i/>
          <w:lang w:val="fi-FI"/>
        </w:rPr>
        <w:t>Chavez</w:t>
      </w:r>
      <w:proofErr w:type="spellEnd"/>
      <w:r>
        <w:rPr>
          <w:lang w:val="fi-FI"/>
        </w:rPr>
        <w:t xml:space="preserve"> </w:t>
      </w:r>
      <w:proofErr w:type="spellStart"/>
      <w:r>
        <w:rPr>
          <w:lang w:val="fi-FI"/>
        </w:rPr>
        <w:t>para</w:t>
      </w:r>
      <w:proofErr w:type="spellEnd"/>
      <w:r>
        <w:rPr>
          <w:lang w:val="fi-FI"/>
        </w:rPr>
        <w:t xml:space="preserve"> 67.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A1B"/>
    <w:rsid w:val="000154EC"/>
    <w:rsid w:val="00022581"/>
    <w:rsid w:val="00050BE1"/>
    <w:rsid w:val="00305547"/>
    <w:rsid w:val="00354B04"/>
    <w:rsid w:val="00431089"/>
    <w:rsid w:val="00447CA4"/>
    <w:rsid w:val="00460A96"/>
    <w:rsid w:val="005B76A2"/>
    <w:rsid w:val="00641D08"/>
    <w:rsid w:val="00695480"/>
    <w:rsid w:val="00697785"/>
    <w:rsid w:val="006C0BD1"/>
    <w:rsid w:val="006C74FF"/>
    <w:rsid w:val="00746016"/>
    <w:rsid w:val="0081089C"/>
    <w:rsid w:val="008537AE"/>
    <w:rsid w:val="008D6EF8"/>
    <w:rsid w:val="00A76B66"/>
    <w:rsid w:val="00AC596A"/>
    <w:rsid w:val="00B154EA"/>
    <w:rsid w:val="00B41CA4"/>
    <w:rsid w:val="00B97A6E"/>
    <w:rsid w:val="00BB6C91"/>
    <w:rsid w:val="00BC41AE"/>
    <w:rsid w:val="00C157B3"/>
    <w:rsid w:val="00CA36D3"/>
    <w:rsid w:val="00CE634E"/>
    <w:rsid w:val="00D128A9"/>
    <w:rsid w:val="00D30D8E"/>
    <w:rsid w:val="00D71DD6"/>
    <w:rsid w:val="00D86C55"/>
    <w:rsid w:val="00DF3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36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36D3"/>
    <w:rPr>
      <w:sz w:val="20"/>
      <w:szCs w:val="20"/>
    </w:rPr>
  </w:style>
  <w:style w:type="character" w:styleId="FootnoteReference">
    <w:name w:val="footnote reference"/>
    <w:basedOn w:val="DefaultParagraphFont"/>
    <w:uiPriority w:val="99"/>
    <w:semiHidden/>
    <w:unhideWhenUsed/>
    <w:rsid w:val="00CA36D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36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36D3"/>
    <w:rPr>
      <w:sz w:val="20"/>
      <w:szCs w:val="20"/>
    </w:rPr>
  </w:style>
  <w:style w:type="character" w:styleId="FootnoteReference">
    <w:name w:val="footnote reference"/>
    <w:basedOn w:val="DefaultParagraphFont"/>
    <w:uiPriority w:val="99"/>
    <w:semiHidden/>
    <w:unhideWhenUsed/>
    <w:rsid w:val="00CA36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256</TotalTime>
  <Pages>2</Pages>
  <Words>976</Words>
  <Characters>5569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Jukka Snell</dc:creator>
  <cp:keywords/>
  <dc:description/>
  <cp:lastModifiedBy>Jukka Snell</cp:lastModifiedBy>
  <cp:revision>9</cp:revision>
  <cp:lastPrinted>2018-07-06T08:28:00Z</cp:lastPrinted>
  <dcterms:created xsi:type="dcterms:W3CDTF">2018-07-05T12:18:00Z</dcterms:created>
  <dcterms:modified xsi:type="dcterms:W3CDTF">2018-07-20T11:10:00Z</dcterms:modified>
</cp:coreProperties>
</file>