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B7B" w:rsidRPr="00070B7B" w:rsidRDefault="00070B7B" w:rsidP="00070B7B">
      <w:pPr>
        <w:autoSpaceDE w:val="0"/>
        <w:autoSpaceDN w:val="0"/>
        <w:adjustRightInd w:val="0"/>
        <w:spacing w:after="0"/>
        <w:jc w:val="center"/>
        <w:rPr>
          <w:rFonts w:ascii="Times New Roman" w:hAnsi="Times New Roman" w:cs="Times New Roman"/>
          <w:b/>
          <w:sz w:val="24"/>
          <w:szCs w:val="24"/>
          <w:lang w:val="en-US"/>
        </w:rPr>
      </w:pPr>
      <w:r w:rsidRPr="00070B7B">
        <w:rPr>
          <w:rFonts w:ascii="Times New Roman" w:hAnsi="Times New Roman" w:cs="Times New Roman"/>
          <w:b/>
          <w:sz w:val="24"/>
          <w:szCs w:val="24"/>
          <w:lang w:val="en-US"/>
        </w:rPr>
        <w:t>The CJEU broadens the scope of European SPCs, but shortens validity of its duration in certain Member States</w:t>
      </w:r>
    </w:p>
    <w:p w:rsidR="00070B7B" w:rsidRDefault="00070B7B" w:rsidP="00070B7B">
      <w:pPr>
        <w:autoSpaceDE w:val="0"/>
        <w:autoSpaceDN w:val="0"/>
        <w:adjustRightInd w:val="0"/>
        <w:spacing w:after="0"/>
        <w:jc w:val="both"/>
        <w:rPr>
          <w:rFonts w:ascii="Times New Roman" w:hAnsi="Times New Roman" w:cs="Times New Roman"/>
          <w:sz w:val="24"/>
          <w:szCs w:val="24"/>
          <w:lang w:val="en-US"/>
        </w:rPr>
      </w:pPr>
    </w:p>
    <w:p w:rsidR="00070B7B" w:rsidRDefault="00070B7B" w:rsidP="00070B7B">
      <w:pPr>
        <w:autoSpaceDE w:val="0"/>
        <w:autoSpaceDN w:val="0"/>
        <w:adjustRightInd w:val="0"/>
        <w:spacing w:after="0"/>
        <w:jc w:val="both"/>
        <w:rPr>
          <w:rFonts w:ascii="Times New Roman" w:hAnsi="Times New Roman" w:cs="Times New Roman"/>
          <w:sz w:val="24"/>
          <w:szCs w:val="24"/>
          <w:lang w:val="en-US"/>
        </w:rPr>
      </w:pPr>
      <w:r w:rsidRPr="00070B7B">
        <w:rPr>
          <w:rFonts w:ascii="Times New Roman" w:hAnsi="Times New Roman" w:cs="Times New Roman"/>
          <w:i/>
          <w:sz w:val="24"/>
          <w:szCs w:val="24"/>
          <w:lang w:val="en-US"/>
        </w:rPr>
        <w:t xml:space="preserve">F. Hoffmann-La Roche AG v Accord Healthcare </w:t>
      </w:r>
      <w:r w:rsidRPr="00070B7B">
        <w:rPr>
          <w:rFonts w:ascii="Times New Roman" w:hAnsi="Times New Roman" w:cs="Times New Roman"/>
          <w:bCs/>
          <w:i/>
          <w:color w:val="333333"/>
          <w:lang w:val="en-US"/>
        </w:rPr>
        <w:t>OÜ</w:t>
      </w:r>
      <w:r w:rsidRPr="00070B7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70B7B">
        <w:rPr>
          <w:rFonts w:ascii="Times New Roman" w:hAnsi="Times New Roman" w:cs="Times New Roman"/>
          <w:sz w:val="24"/>
          <w:szCs w:val="24"/>
          <w:lang w:val="en-US"/>
        </w:rPr>
        <w:t>C-572/15, EU</w:t>
      </w:r>
      <w:proofErr w:type="gramStart"/>
      <w:r w:rsidRPr="00070B7B">
        <w:rPr>
          <w:rFonts w:ascii="Times New Roman" w:hAnsi="Times New Roman" w:cs="Times New Roman"/>
          <w:sz w:val="24"/>
          <w:szCs w:val="24"/>
          <w:lang w:val="en-US"/>
        </w:rPr>
        <w:t>:C:20</w:t>
      </w:r>
      <w:r>
        <w:rPr>
          <w:rFonts w:ascii="Times New Roman" w:hAnsi="Times New Roman" w:cs="Times New Roman"/>
          <w:sz w:val="24"/>
          <w:szCs w:val="24"/>
          <w:lang w:val="en-US"/>
        </w:rPr>
        <w:t>16:739</w:t>
      </w:r>
      <w:proofErr w:type="gramEnd"/>
      <w:r>
        <w:rPr>
          <w:rFonts w:ascii="Times New Roman" w:hAnsi="Times New Roman" w:cs="Times New Roman"/>
          <w:sz w:val="24"/>
          <w:szCs w:val="24"/>
          <w:lang w:val="en-US"/>
        </w:rPr>
        <w:t xml:space="preserve">, Court of Justice of the </w:t>
      </w:r>
      <w:r w:rsidRPr="00070B7B">
        <w:rPr>
          <w:rFonts w:ascii="Times New Roman" w:hAnsi="Times New Roman" w:cs="Times New Roman"/>
          <w:sz w:val="24"/>
          <w:szCs w:val="24"/>
          <w:lang w:val="en-US"/>
        </w:rPr>
        <w:t>European Union, 5 October 2016</w:t>
      </w:r>
    </w:p>
    <w:p w:rsidR="00070B7B" w:rsidRPr="00070B7B" w:rsidRDefault="00070B7B" w:rsidP="00070B7B">
      <w:pPr>
        <w:autoSpaceDE w:val="0"/>
        <w:autoSpaceDN w:val="0"/>
        <w:adjustRightInd w:val="0"/>
        <w:spacing w:after="0"/>
        <w:jc w:val="both"/>
        <w:rPr>
          <w:rFonts w:ascii="Times New Roman" w:hAnsi="Times New Roman" w:cs="Times New Roman"/>
          <w:sz w:val="24"/>
          <w:szCs w:val="24"/>
          <w:lang w:val="en-US"/>
        </w:rPr>
      </w:pPr>
    </w:p>
    <w:p w:rsidR="00070B7B" w:rsidRPr="00ED7C41" w:rsidRDefault="00070B7B" w:rsidP="00070B7B">
      <w:pPr>
        <w:autoSpaceDE w:val="0"/>
        <w:autoSpaceDN w:val="0"/>
        <w:adjustRightInd w:val="0"/>
        <w:spacing w:after="0"/>
        <w:jc w:val="both"/>
        <w:rPr>
          <w:rFonts w:ascii="Times New Roman" w:hAnsi="Times New Roman" w:cs="Times New Roman"/>
          <w:sz w:val="24"/>
          <w:szCs w:val="24"/>
          <w:lang w:val="en-US"/>
        </w:rPr>
      </w:pPr>
      <w:r w:rsidRPr="00ED7C41">
        <w:rPr>
          <w:rFonts w:ascii="Times New Roman" w:hAnsi="Times New Roman" w:cs="Times New Roman"/>
          <w:sz w:val="24"/>
          <w:szCs w:val="24"/>
          <w:lang w:val="en-US"/>
        </w:rPr>
        <w:t>The Court of Justice of the European Union (CJEU) has clarified that, where a medicinal product has been the subject of a marketing authorization (MA) within the European Economic Area (EEA), before that granted in a Member State of the European Union (EU), and even before the Member State’s accession to the EU, the EEA MA must be taken into account for the purpose of determining the duration of the supplementary protection certificate granted in the EU.</w:t>
      </w:r>
    </w:p>
    <w:p w:rsidR="00070B7B" w:rsidRPr="00070B7B" w:rsidRDefault="00070B7B" w:rsidP="00070B7B">
      <w:pPr>
        <w:autoSpaceDE w:val="0"/>
        <w:autoSpaceDN w:val="0"/>
        <w:adjustRightInd w:val="0"/>
        <w:spacing w:after="0"/>
        <w:jc w:val="both"/>
        <w:rPr>
          <w:rFonts w:ascii="Times New Roman" w:hAnsi="Times New Roman" w:cs="Times New Roman"/>
          <w:sz w:val="24"/>
          <w:szCs w:val="24"/>
          <w:lang w:val="en-US"/>
        </w:rPr>
      </w:pPr>
    </w:p>
    <w:p w:rsidR="00070B7B" w:rsidRPr="00070B7B" w:rsidRDefault="00070B7B" w:rsidP="00070B7B">
      <w:pPr>
        <w:autoSpaceDE w:val="0"/>
        <w:autoSpaceDN w:val="0"/>
        <w:adjustRightInd w:val="0"/>
        <w:spacing w:after="0"/>
        <w:jc w:val="both"/>
        <w:rPr>
          <w:rFonts w:ascii="Times New Roman" w:hAnsi="Times New Roman" w:cs="Times New Roman"/>
          <w:b/>
          <w:sz w:val="24"/>
          <w:szCs w:val="24"/>
          <w:lang w:val="en-US"/>
        </w:rPr>
      </w:pPr>
      <w:r w:rsidRPr="00070B7B">
        <w:rPr>
          <w:rFonts w:ascii="Times New Roman" w:hAnsi="Times New Roman" w:cs="Times New Roman"/>
          <w:b/>
          <w:sz w:val="24"/>
          <w:szCs w:val="24"/>
          <w:lang w:val="en-US"/>
        </w:rPr>
        <w:t>Legal context</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The Supreme Court of Estonia (</w:t>
      </w:r>
      <w:proofErr w:type="spellStart"/>
      <w:r w:rsidRPr="002963AE">
        <w:rPr>
          <w:rFonts w:ascii="Times New Roman" w:hAnsi="Times New Roman" w:cs="Times New Roman"/>
          <w:sz w:val="24"/>
          <w:szCs w:val="24"/>
          <w:lang w:val="en-US"/>
        </w:rPr>
        <w:t>Riigikohus</w:t>
      </w:r>
      <w:proofErr w:type="spellEnd"/>
      <w:r w:rsidRPr="002963AE">
        <w:rPr>
          <w:rFonts w:ascii="Times New Roman" w:hAnsi="Times New Roman" w:cs="Times New Roman"/>
          <w:sz w:val="24"/>
          <w:szCs w:val="24"/>
          <w:lang w:val="en-US"/>
        </w:rPr>
        <w:t>) sought clarifications</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from the CJEU on the interpretation of a transitional</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provision of Regulation (EC) No 469/2009 of the European</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proofErr w:type="gramStart"/>
      <w:r w:rsidRPr="002963AE">
        <w:rPr>
          <w:rFonts w:ascii="Times New Roman" w:hAnsi="Times New Roman" w:cs="Times New Roman"/>
          <w:sz w:val="24"/>
          <w:szCs w:val="24"/>
          <w:lang w:val="en-US"/>
        </w:rPr>
        <w:t>Parliament and of the Council of 6 May 2009 concerning</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supplementary protection certificate for medicinal products</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(OJ 2009 L 152, p. 1).</w:t>
      </w:r>
      <w:proofErr w:type="gramEnd"/>
      <w:r w:rsidRPr="002963AE">
        <w:rPr>
          <w:rFonts w:ascii="Times New Roman" w:hAnsi="Times New Roman" w:cs="Times New Roman"/>
          <w:sz w:val="24"/>
          <w:szCs w:val="24"/>
          <w:lang w:val="en-US"/>
        </w:rPr>
        <w:t xml:space="preserve"> Article 21(2) of the Regulation,</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which codified Article 20(2) of Council Regulation (EEC)</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No 1768/92 of 18 June 1992 concerning the creation of a</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supplementary protection certificate for medicinal products</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(OJ 1992 L 182, p. 1), as amended by Annex II to the Act</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concerning the conditions of accession of the Czech</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Republic, the Republic of Estonia, the Republic of Cyprus,</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Republic of Latvia, the Republic of Lithuania, the</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Republic of Hungary, the Republic of Malta, the Republic of</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Poland, the Republic of Slovenia and the Slovak Republic</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and the adjustments to the Treaties on which the European</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Union is founded (OJ 2003 L 236, p. 33), unambiguously</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applies EU law to supplementary protection certificates</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(SPCs) granted by these new Member States before their accession</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to the EU. Read in conjunction with Article 13</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(which limits the duration of an SPC to a maximum of 5</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years) and Recital 9 (which limits the enjoyment of a patent</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and an SPC to a maximum of 15 years), this provision has</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effect of limiting the duration of SPCs granted in these</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countries before accession, if an MA had already been</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granted in another EU</w:t>
      </w:r>
      <w:r w:rsidR="002963AE" w:rsidRP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Member State.</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b/>
          <w:sz w:val="24"/>
          <w:szCs w:val="24"/>
          <w:lang w:val="en-US"/>
        </w:rPr>
      </w:pPr>
      <w:r w:rsidRPr="002963AE">
        <w:rPr>
          <w:rFonts w:ascii="Times New Roman" w:hAnsi="Times New Roman" w:cs="Times New Roman"/>
          <w:b/>
          <w:sz w:val="24"/>
          <w:szCs w:val="24"/>
          <w:lang w:val="en-US"/>
        </w:rPr>
        <w:t>Facts</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In 2001, Roche, a pharmaceutical company established in</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Switzerland, secured an MA to market its medicinal product</w:t>
      </w:r>
      <w:r w:rsidR="002963AE">
        <w:rPr>
          <w:rFonts w:ascii="Times New Roman" w:hAnsi="Times New Roman" w:cs="Times New Roman"/>
          <w:sz w:val="24"/>
          <w:szCs w:val="24"/>
          <w:lang w:val="en-US"/>
        </w:rPr>
        <w:t xml:space="preserve"> </w:t>
      </w:r>
      <w:proofErr w:type="spellStart"/>
      <w:r w:rsidRPr="002963AE">
        <w:rPr>
          <w:rFonts w:ascii="Times New Roman" w:hAnsi="Times New Roman" w:cs="Times New Roman"/>
          <w:sz w:val="24"/>
          <w:szCs w:val="24"/>
          <w:lang w:val="en-US"/>
        </w:rPr>
        <w:t>Xeloda</w:t>
      </w:r>
      <w:proofErr w:type="spellEnd"/>
      <w:r w:rsidRPr="002963AE">
        <w:rPr>
          <w:rFonts w:ascii="Times New Roman" w:hAnsi="Times New Roman" w:cs="Times New Roman"/>
          <w:sz w:val="24"/>
          <w:szCs w:val="24"/>
          <w:lang w:val="en-US"/>
        </w:rPr>
        <w:t xml:space="preserve"> in Estonia. The active substance of the drug,</w:t>
      </w:r>
      <w:r w:rsidR="002963AE">
        <w:rPr>
          <w:rFonts w:ascii="Times New Roman" w:hAnsi="Times New Roman" w:cs="Times New Roman"/>
          <w:sz w:val="24"/>
          <w:szCs w:val="24"/>
          <w:lang w:val="en-US"/>
        </w:rPr>
        <w:t xml:space="preserve"> </w:t>
      </w:r>
      <w:proofErr w:type="spellStart"/>
      <w:r w:rsidRPr="002963AE">
        <w:rPr>
          <w:rFonts w:ascii="Times New Roman" w:hAnsi="Times New Roman" w:cs="Times New Roman"/>
          <w:sz w:val="24"/>
          <w:szCs w:val="24"/>
          <w:lang w:val="en-US"/>
        </w:rPr>
        <w:t>capecitabine</w:t>
      </w:r>
      <w:proofErr w:type="spellEnd"/>
      <w:r w:rsidRPr="002963AE">
        <w:rPr>
          <w:rFonts w:ascii="Times New Roman" w:hAnsi="Times New Roman" w:cs="Times New Roman"/>
          <w:sz w:val="24"/>
          <w:szCs w:val="24"/>
          <w:lang w:val="en-US"/>
        </w:rPr>
        <w:t>, was protected by patent No 03086, granted to</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Roche in 1998, as well as by an SPC issued in 2001 by 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Estonian Patent Office.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Accord, a subsidiary of Accord Healthcare Limited, established</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in Estonia, obtained an MA for a generic medicinal</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product having </w:t>
      </w:r>
      <w:proofErr w:type="spellStart"/>
      <w:r w:rsidRPr="002963AE">
        <w:rPr>
          <w:rFonts w:ascii="Times New Roman" w:hAnsi="Times New Roman" w:cs="Times New Roman"/>
          <w:sz w:val="24"/>
          <w:szCs w:val="24"/>
          <w:lang w:val="en-US"/>
        </w:rPr>
        <w:t>capecitabine</w:t>
      </w:r>
      <w:proofErr w:type="spellEnd"/>
      <w:r w:rsidRPr="002963AE">
        <w:rPr>
          <w:rFonts w:ascii="Times New Roman" w:hAnsi="Times New Roman" w:cs="Times New Roman"/>
          <w:sz w:val="24"/>
          <w:szCs w:val="24"/>
          <w:lang w:val="en-US"/>
        </w:rPr>
        <w:t xml:space="preserve"> as its active substance. In</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October 2014, Accord applied to the Estonian Ministry of</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Social Affairs for its generic medicinal product to be included</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in a list of medicinal products provided for by 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national legislature (inclusion in such list reduces the cost</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the medicinal product for insured persons). The request</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was approved.</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Roche brought an action before the Harju District</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Court, requesting that Accord be ordered to refrain from</w:t>
      </w:r>
    </w:p>
    <w:p w:rsidR="00070B7B" w:rsidRDefault="00070B7B" w:rsidP="002963AE">
      <w:pPr>
        <w:autoSpaceDE w:val="0"/>
        <w:autoSpaceDN w:val="0"/>
        <w:adjustRightInd w:val="0"/>
        <w:spacing w:after="0"/>
        <w:jc w:val="both"/>
        <w:rPr>
          <w:rFonts w:ascii="Times New Roman" w:hAnsi="Times New Roman" w:cs="Times New Roman"/>
          <w:sz w:val="24"/>
          <w:szCs w:val="24"/>
          <w:lang w:val="en-US"/>
        </w:rPr>
      </w:pPr>
      <w:proofErr w:type="gramStart"/>
      <w:r w:rsidRPr="002963AE">
        <w:rPr>
          <w:rFonts w:ascii="Times New Roman" w:hAnsi="Times New Roman" w:cs="Times New Roman"/>
          <w:sz w:val="24"/>
          <w:szCs w:val="24"/>
          <w:lang w:val="en-US"/>
        </w:rPr>
        <w:lastRenderedPageBreak/>
        <w:t>infringing</w:t>
      </w:r>
      <w:proofErr w:type="gramEnd"/>
      <w:r w:rsidRPr="002963AE">
        <w:rPr>
          <w:rFonts w:ascii="Times New Roman" w:hAnsi="Times New Roman" w:cs="Times New Roman"/>
          <w:sz w:val="24"/>
          <w:szCs w:val="24"/>
          <w:lang w:val="en-US"/>
        </w:rPr>
        <w:t xml:space="preserve"> its SPC until its expiry in June 2016, and demanding</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protective measures consisting of:</w:t>
      </w:r>
    </w:p>
    <w:p w:rsidR="002963AE" w:rsidRPr="002963AE" w:rsidRDefault="002963AE"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 xml:space="preserve">1. </w:t>
      </w:r>
      <w:proofErr w:type="gramStart"/>
      <w:r w:rsidRPr="002963AE">
        <w:rPr>
          <w:rFonts w:ascii="Times New Roman" w:hAnsi="Times New Roman" w:cs="Times New Roman"/>
          <w:sz w:val="24"/>
          <w:szCs w:val="24"/>
          <w:lang w:val="en-US"/>
        </w:rPr>
        <w:t>seizing</w:t>
      </w:r>
      <w:proofErr w:type="gramEnd"/>
      <w:r w:rsidRPr="002963AE">
        <w:rPr>
          <w:rFonts w:ascii="Times New Roman" w:hAnsi="Times New Roman" w:cs="Times New Roman"/>
          <w:sz w:val="24"/>
          <w:szCs w:val="24"/>
          <w:lang w:val="en-US"/>
        </w:rPr>
        <w:t xml:space="preserve"> all medicinal products in Accord’s ownership</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w:t>
      </w:r>
      <w:r w:rsidR="002963AE">
        <w:rPr>
          <w:rFonts w:ascii="Times New Roman" w:hAnsi="Times New Roman" w:cs="Times New Roman"/>
          <w:sz w:val="24"/>
          <w:szCs w:val="24"/>
          <w:lang w:val="en-US"/>
        </w:rPr>
        <w:t xml:space="preserve">nd prohibiting the company from </w:t>
      </w:r>
      <w:r w:rsidRPr="002963AE">
        <w:rPr>
          <w:rFonts w:ascii="Times New Roman" w:hAnsi="Times New Roman" w:cs="Times New Roman"/>
          <w:sz w:val="24"/>
          <w:szCs w:val="24"/>
          <w:lang w:val="en-US"/>
        </w:rPr>
        <w:t>passing on</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to third parties medicinal products in its possession</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whose active substance is </w:t>
      </w:r>
      <w:proofErr w:type="spellStart"/>
      <w:r w:rsidRPr="002963AE">
        <w:rPr>
          <w:rFonts w:ascii="Times New Roman" w:hAnsi="Times New Roman" w:cs="Times New Roman"/>
          <w:sz w:val="24"/>
          <w:szCs w:val="24"/>
          <w:lang w:val="en-US"/>
        </w:rPr>
        <w:t>capecitabine</w:t>
      </w:r>
      <w:proofErr w:type="spellEnd"/>
      <w:r w:rsidRPr="002963AE">
        <w:rPr>
          <w:rFonts w:ascii="Times New Roman" w:hAnsi="Times New Roman" w:cs="Times New Roman"/>
          <w:sz w:val="24"/>
          <w:szCs w:val="24"/>
          <w:lang w:val="en-US"/>
        </w:rPr>
        <w:t>;</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 xml:space="preserve">2. </w:t>
      </w:r>
      <w:proofErr w:type="gramStart"/>
      <w:r w:rsidRPr="002963AE">
        <w:rPr>
          <w:rFonts w:ascii="Times New Roman" w:hAnsi="Times New Roman" w:cs="Times New Roman"/>
          <w:sz w:val="24"/>
          <w:szCs w:val="24"/>
          <w:lang w:val="en-US"/>
        </w:rPr>
        <w:t>prohibiting</w:t>
      </w:r>
      <w:proofErr w:type="gramEnd"/>
      <w:r w:rsidRPr="002963AE">
        <w:rPr>
          <w:rFonts w:ascii="Times New Roman" w:hAnsi="Times New Roman" w:cs="Times New Roman"/>
          <w:sz w:val="24"/>
          <w:szCs w:val="24"/>
          <w:lang w:val="en-US"/>
        </w:rPr>
        <w:t xml:space="preserve"> Accord from marketing, offering for</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sale, selling and advertising in Estonia medicinal</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products containing that active substance, until 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expiry of the SPC.</w:t>
      </w:r>
    </w:p>
    <w:p w:rsidR="002963AE" w:rsidRDefault="002963AE" w:rsidP="002963AE">
      <w:pPr>
        <w:autoSpaceDE w:val="0"/>
        <w:autoSpaceDN w:val="0"/>
        <w:adjustRightInd w:val="0"/>
        <w:spacing w:after="0"/>
        <w:jc w:val="both"/>
        <w:rPr>
          <w:rFonts w:ascii="Times New Roman" w:hAnsi="Times New Roman" w:cs="Times New Roman"/>
          <w:sz w:val="24"/>
          <w:szCs w:val="24"/>
          <w:lang w:val="en-US"/>
        </w:rPr>
      </w:pPr>
    </w:p>
    <w:p w:rsidR="00070B7B"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Accord asked for dismissal of Roche’s action and sought</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annulment of the SPC or a declaration that the certificate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had no validity.</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district court allowed Roche’s application for protective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measures. Accord challenged the decision of the district</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court by reference to the CJEU’s order in </w:t>
      </w:r>
      <w:r w:rsidRPr="00626742">
        <w:rPr>
          <w:rFonts w:ascii="Times New Roman" w:hAnsi="Times New Roman" w:cs="Times New Roman"/>
          <w:i/>
          <w:sz w:val="24"/>
          <w:szCs w:val="24"/>
          <w:lang w:val="en-US"/>
        </w:rPr>
        <w:t>Merck</w:t>
      </w:r>
      <w:r w:rsidR="002963AE" w:rsidRPr="00626742">
        <w:rPr>
          <w:rFonts w:ascii="Times New Roman" w:hAnsi="Times New Roman" w:cs="Times New Roman"/>
          <w:i/>
          <w:sz w:val="24"/>
          <w:szCs w:val="24"/>
          <w:lang w:val="en-US"/>
        </w:rPr>
        <w:t xml:space="preserve"> </w:t>
      </w:r>
      <w:r w:rsidRPr="00626742">
        <w:rPr>
          <w:rFonts w:ascii="Times New Roman" w:hAnsi="Times New Roman" w:cs="Times New Roman"/>
          <w:i/>
          <w:sz w:val="24"/>
          <w:szCs w:val="24"/>
          <w:lang w:val="en-US"/>
        </w:rPr>
        <w:t>Canada</w:t>
      </w:r>
      <w:r w:rsidRPr="002963AE">
        <w:rPr>
          <w:rFonts w:ascii="Times New Roman" w:hAnsi="Times New Roman" w:cs="Times New Roman"/>
          <w:sz w:val="24"/>
          <w:szCs w:val="24"/>
          <w:lang w:val="en-US"/>
        </w:rPr>
        <w:t>, C-555/13, EU:C:2014:92, where the court had essentially</w:t>
      </w:r>
      <w:r w:rsidR="00626742">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interpreted Article 13 and Recital 9 of the SPC</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Regulation as meaning that the holder of both a patent and</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an SPC cannot rely on the entire period of validity of 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certificate if, by doing so, the right holder would enjoy an</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exclusive right in relation to an active substance for more</w:t>
      </w:r>
      <w:r w:rsidR="00626742">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than 15 years from the time when the first MA in the EU</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was granted. The Tallinn Court of Appeal set aside the order</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the district court.</w:t>
      </w:r>
    </w:p>
    <w:p w:rsidR="002963AE" w:rsidRPr="002963AE" w:rsidRDefault="002963AE"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Roche appealed to the Estonian Supreme Court, which decided</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to stay the proceedings and seek guidance from 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CJEU. The first question referred essentially asked whether</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Article 21(2) of the Regulation must be interpreted as</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meaning</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that it applies to an SPC relating to a given medicinal</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product issued by a</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Member State prior to its accession to 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EU. The second question sought the CJEU’s ruling on the validity</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Article 21(2) of the Regulation in light of EU law.</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b/>
          <w:sz w:val="24"/>
          <w:szCs w:val="24"/>
          <w:lang w:val="en-US"/>
        </w:rPr>
      </w:pPr>
      <w:r w:rsidRPr="002963AE">
        <w:rPr>
          <w:rFonts w:ascii="Times New Roman" w:hAnsi="Times New Roman" w:cs="Times New Roman"/>
          <w:b/>
          <w:sz w:val="24"/>
          <w:szCs w:val="24"/>
          <w:lang w:val="en-US"/>
        </w:rPr>
        <w:t>Analysis</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The CJEU first answered the second question, explaining</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that it does not have jurisdiction to rule on the validity of</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Article 21(2) of the Regulation, as point (b) of the first paragraph</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Article 267 TFEU only confers jurisdiction on it</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to give preliminary rulings concerning both </w:t>
      </w:r>
      <w:proofErr w:type="gramStart"/>
      <w:r w:rsidRPr="002963AE">
        <w:rPr>
          <w:rFonts w:ascii="Times New Roman" w:hAnsi="Times New Roman" w:cs="Times New Roman"/>
          <w:sz w:val="24"/>
          <w:szCs w:val="24"/>
          <w:lang w:val="en-US"/>
        </w:rPr>
        <w:t>the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interpretation</w:t>
      </w:r>
      <w:proofErr w:type="gramEnd"/>
      <w:r w:rsidRPr="002963AE">
        <w:rPr>
          <w:rFonts w:ascii="Times New Roman" w:hAnsi="Times New Roman" w:cs="Times New Roman"/>
          <w:sz w:val="24"/>
          <w:szCs w:val="24"/>
          <w:lang w:val="en-US"/>
        </w:rPr>
        <w:t xml:space="preserve"> of the acts of the institutions, bodies, offices</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or agencies of the EU and the validity of those acts. Article</w:t>
      </w:r>
      <w:r w:rsidR="002963A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21(2) of the SPC Regulation resulted from an act of accession</w:t>
      </w:r>
    </w:p>
    <w:p w:rsidR="00070B7B"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of a Member State and not an act of the EU institutions</w:t>
      </w:r>
      <w:r w:rsidR="006A1514">
        <w:rPr>
          <w:rFonts w:ascii="Times New Roman" w:hAnsi="Times New Roman" w:cs="Times New Roman"/>
          <w:sz w:val="24"/>
          <w:szCs w:val="24"/>
          <w:lang w:val="en-US"/>
        </w:rPr>
        <w:t xml:space="preserve"> (see</w:t>
      </w:r>
      <w:r w:rsidR="006A1514" w:rsidRPr="006A1514">
        <w:rPr>
          <w:rFonts w:ascii="Times New Roman" w:hAnsi="Times New Roman" w:cs="Times New Roman"/>
          <w:i/>
          <w:iCs/>
          <w:sz w:val="24"/>
          <w:szCs w:val="24"/>
        </w:rPr>
        <w:t xml:space="preserve"> </w:t>
      </w:r>
      <w:r w:rsidR="006A1514" w:rsidRPr="00D4639A">
        <w:rPr>
          <w:rFonts w:ascii="Times New Roman" w:hAnsi="Times New Roman" w:cs="Times New Roman"/>
          <w:i/>
          <w:iCs/>
          <w:sz w:val="24"/>
          <w:szCs w:val="24"/>
        </w:rPr>
        <w:t xml:space="preserve">LAISA and CPC </w:t>
      </w:r>
      <w:proofErr w:type="spellStart"/>
      <w:r w:rsidR="006A1514" w:rsidRPr="00D4639A">
        <w:rPr>
          <w:rFonts w:ascii="Times New Roman" w:hAnsi="Times New Roman" w:cs="Times New Roman"/>
          <w:i/>
          <w:iCs/>
          <w:sz w:val="24"/>
          <w:szCs w:val="24"/>
        </w:rPr>
        <w:t>España</w:t>
      </w:r>
      <w:proofErr w:type="spellEnd"/>
      <w:r w:rsidR="006A1514" w:rsidRPr="00D4639A">
        <w:rPr>
          <w:rStyle w:val="apple-converted-space"/>
          <w:rFonts w:ascii="Times New Roman" w:hAnsi="Times New Roman" w:cs="Times New Roman"/>
          <w:i/>
          <w:iCs/>
          <w:sz w:val="24"/>
          <w:szCs w:val="24"/>
        </w:rPr>
        <w:t> </w:t>
      </w:r>
      <w:r w:rsidR="006A1514" w:rsidRPr="00D4639A">
        <w:rPr>
          <w:rFonts w:ascii="Times New Roman" w:hAnsi="Times New Roman" w:cs="Times New Roman"/>
          <w:sz w:val="24"/>
          <w:szCs w:val="24"/>
        </w:rPr>
        <w:t>v</w:t>
      </w:r>
      <w:r w:rsidR="006A1514" w:rsidRPr="00D4639A">
        <w:rPr>
          <w:rStyle w:val="apple-converted-space"/>
          <w:rFonts w:ascii="Times New Roman" w:hAnsi="Times New Roman" w:cs="Times New Roman"/>
          <w:i/>
          <w:iCs/>
          <w:sz w:val="24"/>
          <w:szCs w:val="24"/>
        </w:rPr>
        <w:t> </w:t>
      </w:r>
      <w:r w:rsidR="006A1514" w:rsidRPr="00D4639A">
        <w:rPr>
          <w:rFonts w:ascii="Times New Roman" w:hAnsi="Times New Roman" w:cs="Times New Roman"/>
          <w:i/>
          <w:iCs/>
          <w:sz w:val="24"/>
          <w:szCs w:val="24"/>
        </w:rPr>
        <w:t>Council</w:t>
      </w:r>
      <w:r w:rsidR="006A1514">
        <w:rPr>
          <w:rFonts w:ascii="Times New Roman" w:hAnsi="Times New Roman" w:cs="Times New Roman"/>
          <w:iCs/>
          <w:sz w:val="24"/>
          <w:szCs w:val="24"/>
        </w:rPr>
        <w:t>,</w:t>
      </w:r>
      <w:r w:rsidR="006A1514">
        <w:rPr>
          <w:rFonts w:ascii="Times New Roman" w:hAnsi="Times New Roman" w:cs="Times New Roman"/>
          <w:sz w:val="24"/>
          <w:szCs w:val="24"/>
        </w:rPr>
        <w:t xml:space="preserve"> </w:t>
      </w:r>
      <w:r w:rsidR="006A1514" w:rsidRPr="00D4639A">
        <w:rPr>
          <w:rFonts w:ascii="Times New Roman" w:hAnsi="Times New Roman" w:cs="Times New Roman"/>
          <w:sz w:val="24"/>
          <w:szCs w:val="24"/>
        </w:rPr>
        <w:t>31/86 and 35</w:t>
      </w:r>
      <w:r w:rsidR="006A1514">
        <w:rPr>
          <w:rFonts w:ascii="Times New Roman" w:hAnsi="Times New Roman" w:cs="Times New Roman"/>
          <w:sz w:val="24"/>
          <w:szCs w:val="24"/>
        </w:rPr>
        <w:t>/86, EU:C:1988:211</w:t>
      </w:r>
      <w:r w:rsidRPr="002963AE">
        <w:rPr>
          <w:rFonts w:ascii="Times New Roman" w:hAnsi="Times New Roman" w:cs="Times New Roman"/>
          <w:sz w:val="24"/>
          <w:szCs w:val="24"/>
          <w:lang w:val="en-US"/>
        </w:rPr>
        <w:t>, where the court maintained that provisions</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resulting directly from an act of accession do not constitute</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acts of institutions and are, therefore, not open to</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review by the CJEU).</w:t>
      </w:r>
    </w:p>
    <w:p w:rsidR="006A1514" w:rsidRPr="002963AE" w:rsidRDefault="006A1514"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In addressing the first question, the court drew from its</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reasoning in </w:t>
      </w:r>
      <w:r w:rsidRPr="009A7D4E">
        <w:rPr>
          <w:rFonts w:ascii="Times New Roman" w:hAnsi="Times New Roman" w:cs="Times New Roman"/>
          <w:i/>
          <w:sz w:val="24"/>
          <w:szCs w:val="24"/>
          <w:lang w:val="en-US"/>
        </w:rPr>
        <w:t>Merck Canada</w:t>
      </w:r>
      <w:r w:rsidRPr="002963AE">
        <w:rPr>
          <w:rFonts w:ascii="Times New Roman" w:hAnsi="Times New Roman" w:cs="Times New Roman"/>
          <w:sz w:val="24"/>
          <w:szCs w:val="24"/>
          <w:lang w:val="en-US"/>
        </w:rPr>
        <w:t>. It is interesting to note that</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question referred did not explicitly mention Article 13</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or Recital 9 of the Regulation and that the Supreme Court</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Estonia had noted that the order in Merck Canada did</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not relate to the interpretation of Article 21(2) of the</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Regulation, nor to the retroactive application of its principles.</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CJEU first affirmed the retroactive effect of</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Article 21(2) of the Regulation, and, just as in </w:t>
      </w:r>
      <w:bookmarkStart w:id="0" w:name="_GoBack"/>
      <w:r w:rsidRPr="00894BA9">
        <w:rPr>
          <w:rFonts w:ascii="Times New Roman" w:hAnsi="Times New Roman" w:cs="Times New Roman"/>
          <w:i/>
          <w:sz w:val="24"/>
          <w:szCs w:val="24"/>
          <w:lang w:val="en-US"/>
        </w:rPr>
        <w:t>Merck</w:t>
      </w:r>
      <w:r w:rsidR="006A1514" w:rsidRPr="00894BA9">
        <w:rPr>
          <w:rFonts w:ascii="Times New Roman" w:hAnsi="Times New Roman" w:cs="Times New Roman"/>
          <w:i/>
          <w:sz w:val="24"/>
          <w:szCs w:val="24"/>
          <w:lang w:val="en-US"/>
        </w:rPr>
        <w:t xml:space="preserve"> </w:t>
      </w:r>
      <w:r w:rsidRPr="00894BA9">
        <w:rPr>
          <w:rFonts w:ascii="Times New Roman" w:hAnsi="Times New Roman" w:cs="Times New Roman"/>
          <w:i/>
          <w:sz w:val="24"/>
          <w:szCs w:val="24"/>
          <w:lang w:val="en-US"/>
        </w:rPr>
        <w:t>Canada</w:t>
      </w:r>
      <w:bookmarkEnd w:id="0"/>
      <w:r w:rsidRPr="002963AE">
        <w:rPr>
          <w:rFonts w:ascii="Times New Roman" w:hAnsi="Times New Roman" w:cs="Times New Roman"/>
          <w:sz w:val="24"/>
          <w:szCs w:val="24"/>
          <w:lang w:val="en-US"/>
        </w:rPr>
        <w:t xml:space="preserve">, went on to clarify that the ‘first </w:t>
      </w:r>
      <w:r w:rsidRPr="002963AE">
        <w:rPr>
          <w:rFonts w:ascii="Times New Roman" w:hAnsi="Times New Roman" w:cs="Times New Roman"/>
          <w:sz w:val="24"/>
          <w:szCs w:val="24"/>
          <w:lang w:val="en-US"/>
        </w:rPr>
        <w:lastRenderedPageBreak/>
        <w:t>MA in the EU’</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provided for in Article 13(1) of the Regulation refers to</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first MA granted not in the Member State of the application,</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but in any Member State. Only that interpretation</w:t>
      </w:r>
    </w:p>
    <w:p w:rsidR="00070B7B"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ensures that the extension of protection for the product</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covered by the certificate will expire at the same time in</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all Member States in which the certificate has been</w:t>
      </w:r>
      <w:r w:rsidR="006A1514">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granted.</w:t>
      </w:r>
    </w:p>
    <w:p w:rsidR="006A1514" w:rsidRPr="002963AE" w:rsidRDefault="006A1514"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 xml:space="preserve">The court noted that the first MA for </w:t>
      </w:r>
      <w:proofErr w:type="spellStart"/>
      <w:r w:rsidRPr="002963AE">
        <w:rPr>
          <w:rFonts w:ascii="Times New Roman" w:hAnsi="Times New Roman" w:cs="Times New Roman"/>
          <w:sz w:val="24"/>
          <w:szCs w:val="24"/>
          <w:lang w:val="en-US"/>
        </w:rPr>
        <w:t>Xeloda</w:t>
      </w:r>
      <w:proofErr w:type="spellEnd"/>
      <w:r w:rsidRPr="002963AE">
        <w:rPr>
          <w:rFonts w:ascii="Times New Roman" w:hAnsi="Times New Roman" w:cs="Times New Roman"/>
          <w:sz w:val="24"/>
          <w:szCs w:val="24"/>
          <w:lang w:val="en-US"/>
        </w:rPr>
        <w:t xml:space="preserve"> had been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granted in Switzerland, a Member State (not of the EU,</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 xml:space="preserve">but) of the EEA. Reciting </w:t>
      </w:r>
      <w:proofErr w:type="spellStart"/>
      <w:r w:rsidRPr="009A7D4E">
        <w:rPr>
          <w:rFonts w:ascii="Times New Roman" w:hAnsi="Times New Roman" w:cs="Times New Roman"/>
          <w:i/>
          <w:sz w:val="24"/>
          <w:szCs w:val="24"/>
          <w:lang w:val="en-US"/>
        </w:rPr>
        <w:t>Astrazeneca</w:t>
      </w:r>
      <w:proofErr w:type="spellEnd"/>
      <w:r w:rsidRPr="002963AE">
        <w:rPr>
          <w:rFonts w:ascii="Times New Roman" w:hAnsi="Times New Roman" w:cs="Times New Roman"/>
          <w:sz w:val="24"/>
          <w:szCs w:val="24"/>
          <w:lang w:val="en-US"/>
        </w:rPr>
        <w:t>, C-617/12,</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EU</w:t>
      </w:r>
      <w:proofErr w:type="gramStart"/>
      <w:r w:rsidRPr="002963AE">
        <w:rPr>
          <w:rFonts w:ascii="Times New Roman" w:hAnsi="Times New Roman" w:cs="Times New Roman"/>
          <w:sz w:val="24"/>
          <w:szCs w:val="24"/>
          <w:lang w:val="en-US"/>
        </w:rPr>
        <w:t>:C:2013:761</w:t>
      </w:r>
      <w:proofErr w:type="gramEnd"/>
      <w:r w:rsidRPr="002963AE">
        <w:rPr>
          <w:rFonts w:ascii="Times New Roman" w:hAnsi="Times New Roman" w:cs="Times New Roman"/>
          <w:sz w:val="24"/>
          <w:szCs w:val="24"/>
          <w:lang w:val="en-US"/>
        </w:rPr>
        <w:t>, it held that, to the extent that the MA for a</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medicinal product granted by the Swiss authorities and automatically</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recognized by the Principality of Liechtenstein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under the legislation of that state is the first MA for that</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medicinal product in one of the states of the EEA, it constitutes</w:t>
      </w:r>
    </w:p>
    <w:p w:rsidR="009A7D4E" w:rsidRDefault="00070B7B" w:rsidP="002963AE">
      <w:pPr>
        <w:autoSpaceDE w:val="0"/>
        <w:autoSpaceDN w:val="0"/>
        <w:adjustRightInd w:val="0"/>
        <w:spacing w:after="0"/>
        <w:jc w:val="both"/>
        <w:rPr>
          <w:rFonts w:ascii="Times New Roman" w:hAnsi="Times New Roman" w:cs="Times New Roman"/>
          <w:sz w:val="24"/>
          <w:szCs w:val="24"/>
          <w:lang w:val="en-US"/>
        </w:rPr>
      </w:pPr>
      <w:proofErr w:type="gramStart"/>
      <w:r w:rsidRPr="002963AE">
        <w:rPr>
          <w:rFonts w:ascii="Times New Roman" w:hAnsi="Times New Roman" w:cs="Times New Roman"/>
          <w:sz w:val="24"/>
          <w:szCs w:val="24"/>
          <w:lang w:val="en-US"/>
        </w:rPr>
        <w:t>the</w:t>
      </w:r>
      <w:proofErr w:type="gramEnd"/>
      <w:r w:rsidRPr="002963AE">
        <w:rPr>
          <w:rFonts w:ascii="Times New Roman" w:hAnsi="Times New Roman" w:cs="Times New Roman"/>
          <w:sz w:val="24"/>
          <w:szCs w:val="24"/>
          <w:lang w:val="en-US"/>
        </w:rPr>
        <w:t xml:space="preserve"> first MA for the purposes of Article 13 of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Regulation, read in conjunction with the Agreement on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EEA (OJ 1994 L 1, p. 3).</w:t>
      </w:r>
      <w:r w:rsidR="009A7D4E">
        <w:rPr>
          <w:rFonts w:ascii="Times New Roman" w:hAnsi="Times New Roman" w:cs="Times New Roman"/>
          <w:sz w:val="24"/>
          <w:szCs w:val="24"/>
          <w:lang w:val="en-US"/>
        </w:rPr>
        <w:t xml:space="preserve"> </w:t>
      </w:r>
    </w:p>
    <w:p w:rsidR="009A7D4E" w:rsidRDefault="009A7D4E"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It is apparent that the court adopted this interpretation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to prevent the 15-year period of exclusivity from being exceeded</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in the EEA. On the limitation on the free movement</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the medicinal product within the EEA territory (with</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exception of Liechtenstein), based on the fact that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MA was granted in Switzerland, the court said that this was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not relevant for the interpretation of Article 13 of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Regulation.</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b/>
          <w:sz w:val="24"/>
          <w:szCs w:val="24"/>
          <w:lang w:val="en-US"/>
        </w:rPr>
      </w:pPr>
      <w:r w:rsidRPr="002963AE">
        <w:rPr>
          <w:rFonts w:ascii="Times New Roman" w:hAnsi="Times New Roman" w:cs="Times New Roman"/>
          <w:b/>
          <w:sz w:val="24"/>
          <w:szCs w:val="24"/>
          <w:lang w:val="en-US"/>
        </w:rPr>
        <w:t>Practical significance</w:t>
      </w:r>
    </w:p>
    <w:p w:rsidR="009A7D4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SPCs are gradually becoming the next frontier in patent</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disp</w:t>
      </w:r>
      <w:r w:rsidR="009A7D4E">
        <w:rPr>
          <w:rFonts w:ascii="Times New Roman" w:hAnsi="Times New Roman" w:cs="Times New Roman"/>
          <w:sz w:val="24"/>
          <w:szCs w:val="24"/>
          <w:lang w:val="en-US"/>
        </w:rPr>
        <w:t xml:space="preserve">utes. In Europe, SPCs generally </w:t>
      </w:r>
      <w:r w:rsidRPr="002963AE">
        <w:rPr>
          <w:rFonts w:ascii="Times New Roman" w:hAnsi="Times New Roman" w:cs="Times New Roman"/>
          <w:sz w:val="24"/>
          <w:szCs w:val="24"/>
          <w:lang w:val="en-US"/>
        </w:rPr>
        <w:t>extend the term of a</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patent for five additional years after the expiry of the patent.</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Seeking to limit the effects on generic entry, the CJEU</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has alternatively adopted narrow and expansive interpretations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the SPC Regulation to suit different cases.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court has, however, started making efforts to unify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principles established in its interpretation of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Regulation, as shown in this case.</w:t>
      </w:r>
      <w:r w:rsidR="009A7D4E">
        <w:rPr>
          <w:rFonts w:ascii="Times New Roman" w:hAnsi="Times New Roman" w:cs="Times New Roman"/>
          <w:sz w:val="24"/>
          <w:szCs w:val="24"/>
          <w:lang w:val="en-US"/>
        </w:rPr>
        <w:t xml:space="preserve"> </w:t>
      </w:r>
    </w:p>
    <w:p w:rsidR="009A7D4E" w:rsidRDefault="009A7D4E"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The implications of this decision are twofold. First,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judgment broadens the scope of the European SPC. For</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many SPCs, this means that the date of the first MA in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EEA is crucial to the determination of the duration of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SPC. Second, it leads to a retroactive shortening of the duration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SPCs granted by the countries mentioned in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Article 21(2) of the Regulation. This raises important questions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compliance with fundamental EU law principles,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such as legal certainty, protection of acquired rights, prohibition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of retroactive effects of law and human rights—especially,</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when Article 21(1) of the Regulation forbids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retroactivity in regards to pre-accession national SPCs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granted in Austria, Finland and Sweden. It is unclear</w:t>
      </w:r>
    </w:p>
    <w:p w:rsidR="00070B7B" w:rsidRDefault="00070B7B" w:rsidP="002963AE">
      <w:pPr>
        <w:autoSpaceDE w:val="0"/>
        <w:autoSpaceDN w:val="0"/>
        <w:adjustRightInd w:val="0"/>
        <w:spacing w:after="0"/>
        <w:jc w:val="both"/>
        <w:rPr>
          <w:rFonts w:ascii="Times New Roman" w:hAnsi="Times New Roman" w:cs="Times New Roman"/>
          <w:sz w:val="24"/>
          <w:szCs w:val="24"/>
          <w:lang w:val="en-US"/>
        </w:rPr>
      </w:pPr>
      <w:proofErr w:type="gramStart"/>
      <w:r w:rsidRPr="002963AE">
        <w:rPr>
          <w:rFonts w:ascii="Times New Roman" w:hAnsi="Times New Roman" w:cs="Times New Roman"/>
          <w:sz w:val="24"/>
          <w:szCs w:val="24"/>
          <w:lang w:val="en-US"/>
        </w:rPr>
        <w:t>why</w:t>
      </w:r>
      <w:proofErr w:type="gramEnd"/>
      <w:r w:rsidRPr="002963AE">
        <w:rPr>
          <w:rFonts w:ascii="Times New Roman" w:hAnsi="Times New Roman" w:cs="Times New Roman"/>
          <w:sz w:val="24"/>
          <w:szCs w:val="24"/>
          <w:lang w:val="en-US"/>
        </w:rPr>
        <w:t xml:space="preserve"> the European legislature should choose different</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approaches at different times. However, one thing is certain:</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approach of the EU legislature makes the CJEU’s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position on the question a difficult and uncertain one, as</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the outcome of the case would be different if it came from</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Finland.</w:t>
      </w:r>
    </w:p>
    <w:p w:rsidR="009A7D4E" w:rsidRPr="002963AE" w:rsidRDefault="009A7D4E"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Daniel Acquah*</w:t>
      </w: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University of Turku, Finland</w:t>
      </w:r>
    </w:p>
    <w:p w:rsidR="00070B7B"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t xml:space="preserve">Email: </w:t>
      </w:r>
      <w:hyperlink r:id="rId5" w:history="1">
        <w:r w:rsidR="009A7D4E" w:rsidRPr="006436A8">
          <w:rPr>
            <w:rStyle w:val="Hyperlink"/>
            <w:rFonts w:ascii="Times New Roman" w:hAnsi="Times New Roman" w:cs="Times New Roman"/>
            <w:sz w:val="24"/>
            <w:szCs w:val="24"/>
            <w:lang w:val="en-US"/>
          </w:rPr>
          <w:t>danacq@utu.fi</w:t>
        </w:r>
      </w:hyperlink>
    </w:p>
    <w:p w:rsidR="009A7D4E" w:rsidRPr="002963AE" w:rsidRDefault="009A7D4E" w:rsidP="002963AE">
      <w:pPr>
        <w:autoSpaceDE w:val="0"/>
        <w:autoSpaceDN w:val="0"/>
        <w:adjustRightInd w:val="0"/>
        <w:spacing w:after="0"/>
        <w:jc w:val="both"/>
        <w:rPr>
          <w:rFonts w:ascii="Times New Roman" w:hAnsi="Times New Roman" w:cs="Times New Roman"/>
          <w:sz w:val="24"/>
          <w:szCs w:val="24"/>
          <w:lang w:val="en-US"/>
        </w:rPr>
      </w:pPr>
    </w:p>
    <w:p w:rsidR="00070B7B" w:rsidRPr="002963AE" w:rsidRDefault="00070B7B" w:rsidP="002963AE">
      <w:pPr>
        <w:autoSpaceDE w:val="0"/>
        <w:autoSpaceDN w:val="0"/>
        <w:adjustRightInd w:val="0"/>
        <w:spacing w:after="0"/>
        <w:jc w:val="both"/>
        <w:rPr>
          <w:rFonts w:ascii="Times New Roman" w:hAnsi="Times New Roman" w:cs="Times New Roman"/>
          <w:sz w:val="24"/>
          <w:szCs w:val="24"/>
          <w:lang w:val="en-US"/>
        </w:rPr>
      </w:pPr>
      <w:r w:rsidRPr="002963AE">
        <w:rPr>
          <w:rFonts w:ascii="Times New Roman" w:hAnsi="Times New Roman" w:cs="Times New Roman"/>
          <w:sz w:val="24"/>
          <w:szCs w:val="24"/>
          <w:lang w:val="en-US"/>
        </w:rPr>
        <w:lastRenderedPageBreak/>
        <w:t>*This article was written within the framework of the</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“Constitutional Hedges of Intellectual Property” project</w:t>
      </w:r>
      <w:r w:rsidR="009A7D4E">
        <w:rPr>
          <w:rFonts w:ascii="Times New Roman" w:hAnsi="Times New Roman" w:cs="Times New Roman"/>
          <w:sz w:val="24"/>
          <w:szCs w:val="24"/>
          <w:lang w:val="en-US"/>
        </w:rPr>
        <w:t xml:space="preserve"> </w:t>
      </w:r>
      <w:r w:rsidRPr="002963AE">
        <w:rPr>
          <w:rFonts w:ascii="Times New Roman" w:hAnsi="Times New Roman" w:cs="Times New Roman"/>
          <w:sz w:val="24"/>
          <w:szCs w:val="24"/>
          <w:lang w:val="en-US"/>
        </w:rPr>
        <w:t>funded by the Academy of Finland.</w:t>
      </w:r>
    </w:p>
    <w:p w:rsidR="00652CC5" w:rsidRPr="002963AE" w:rsidRDefault="00894BA9" w:rsidP="002963AE">
      <w:pPr>
        <w:jc w:val="both"/>
        <w:rPr>
          <w:rFonts w:ascii="Times New Roman" w:hAnsi="Times New Roman" w:cs="Times New Roman"/>
          <w:sz w:val="24"/>
          <w:szCs w:val="24"/>
        </w:rPr>
      </w:pPr>
    </w:p>
    <w:sectPr w:rsidR="00652CC5" w:rsidRPr="002963AE"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B7B"/>
    <w:rsid w:val="00070B7B"/>
    <w:rsid w:val="0019180A"/>
    <w:rsid w:val="002963AE"/>
    <w:rsid w:val="0036698F"/>
    <w:rsid w:val="005016DC"/>
    <w:rsid w:val="00626742"/>
    <w:rsid w:val="006A1514"/>
    <w:rsid w:val="00725518"/>
    <w:rsid w:val="00894BA9"/>
    <w:rsid w:val="00951083"/>
    <w:rsid w:val="009A7D4E"/>
    <w:rsid w:val="00CA41E3"/>
    <w:rsid w:val="00ED7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A1514"/>
  </w:style>
  <w:style w:type="character" w:styleId="Hyperlink">
    <w:name w:val="Hyperlink"/>
    <w:basedOn w:val="DefaultParagraphFont"/>
    <w:uiPriority w:val="99"/>
    <w:unhideWhenUsed/>
    <w:rsid w:val="009A7D4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A1514"/>
  </w:style>
  <w:style w:type="character" w:styleId="Hyperlink">
    <w:name w:val="Hyperlink"/>
    <w:basedOn w:val="DefaultParagraphFont"/>
    <w:uiPriority w:val="99"/>
    <w:unhideWhenUsed/>
    <w:rsid w:val="009A7D4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anacq@utu.fi"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4</Pages>
  <Words>1027</Words>
  <Characters>8322</Characters>
  <Application>Microsoft Office Word</Application>
  <DocSecurity>0</DocSecurity>
  <Lines>69</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9331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dc:creator>
  <cp:lastModifiedBy>DA</cp:lastModifiedBy>
  <cp:revision>5</cp:revision>
  <dcterms:created xsi:type="dcterms:W3CDTF">2017-04-03T08:00:00Z</dcterms:created>
  <dcterms:modified xsi:type="dcterms:W3CDTF">2017-04-17T09:43:00Z</dcterms:modified>
</cp:coreProperties>
</file>