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C753F" w:rsidRPr="0014105B" w:rsidRDefault="003C753F" w:rsidP="00135D21">
      <w:pPr>
        <w:spacing w:line="360" w:lineRule="auto"/>
        <w:rPr>
          <w:b/>
        </w:rPr>
      </w:pPr>
      <w:bookmarkStart w:id="0" w:name="_GoBack"/>
      <w:r w:rsidRPr="0014105B">
        <w:rPr>
          <w:b/>
        </w:rPr>
        <w:t xml:space="preserve">Suu- ja leukakirurgisten </w:t>
      </w:r>
      <w:bookmarkEnd w:id="0"/>
      <w:r w:rsidRPr="0014105B">
        <w:rPr>
          <w:b/>
        </w:rPr>
        <w:t>infektiopotilaiden tutkiminen yksinkertaistetulla bakteeriviljelyllä</w:t>
      </w:r>
    </w:p>
    <w:p w:rsidR="00135D21" w:rsidRDefault="00135D21" w:rsidP="00135D21">
      <w:pPr>
        <w:spacing w:line="360" w:lineRule="auto"/>
      </w:pPr>
    </w:p>
    <w:p w:rsidR="00135D21" w:rsidRDefault="00135D21" w:rsidP="00135D21">
      <w:pPr>
        <w:spacing w:line="360" w:lineRule="auto"/>
      </w:pPr>
      <w:r>
        <w:t>Tero Soukka, Jeremias Gaebler ja Olli Meurman</w:t>
      </w:r>
    </w:p>
    <w:p w:rsidR="00135D21" w:rsidRDefault="00135D21" w:rsidP="00135D21">
      <w:pPr>
        <w:spacing w:line="360" w:lineRule="auto"/>
      </w:pPr>
    </w:p>
    <w:p w:rsidR="00135D21" w:rsidRDefault="00135D21" w:rsidP="00135D21">
      <w:pPr>
        <w:spacing w:line="360" w:lineRule="auto"/>
      </w:pPr>
    </w:p>
    <w:p w:rsidR="00135D21" w:rsidRDefault="00135D21" w:rsidP="00135D21">
      <w:pPr>
        <w:spacing w:line="360" w:lineRule="auto"/>
      </w:pPr>
      <w:r w:rsidRPr="00DC6464">
        <w:t>Turun yliopistollisen keskussairaalan (T</w:t>
      </w:r>
      <w:r w:rsidR="00C312D0" w:rsidRPr="00DC6464">
        <w:t>yks</w:t>
      </w:r>
      <w:r w:rsidRPr="00DC6464">
        <w:t xml:space="preserve">) suu- ja leukakirurgiseen yksikköön lähetetyistä </w:t>
      </w:r>
      <w:r w:rsidR="00704077" w:rsidRPr="00DC6464">
        <w:t>pä</w:t>
      </w:r>
      <w:r w:rsidR="00C92DBA" w:rsidRPr="00DC6464">
        <w:t>ivystys</w:t>
      </w:r>
      <w:r w:rsidRPr="00DC6464">
        <w:t xml:space="preserve">potilaista </w:t>
      </w:r>
      <w:r w:rsidR="00E41ED7" w:rsidRPr="00DC6464">
        <w:t>huomattava osa</w:t>
      </w:r>
      <w:r w:rsidRPr="00DC6464">
        <w:t xml:space="preserve"> tulee infektion takia tai heillä todetaan tulotarkastuksessa hoitoa</w:t>
      </w:r>
      <w:r w:rsidRPr="00962304">
        <w:t xml:space="preserve"> vaativa infektio.</w:t>
      </w:r>
      <w:r>
        <w:t xml:space="preserve"> Näiden infektioiden lähtökohta on yleensä potilaan oman suun normaalifloora ja tyypillisesti ne ovat sekainfektioita, joiden aiheuttajina on suuri joukko aerobi- ja anaerobibakteereita</w:t>
      </w:r>
      <w:r w:rsidR="003C753F">
        <w:t xml:space="preserve"> (1–</w:t>
      </w:r>
      <w:r w:rsidR="004427DB">
        <w:t>5</w:t>
      </w:r>
      <w:r w:rsidR="003C753F">
        <w:t>)</w:t>
      </w:r>
      <w:r>
        <w:t xml:space="preserve">. Tällaisten sekainfektioiden mikrobiologinen tutkiminen perinteisellä tavalla on hidasta, koska jokainen aiheuttaja tulee saada viljellyksi puhtaana standardin mukaisen herkkyysmäärityksen tekoa varten. Niinpä </w:t>
      </w:r>
      <w:r w:rsidR="007D0D7F">
        <w:t xml:space="preserve">voi </w:t>
      </w:r>
      <w:r>
        <w:t xml:space="preserve">kestää </w:t>
      </w:r>
      <w:r w:rsidR="007D0D7F">
        <w:t>2-3</w:t>
      </w:r>
      <w:r>
        <w:t xml:space="preserve"> viikkoa ennen kuin laboratorio voi antaa näytteestä lopullisen vastauksen. Tässä vaiheessa vastaus ei yleensä </w:t>
      </w:r>
      <w:r>
        <w:lastRenderedPageBreak/>
        <w:t>enää vaikuta potilaan hoitoon. Tyksin suu- ja leukakirurgisessa yksikössä ryhdyttiin yhdessä Tykslabin kliinisen mikrobiologian osaston kanssa kokeile</w:t>
      </w:r>
      <w:r w:rsidRPr="00EC2132">
        <w:t>maan yksinkertaistettua ja nopeutettua mikrobiologista tutkimustapaa näill</w:t>
      </w:r>
      <w:r w:rsidR="00FD7B1B" w:rsidRPr="00EC2132">
        <w:t>ä</w:t>
      </w:r>
      <w:r w:rsidRPr="00EC2132">
        <w:t xml:space="preserve"> potilailla. Tässä tutkimuksessa analysoidaan kehitetyn menetelmän kliininen soveltuvuus kahden vuoden retrospek</w:t>
      </w:r>
      <w:r>
        <w:t>tiivisessä aineistossa.</w:t>
      </w:r>
    </w:p>
    <w:p w:rsidR="00DC6464" w:rsidRDefault="00DC6464" w:rsidP="00135D21">
      <w:pPr>
        <w:spacing w:line="360" w:lineRule="auto"/>
      </w:pPr>
    </w:p>
    <w:p w:rsidR="00135D21" w:rsidRDefault="00135D21" w:rsidP="00135D21">
      <w:pPr>
        <w:spacing w:line="360" w:lineRule="auto"/>
      </w:pPr>
    </w:p>
    <w:p w:rsidR="00135D21" w:rsidRDefault="00135D21" w:rsidP="00135D21">
      <w:pPr>
        <w:spacing w:line="360" w:lineRule="auto"/>
        <w:rPr>
          <w:b/>
        </w:rPr>
      </w:pPr>
      <w:r w:rsidRPr="00EF2B77">
        <w:rPr>
          <w:b/>
        </w:rPr>
        <w:t>Aineisto ja menetelmät</w:t>
      </w:r>
    </w:p>
    <w:p w:rsidR="00135D21" w:rsidRDefault="00135D21" w:rsidP="00135D21">
      <w:pPr>
        <w:spacing w:line="360" w:lineRule="auto"/>
        <w:rPr>
          <w:b/>
        </w:rPr>
      </w:pPr>
    </w:p>
    <w:p w:rsidR="00135D21" w:rsidRDefault="00135D21" w:rsidP="00135D21">
      <w:pPr>
        <w:spacing w:line="360" w:lineRule="auto"/>
        <w:rPr>
          <w:rFonts w:cs="Arial"/>
        </w:rPr>
      </w:pPr>
      <w:r>
        <w:rPr>
          <w:b/>
        </w:rPr>
        <w:t>Viljelymenetelmä.</w:t>
      </w:r>
      <w:r>
        <w:t xml:space="preserve"> Näytteenotto tapahtui tavalliseen tapaan aerobi- ja anaerobibakteereille soveltuvaan kuljetusputkeen. Aerobiviljely tehtiin veri- ja suklaa-agareille, joita viljeltiin 2 vrk +35</w:t>
      </w:r>
      <w:r>
        <w:rPr>
          <w:rFonts w:cs="Arial"/>
        </w:rPr>
        <w:t xml:space="preserve">°C lämpökaapissa hiilidioksidiatmosfäärissä. Anaerobiviljely tehtiin FAA- ja KV-agareille, joita viljeltiin 4 vrk (tarvittaessa kauemminkin) </w:t>
      </w:r>
      <w:r>
        <w:t>+35</w:t>
      </w:r>
      <w:r>
        <w:rPr>
          <w:rFonts w:cs="Arial"/>
        </w:rPr>
        <w:t>°C:ssa anaerobi</w:t>
      </w:r>
      <w:r w:rsidR="00FF58CD">
        <w:rPr>
          <w:rFonts w:cs="Arial"/>
        </w:rPr>
        <w:t>atmosfäärissä. Maljoilla kasvav</w:t>
      </w:r>
      <w:r>
        <w:rPr>
          <w:rFonts w:cs="Arial"/>
        </w:rPr>
        <w:t xml:space="preserve">at pesäkkeet </w:t>
      </w:r>
      <w:r w:rsidRPr="00DC6464">
        <w:rPr>
          <w:rFonts w:cs="Arial"/>
        </w:rPr>
        <w:t xml:space="preserve">tunnistettiin karkeasti, pääsääntöisesti sukutasolle, massaspektrometriaa (Bruker Maldi-tof)  ja agglutinaatiopikatestejä käyttäen, ja </w:t>
      </w:r>
      <w:r w:rsidRPr="00DC6464">
        <w:rPr>
          <w:rFonts w:cs="Arial"/>
        </w:rPr>
        <w:lastRenderedPageBreak/>
        <w:t xml:space="preserve">vastattiin kliinikolle </w:t>
      </w:r>
      <w:r w:rsidR="00FC7A62" w:rsidRPr="00DC6464">
        <w:rPr>
          <w:rFonts w:cs="Arial"/>
        </w:rPr>
        <w:t>esimerkiksi</w:t>
      </w:r>
      <w:r w:rsidR="00861031" w:rsidRPr="00DC6464">
        <w:rPr>
          <w:rFonts w:cs="Arial"/>
        </w:rPr>
        <w:t xml:space="preserve"> muodossa</w:t>
      </w:r>
      <w:r w:rsidRPr="00DC6464">
        <w:rPr>
          <w:rFonts w:cs="Arial"/>
        </w:rPr>
        <w:t>: ”Aerobista sekak</w:t>
      </w:r>
      <w:r w:rsidR="005601BF" w:rsidRPr="00DC6464">
        <w:rPr>
          <w:rFonts w:cs="Arial"/>
        </w:rPr>
        <w:t>a</w:t>
      </w:r>
      <w:r w:rsidRPr="00DC6464">
        <w:rPr>
          <w:rFonts w:cs="Arial"/>
        </w:rPr>
        <w:t>svua, joukossa streptokokkeja ja neisserioita”. Aerobikasvustosta tehtiin E-testiliuskoja käyttäen yhteisherkkyys</w:t>
      </w:r>
      <w:r w:rsidR="005601BF" w:rsidRPr="00DC6464">
        <w:rPr>
          <w:rFonts w:cs="Arial"/>
        </w:rPr>
        <w:t>määritys</w:t>
      </w:r>
      <w:r>
        <w:rPr>
          <w:rFonts w:cs="Arial"/>
        </w:rPr>
        <w:t xml:space="preserve"> antibioote</w:t>
      </w:r>
      <w:r w:rsidR="005601BF" w:rsidRPr="00EC2132">
        <w:rPr>
          <w:rFonts w:cs="Arial"/>
        </w:rPr>
        <w:t>i</w:t>
      </w:r>
      <w:r w:rsidRPr="00EC2132">
        <w:rPr>
          <w:rFonts w:cs="Arial"/>
        </w:rPr>
        <w:t>l</w:t>
      </w:r>
      <w:r>
        <w:rPr>
          <w:rFonts w:cs="Arial"/>
        </w:rPr>
        <w:t>le penisilliini, amoksisilliini-klavulaanihappo, kefaleksiini ja klindamysiini</w:t>
      </w:r>
      <w:r w:rsidR="00FF58CD">
        <w:rPr>
          <w:rFonts w:cs="Arial"/>
        </w:rPr>
        <w:t xml:space="preserve"> </w:t>
      </w:r>
      <w:r w:rsidR="00FF58CD" w:rsidRPr="00EC2132">
        <w:rPr>
          <w:rFonts w:cs="Arial"/>
        </w:rPr>
        <w:t>sekä</w:t>
      </w:r>
      <w:r>
        <w:rPr>
          <w:rFonts w:cs="Arial"/>
        </w:rPr>
        <w:t xml:space="preserve"> anaerobikasvustosta antibiooteille penisilliini, amoksisilliini-klavulaanihappo, metronidatsoli ja klindamysiini (kuva 1).</w:t>
      </w:r>
      <w:r w:rsidRPr="002E4576">
        <w:rPr>
          <w:rFonts w:cs="Arial"/>
          <w:color w:val="FF0000"/>
        </w:rPr>
        <w:t xml:space="preserve"> </w:t>
      </w:r>
      <w:r w:rsidRPr="00F17E0E">
        <w:rPr>
          <w:rFonts w:cs="Arial"/>
        </w:rPr>
        <w:t xml:space="preserve">Tulkintarajat määritettiin </w:t>
      </w:r>
      <w:r>
        <w:rPr>
          <w:rFonts w:cs="Arial"/>
        </w:rPr>
        <w:t>soveltamalla Eucast-standardin (</w:t>
      </w:r>
      <w:r w:rsidR="004427DB">
        <w:rPr>
          <w:rFonts w:cs="Arial"/>
        </w:rPr>
        <w:t>6</w:t>
      </w:r>
      <w:r>
        <w:rPr>
          <w:rFonts w:cs="Arial"/>
        </w:rPr>
        <w:t>) rajoja tärkei</w:t>
      </w:r>
      <w:r w:rsidR="005601BF" w:rsidRPr="00EC2132">
        <w:rPr>
          <w:rFonts w:cs="Arial"/>
        </w:rPr>
        <w:t>m</w:t>
      </w:r>
      <w:r>
        <w:rPr>
          <w:rFonts w:cs="Arial"/>
        </w:rPr>
        <w:t>mille aerobeille suumikrobeille ja gramnegatiivisille anaerobeille.</w:t>
      </w:r>
    </w:p>
    <w:p w:rsidR="00135D21" w:rsidRPr="00521C86" w:rsidRDefault="00135D21" w:rsidP="00135D21">
      <w:pPr>
        <w:spacing w:line="360" w:lineRule="auto"/>
        <w:rPr>
          <w:rFonts w:cs="Arial"/>
        </w:rPr>
      </w:pPr>
    </w:p>
    <w:p w:rsidR="00135D21" w:rsidRDefault="00135D21" w:rsidP="00135D21">
      <w:pPr>
        <w:spacing w:line="360" w:lineRule="auto"/>
        <w:rPr>
          <w:rFonts w:cs="Arial"/>
        </w:rPr>
      </w:pPr>
      <w:r w:rsidRPr="002E4576">
        <w:rPr>
          <w:rFonts w:cs="Arial"/>
          <w:b/>
        </w:rPr>
        <w:t>Potilasaineisto</w:t>
      </w:r>
      <w:r>
        <w:rPr>
          <w:rFonts w:cs="Arial"/>
          <w:b/>
        </w:rPr>
        <w:t xml:space="preserve">. </w:t>
      </w:r>
      <w:r w:rsidRPr="002E4576">
        <w:rPr>
          <w:rFonts w:cs="Arial"/>
        </w:rPr>
        <w:t>Laboratoriotietojärjestelmästä</w:t>
      </w:r>
      <w:r>
        <w:rPr>
          <w:rFonts w:cs="Arial"/>
        </w:rPr>
        <w:t xml:space="preserve"> etsittiin ajalta 1.1.</w:t>
      </w:r>
      <w:r w:rsidR="00E41ED7">
        <w:rPr>
          <w:rFonts w:cs="Arial"/>
        </w:rPr>
        <w:t>2</w:t>
      </w:r>
      <w:r>
        <w:rPr>
          <w:rFonts w:cs="Arial"/>
        </w:rPr>
        <w:t>012-31.12.2014 Tyksin suu- ja leukakirurgisen yksikön lähettämät bakteeriviljelynäytteet. Yksi kirjoittajista (JG) kävi läpi näiden potilaiden sairauskertomukset ja keräsi tiedot strukturoitua kaavaketta käyttäen. Lopulliseen aineistoon hyväksyttiin potilaat, joiden näytteet oli tutkittu yksinkertaistetulla menetelmällä ja joilla oli antibiooteilla hoidettava infektio. Toinen kirjoittajista (TS) tarkisti valintapäätösten oikeellisuuden.</w:t>
      </w:r>
    </w:p>
    <w:p w:rsidR="00E41ED7" w:rsidRDefault="00135D21" w:rsidP="00135D21">
      <w:pPr>
        <w:spacing w:line="360" w:lineRule="auto"/>
        <w:rPr>
          <w:rFonts w:cs="Arial"/>
        </w:rPr>
      </w:pPr>
      <w:r>
        <w:rPr>
          <w:rFonts w:cs="Arial"/>
        </w:rPr>
        <w:lastRenderedPageBreak/>
        <w:t xml:space="preserve">Valintakriteerit täyttäviä potilaita oli yhteensä </w:t>
      </w:r>
      <w:r w:rsidR="00745E43">
        <w:rPr>
          <w:rFonts w:cs="Arial"/>
        </w:rPr>
        <w:t>52</w:t>
      </w:r>
      <w:r>
        <w:rPr>
          <w:rFonts w:cs="Arial"/>
        </w:rPr>
        <w:t xml:space="preserve">, miehiä oli </w:t>
      </w:r>
      <w:r w:rsidR="00745E43">
        <w:rPr>
          <w:rFonts w:cs="Arial"/>
        </w:rPr>
        <w:t>30</w:t>
      </w:r>
      <w:r>
        <w:rPr>
          <w:rFonts w:cs="Arial"/>
        </w:rPr>
        <w:t xml:space="preserve"> (5</w:t>
      </w:r>
      <w:r w:rsidR="00745E43">
        <w:rPr>
          <w:rFonts w:cs="Arial"/>
        </w:rPr>
        <w:t>8</w:t>
      </w:r>
      <w:r>
        <w:rPr>
          <w:rFonts w:cs="Arial"/>
        </w:rPr>
        <w:t xml:space="preserve"> %) ja naisia 2</w:t>
      </w:r>
      <w:r w:rsidR="00745E43">
        <w:rPr>
          <w:rFonts w:cs="Arial"/>
        </w:rPr>
        <w:t>2</w:t>
      </w:r>
      <w:r>
        <w:rPr>
          <w:rFonts w:cs="Arial"/>
        </w:rPr>
        <w:t xml:space="preserve"> (4</w:t>
      </w:r>
      <w:r w:rsidR="00745E43">
        <w:rPr>
          <w:rFonts w:cs="Arial"/>
        </w:rPr>
        <w:t>2</w:t>
      </w:r>
      <w:r>
        <w:rPr>
          <w:rFonts w:cs="Arial"/>
        </w:rPr>
        <w:t xml:space="preserve"> %). Potilasain</w:t>
      </w:r>
      <w:r w:rsidR="00E41ED7">
        <w:rPr>
          <w:rFonts w:cs="Arial"/>
        </w:rPr>
        <w:t>eistoa on kuvattu taulukossa 1.</w:t>
      </w:r>
    </w:p>
    <w:p w:rsidR="00135D21" w:rsidRPr="00DC6464" w:rsidRDefault="00E41ED7" w:rsidP="00135D21">
      <w:pPr>
        <w:spacing w:line="360" w:lineRule="auto"/>
        <w:rPr>
          <w:rFonts w:cs="Arial"/>
        </w:rPr>
      </w:pPr>
      <w:r w:rsidRPr="00DC6464">
        <w:rPr>
          <w:rFonts w:cs="Arial"/>
        </w:rPr>
        <w:t>Vertailua varten tutkittiin vastausviiveet suu- ja leukakirurgisen yksikön vuosina 2010-2011 lähettäm</w:t>
      </w:r>
      <w:r w:rsidR="00C312D0" w:rsidRPr="00DC6464">
        <w:rPr>
          <w:rFonts w:cs="Arial"/>
        </w:rPr>
        <w:t>i</w:t>
      </w:r>
      <w:r w:rsidRPr="00DC6464">
        <w:rPr>
          <w:rFonts w:cs="Arial"/>
        </w:rPr>
        <w:t>ltä 52 peräkkäiseltä näytteeltä, jotka oli tutkittu ennen yksinkertaistetun menetelmän käyttöönottoa.</w:t>
      </w:r>
    </w:p>
    <w:p w:rsidR="00135D21" w:rsidRDefault="00135D21" w:rsidP="00135D21">
      <w:pPr>
        <w:spacing w:line="360" w:lineRule="auto"/>
        <w:rPr>
          <w:rFonts w:cs="Arial"/>
        </w:rPr>
      </w:pPr>
    </w:p>
    <w:p w:rsidR="00D87AE8" w:rsidRDefault="00D87AE8" w:rsidP="00135D21">
      <w:pPr>
        <w:spacing w:line="360" w:lineRule="auto"/>
      </w:pPr>
    </w:p>
    <w:p w:rsidR="00135D21" w:rsidRDefault="00135D21" w:rsidP="00135D21">
      <w:pPr>
        <w:spacing w:line="360" w:lineRule="auto"/>
        <w:rPr>
          <w:rFonts w:cs="Arial"/>
          <w:b/>
        </w:rPr>
      </w:pPr>
      <w:r w:rsidRPr="002E4576">
        <w:rPr>
          <w:rFonts w:cs="Arial"/>
          <w:b/>
        </w:rPr>
        <w:t>Tulokset</w:t>
      </w:r>
    </w:p>
    <w:p w:rsidR="00135D21" w:rsidRDefault="00135D21" w:rsidP="00135D21">
      <w:pPr>
        <w:spacing w:line="360" w:lineRule="auto"/>
        <w:rPr>
          <w:rFonts w:cs="Arial"/>
          <w:b/>
        </w:rPr>
      </w:pPr>
    </w:p>
    <w:p w:rsidR="009B2797" w:rsidRDefault="00135D21" w:rsidP="00135D21">
      <w:pPr>
        <w:spacing w:line="360" w:lineRule="auto"/>
      </w:pPr>
      <w:r>
        <w:t xml:space="preserve">Näytteessä kasvoi aerobibakteereita </w:t>
      </w:r>
      <w:r w:rsidR="00576F83">
        <w:t>50</w:t>
      </w:r>
      <w:r>
        <w:t xml:space="preserve"> potilaalla</w:t>
      </w:r>
      <w:r w:rsidR="004D6636">
        <w:t xml:space="preserve"> (96 %)</w:t>
      </w:r>
      <w:r>
        <w:t xml:space="preserve"> ja anaerobibakteereita 4</w:t>
      </w:r>
      <w:r w:rsidR="00576F83">
        <w:t>5</w:t>
      </w:r>
      <w:r>
        <w:t xml:space="preserve"> potilaalla (8</w:t>
      </w:r>
      <w:r w:rsidR="00576F83">
        <w:t>7</w:t>
      </w:r>
      <w:r>
        <w:t xml:space="preserve"> %). </w:t>
      </w:r>
      <w:r w:rsidR="00657351">
        <w:t xml:space="preserve">Kolmea näytettä lukuun ottamatta löydös oli polymikrobiaalinen. </w:t>
      </w:r>
      <w:r w:rsidR="004D6636">
        <w:t>Aerobibakteereista yleisimpiä olivat vir</w:t>
      </w:r>
      <w:r w:rsidR="005601BF" w:rsidRPr="008A58B0">
        <w:t>i</w:t>
      </w:r>
      <w:r w:rsidR="004D6636">
        <w:t>dans</w:t>
      </w:r>
      <w:r w:rsidR="004D6636" w:rsidRPr="005601BF">
        <w:t>-</w:t>
      </w:r>
      <w:r w:rsidR="004D6636">
        <w:t>ryhmän streptokokit ja anaerobibakteereista Prevotella</w:t>
      </w:r>
      <w:r w:rsidR="004D6636" w:rsidRPr="005601BF">
        <w:t>-</w:t>
      </w:r>
      <w:r w:rsidR="004D6636">
        <w:t xml:space="preserve">lajit (Taulukko 2). </w:t>
      </w:r>
      <w:r w:rsidR="00486CAD">
        <w:t>Muista löydöksistä yleisimpiä olivat Capnocytophaga- ja Rothia</w:t>
      </w:r>
      <w:r w:rsidR="00486CAD" w:rsidRPr="005601BF">
        <w:t>-</w:t>
      </w:r>
      <w:r w:rsidR="00486CAD">
        <w:t xml:space="preserve">lajit sekä hiivat. Enterobakteerit ja enterokokit olivat löydöksinä harvinaisia, samoin Staphylococcus aureus. </w:t>
      </w:r>
      <w:r>
        <w:t xml:space="preserve">Yhdeltä potilaalta löydettiin </w:t>
      </w:r>
      <w:r w:rsidR="00486CAD">
        <w:t xml:space="preserve">tosin </w:t>
      </w:r>
      <w:r>
        <w:t xml:space="preserve">metisilliiniresistentti Staphylococcus aureus </w:t>
      </w:r>
      <w:r>
        <w:lastRenderedPageBreak/>
        <w:t xml:space="preserve">(MRSA). Kolmelta potilaalta löytyi aktinomykeetti. </w:t>
      </w:r>
      <w:r w:rsidR="00E67264">
        <w:t>Kolmen monomikrobiaalisen infektion aiheuttajat olivat Sreptococcus oralis, Streptococcus anginosus ja Actinomyces odontolyticus.</w:t>
      </w:r>
    </w:p>
    <w:p w:rsidR="00E41ED7" w:rsidRPr="00DC6464" w:rsidRDefault="00054B9E" w:rsidP="00135D21">
      <w:pPr>
        <w:spacing w:line="360" w:lineRule="auto"/>
      </w:pPr>
      <w:r w:rsidRPr="008A58B0">
        <w:t>Aerobikasvuston bakteereista penisilliinille resistenttejä oli yksi tai useampi 33 tapauksessa, amoksisilliini-klavulaanihapolle yhdessä tapauksessa, kefaleksiinille 13 tapauksessa ja klindamysiinille 38 tapauksessa.</w:t>
      </w:r>
      <w:r w:rsidR="008A58B0">
        <w:t xml:space="preserve">  </w:t>
      </w:r>
      <w:r w:rsidR="00135D21">
        <w:t>Yksi tai useampi anaerobikasvuston bakteeri oli resistentti penisilliinille 1</w:t>
      </w:r>
      <w:r w:rsidR="00576F83">
        <w:t>8</w:t>
      </w:r>
      <w:r w:rsidR="00135D21">
        <w:t xml:space="preserve"> tapauksessa, amoksisilliini-klavulaanihapolle ei yhdessäkään tapauksessa, metronidatsolille 12 </w:t>
      </w:r>
      <w:r w:rsidR="00135D21" w:rsidRPr="00DC6464">
        <w:t xml:space="preserve">tapauksessa ja klindamysiinille </w:t>
      </w:r>
      <w:r w:rsidR="00576F83" w:rsidRPr="00DC6464">
        <w:t>10</w:t>
      </w:r>
      <w:r w:rsidR="00135D21" w:rsidRPr="00DC6464">
        <w:t xml:space="preserve"> tapauksessa. Aerobiherkkyyksistä </w:t>
      </w:r>
      <w:r w:rsidR="00AC2C12" w:rsidRPr="00DC6464">
        <w:t>9</w:t>
      </w:r>
      <w:r w:rsidR="003A41D4" w:rsidRPr="00DC6464">
        <w:t>0</w:t>
      </w:r>
      <w:r w:rsidR="00135D21" w:rsidRPr="00DC6464">
        <w:t xml:space="preserve"> % vastattiin </w:t>
      </w:r>
      <w:r w:rsidR="00AC2C12" w:rsidRPr="00DC6464">
        <w:t>neljä</w:t>
      </w:r>
      <w:r w:rsidR="00135D21" w:rsidRPr="00DC6464">
        <w:t>n vuorokauden sisällä näytteenotosta (hajonta 2-11 vrk</w:t>
      </w:r>
      <w:r w:rsidR="00E41ED7" w:rsidRPr="00DC6464">
        <w:t xml:space="preserve">, mediaani </w:t>
      </w:r>
      <w:r w:rsidR="00805FB8" w:rsidRPr="00DC6464">
        <w:t>3 vrk</w:t>
      </w:r>
      <w:r w:rsidR="00135D21" w:rsidRPr="00DC6464">
        <w:t xml:space="preserve">) ja anaerobiherkkyksistä </w:t>
      </w:r>
      <w:r w:rsidR="00AC2C12" w:rsidRPr="00DC6464">
        <w:t>67</w:t>
      </w:r>
      <w:r w:rsidR="00135D21" w:rsidRPr="00DC6464">
        <w:t xml:space="preserve"> % </w:t>
      </w:r>
      <w:r w:rsidR="00AC2C12" w:rsidRPr="00DC6464">
        <w:t>viikon</w:t>
      </w:r>
      <w:r w:rsidR="00135D21" w:rsidRPr="00DC6464">
        <w:t xml:space="preserve"> sisällä näytteenotosta (hajonta 5-11 vrk</w:t>
      </w:r>
      <w:r w:rsidR="00E41ED7" w:rsidRPr="00DC6464">
        <w:t>, mediaani</w:t>
      </w:r>
      <w:r w:rsidR="00805FB8" w:rsidRPr="00DC6464">
        <w:t xml:space="preserve"> 6 vrk</w:t>
      </w:r>
      <w:r w:rsidR="00135D21" w:rsidRPr="00DC6464">
        <w:t>).</w:t>
      </w:r>
      <w:r w:rsidR="000E2F5D" w:rsidRPr="00DC6464">
        <w:t xml:space="preserve"> MRSA-kannalle ja aktinomykeeteille tehtiin erilliset herkkyysmääritykset.</w:t>
      </w:r>
    </w:p>
    <w:p w:rsidR="00135D21" w:rsidRPr="00DC6464" w:rsidRDefault="00E41ED7" w:rsidP="00135D21">
      <w:pPr>
        <w:spacing w:line="360" w:lineRule="auto"/>
      </w:pPr>
      <w:r w:rsidRPr="00DC6464">
        <w:t>V</w:t>
      </w:r>
      <w:r w:rsidR="00176516" w:rsidRPr="00DC6464">
        <w:t>uosien 2010-2011 v</w:t>
      </w:r>
      <w:r w:rsidRPr="00DC6464">
        <w:t>ertailuaineiston aerobiherkkyyksistä 45 % vastattiin neljän vuorokauden sisällä näytteenotosta (hajonta 3-12 vrk, mediaani 5 vrk) ja anaerobiherkkyksistä 23 % viikon sisällä näytteenotosta (hajonta 5-30 vrk, mediaani 9 vrk).</w:t>
      </w:r>
    </w:p>
    <w:p w:rsidR="00C96A33" w:rsidRDefault="00135D21" w:rsidP="00135D21">
      <w:pPr>
        <w:spacing w:line="360" w:lineRule="auto"/>
      </w:pPr>
      <w:r>
        <w:lastRenderedPageBreak/>
        <w:t xml:space="preserve">Tavallisimmat potilaille tehdyt hoitotoimenpiteet olivat hampaan poisto ja abskessin avaus (Taulukko </w:t>
      </w:r>
      <w:r w:rsidR="004D6636">
        <w:t>3</w:t>
      </w:r>
      <w:r>
        <w:t>). Muita toimenpiteitä olivat mm. poi</w:t>
      </w:r>
      <w:r w:rsidR="00C75ECA">
        <w:t xml:space="preserve">stokuopan kaavinta, resektio, </w:t>
      </w:r>
      <w:r>
        <w:t>juurihoito</w:t>
      </w:r>
      <w:r w:rsidR="00F67915">
        <w:t xml:space="preserve"> ja</w:t>
      </w:r>
      <w:r w:rsidR="00C75ECA">
        <w:t xml:space="preserve"> luusekveste</w:t>
      </w:r>
      <w:r w:rsidR="00F67915">
        <w:t>rin poisto</w:t>
      </w:r>
      <w:r>
        <w:t xml:space="preserve">. </w:t>
      </w:r>
      <w:r w:rsidR="00F67915">
        <w:t>K</w:t>
      </w:r>
      <w:r>
        <w:t>aikille potilaille aloitettiin antibioottihoito tai jatkettiin jo avohoidossa aloitettua hoitoa. Empiirinen antibioottihoito oli useimmissa tapauksissa (7</w:t>
      </w:r>
      <w:r w:rsidR="003A41D4">
        <w:t>9</w:t>
      </w:r>
      <w:r>
        <w:t xml:space="preserve"> %) betalaktaamiantibiootin ja metronidatsolin kombinaatio (Taulukko </w:t>
      </w:r>
      <w:r w:rsidR="004D6636">
        <w:t>4</w:t>
      </w:r>
      <w:r>
        <w:t xml:space="preserve">). Yhteisherkkyyksien perusteella arvioituna </w:t>
      </w:r>
      <w:r w:rsidR="003A41D4">
        <w:t>21</w:t>
      </w:r>
      <w:r>
        <w:t xml:space="preserve"> potilaalla (40 %) kaikki näytteessä kasvavat bakteerit olivat herkkiä aloitetulle empiiriselle hoidolle, </w:t>
      </w:r>
      <w:r w:rsidR="003A41D4">
        <w:t>20</w:t>
      </w:r>
      <w:r>
        <w:t xml:space="preserve"> potilaalla (3</w:t>
      </w:r>
      <w:r w:rsidR="003A41D4">
        <w:t>8</w:t>
      </w:r>
      <w:r>
        <w:t xml:space="preserve"> %) löydetyt anaerobibakteerit olivat herkkiä, mutta näytteessä kasvoi yksi tai useampia hoidolle resistentti aerobibakteeri, </w:t>
      </w:r>
      <w:r w:rsidR="00430342">
        <w:t>5 potilaalla</w:t>
      </w:r>
      <w:r w:rsidR="003A41D4">
        <w:t xml:space="preserve"> (1</w:t>
      </w:r>
      <w:r w:rsidR="00430342">
        <w:t>0</w:t>
      </w:r>
      <w:r w:rsidR="003A41D4">
        <w:t xml:space="preserve"> %) </w:t>
      </w:r>
      <w:r>
        <w:t>näytteestä löytyi resistenttejä anaerobi- mutta ei aerobibakteereita, ja 6 potilaalla (1</w:t>
      </w:r>
      <w:r w:rsidR="003A41D4">
        <w:t>2</w:t>
      </w:r>
      <w:r>
        <w:t xml:space="preserve"> %) näytteestä löytyi sekä aerobi- että anaerobibakteereita, jotka olivat empiiriselle antibioottihoidolle resistenttejä.</w:t>
      </w:r>
    </w:p>
    <w:p w:rsidR="00486CAD" w:rsidRDefault="00486CAD" w:rsidP="00486CAD">
      <w:pPr>
        <w:spacing w:line="360" w:lineRule="auto"/>
      </w:pPr>
      <w:r>
        <w:t xml:space="preserve">Potilaista </w:t>
      </w:r>
      <w:r w:rsidRPr="0083304D">
        <w:t>4</w:t>
      </w:r>
      <w:r>
        <w:t>7</w:t>
      </w:r>
      <w:r w:rsidRPr="0083304D">
        <w:t xml:space="preserve"> (</w:t>
      </w:r>
      <w:r>
        <w:t>90</w:t>
      </w:r>
      <w:r w:rsidRPr="0083304D">
        <w:t xml:space="preserve"> %)</w:t>
      </w:r>
      <w:r>
        <w:t xml:space="preserve"> parani komplikaatioitta. Uusi toimenpide jouduttiin suorittamaan </w:t>
      </w:r>
      <w:r w:rsidR="000C12C9">
        <w:t>kahdelle</w:t>
      </w:r>
      <w:r>
        <w:t xml:space="preserve"> potilaalle</w:t>
      </w:r>
      <w:r w:rsidR="008A58B0">
        <w:t>. Toiselle potilaalle, jolla empiirinen antibioottihoito oli herkkyysmäärityksen mukaan tehokas, suoritettiin abskessin dreneeraus, ja toiselle potilaalle hampaan poisto.</w:t>
      </w:r>
      <w:r>
        <w:t xml:space="preserve"> </w:t>
      </w:r>
      <w:r w:rsidR="000C12C9">
        <w:lastRenderedPageBreak/>
        <w:t>Kolmelle potilaalle aloitettiin hoitovasteen puuttumisen takia uusi</w:t>
      </w:r>
      <w:r>
        <w:t xml:space="preserve"> antibioottihoito </w:t>
      </w:r>
      <w:r w:rsidR="000C12C9">
        <w:t xml:space="preserve">mikrobiologisen herkkyysvastauksen perusteella </w:t>
      </w:r>
      <w:r>
        <w:t>j</w:t>
      </w:r>
      <w:r w:rsidR="000C12C9">
        <w:t xml:space="preserve">a yhdelle potilaalle antibioottihoito jouduttiin </w:t>
      </w:r>
      <w:r>
        <w:t>vaihtamaan lääkkeen aiheuttamien sivuvaikutusten takia.</w:t>
      </w:r>
      <w:r w:rsidR="000C12C9">
        <w:t xml:space="preserve"> </w:t>
      </w:r>
    </w:p>
    <w:p w:rsidR="00486CAD" w:rsidRDefault="00486CAD" w:rsidP="00486CAD">
      <w:pPr>
        <w:spacing w:line="360" w:lineRule="auto"/>
      </w:pPr>
    </w:p>
    <w:p w:rsidR="00135D21" w:rsidRDefault="00135D21" w:rsidP="00135D21">
      <w:pPr>
        <w:spacing w:line="360" w:lineRule="auto"/>
      </w:pPr>
    </w:p>
    <w:p w:rsidR="00135D21" w:rsidRDefault="00135D21" w:rsidP="00135D21">
      <w:pPr>
        <w:spacing w:line="360" w:lineRule="auto"/>
        <w:rPr>
          <w:b/>
        </w:rPr>
      </w:pPr>
      <w:r w:rsidRPr="006A5678">
        <w:rPr>
          <w:b/>
        </w:rPr>
        <w:t>Pohdinta</w:t>
      </w:r>
    </w:p>
    <w:p w:rsidR="00135D21" w:rsidRDefault="00135D21" w:rsidP="00135D21">
      <w:pPr>
        <w:spacing w:line="360" w:lineRule="auto"/>
      </w:pPr>
    </w:p>
    <w:p w:rsidR="008E349A" w:rsidRDefault="008E349A" w:rsidP="00135D21">
      <w:pPr>
        <w:spacing w:line="360" w:lineRule="auto"/>
      </w:pPr>
      <w:r>
        <w:t xml:space="preserve">Hammasperäisten infektioiden kuten abskessien (2), juurikanavainfektioiden (3) ja limakalvoinfektioiden (7) etiologia on yleensä polymikrobiaalinen. Näin oli myös tässä aineistossa, jossa 94 % infektioista oli polymikrobiaalisia. </w:t>
      </w:r>
      <w:r w:rsidR="00DC0C73">
        <w:t>Aerobibakteereista yleisimpiä olivat streptokokit ja anaerobibakteereista Prevotella-lajit. Löydös</w:t>
      </w:r>
      <w:r>
        <w:t>jakauma oli hyvin samantapainen kuin Hjelmin ym. Helsingistä julkaisemassa hammasperäisten abskessien</w:t>
      </w:r>
      <w:r w:rsidR="00DC0C73">
        <w:t xml:space="preserve"> aineistossa (2).</w:t>
      </w:r>
    </w:p>
    <w:p w:rsidR="00DC0C73" w:rsidRDefault="00135D21" w:rsidP="00135D21">
      <w:pPr>
        <w:spacing w:line="360" w:lineRule="auto"/>
      </w:pPr>
      <w:r w:rsidRPr="009A71D1">
        <w:t>Kehitetty viljely</w:t>
      </w:r>
      <w:r w:rsidR="00DC0C73">
        <w:t>- ja herkkyysmääritysmenetelmä</w:t>
      </w:r>
      <w:r w:rsidRPr="009A71D1">
        <w:t xml:space="preserve"> on </w:t>
      </w:r>
      <w:r w:rsidR="00BC54DE" w:rsidRPr="008A58B0">
        <w:t>standardikäytännöstä poikkeava</w:t>
      </w:r>
      <w:r>
        <w:t xml:space="preserve">. Normaalisti </w:t>
      </w:r>
      <w:r w:rsidRPr="009A71D1">
        <w:t>bakteeriviljelynäytteestä</w:t>
      </w:r>
      <w:r>
        <w:t xml:space="preserve"> tunnistetaan kaikki patogeeneina pidetyt bakteerit lajitasolle, ja niistä tehdään </w:t>
      </w:r>
      <w:r>
        <w:lastRenderedPageBreak/>
        <w:t xml:space="preserve">erillinen herkkyysmääritys standardoitua kasvustoa käyttäen. </w:t>
      </w:r>
      <w:r w:rsidR="000F5C47" w:rsidRPr="008A58B0">
        <w:t>Tässä menetelmässä, y</w:t>
      </w:r>
      <w:r>
        <w:t>hteisherkkyyksiä tehtäessä</w:t>
      </w:r>
      <w:r w:rsidR="000F5C47">
        <w:t>,</w:t>
      </w:r>
      <w:r>
        <w:t xml:space="preserve"> herkkyysmaljalle viljeltyä bakteerimäärää ei voi standardoida, vaan maljalle tulee runsaammin niitä bakteereita, joita näytteessä kasvaa enemmän. Herkkyysmääritys tehtiin E-testillä, koska se on jossain määrin vähemmän herkkä kasvuston paksuuden vaikutukselle kuin tavallinen kiekkoherkkyysmenetelmä. Toisaalta infektiopesäkkeessä </w:t>
      </w:r>
      <w:r w:rsidR="00DC0C73">
        <w:t>kuten normaalifloorassakin mikrob</w:t>
      </w:r>
      <w:r>
        <w:t xml:space="preserve">it eivät suinkaan elä erillisinä lajeina, vaan muodostavat monimutkaisen </w:t>
      </w:r>
      <w:r w:rsidR="000F5C47" w:rsidRPr="00287095">
        <w:t>ekosysteemin</w:t>
      </w:r>
      <w:r>
        <w:t>, jossa eri bakteerilajit ovat vuorovaikutuksessa ja kommunikoivat keskenään</w:t>
      </w:r>
      <w:r w:rsidR="00DC0C73">
        <w:t xml:space="preserve"> (8, 9)</w:t>
      </w:r>
      <w:r>
        <w:t>. Annettu antibiootti kohtaa siten potilaa</w:t>
      </w:r>
      <w:r w:rsidR="00DC0C73">
        <w:t>n suussa</w:t>
      </w:r>
      <w:r>
        <w:t xml:space="preserve"> infektion aiheuttaneet bakteerilajit yhdessä eikä erikseen.</w:t>
      </w:r>
      <w:r w:rsidR="00DC0C73">
        <w:t xml:space="preserve"> Siten yhteisherkkyyksiä voidaan pitää jopa todellista tilannetta paremmin vastaavana kuin tavanomaista herkkyysmääritystä.</w:t>
      </w:r>
    </w:p>
    <w:p w:rsidR="00135D21" w:rsidRDefault="00135D21" w:rsidP="00135D21">
      <w:pPr>
        <w:spacing w:line="360" w:lineRule="auto"/>
      </w:pPr>
      <w:r>
        <w:t>Hammasperäisille infektioille on tyypillistä että käytettyjen antibioottien valikoima on varsin suppea (</w:t>
      </w:r>
      <w:r w:rsidR="00DC0C73">
        <w:t>10</w:t>
      </w:r>
      <w:r w:rsidR="00861031">
        <w:t>, 11</w:t>
      </w:r>
      <w:r>
        <w:t xml:space="preserve">). </w:t>
      </w:r>
      <w:r w:rsidR="00DC0C73">
        <w:t>Yhteisherkkyyksiin o</w:t>
      </w:r>
      <w:r>
        <w:t>li siten mahdollista valita ne tärkeimmät antibiootit, joita kliinikot joka tapauksessa käyttä</w:t>
      </w:r>
      <w:r w:rsidR="00AC2C12">
        <w:t xml:space="preserve">vät. </w:t>
      </w:r>
      <w:r w:rsidR="00BC54DE">
        <w:t>Perinteisessä</w:t>
      </w:r>
      <w:r>
        <w:t xml:space="preserve"> viljelyssä </w:t>
      </w:r>
      <w:r w:rsidR="00BC54DE">
        <w:t xml:space="preserve">tutkittavat </w:t>
      </w:r>
      <w:r>
        <w:t xml:space="preserve">antibiootit </w:t>
      </w:r>
      <w:r>
        <w:lastRenderedPageBreak/>
        <w:t>määräytyvät viljellyn bakteerin perusteel</w:t>
      </w:r>
      <w:r w:rsidR="00AC2C12">
        <w:t>la, mikä s</w:t>
      </w:r>
      <w:r>
        <w:t xml:space="preserve">ekainfektioissa johtaa </w:t>
      </w:r>
      <w:r w:rsidR="00AC2C12">
        <w:t xml:space="preserve">helposti </w:t>
      </w:r>
      <w:r>
        <w:t>siihen, että vain osa</w:t>
      </w:r>
      <w:r w:rsidR="00AC2C12">
        <w:t>lle</w:t>
      </w:r>
      <w:r>
        <w:t xml:space="preserve"> bakteerei</w:t>
      </w:r>
      <w:r w:rsidR="00AC2C12">
        <w:t>s</w:t>
      </w:r>
      <w:r>
        <w:t>ta on tehty herkkyysmääri</w:t>
      </w:r>
      <w:r w:rsidR="00AC2C12">
        <w:t>tys</w:t>
      </w:r>
      <w:r>
        <w:t xml:space="preserve"> sille antibiootille, joka potilaalle on aloitettu.</w:t>
      </w:r>
    </w:p>
    <w:p w:rsidR="00135D21" w:rsidRPr="00DC6464" w:rsidRDefault="00135D21" w:rsidP="00135D21">
      <w:pPr>
        <w:spacing w:line="360" w:lineRule="auto"/>
      </w:pPr>
      <w:r>
        <w:t>Suu- ja leukakirurgis</w:t>
      </w:r>
      <w:r w:rsidR="00BC54DE">
        <w:t>issa</w:t>
      </w:r>
      <w:r>
        <w:t xml:space="preserve"> infektio</w:t>
      </w:r>
      <w:r w:rsidR="00BC54DE">
        <w:t>issa</w:t>
      </w:r>
      <w:r>
        <w:t xml:space="preserve"> kirurginen hoito on </w:t>
      </w:r>
      <w:r w:rsidR="002F2E85">
        <w:t>ensisijainen</w:t>
      </w:r>
      <w:r>
        <w:t>, antibioottihoidon ollessa vain operatii</w:t>
      </w:r>
      <w:r w:rsidR="00FC0CDD">
        <w:t>visen toiminnan tukena. Tämän</w:t>
      </w:r>
      <w:r>
        <w:t xml:space="preserve"> tutkimuksen perusteella voidaan todeta, että valtaosa infektioista paranee hyvin siinäkin tapauksessa, että aloitettu antibioottihoito ei kata kaikkia näytteestä löytyviä bakteereita. Voidaankin kysyä kuinka tärkeää hoitavalle kliinikolle on tietää kaikki </w:t>
      </w:r>
      <w:r w:rsidRPr="00DC6464">
        <w:t>näytteestä kasvavat bakteerit lajitasolle tunnistettuina tarkkoine herkkyysmäärityksineen.</w:t>
      </w:r>
      <w:r w:rsidR="001633BB" w:rsidRPr="00DC6464">
        <w:t xml:space="preserve"> </w:t>
      </w:r>
      <w:r w:rsidR="00FC7A62" w:rsidRPr="00DC6464">
        <w:t xml:space="preserve">Poikkeustapauksessa hammasperäinen infektio voi johtaa vakavaan, osastohoitoa vaativaan infektioon (12-14). </w:t>
      </w:r>
      <w:r w:rsidR="00FC0CDD" w:rsidRPr="00DC6464">
        <w:t>Infektion leviämisen ja komplikaatioiden ehkäisemisessä antibioottihoidolla on h</w:t>
      </w:r>
      <w:r w:rsidR="00B85D7F" w:rsidRPr="00DC6464">
        <w:t xml:space="preserve">ammaslääketieteellisen hoidon ohella </w:t>
      </w:r>
      <w:r w:rsidR="00FC7A62" w:rsidRPr="00DC6464">
        <w:t>oma merkityksensä</w:t>
      </w:r>
      <w:r w:rsidR="001633BB" w:rsidRPr="00DC6464">
        <w:t>.</w:t>
      </w:r>
    </w:p>
    <w:p w:rsidR="00135D21" w:rsidRPr="00DC6464" w:rsidRDefault="00135D21" w:rsidP="00135D21">
      <w:pPr>
        <w:spacing w:line="360" w:lineRule="auto"/>
      </w:pPr>
      <w:r w:rsidRPr="00DC6464">
        <w:t>Kehitetyn menetelmän tarkoitus ei ole tuottaa tarkkaa tietoa, vaan pikemminkin auttaa niissä tapa</w:t>
      </w:r>
      <w:r>
        <w:t>uksissa, joissa infektion paraneminen ei etene toivotusti. Jos kliinikolla on tällaisissa tapauksissa jälkitar</w:t>
      </w:r>
      <w:r>
        <w:lastRenderedPageBreak/>
        <w:t xml:space="preserve">kastusta tehdessään käytettävissään suuntaa antavaa tietoa viljellyistä bakteereista ja niiden herkkyyksistä, hän voi tulosten varoittaessa todennäköisestä resistenssistä vaihtaa empiirisen </w:t>
      </w:r>
      <w:r w:rsidRPr="00DC6464">
        <w:t>hoidon sellaiseen, jolle kaikki näytteen bakteerit näyttäisivät olevan herkkiä. Menetelmän tarkoituksena on</w:t>
      </w:r>
      <w:r w:rsidR="00FC7A62" w:rsidRPr="00DC6464">
        <w:t xml:space="preserve"> laboratoriotyötä yksinkertaistamalla</w:t>
      </w:r>
      <w:r w:rsidR="000F5C47" w:rsidRPr="00DC6464">
        <w:t xml:space="preserve"> </w:t>
      </w:r>
      <w:r w:rsidRPr="00DC6464">
        <w:t xml:space="preserve">nopeuttaa vastausten saamista, niin että tulokset olisivat valmiina potilaan tullessa jälkitarkastukseen. Aivan toivottuun vastausnopeuteen ei käytännössä pystytty, vaan bakteerien hidaskasvuisuus, viikonloput ym. tekijät aiheuttivat sen, että vain </w:t>
      </w:r>
      <w:r w:rsidR="00AC2C12" w:rsidRPr="00DC6464">
        <w:t>70 %</w:t>
      </w:r>
      <w:r w:rsidRPr="00DC6464">
        <w:t xml:space="preserve"> tapauksista saatiin lopullinen vastaus </w:t>
      </w:r>
      <w:r w:rsidR="003F0F0C" w:rsidRPr="00DC6464">
        <w:t>viikon</w:t>
      </w:r>
      <w:r w:rsidRPr="00DC6464">
        <w:t xml:space="preserve"> sisällä näytteenotosta. Tämä oli kuitenkin merkittävä nopeutuminen aikaisempaan verrattuna</w:t>
      </w:r>
      <w:r w:rsidR="00C92DBA" w:rsidRPr="00DC6464">
        <w:t>, jolloin vain 27% näytteistä saatiin lopullinen vastaus annettua viikossa.</w:t>
      </w:r>
    </w:p>
    <w:p w:rsidR="00AC2C12" w:rsidRDefault="003F0F0C" w:rsidP="00135D21">
      <w:pPr>
        <w:spacing w:line="360" w:lineRule="auto"/>
      </w:pPr>
      <w:r w:rsidRPr="00DC6464">
        <w:t>Hoitavien kliinikoiden mielestä käytetty menetelmä palveli hyvin ja antoi riittävästi mikrobiologista</w:t>
      </w:r>
      <w:r>
        <w:t xml:space="preserve"> informaatiota. Jälkitarkastustilanteessa se antoi mahdollisuuden vaihtaa antibioottihoito sellaiseen, joka laboratoriovastauksen perusteella vaikutti kattavan kaikki näytteestä kasvaneet bakteerit. </w:t>
      </w:r>
    </w:p>
    <w:p w:rsidR="00DC6464" w:rsidRDefault="00DC6464" w:rsidP="00135D21">
      <w:pPr>
        <w:spacing w:line="360" w:lineRule="auto"/>
      </w:pPr>
    </w:p>
    <w:p w:rsidR="00AC2C12" w:rsidRDefault="00AC2C12" w:rsidP="00135D21">
      <w:pPr>
        <w:spacing w:line="360" w:lineRule="auto"/>
      </w:pPr>
    </w:p>
    <w:p w:rsidR="003C753F" w:rsidRPr="00DC6464" w:rsidRDefault="003C753F" w:rsidP="00135D21">
      <w:pPr>
        <w:spacing w:line="360" w:lineRule="auto"/>
        <w:rPr>
          <w:b/>
        </w:rPr>
      </w:pPr>
      <w:r w:rsidRPr="00DC6464">
        <w:rPr>
          <w:b/>
        </w:rPr>
        <w:t>Kirjallisuu</w:t>
      </w:r>
      <w:r w:rsidR="00855438" w:rsidRPr="00DC6464">
        <w:rPr>
          <w:b/>
        </w:rPr>
        <w:t>sluettelo</w:t>
      </w:r>
    </w:p>
    <w:p w:rsidR="003C753F" w:rsidRPr="003C753F" w:rsidRDefault="003C753F" w:rsidP="00135D21">
      <w:pPr>
        <w:spacing w:line="360" w:lineRule="auto"/>
      </w:pPr>
    </w:p>
    <w:p w:rsidR="003C753F" w:rsidRPr="003C753F" w:rsidRDefault="003C753F" w:rsidP="003C753F">
      <w:r>
        <w:t xml:space="preserve">1. </w:t>
      </w:r>
      <w:r w:rsidRPr="003C753F">
        <w:t>Meurman JH., Richardson R, Kinnunen I.  Suun ja kaulan infektiot. Kirjassa: Hedman K ym. (toim.) Infektiosairaudet. Helsinki: Kustannus Oy Duodecim; 2011 s. 402-17.</w:t>
      </w:r>
    </w:p>
    <w:p w:rsidR="003C753F" w:rsidRDefault="003C753F" w:rsidP="001126DA">
      <w:pPr>
        <w:spacing w:beforeLines="1" w:before="2" w:afterLines="1" w:after="2"/>
        <w:outlineLvl w:val="0"/>
        <w:rPr>
          <w:szCs w:val="20"/>
        </w:rPr>
      </w:pPr>
    </w:p>
    <w:p w:rsidR="00BF570B" w:rsidRPr="003C753F" w:rsidRDefault="00BF570B" w:rsidP="00BF570B">
      <w:pPr>
        <w:rPr>
          <w:szCs w:val="20"/>
        </w:rPr>
      </w:pPr>
      <w:r>
        <w:rPr>
          <w:szCs w:val="20"/>
        </w:rPr>
        <w:t xml:space="preserve">2. </w:t>
      </w:r>
      <w:r w:rsidRPr="003C753F">
        <w:rPr>
          <w:szCs w:val="20"/>
        </w:rPr>
        <w:t>Hjelm K, Grönholm L, Richardson R. Hammasperäisten paiseiden mikrobiologia. Suom hammaslääkäril 2012; 1</w:t>
      </w:r>
      <w:r w:rsidR="008E349A">
        <w:rPr>
          <w:szCs w:val="20"/>
        </w:rPr>
        <w:t>9: 28-37.</w:t>
      </w:r>
    </w:p>
    <w:p w:rsidR="00BF570B" w:rsidRPr="003C753F" w:rsidRDefault="00BF570B" w:rsidP="00BF570B"/>
    <w:p w:rsidR="004427DB" w:rsidRPr="003C753F" w:rsidRDefault="004427DB" w:rsidP="004427DB">
      <w:pPr>
        <w:rPr>
          <w:szCs w:val="20"/>
        </w:rPr>
      </w:pPr>
      <w:r>
        <w:rPr>
          <w:szCs w:val="20"/>
        </w:rPr>
        <w:t xml:space="preserve">3. </w:t>
      </w:r>
      <w:r w:rsidRPr="003C753F">
        <w:rPr>
          <w:szCs w:val="20"/>
        </w:rPr>
        <w:t>Rihtniemi L, Tjäderhane L, Kotiranta A, Lauhio RA, Richardson RMK. Juurikanavien mikrobilöydökset Suomessa ja niiden merkitys. Suom hammaslääkäril 2010; 1</w:t>
      </w:r>
      <w:r w:rsidR="008E349A">
        <w:rPr>
          <w:szCs w:val="20"/>
        </w:rPr>
        <w:t>7</w:t>
      </w:r>
      <w:r w:rsidRPr="003C753F">
        <w:rPr>
          <w:szCs w:val="20"/>
        </w:rPr>
        <w:t>: 18-26.</w:t>
      </w:r>
    </w:p>
    <w:p w:rsidR="004427DB" w:rsidRDefault="004427DB" w:rsidP="004427DB"/>
    <w:p w:rsidR="00BF570B" w:rsidRPr="003C753F" w:rsidRDefault="004427DB" w:rsidP="00BF570B">
      <w:r>
        <w:t>4</w:t>
      </w:r>
      <w:r w:rsidR="00BF570B">
        <w:t xml:space="preserve">. </w:t>
      </w:r>
      <w:r w:rsidR="00BF570B" w:rsidRPr="003C753F">
        <w:t>Dahlén G</w:t>
      </w:r>
      <w:r w:rsidR="00BF570B">
        <w:t xml:space="preserve">. </w:t>
      </w:r>
      <w:r w:rsidR="00BF570B" w:rsidRPr="003C753F">
        <w:t>M</w:t>
      </w:r>
      <w:r w:rsidR="00BF570B" w:rsidRPr="003C753F">
        <w:rPr>
          <w:rStyle w:val="highlight"/>
        </w:rPr>
        <w:t xml:space="preserve">icrobiology </w:t>
      </w:r>
      <w:r w:rsidR="00BF570B" w:rsidRPr="003C753F">
        <w:t xml:space="preserve">and </w:t>
      </w:r>
      <w:r w:rsidR="00BF570B" w:rsidRPr="003C753F">
        <w:rPr>
          <w:rStyle w:val="highlight"/>
        </w:rPr>
        <w:t>treatment</w:t>
      </w:r>
      <w:r w:rsidR="00BF570B" w:rsidRPr="003C753F">
        <w:t xml:space="preserve"> of </w:t>
      </w:r>
      <w:r w:rsidR="00BF570B" w:rsidRPr="003C753F">
        <w:rPr>
          <w:rStyle w:val="highlight"/>
        </w:rPr>
        <w:t>dental</w:t>
      </w:r>
      <w:r w:rsidR="00BF570B" w:rsidRPr="003C753F">
        <w:t xml:space="preserve"> </w:t>
      </w:r>
      <w:r w:rsidR="00BF570B" w:rsidRPr="003C753F">
        <w:rPr>
          <w:rStyle w:val="highlight"/>
        </w:rPr>
        <w:t>abscesses</w:t>
      </w:r>
      <w:r w:rsidR="00BF570B" w:rsidRPr="003C753F">
        <w:t xml:space="preserve"> and periodontal-endodontic lesions.</w:t>
      </w:r>
    </w:p>
    <w:p w:rsidR="00BF570B" w:rsidRPr="003C753F" w:rsidRDefault="00BF570B" w:rsidP="00BF570B">
      <w:r w:rsidRPr="003C753F">
        <w:t>Periodontol 2000. 2002;</w:t>
      </w:r>
      <w:r>
        <w:t xml:space="preserve"> </w:t>
      </w:r>
      <w:r w:rsidRPr="003C753F">
        <w:t>28:</w:t>
      </w:r>
      <w:r>
        <w:t xml:space="preserve"> </w:t>
      </w:r>
      <w:r w:rsidRPr="003C753F">
        <w:t>206-39.</w:t>
      </w:r>
    </w:p>
    <w:p w:rsidR="00BF570B" w:rsidRPr="003C753F" w:rsidRDefault="00BF570B" w:rsidP="00BF570B"/>
    <w:p w:rsidR="003C753F" w:rsidRPr="003C753F" w:rsidRDefault="004427DB" w:rsidP="001126DA">
      <w:pPr>
        <w:spacing w:beforeLines="1" w:before="2" w:afterLines="1" w:after="2"/>
        <w:outlineLvl w:val="0"/>
        <w:rPr>
          <w:kern w:val="36"/>
          <w:szCs w:val="20"/>
        </w:rPr>
      </w:pPr>
      <w:r>
        <w:rPr>
          <w:szCs w:val="20"/>
        </w:rPr>
        <w:t>5</w:t>
      </w:r>
      <w:r w:rsidR="003C753F">
        <w:rPr>
          <w:szCs w:val="20"/>
        </w:rPr>
        <w:t xml:space="preserve">. </w:t>
      </w:r>
      <w:r w:rsidR="003C753F" w:rsidRPr="003C753F">
        <w:rPr>
          <w:szCs w:val="20"/>
        </w:rPr>
        <w:t xml:space="preserve">Bahl R, Sandhu S, Singh K, Sahai N, Gupta M. </w:t>
      </w:r>
      <w:r w:rsidR="003C753F" w:rsidRPr="003C753F">
        <w:rPr>
          <w:kern w:val="36"/>
          <w:szCs w:val="20"/>
        </w:rPr>
        <w:t xml:space="preserve">Odontogenic infections: Microbiology and management. </w:t>
      </w:r>
      <w:r w:rsidR="003C753F" w:rsidRPr="003C753F">
        <w:rPr>
          <w:szCs w:val="20"/>
        </w:rPr>
        <w:t>Contemp Clin Dent 2014; 5: 307–11.</w:t>
      </w:r>
    </w:p>
    <w:p w:rsidR="003C753F" w:rsidRPr="003C753F" w:rsidRDefault="003C753F" w:rsidP="003C753F"/>
    <w:p w:rsidR="009443D4" w:rsidRDefault="004427DB" w:rsidP="003C753F">
      <w:pPr>
        <w:rPr>
          <w:szCs w:val="20"/>
        </w:rPr>
      </w:pPr>
      <w:r>
        <w:rPr>
          <w:szCs w:val="29"/>
          <w:lang w:eastAsia="en-US"/>
        </w:rPr>
        <w:t xml:space="preserve">6. </w:t>
      </w:r>
      <w:r w:rsidR="009443D4" w:rsidRPr="009443D4">
        <w:rPr>
          <w:szCs w:val="29"/>
          <w:lang w:eastAsia="en-US"/>
        </w:rPr>
        <w:t>European Committee on Antimicrobial Susceptibility Testing</w:t>
      </w:r>
      <w:r w:rsidR="009443D4">
        <w:rPr>
          <w:szCs w:val="29"/>
          <w:lang w:eastAsia="en-US"/>
        </w:rPr>
        <w:t xml:space="preserve">. </w:t>
      </w:r>
      <w:r w:rsidR="009443D4" w:rsidRPr="009443D4">
        <w:rPr>
          <w:szCs w:val="25"/>
          <w:lang w:eastAsia="en-US"/>
        </w:rPr>
        <w:t>Breakpoint tables for interpreta</w:t>
      </w:r>
      <w:r w:rsidR="009443D4">
        <w:rPr>
          <w:szCs w:val="25"/>
          <w:lang w:eastAsia="en-US"/>
        </w:rPr>
        <w:t xml:space="preserve">tion of MICs and zone diameters, </w:t>
      </w:r>
      <w:r w:rsidR="009443D4">
        <w:rPr>
          <w:szCs w:val="19"/>
          <w:lang w:eastAsia="en-US"/>
        </w:rPr>
        <w:lastRenderedPageBreak/>
        <w:t>v</w:t>
      </w:r>
      <w:r w:rsidR="009443D4" w:rsidRPr="009443D4">
        <w:rPr>
          <w:szCs w:val="19"/>
          <w:lang w:eastAsia="en-US"/>
        </w:rPr>
        <w:t>ersion 2.0, valid from 2012-01-01</w:t>
      </w:r>
      <w:r w:rsidR="009443D4">
        <w:rPr>
          <w:szCs w:val="19"/>
          <w:lang w:eastAsia="en-US"/>
        </w:rPr>
        <w:t xml:space="preserve">. </w:t>
      </w:r>
      <w:r w:rsidR="009443D4" w:rsidRPr="009443D4">
        <w:rPr>
          <w:szCs w:val="20"/>
        </w:rPr>
        <w:t>http://www.eucast.org/fileadmin/src/media/PDFs/EUCAST_files/Breakpoint_tables/Breakpoint_table_v_2.0_120221.pdf</w:t>
      </w:r>
    </w:p>
    <w:p w:rsidR="009443D4" w:rsidRDefault="009443D4" w:rsidP="003C753F">
      <w:pPr>
        <w:rPr>
          <w:szCs w:val="20"/>
        </w:rPr>
      </w:pPr>
    </w:p>
    <w:p w:rsidR="003C753F" w:rsidRPr="003C753F" w:rsidRDefault="008E349A" w:rsidP="003C753F">
      <w:pPr>
        <w:rPr>
          <w:szCs w:val="20"/>
        </w:rPr>
      </w:pPr>
      <w:r>
        <w:rPr>
          <w:szCs w:val="20"/>
        </w:rPr>
        <w:t xml:space="preserve">7. </w:t>
      </w:r>
      <w:r w:rsidR="003C753F" w:rsidRPr="003C753F">
        <w:rPr>
          <w:szCs w:val="20"/>
        </w:rPr>
        <w:t xml:space="preserve">Willberg J, </w:t>
      </w:r>
      <w:r w:rsidR="003C753F" w:rsidRPr="003C753F">
        <w:rPr>
          <w:szCs w:val="20"/>
          <w:u w:val="single"/>
        </w:rPr>
        <w:t>Välimaa H</w:t>
      </w:r>
      <w:r w:rsidR="003C753F" w:rsidRPr="003C753F">
        <w:rPr>
          <w:szCs w:val="20"/>
        </w:rPr>
        <w:t>, Gürsoy M, Könönen E, Vuolteenaho A. Suun limakalvojen diagnostiikka : histologia ja mikrobiologia - kliininen merkitys. Suom hammaslääkäri</w:t>
      </w:r>
      <w:r w:rsidR="00962304">
        <w:rPr>
          <w:szCs w:val="20"/>
        </w:rPr>
        <w:t>l</w:t>
      </w:r>
      <w:r w:rsidR="003C753F" w:rsidRPr="003C753F">
        <w:rPr>
          <w:szCs w:val="20"/>
        </w:rPr>
        <w:t xml:space="preserve"> 2015; </w:t>
      </w:r>
      <w:r>
        <w:rPr>
          <w:szCs w:val="20"/>
        </w:rPr>
        <w:t xml:space="preserve">22: 24-37. </w:t>
      </w:r>
    </w:p>
    <w:p w:rsidR="003C753F" w:rsidRPr="003C753F" w:rsidRDefault="003C753F" w:rsidP="003C753F"/>
    <w:p w:rsidR="00DC0C73" w:rsidRDefault="00DC0C73" w:rsidP="00DC0C73">
      <w:r>
        <w:t>8. Jalava J. Ihminen ja mikrobisto - vanha kumppanuus uudessa tarkastelussa. Suom Lääkäril 2010; 65: 1005-11.</w:t>
      </w:r>
    </w:p>
    <w:p w:rsidR="00DC0C73" w:rsidRDefault="00DC0C73" w:rsidP="00DC0C73"/>
    <w:p w:rsidR="00DC0C73" w:rsidRDefault="00DC0C73" w:rsidP="00DC0C73">
      <w:r>
        <w:t xml:space="preserve">9. Salonen A. Ihmisen mikrobiomit. Duodecim 2013; 129: 2341-8 </w:t>
      </w:r>
    </w:p>
    <w:p w:rsidR="00DC0C73" w:rsidRDefault="00DC0C73" w:rsidP="003C753F"/>
    <w:p w:rsidR="00861031" w:rsidRDefault="00DC0C73" w:rsidP="00DC0C73">
      <w:r>
        <w:t xml:space="preserve">10. Richardson R ja työryhmä. Hammasperäiset äkilliset infektiot ja mikrobilääkkeet. Käypä hoito suositus </w:t>
      </w:r>
      <w:r w:rsidR="00861031">
        <w:t xml:space="preserve">2011 </w:t>
      </w:r>
      <w:r>
        <w:t xml:space="preserve">s. 1–15. </w:t>
      </w:r>
      <w:r w:rsidR="00861031" w:rsidRPr="00DC6464">
        <w:t>http://www.terveysportti.fi/xmedia/hoi/hoi50090.pdf</w:t>
      </w:r>
    </w:p>
    <w:p w:rsidR="00861031" w:rsidRPr="00DC6464" w:rsidRDefault="00861031" w:rsidP="00DC0C73"/>
    <w:p w:rsidR="00DC0C73" w:rsidRPr="00DC6464" w:rsidRDefault="00861031" w:rsidP="00DC0C73">
      <w:r w:rsidRPr="00DC6464">
        <w:t>11. Richardson R, Soukka T. Suun alueen akuuttien infektioiden hoidon periaatteet. Sadas käypä hoito suositus. Erikoislääkäri 2011; 4: 138-142</w:t>
      </w:r>
    </w:p>
    <w:p w:rsidR="00DC0C73" w:rsidRPr="00DC6464" w:rsidRDefault="00DC0C73" w:rsidP="003C753F"/>
    <w:p w:rsidR="00455CE5" w:rsidRPr="00DC6464" w:rsidRDefault="00B85D7F" w:rsidP="00BD6462">
      <w:pPr>
        <w:rPr>
          <w:szCs w:val="20"/>
        </w:rPr>
      </w:pPr>
      <w:r w:rsidRPr="00DC6464">
        <w:rPr>
          <w:szCs w:val="20"/>
        </w:rPr>
        <w:t>1</w:t>
      </w:r>
      <w:r w:rsidR="00861031" w:rsidRPr="00DC6464">
        <w:rPr>
          <w:szCs w:val="20"/>
        </w:rPr>
        <w:t>2</w:t>
      </w:r>
      <w:r w:rsidRPr="00DC6464">
        <w:rPr>
          <w:szCs w:val="20"/>
        </w:rPr>
        <w:t xml:space="preserve">. </w:t>
      </w:r>
      <w:r w:rsidR="00455CE5" w:rsidRPr="00DC6464">
        <w:rPr>
          <w:szCs w:val="20"/>
        </w:rPr>
        <w:t>Richardson RMK, Seppänen L. Leukojen alueen syvät infektiot. Duodecim 2010; 126: 695–701</w:t>
      </w:r>
    </w:p>
    <w:p w:rsidR="00455CE5" w:rsidRPr="00DC6464" w:rsidRDefault="00455CE5" w:rsidP="00BD6462">
      <w:pPr>
        <w:rPr>
          <w:szCs w:val="20"/>
        </w:rPr>
      </w:pPr>
    </w:p>
    <w:p w:rsidR="00861031" w:rsidRPr="00DC6464" w:rsidRDefault="00861031" w:rsidP="00861031">
      <w:r w:rsidRPr="00DC6464">
        <w:t>13. Rajasuo A, Rajasuo A, Torkkeli T. Suun, nielun ja kaulan infektiot erikoissairaanhoidossa. Duodecim 2014; 130: 581-6</w:t>
      </w:r>
    </w:p>
    <w:p w:rsidR="00861031" w:rsidRPr="00DC6464" w:rsidRDefault="00861031" w:rsidP="00861031"/>
    <w:p w:rsidR="00455CE5" w:rsidRPr="00DC6464" w:rsidRDefault="00B85D7F" w:rsidP="00455CE5">
      <w:pPr>
        <w:rPr>
          <w:szCs w:val="10"/>
        </w:rPr>
      </w:pPr>
      <w:r w:rsidRPr="00DC6464">
        <w:rPr>
          <w:szCs w:val="10"/>
        </w:rPr>
        <w:lastRenderedPageBreak/>
        <w:t>1</w:t>
      </w:r>
      <w:r w:rsidR="00861031" w:rsidRPr="00DC6464">
        <w:rPr>
          <w:szCs w:val="10"/>
        </w:rPr>
        <w:t>4</w:t>
      </w:r>
      <w:r w:rsidRPr="00DC6464">
        <w:rPr>
          <w:szCs w:val="10"/>
        </w:rPr>
        <w:t xml:space="preserve">. </w:t>
      </w:r>
      <w:r w:rsidR="00455CE5" w:rsidRPr="00DC6464">
        <w:rPr>
          <w:szCs w:val="10"/>
        </w:rPr>
        <w:t xml:space="preserve">Seppänen L, Richardson R, Lindqvist C, ym. Hammasperäiset sairaalahoitoa vaatineet infektiot – Potilasvakuutuskeskuksessa vuosina 2000–2003 ratkaistut vahinkoilmoitukset. </w:t>
      </w:r>
      <w:r w:rsidR="00962304" w:rsidRPr="00DC6464">
        <w:rPr>
          <w:szCs w:val="20"/>
        </w:rPr>
        <w:t>Suom hammaslääkäril</w:t>
      </w:r>
      <w:r w:rsidR="00962304" w:rsidRPr="00DC6464">
        <w:rPr>
          <w:szCs w:val="10"/>
        </w:rPr>
        <w:t xml:space="preserve"> </w:t>
      </w:r>
      <w:r w:rsidR="00455CE5" w:rsidRPr="00DC6464">
        <w:rPr>
          <w:szCs w:val="10"/>
        </w:rPr>
        <w:t>2006;13:514–25</w:t>
      </w:r>
    </w:p>
    <w:p w:rsidR="00455CE5" w:rsidRPr="00DC6464" w:rsidRDefault="00455CE5" w:rsidP="00BD6462"/>
    <w:p w:rsidR="00DC6464" w:rsidRDefault="00DC6464" w:rsidP="00BD6462"/>
    <w:p w:rsidR="00DC6464" w:rsidRDefault="00DC6464" w:rsidP="00BD6462"/>
    <w:p w:rsidR="00455CE5" w:rsidRPr="00DC6464" w:rsidRDefault="00455CE5" w:rsidP="00BD6462"/>
    <w:p w:rsidR="001633BB" w:rsidRPr="00DC6464" w:rsidRDefault="00455CE5" w:rsidP="00BD6462">
      <w:r w:rsidRPr="00DC6464">
        <w:t>Tero Soukka, HLT, dosentti</w:t>
      </w:r>
    </w:p>
    <w:p w:rsidR="00455CE5" w:rsidRPr="00DC6464" w:rsidRDefault="001633BB" w:rsidP="00BD6462">
      <w:r w:rsidRPr="00DC6464">
        <w:t>Osastonylilääkäri, vastuualuejohtaja</w:t>
      </w:r>
    </w:p>
    <w:p w:rsidR="00455CE5" w:rsidRPr="00DC6464" w:rsidRDefault="00455CE5" w:rsidP="00BD6462">
      <w:r w:rsidRPr="00DC6464">
        <w:t>T</w:t>
      </w:r>
      <w:r w:rsidR="00FF719A" w:rsidRPr="00DC6464">
        <w:t>YKS</w:t>
      </w:r>
      <w:r w:rsidRPr="00DC6464">
        <w:t xml:space="preserve"> Suu- ja leukasairauksien klinikka</w:t>
      </w:r>
    </w:p>
    <w:p w:rsidR="00455CE5" w:rsidRPr="00DC6464" w:rsidRDefault="00455CE5" w:rsidP="00BD6462"/>
    <w:p w:rsidR="00455CE5" w:rsidRPr="00DC6464" w:rsidRDefault="00455CE5" w:rsidP="00BD6462">
      <w:r w:rsidRPr="00DC6464">
        <w:t>Jeremias Gaebler, HLK</w:t>
      </w:r>
    </w:p>
    <w:p w:rsidR="001633BB" w:rsidRPr="00DC6464" w:rsidRDefault="001633BB" w:rsidP="00BD6462">
      <w:r w:rsidRPr="00DC6464">
        <w:t>Syventyvä opiskelija</w:t>
      </w:r>
    </w:p>
    <w:p w:rsidR="00455CE5" w:rsidRPr="00DC6464" w:rsidRDefault="00455CE5" w:rsidP="00BD6462">
      <w:r w:rsidRPr="00DC6464">
        <w:t>Turun yliopisto</w:t>
      </w:r>
    </w:p>
    <w:p w:rsidR="00455CE5" w:rsidRPr="00DC6464" w:rsidRDefault="00455CE5" w:rsidP="00BD6462"/>
    <w:p w:rsidR="001633BB" w:rsidRPr="00DC6464" w:rsidRDefault="00455CE5" w:rsidP="00BD6462">
      <w:r w:rsidRPr="00DC6464">
        <w:t>Olli Meurman, LKT, dosentti</w:t>
      </w:r>
    </w:p>
    <w:p w:rsidR="00455CE5" w:rsidRPr="00DC6464" w:rsidRDefault="001633BB" w:rsidP="00BD6462">
      <w:r w:rsidRPr="00DC6464">
        <w:t>Ylilääkäri (emeritus)</w:t>
      </w:r>
    </w:p>
    <w:p w:rsidR="00DC6464" w:rsidRPr="00DC6464" w:rsidRDefault="00455CE5" w:rsidP="00BD6462">
      <w:r w:rsidRPr="00DC6464">
        <w:t>Tykslab, kliininen  mikrobiologia</w:t>
      </w:r>
    </w:p>
    <w:p w:rsidR="00DC6464" w:rsidRPr="00DC6464" w:rsidRDefault="00DC6464" w:rsidP="00BD6462"/>
    <w:p w:rsidR="00DC6464" w:rsidRPr="00DC6464" w:rsidRDefault="00DC6464" w:rsidP="00BD6462"/>
    <w:p w:rsidR="00DC6464" w:rsidRPr="00DC6464" w:rsidRDefault="00DC6464">
      <w:pPr>
        <w:rPr>
          <w:b/>
        </w:rPr>
      </w:pPr>
      <w:r>
        <w:rPr>
          <w:color w:val="FF0000"/>
        </w:rPr>
        <w:br w:type="page"/>
      </w:r>
      <w:r w:rsidRPr="00DC6464">
        <w:rPr>
          <w:b/>
        </w:rPr>
        <w:lastRenderedPageBreak/>
        <w:t>Kuvat ja taulukot</w:t>
      </w:r>
    </w:p>
    <w:p w:rsidR="00DC6464" w:rsidRDefault="00DC6464" w:rsidP="00BD6462">
      <w:pPr>
        <w:rPr>
          <w:color w:val="FF0000"/>
        </w:rPr>
      </w:pPr>
    </w:p>
    <w:p w:rsidR="00DC6464" w:rsidRDefault="00DC6464" w:rsidP="00BD6462">
      <w:pPr>
        <w:rPr>
          <w:color w:val="FF0000"/>
        </w:rPr>
      </w:pPr>
    </w:p>
    <w:p w:rsidR="00DC6464" w:rsidRDefault="00DC6464" w:rsidP="00BD6462">
      <w:pPr>
        <w:rPr>
          <w:color w:val="FF0000"/>
        </w:rPr>
      </w:pPr>
    </w:p>
    <w:p w:rsidR="00DC6464" w:rsidRDefault="00DC6464" w:rsidP="00DC6464">
      <w:pPr>
        <w:spacing w:line="360" w:lineRule="auto"/>
        <w:rPr>
          <w:rFonts w:cs="Arial"/>
        </w:rPr>
      </w:pPr>
      <w:r>
        <w:rPr>
          <w:noProof/>
        </w:rPr>
        <w:drawing>
          <wp:inline distT="0" distB="0" distL="0" distR="0">
            <wp:extent cx="3560445" cy="2671767"/>
            <wp:effectExtent l="25400" t="0" r="0" b="0"/>
            <wp:docPr id="2" name="Picture 1" descr="10M9-4308 yhteisherkkyys 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M9-4308 yhteisherkkyys 003"/>
                    <pic:cNvPicPr>
                      <a:picLocks noChangeAspect="1" noChangeArrowheads="1"/>
                    </pic:cNvPicPr>
                  </pic:nvPicPr>
                  <pic:blipFill>
                    <a:blip r:embed="rId5"/>
                    <a:srcRect/>
                    <a:stretch>
                      <a:fillRect/>
                    </a:stretch>
                  </pic:blipFill>
                  <pic:spPr bwMode="auto">
                    <a:xfrm>
                      <a:off x="0" y="0"/>
                      <a:ext cx="3560445" cy="2671767"/>
                    </a:xfrm>
                    <a:prstGeom prst="rect">
                      <a:avLst/>
                    </a:prstGeom>
                    <a:noFill/>
                    <a:ln w="9525">
                      <a:noFill/>
                      <a:miter lim="800000"/>
                      <a:headEnd/>
                      <a:tailEnd/>
                    </a:ln>
                  </pic:spPr>
                </pic:pic>
              </a:graphicData>
            </a:graphic>
          </wp:inline>
        </w:drawing>
      </w:r>
    </w:p>
    <w:p w:rsidR="00DC6464" w:rsidRDefault="00DC6464" w:rsidP="00DC6464">
      <w:pPr>
        <w:spacing w:line="360" w:lineRule="auto"/>
        <w:rPr>
          <w:rFonts w:cs="Arial"/>
        </w:rPr>
      </w:pPr>
      <w:r>
        <w:rPr>
          <w:rFonts w:cs="Arial"/>
        </w:rPr>
        <w:t>Kuva 1. Esimerkki sekaherkkyysmäärityksestä, antibioottina amoksisilliini-klavulaanihappo</w:t>
      </w:r>
    </w:p>
    <w:p w:rsidR="00DC6464" w:rsidRDefault="00DC6464" w:rsidP="00BD6462">
      <w:pPr>
        <w:rPr>
          <w:color w:val="FF0000"/>
        </w:rPr>
      </w:pPr>
    </w:p>
    <w:p w:rsidR="00DC6464" w:rsidRDefault="00DC6464" w:rsidP="00BD6462">
      <w:pPr>
        <w:rPr>
          <w:color w:val="FF0000"/>
        </w:rPr>
      </w:pPr>
    </w:p>
    <w:p w:rsidR="00DC6464" w:rsidRDefault="00DC6464" w:rsidP="00BD6462">
      <w:pPr>
        <w:rPr>
          <w:color w:val="FF0000"/>
        </w:rPr>
      </w:pPr>
    </w:p>
    <w:p w:rsidR="00DC6464" w:rsidRDefault="00DC6464" w:rsidP="00BD6462">
      <w:pPr>
        <w:rPr>
          <w:color w:val="FF0000"/>
        </w:rPr>
      </w:pPr>
    </w:p>
    <w:p w:rsidR="00DC6464" w:rsidRDefault="00DC6464" w:rsidP="00BD6462">
      <w:pPr>
        <w:rPr>
          <w:color w:val="FF0000"/>
        </w:rPr>
      </w:pPr>
    </w:p>
    <w:p w:rsidR="00DC6464" w:rsidRDefault="00DC6464" w:rsidP="00BD6462">
      <w:pPr>
        <w:rPr>
          <w:color w:val="FF0000"/>
        </w:rPr>
      </w:pPr>
    </w:p>
    <w:p w:rsidR="00DC6464" w:rsidRDefault="00DC6464" w:rsidP="00DC6464">
      <w:r>
        <w:t>Taulukko 1. Potilaiden ikä, oireet, löydökset ja päädiagnoosit</w:t>
      </w:r>
    </w:p>
    <w:tbl>
      <w:tblPr>
        <w:tblStyle w:val="TableGrid"/>
        <w:tblW w:w="0" w:type="auto"/>
        <w:tblLook w:val="00A0" w:firstRow="1" w:lastRow="0" w:firstColumn="1" w:lastColumn="0" w:noHBand="0" w:noVBand="0"/>
      </w:tblPr>
      <w:tblGrid>
        <w:gridCol w:w="3510"/>
        <w:gridCol w:w="1560"/>
      </w:tblGrid>
      <w:tr w:rsidR="00DC6464">
        <w:tc>
          <w:tcPr>
            <w:tcW w:w="3510" w:type="dxa"/>
            <w:shd w:val="pct20" w:color="auto" w:fill="auto"/>
          </w:tcPr>
          <w:p w:rsidR="00DC6464" w:rsidRDefault="00DC6464" w:rsidP="00D87AE8">
            <w:pPr>
              <w:tabs>
                <w:tab w:val="left" w:pos="284"/>
                <w:tab w:val="right" w:pos="3544"/>
                <w:tab w:val="right" w:pos="4275"/>
              </w:tabs>
            </w:pPr>
            <w:r>
              <w:lastRenderedPageBreak/>
              <w:t>Ikä</w:t>
            </w:r>
          </w:p>
        </w:tc>
        <w:tc>
          <w:tcPr>
            <w:tcW w:w="1560" w:type="dxa"/>
            <w:shd w:val="pct20" w:color="auto" w:fill="auto"/>
          </w:tcPr>
          <w:p w:rsidR="00DC6464" w:rsidRDefault="00DC6464" w:rsidP="007764A3">
            <w:pPr>
              <w:tabs>
                <w:tab w:val="left" w:pos="601"/>
                <w:tab w:val="right" w:pos="3544"/>
                <w:tab w:val="right" w:pos="4275"/>
              </w:tabs>
              <w:jc w:val="right"/>
            </w:pPr>
          </w:p>
        </w:tc>
      </w:tr>
      <w:tr w:rsidR="00DC6464">
        <w:tc>
          <w:tcPr>
            <w:tcW w:w="3510" w:type="dxa"/>
          </w:tcPr>
          <w:p w:rsidR="00DC6464" w:rsidRDefault="00DC6464" w:rsidP="00D87AE8">
            <w:pPr>
              <w:tabs>
                <w:tab w:val="left" w:pos="284"/>
                <w:tab w:val="right" w:pos="3544"/>
                <w:tab w:val="right" w:pos="4275"/>
              </w:tabs>
            </w:pPr>
            <w:r>
              <w:t xml:space="preserve">     Keskiarvo</w:t>
            </w:r>
          </w:p>
        </w:tc>
        <w:tc>
          <w:tcPr>
            <w:tcW w:w="1560" w:type="dxa"/>
          </w:tcPr>
          <w:p w:rsidR="00DC6464" w:rsidRDefault="00DC6464" w:rsidP="007764A3">
            <w:pPr>
              <w:tabs>
                <w:tab w:val="left" w:pos="601"/>
                <w:tab w:val="right" w:pos="3544"/>
                <w:tab w:val="right" w:pos="4275"/>
              </w:tabs>
              <w:jc w:val="right"/>
            </w:pPr>
            <w:r>
              <w:t>42 v</w:t>
            </w:r>
          </w:p>
        </w:tc>
      </w:tr>
      <w:tr w:rsidR="00DC6464">
        <w:tc>
          <w:tcPr>
            <w:tcW w:w="3510" w:type="dxa"/>
          </w:tcPr>
          <w:p w:rsidR="00DC6464" w:rsidRDefault="00DC6464" w:rsidP="00D87AE8">
            <w:pPr>
              <w:tabs>
                <w:tab w:val="left" w:pos="284"/>
                <w:tab w:val="right" w:pos="3544"/>
                <w:tab w:val="right" w:pos="4275"/>
              </w:tabs>
            </w:pPr>
            <w:r>
              <w:t xml:space="preserve">     Mediaani</w:t>
            </w:r>
          </w:p>
        </w:tc>
        <w:tc>
          <w:tcPr>
            <w:tcW w:w="1560" w:type="dxa"/>
          </w:tcPr>
          <w:p w:rsidR="00DC6464" w:rsidRDefault="00DC6464" w:rsidP="007764A3">
            <w:pPr>
              <w:tabs>
                <w:tab w:val="left" w:pos="601"/>
                <w:tab w:val="right" w:pos="3544"/>
                <w:tab w:val="right" w:pos="4275"/>
              </w:tabs>
              <w:jc w:val="right"/>
            </w:pPr>
            <w:r>
              <w:t>38 v</w:t>
            </w:r>
          </w:p>
        </w:tc>
      </w:tr>
      <w:tr w:rsidR="00DC6464">
        <w:tc>
          <w:tcPr>
            <w:tcW w:w="3510" w:type="dxa"/>
          </w:tcPr>
          <w:p w:rsidR="00DC6464" w:rsidRDefault="00DC6464" w:rsidP="00D87AE8">
            <w:pPr>
              <w:tabs>
                <w:tab w:val="left" w:pos="284"/>
                <w:tab w:val="right" w:pos="3544"/>
                <w:tab w:val="right" w:pos="4275"/>
              </w:tabs>
            </w:pPr>
            <w:r>
              <w:t xml:space="preserve">     Vaihteluväli</w:t>
            </w:r>
          </w:p>
        </w:tc>
        <w:tc>
          <w:tcPr>
            <w:tcW w:w="1560" w:type="dxa"/>
          </w:tcPr>
          <w:p w:rsidR="00DC6464" w:rsidRDefault="00DC6464" w:rsidP="007764A3">
            <w:pPr>
              <w:tabs>
                <w:tab w:val="left" w:pos="601"/>
                <w:tab w:val="right" w:pos="3544"/>
                <w:tab w:val="right" w:pos="4275"/>
              </w:tabs>
              <w:jc w:val="right"/>
            </w:pPr>
            <w:r>
              <w:t>8 – 89 v</w:t>
            </w:r>
          </w:p>
        </w:tc>
      </w:tr>
      <w:tr w:rsidR="00DC6464">
        <w:tc>
          <w:tcPr>
            <w:tcW w:w="3510" w:type="dxa"/>
            <w:shd w:val="pct20" w:color="auto" w:fill="auto"/>
          </w:tcPr>
          <w:p w:rsidR="00DC6464" w:rsidRDefault="00DC6464" w:rsidP="00D87AE8">
            <w:pPr>
              <w:tabs>
                <w:tab w:val="left" w:pos="284"/>
                <w:tab w:val="right" w:pos="3544"/>
                <w:tab w:val="right" w:pos="4275"/>
              </w:tabs>
            </w:pPr>
            <w:r>
              <w:t>Oireet ja löydökset</w:t>
            </w:r>
          </w:p>
        </w:tc>
        <w:tc>
          <w:tcPr>
            <w:tcW w:w="1560" w:type="dxa"/>
            <w:shd w:val="pct20" w:color="auto" w:fill="auto"/>
          </w:tcPr>
          <w:p w:rsidR="00DC6464" w:rsidRDefault="00DC6464" w:rsidP="007764A3">
            <w:pPr>
              <w:tabs>
                <w:tab w:val="left" w:pos="601"/>
                <w:tab w:val="right" w:pos="3544"/>
                <w:tab w:val="right" w:pos="4275"/>
              </w:tabs>
              <w:jc w:val="right"/>
            </w:pPr>
          </w:p>
        </w:tc>
      </w:tr>
      <w:tr w:rsidR="00DC6464">
        <w:tc>
          <w:tcPr>
            <w:tcW w:w="3510" w:type="dxa"/>
          </w:tcPr>
          <w:p w:rsidR="00DC6464" w:rsidRDefault="00DC6464" w:rsidP="00D87AE8">
            <w:pPr>
              <w:tabs>
                <w:tab w:val="left" w:pos="284"/>
                <w:tab w:val="right" w:pos="3544"/>
                <w:tab w:val="right" w:pos="4275"/>
              </w:tabs>
            </w:pPr>
            <w:r>
              <w:t xml:space="preserve">     Suun avaamisvaikeus</w:t>
            </w:r>
          </w:p>
        </w:tc>
        <w:tc>
          <w:tcPr>
            <w:tcW w:w="1560" w:type="dxa"/>
          </w:tcPr>
          <w:p w:rsidR="00DC6464" w:rsidRDefault="00DC6464" w:rsidP="007764A3">
            <w:pPr>
              <w:tabs>
                <w:tab w:val="left" w:pos="601"/>
                <w:tab w:val="right" w:pos="3544"/>
                <w:tab w:val="right" w:pos="4275"/>
              </w:tabs>
              <w:jc w:val="right"/>
            </w:pPr>
            <w:r>
              <w:t>20</w:t>
            </w:r>
            <w:r>
              <w:tab/>
              <w:t>(38 %)</w:t>
            </w:r>
          </w:p>
        </w:tc>
      </w:tr>
      <w:tr w:rsidR="00DC6464">
        <w:tc>
          <w:tcPr>
            <w:tcW w:w="3510" w:type="dxa"/>
          </w:tcPr>
          <w:p w:rsidR="00DC6464" w:rsidRDefault="00DC6464" w:rsidP="00D87AE8">
            <w:pPr>
              <w:tabs>
                <w:tab w:val="left" w:pos="284"/>
                <w:tab w:val="right" w:pos="3544"/>
                <w:tab w:val="right" w:pos="4275"/>
              </w:tabs>
            </w:pPr>
            <w:r>
              <w:t xml:space="preserve">     Nielemisvaikeus</w:t>
            </w:r>
          </w:p>
        </w:tc>
        <w:tc>
          <w:tcPr>
            <w:tcW w:w="1560" w:type="dxa"/>
          </w:tcPr>
          <w:p w:rsidR="00DC6464" w:rsidRDefault="00DC6464" w:rsidP="007764A3">
            <w:pPr>
              <w:tabs>
                <w:tab w:val="left" w:pos="601"/>
                <w:tab w:val="right" w:pos="3544"/>
                <w:tab w:val="right" w:pos="4275"/>
              </w:tabs>
              <w:jc w:val="right"/>
            </w:pPr>
            <w:r>
              <w:t xml:space="preserve">  8</w:t>
            </w:r>
            <w:r>
              <w:tab/>
              <w:t>(15 %)</w:t>
            </w:r>
          </w:p>
        </w:tc>
      </w:tr>
      <w:tr w:rsidR="00DC6464">
        <w:tc>
          <w:tcPr>
            <w:tcW w:w="3510" w:type="dxa"/>
          </w:tcPr>
          <w:p w:rsidR="00DC6464" w:rsidRDefault="00DC6464" w:rsidP="00D87AE8">
            <w:pPr>
              <w:tabs>
                <w:tab w:val="left" w:pos="284"/>
                <w:tab w:val="right" w:pos="3544"/>
                <w:tab w:val="right" w:pos="4275"/>
              </w:tabs>
            </w:pPr>
            <w:r>
              <w:t xml:space="preserve">     Kuume</w:t>
            </w:r>
          </w:p>
        </w:tc>
        <w:tc>
          <w:tcPr>
            <w:tcW w:w="1560" w:type="dxa"/>
          </w:tcPr>
          <w:p w:rsidR="00DC6464" w:rsidRDefault="00DC6464" w:rsidP="007764A3">
            <w:pPr>
              <w:tabs>
                <w:tab w:val="left" w:pos="601"/>
                <w:tab w:val="right" w:pos="3544"/>
                <w:tab w:val="right" w:pos="4275"/>
              </w:tabs>
              <w:jc w:val="right"/>
            </w:pPr>
            <w:r>
              <w:t xml:space="preserve">  6</w:t>
            </w:r>
            <w:r>
              <w:tab/>
              <w:t>(12 %)</w:t>
            </w:r>
          </w:p>
        </w:tc>
      </w:tr>
      <w:tr w:rsidR="00DC6464">
        <w:tc>
          <w:tcPr>
            <w:tcW w:w="3510" w:type="dxa"/>
          </w:tcPr>
          <w:p w:rsidR="00DC6464" w:rsidRDefault="00DC6464" w:rsidP="00D87AE8">
            <w:pPr>
              <w:tabs>
                <w:tab w:val="left" w:pos="284"/>
                <w:tab w:val="right" w:pos="3544"/>
                <w:tab w:val="right" w:pos="4275"/>
              </w:tabs>
            </w:pPr>
            <w:r>
              <w:t xml:space="preserve">     CRP </w:t>
            </w:r>
            <w:r>
              <w:rPr>
                <w:rFonts w:cs="Arial"/>
              </w:rPr>
              <w:t>&gt;</w:t>
            </w:r>
            <w:r>
              <w:t>40</w:t>
            </w:r>
          </w:p>
        </w:tc>
        <w:tc>
          <w:tcPr>
            <w:tcW w:w="1560" w:type="dxa"/>
          </w:tcPr>
          <w:p w:rsidR="00DC6464" w:rsidRDefault="00DC6464" w:rsidP="007764A3">
            <w:pPr>
              <w:tabs>
                <w:tab w:val="left" w:pos="601"/>
                <w:tab w:val="right" w:pos="3544"/>
                <w:tab w:val="right" w:pos="4275"/>
              </w:tabs>
              <w:jc w:val="right"/>
            </w:pPr>
            <w:r>
              <w:t>18</w:t>
            </w:r>
            <w:r>
              <w:tab/>
              <w:t>(35 %)</w:t>
            </w:r>
          </w:p>
        </w:tc>
      </w:tr>
      <w:tr w:rsidR="00DC6464">
        <w:tc>
          <w:tcPr>
            <w:tcW w:w="3510" w:type="dxa"/>
          </w:tcPr>
          <w:p w:rsidR="00DC6464" w:rsidRDefault="00DC6464" w:rsidP="00D87AE8">
            <w:pPr>
              <w:tabs>
                <w:tab w:val="left" w:pos="284"/>
                <w:tab w:val="right" w:pos="3544"/>
                <w:tab w:val="right" w:pos="4275"/>
              </w:tabs>
            </w:pPr>
            <w:r>
              <w:t xml:space="preserve">     CRP </w:t>
            </w:r>
            <w:r>
              <w:rPr>
                <w:rFonts w:cs="Arial"/>
              </w:rPr>
              <w:t>&gt;</w:t>
            </w:r>
            <w:r>
              <w:t>100</w:t>
            </w:r>
          </w:p>
        </w:tc>
        <w:tc>
          <w:tcPr>
            <w:tcW w:w="1560" w:type="dxa"/>
          </w:tcPr>
          <w:p w:rsidR="00DC6464" w:rsidRDefault="00DC6464" w:rsidP="007764A3">
            <w:pPr>
              <w:tabs>
                <w:tab w:val="left" w:pos="601"/>
                <w:tab w:val="right" w:pos="3544"/>
                <w:tab w:val="right" w:pos="4275"/>
              </w:tabs>
              <w:jc w:val="right"/>
            </w:pPr>
            <w:r>
              <w:t xml:space="preserve">  7</w:t>
            </w:r>
            <w:r>
              <w:tab/>
              <w:t>(13 %)</w:t>
            </w:r>
          </w:p>
        </w:tc>
      </w:tr>
      <w:tr w:rsidR="00DC6464">
        <w:tc>
          <w:tcPr>
            <w:tcW w:w="3510" w:type="dxa"/>
            <w:shd w:val="pct20" w:color="auto" w:fill="auto"/>
          </w:tcPr>
          <w:p w:rsidR="00DC6464" w:rsidRDefault="00DC6464" w:rsidP="00D87AE8">
            <w:pPr>
              <w:tabs>
                <w:tab w:val="left" w:pos="284"/>
                <w:tab w:val="right" w:pos="3544"/>
                <w:tab w:val="right" w:pos="4275"/>
              </w:tabs>
            </w:pPr>
            <w:r>
              <w:t>Päädiagnoosi</w:t>
            </w:r>
          </w:p>
        </w:tc>
        <w:tc>
          <w:tcPr>
            <w:tcW w:w="1560" w:type="dxa"/>
            <w:shd w:val="pct20" w:color="auto" w:fill="auto"/>
          </w:tcPr>
          <w:p w:rsidR="00DC6464" w:rsidRDefault="00DC6464" w:rsidP="007764A3">
            <w:pPr>
              <w:tabs>
                <w:tab w:val="left" w:pos="601"/>
                <w:tab w:val="right" w:pos="3544"/>
                <w:tab w:val="right" w:pos="4275"/>
              </w:tabs>
              <w:jc w:val="right"/>
            </w:pPr>
          </w:p>
        </w:tc>
      </w:tr>
      <w:tr w:rsidR="00DC6464">
        <w:tc>
          <w:tcPr>
            <w:tcW w:w="3510" w:type="dxa"/>
          </w:tcPr>
          <w:p w:rsidR="00DC6464" w:rsidRDefault="00DC6464" w:rsidP="00D87AE8">
            <w:pPr>
              <w:tabs>
                <w:tab w:val="left" w:pos="284"/>
                <w:tab w:val="right" w:pos="3544"/>
                <w:tab w:val="right" w:pos="4275"/>
              </w:tabs>
            </w:pPr>
            <w:r>
              <w:t xml:space="preserve">     Suun alueen selluliitti</w:t>
            </w:r>
          </w:p>
        </w:tc>
        <w:tc>
          <w:tcPr>
            <w:tcW w:w="1560" w:type="dxa"/>
          </w:tcPr>
          <w:p w:rsidR="00DC6464" w:rsidRDefault="00DC6464" w:rsidP="007764A3">
            <w:pPr>
              <w:tabs>
                <w:tab w:val="left" w:pos="601"/>
                <w:tab w:val="right" w:pos="3544"/>
                <w:tab w:val="right" w:pos="4275"/>
              </w:tabs>
              <w:jc w:val="right"/>
            </w:pPr>
            <w:r>
              <w:t>15</w:t>
            </w:r>
            <w:r>
              <w:tab/>
              <w:t>(29 %)</w:t>
            </w:r>
          </w:p>
        </w:tc>
      </w:tr>
      <w:tr w:rsidR="00DC6464">
        <w:tc>
          <w:tcPr>
            <w:tcW w:w="3510" w:type="dxa"/>
          </w:tcPr>
          <w:p w:rsidR="00DC6464" w:rsidRDefault="00DC6464" w:rsidP="00D87AE8">
            <w:pPr>
              <w:tabs>
                <w:tab w:val="left" w:pos="284"/>
                <w:tab w:val="right" w:pos="3544"/>
                <w:tab w:val="right" w:pos="4275"/>
              </w:tabs>
            </w:pPr>
            <w:r>
              <w:t xml:space="preserve">     Parodontiitti</w:t>
            </w:r>
          </w:p>
        </w:tc>
        <w:tc>
          <w:tcPr>
            <w:tcW w:w="1560" w:type="dxa"/>
          </w:tcPr>
          <w:p w:rsidR="00DC6464" w:rsidRDefault="00DC6464" w:rsidP="007764A3">
            <w:pPr>
              <w:tabs>
                <w:tab w:val="left" w:pos="601"/>
                <w:tab w:val="right" w:pos="3544"/>
                <w:tab w:val="right" w:pos="4275"/>
              </w:tabs>
              <w:jc w:val="right"/>
            </w:pPr>
            <w:r>
              <w:t>15</w:t>
            </w:r>
            <w:r>
              <w:tab/>
              <w:t>(29 %)</w:t>
            </w:r>
          </w:p>
        </w:tc>
      </w:tr>
      <w:tr w:rsidR="00DC6464">
        <w:tc>
          <w:tcPr>
            <w:tcW w:w="3510" w:type="dxa"/>
          </w:tcPr>
          <w:p w:rsidR="00DC6464" w:rsidRDefault="00DC6464" w:rsidP="00D87AE8">
            <w:pPr>
              <w:tabs>
                <w:tab w:val="left" w:pos="284"/>
                <w:tab w:val="right" w:pos="3544"/>
                <w:tab w:val="right" w:pos="4275"/>
              </w:tabs>
            </w:pPr>
            <w:r>
              <w:t xml:space="preserve">     Periapikaalinen abskessi</w:t>
            </w:r>
          </w:p>
        </w:tc>
        <w:tc>
          <w:tcPr>
            <w:tcW w:w="1560" w:type="dxa"/>
          </w:tcPr>
          <w:p w:rsidR="00DC6464" w:rsidRDefault="00DC6464" w:rsidP="007764A3">
            <w:pPr>
              <w:tabs>
                <w:tab w:val="left" w:pos="601"/>
                <w:tab w:val="right" w:pos="3544"/>
                <w:tab w:val="right" w:pos="4275"/>
              </w:tabs>
              <w:jc w:val="right"/>
            </w:pPr>
            <w:r>
              <w:t>11</w:t>
            </w:r>
            <w:r>
              <w:tab/>
              <w:t>(21 %)</w:t>
            </w:r>
          </w:p>
        </w:tc>
      </w:tr>
      <w:tr w:rsidR="00DC6464">
        <w:tc>
          <w:tcPr>
            <w:tcW w:w="3510" w:type="dxa"/>
          </w:tcPr>
          <w:p w:rsidR="00DC6464" w:rsidRDefault="00DC6464" w:rsidP="00D87AE8">
            <w:pPr>
              <w:tabs>
                <w:tab w:val="left" w:pos="284"/>
                <w:tab w:val="right" w:pos="3544"/>
                <w:tab w:val="right" w:pos="4275"/>
              </w:tabs>
            </w:pPr>
            <w:r>
              <w:t xml:space="preserve">     Perikoroniitti</w:t>
            </w:r>
          </w:p>
        </w:tc>
        <w:tc>
          <w:tcPr>
            <w:tcW w:w="1560" w:type="dxa"/>
          </w:tcPr>
          <w:p w:rsidR="00DC6464" w:rsidRDefault="00DC6464" w:rsidP="007764A3">
            <w:pPr>
              <w:tabs>
                <w:tab w:val="left" w:pos="601"/>
                <w:tab w:val="right" w:pos="3544"/>
                <w:tab w:val="right" w:pos="4275"/>
              </w:tabs>
              <w:jc w:val="right"/>
            </w:pPr>
            <w:r>
              <w:t xml:space="preserve">  9</w:t>
            </w:r>
            <w:r>
              <w:tab/>
              <w:t>(17 %)</w:t>
            </w:r>
          </w:p>
        </w:tc>
      </w:tr>
      <w:tr w:rsidR="00DC6464">
        <w:tc>
          <w:tcPr>
            <w:tcW w:w="3510" w:type="dxa"/>
          </w:tcPr>
          <w:p w:rsidR="00DC6464" w:rsidRDefault="00DC6464" w:rsidP="00D87AE8">
            <w:pPr>
              <w:tabs>
                <w:tab w:val="left" w:pos="284"/>
                <w:tab w:val="right" w:pos="3544"/>
                <w:tab w:val="right" w:pos="4275"/>
              </w:tabs>
            </w:pPr>
            <w:r>
              <w:t xml:space="preserve">     Muu</w:t>
            </w:r>
          </w:p>
        </w:tc>
        <w:tc>
          <w:tcPr>
            <w:tcW w:w="1560" w:type="dxa"/>
          </w:tcPr>
          <w:p w:rsidR="00DC6464" w:rsidRDefault="00DC6464" w:rsidP="007764A3">
            <w:pPr>
              <w:tabs>
                <w:tab w:val="left" w:pos="601"/>
                <w:tab w:val="right" w:pos="3544"/>
                <w:tab w:val="right" w:pos="4275"/>
              </w:tabs>
              <w:jc w:val="right"/>
            </w:pPr>
            <w:r>
              <w:t xml:space="preserve">  5</w:t>
            </w:r>
            <w:r>
              <w:tab/>
              <w:t>(10 %)</w:t>
            </w:r>
          </w:p>
        </w:tc>
      </w:tr>
    </w:tbl>
    <w:p w:rsidR="00DC6464" w:rsidRDefault="00DC6464" w:rsidP="00DC6464">
      <w:pPr>
        <w:spacing w:line="360" w:lineRule="auto"/>
      </w:pPr>
      <w:r>
        <w:t>* kolmella potilaalla kaksi diagnoosia</w:t>
      </w:r>
    </w:p>
    <w:p w:rsidR="00DC6464" w:rsidRDefault="00DC6464"/>
    <w:p w:rsidR="00DC6464" w:rsidRDefault="00DC6464">
      <w:r>
        <w:br w:type="page"/>
      </w:r>
    </w:p>
    <w:p w:rsidR="00DC6464" w:rsidRDefault="00DC6464" w:rsidP="00DC6464">
      <w:pPr>
        <w:spacing w:line="360" w:lineRule="auto"/>
      </w:pPr>
      <w:r>
        <w:lastRenderedPageBreak/>
        <w:t>Taulukko 2. Tavallisimmat aerobi- ja anaerobilöydökset</w:t>
      </w:r>
    </w:p>
    <w:tbl>
      <w:tblPr>
        <w:tblStyle w:val="TableGrid"/>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3720"/>
        <w:gridCol w:w="783"/>
        <w:gridCol w:w="708"/>
      </w:tblGrid>
      <w:tr w:rsidR="00DC6464" w:rsidRPr="00182381">
        <w:tc>
          <w:tcPr>
            <w:tcW w:w="3720"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shd w:val="pct20" w:color="auto" w:fill="auto"/>
          </w:tcPr>
          <w:p w:rsidR="00DC6464" w:rsidRPr="00182381" w:rsidRDefault="00DC6464" w:rsidP="00C96A33">
            <w:r>
              <w:t>Löydös</w:t>
            </w:r>
          </w:p>
        </w:tc>
        <w:tc>
          <w:tcPr>
            <w:tcW w:w="783"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shd w:val="pct20" w:color="auto" w:fill="auto"/>
          </w:tcPr>
          <w:p w:rsidR="00DC6464" w:rsidRPr="00182381" w:rsidRDefault="00DC6464" w:rsidP="007764A3">
            <w:pPr>
              <w:jc w:val="right"/>
            </w:pPr>
            <w:r w:rsidRPr="00182381">
              <w:t>N</w:t>
            </w:r>
          </w:p>
        </w:tc>
        <w:tc>
          <w:tcPr>
            <w:tcW w:w="708"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shd w:val="pct20" w:color="auto" w:fill="auto"/>
          </w:tcPr>
          <w:p w:rsidR="00DC6464" w:rsidRPr="00182381" w:rsidRDefault="00DC6464" w:rsidP="007764A3">
            <w:pPr>
              <w:jc w:val="right"/>
            </w:pPr>
            <w:r w:rsidRPr="00182381">
              <w:t>%</w:t>
            </w:r>
          </w:p>
        </w:tc>
      </w:tr>
      <w:tr w:rsidR="00DC6464" w:rsidRPr="00182381">
        <w:tc>
          <w:tcPr>
            <w:tcW w:w="3720" w:type="dxa"/>
            <w:tcBorders>
              <w:top w:val="single" w:sz="6" w:space="0" w:color="A6A6A6" w:themeColor="background1" w:themeShade="A6"/>
            </w:tcBorders>
            <w:shd w:val="clear" w:color="auto" w:fill="auto"/>
          </w:tcPr>
          <w:p w:rsidR="00DC6464" w:rsidRPr="00182381" w:rsidRDefault="00DC6464" w:rsidP="00C96A33">
            <w:r w:rsidRPr="00182381">
              <w:t>Viridans-ryhmän streptokokit</w:t>
            </w:r>
          </w:p>
        </w:tc>
        <w:tc>
          <w:tcPr>
            <w:tcW w:w="783" w:type="dxa"/>
            <w:tcBorders>
              <w:top w:val="single" w:sz="6" w:space="0" w:color="A6A6A6" w:themeColor="background1" w:themeShade="A6"/>
            </w:tcBorders>
            <w:shd w:val="clear" w:color="auto" w:fill="auto"/>
          </w:tcPr>
          <w:p w:rsidR="00DC6464" w:rsidRPr="00182381" w:rsidRDefault="00DC6464" w:rsidP="007764A3">
            <w:pPr>
              <w:jc w:val="right"/>
            </w:pPr>
            <w:r w:rsidRPr="00182381">
              <w:t>47</w:t>
            </w:r>
          </w:p>
        </w:tc>
        <w:tc>
          <w:tcPr>
            <w:tcW w:w="708" w:type="dxa"/>
            <w:tcBorders>
              <w:top w:val="single" w:sz="6" w:space="0" w:color="A6A6A6" w:themeColor="background1" w:themeShade="A6"/>
            </w:tcBorders>
            <w:shd w:val="clear" w:color="auto" w:fill="auto"/>
          </w:tcPr>
          <w:p w:rsidR="00DC6464" w:rsidRPr="00182381" w:rsidRDefault="00DC6464" w:rsidP="007764A3">
            <w:pPr>
              <w:jc w:val="right"/>
            </w:pPr>
            <w:r w:rsidRPr="00182381">
              <w:t>90</w:t>
            </w:r>
          </w:p>
        </w:tc>
      </w:tr>
      <w:tr w:rsidR="00DC6464" w:rsidRPr="00182381">
        <w:tc>
          <w:tcPr>
            <w:tcW w:w="3720" w:type="dxa"/>
            <w:shd w:val="clear" w:color="auto" w:fill="auto"/>
          </w:tcPr>
          <w:p w:rsidR="00DC6464" w:rsidRPr="00182381" w:rsidRDefault="00DC6464" w:rsidP="00C96A33">
            <w:r w:rsidRPr="00182381">
              <w:t>Apatogeenit Neisseria-lajit</w:t>
            </w:r>
          </w:p>
        </w:tc>
        <w:tc>
          <w:tcPr>
            <w:tcW w:w="783" w:type="dxa"/>
            <w:shd w:val="clear" w:color="auto" w:fill="auto"/>
          </w:tcPr>
          <w:p w:rsidR="00DC6464" w:rsidRPr="00182381" w:rsidRDefault="00DC6464" w:rsidP="007764A3">
            <w:pPr>
              <w:jc w:val="right"/>
            </w:pPr>
            <w:r w:rsidRPr="00182381">
              <w:t>28</w:t>
            </w:r>
          </w:p>
        </w:tc>
        <w:tc>
          <w:tcPr>
            <w:tcW w:w="708" w:type="dxa"/>
            <w:shd w:val="clear" w:color="auto" w:fill="auto"/>
          </w:tcPr>
          <w:p w:rsidR="00DC6464" w:rsidRPr="00182381" w:rsidRDefault="00DC6464" w:rsidP="007764A3">
            <w:pPr>
              <w:jc w:val="right"/>
            </w:pPr>
            <w:r w:rsidRPr="00182381">
              <w:t>54</w:t>
            </w:r>
          </w:p>
        </w:tc>
      </w:tr>
      <w:tr w:rsidR="00DC6464" w:rsidRPr="00182381">
        <w:tc>
          <w:tcPr>
            <w:tcW w:w="3720" w:type="dxa"/>
            <w:shd w:val="clear" w:color="auto" w:fill="auto"/>
          </w:tcPr>
          <w:p w:rsidR="00DC6464" w:rsidRPr="00182381" w:rsidRDefault="00DC6464" w:rsidP="00C96A33">
            <w:r w:rsidRPr="00182381">
              <w:t>Koagulaasinegatiiviset stafylokokit</w:t>
            </w:r>
          </w:p>
        </w:tc>
        <w:tc>
          <w:tcPr>
            <w:tcW w:w="783" w:type="dxa"/>
            <w:shd w:val="clear" w:color="auto" w:fill="auto"/>
          </w:tcPr>
          <w:p w:rsidR="00DC6464" w:rsidRPr="00182381" w:rsidRDefault="00DC6464" w:rsidP="007764A3">
            <w:pPr>
              <w:jc w:val="right"/>
            </w:pPr>
            <w:r w:rsidRPr="00182381">
              <w:t>15</w:t>
            </w:r>
          </w:p>
        </w:tc>
        <w:tc>
          <w:tcPr>
            <w:tcW w:w="708" w:type="dxa"/>
            <w:shd w:val="clear" w:color="auto" w:fill="auto"/>
          </w:tcPr>
          <w:p w:rsidR="00DC6464" w:rsidRPr="00182381" w:rsidRDefault="00DC6464" w:rsidP="007764A3">
            <w:pPr>
              <w:jc w:val="right"/>
            </w:pPr>
            <w:r w:rsidRPr="00182381">
              <w:t>29</w:t>
            </w:r>
          </w:p>
        </w:tc>
      </w:tr>
      <w:tr w:rsidR="00DC6464" w:rsidRPr="00182381">
        <w:tc>
          <w:tcPr>
            <w:tcW w:w="3720" w:type="dxa"/>
            <w:shd w:val="clear" w:color="auto" w:fill="auto"/>
          </w:tcPr>
          <w:p w:rsidR="00DC6464" w:rsidRPr="00182381" w:rsidRDefault="00DC6464" w:rsidP="00C96A33">
            <w:r w:rsidRPr="00182381">
              <w:t>Anginosus-ryhmän streptokokit</w:t>
            </w:r>
          </w:p>
        </w:tc>
        <w:tc>
          <w:tcPr>
            <w:tcW w:w="783" w:type="dxa"/>
            <w:shd w:val="clear" w:color="auto" w:fill="auto"/>
          </w:tcPr>
          <w:p w:rsidR="00DC6464" w:rsidRPr="00182381" w:rsidRDefault="00DC6464" w:rsidP="007764A3">
            <w:pPr>
              <w:jc w:val="right"/>
            </w:pPr>
            <w:r w:rsidRPr="00182381">
              <w:t>10</w:t>
            </w:r>
          </w:p>
        </w:tc>
        <w:tc>
          <w:tcPr>
            <w:tcW w:w="708" w:type="dxa"/>
            <w:shd w:val="clear" w:color="auto" w:fill="auto"/>
          </w:tcPr>
          <w:p w:rsidR="00DC6464" w:rsidRPr="00182381" w:rsidRDefault="00DC6464" w:rsidP="007764A3">
            <w:pPr>
              <w:jc w:val="right"/>
            </w:pPr>
            <w:r w:rsidRPr="00182381">
              <w:t>19</w:t>
            </w:r>
          </w:p>
        </w:tc>
      </w:tr>
      <w:tr w:rsidR="00DC6464" w:rsidRPr="00182381">
        <w:tc>
          <w:tcPr>
            <w:tcW w:w="3720" w:type="dxa"/>
            <w:shd w:val="clear" w:color="auto" w:fill="auto"/>
          </w:tcPr>
          <w:p w:rsidR="00DC6464" w:rsidRPr="00182381" w:rsidRDefault="00DC6464" w:rsidP="00C96A33">
            <w:r w:rsidRPr="00182381">
              <w:t>Haemophilus-lajit</w:t>
            </w:r>
          </w:p>
        </w:tc>
        <w:tc>
          <w:tcPr>
            <w:tcW w:w="783" w:type="dxa"/>
            <w:shd w:val="clear" w:color="auto" w:fill="auto"/>
          </w:tcPr>
          <w:p w:rsidR="00DC6464" w:rsidRPr="00182381" w:rsidRDefault="00DC6464" w:rsidP="007764A3">
            <w:pPr>
              <w:jc w:val="right"/>
            </w:pPr>
            <w:r w:rsidRPr="00182381">
              <w:t>10</w:t>
            </w:r>
          </w:p>
        </w:tc>
        <w:tc>
          <w:tcPr>
            <w:tcW w:w="708" w:type="dxa"/>
            <w:shd w:val="clear" w:color="auto" w:fill="auto"/>
          </w:tcPr>
          <w:p w:rsidR="00DC6464" w:rsidRPr="00182381" w:rsidRDefault="00DC6464" w:rsidP="007764A3">
            <w:pPr>
              <w:jc w:val="right"/>
            </w:pPr>
            <w:r w:rsidRPr="00182381">
              <w:t>19</w:t>
            </w:r>
          </w:p>
        </w:tc>
      </w:tr>
      <w:tr w:rsidR="00DC6464" w:rsidRPr="00182381">
        <w:trPr>
          <w:trHeight w:val="282"/>
        </w:trPr>
        <w:tc>
          <w:tcPr>
            <w:tcW w:w="3720" w:type="dxa"/>
            <w:shd w:val="clear" w:color="auto" w:fill="auto"/>
          </w:tcPr>
          <w:p w:rsidR="00DC6464" w:rsidRPr="00182381" w:rsidRDefault="00DC6464" w:rsidP="00C96A33"/>
        </w:tc>
        <w:tc>
          <w:tcPr>
            <w:tcW w:w="783" w:type="dxa"/>
            <w:shd w:val="clear" w:color="auto" w:fill="auto"/>
          </w:tcPr>
          <w:p w:rsidR="00DC6464" w:rsidRPr="00182381" w:rsidRDefault="00DC6464" w:rsidP="007764A3">
            <w:pPr>
              <w:jc w:val="right"/>
            </w:pPr>
          </w:p>
        </w:tc>
        <w:tc>
          <w:tcPr>
            <w:tcW w:w="708" w:type="dxa"/>
            <w:shd w:val="clear" w:color="auto" w:fill="auto"/>
          </w:tcPr>
          <w:p w:rsidR="00DC6464" w:rsidRPr="00182381" w:rsidRDefault="00DC6464" w:rsidP="007764A3">
            <w:pPr>
              <w:jc w:val="right"/>
            </w:pPr>
          </w:p>
        </w:tc>
      </w:tr>
      <w:tr w:rsidR="00DC6464" w:rsidRPr="00182381">
        <w:tc>
          <w:tcPr>
            <w:tcW w:w="3720" w:type="dxa"/>
            <w:shd w:val="clear" w:color="auto" w:fill="auto"/>
          </w:tcPr>
          <w:p w:rsidR="00DC6464" w:rsidRPr="00182381" w:rsidRDefault="00DC6464" w:rsidP="00C96A33">
            <w:r w:rsidRPr="00182381">
              <w:t>Prevotella-lajit</w:t>
            </w:r>
          </w:p>
        </w:tc>
        <w:tc>
          <w:tcPr>
            <w:tcW w:w="783" w:type="dxa"/>
            <w:shd w:val="clear" w:color="auto" w:fill="auto"/>
          </w:tcPr>
          <w:p w:rsidR="00DC6464" w:rsidRPr="00182381" w:rsidRDefault="00DC6464" w:rsidP="007764A3">
            <w:pPr>
              <w:jc w:val="right"/>
            </w:pPr>
            <w:r w:rsidRPr="00182381">
              <w:t>33</w:t>
            </w:r>
          </w:p>
        </w:tc>
        <w:tc>
          <w:tcPr>
            <w:tcW w:w="708" w:type="dxa"/>
            <w:shd w:val="clear" w:color="auto" w:fill="auto"/>
          </w:tcPr>
          <w:p w:rsidR="00DC6464" w:rsidRPr="00182381" w:rsidRDefault="00DC6464" w:rsidP="007764A3">
            <w:pPr>
              <w:jc w:val="right"/>
            </w:pPr>
            <w:r w:rsidRPr="00182381">
              <w:t>63</w:t>
            </w:r>
          </w:p>
        </w:tc>
      </w:tr>
      <w:tr w:rsidR="00DC6464" w:rsidRPr="00182381">
        <w:tc>
          <w:tcPr>
            <w:tcW w:w="3720" w:type="dxa"/>
            <w:shd w:val="clear" w:color="auto" w:fill="auto"/>
          </w:tcPr>
          <w:p w:rsidR="00DC6464" w:rsidRPr="00182381" w:rsidRDefault="00DC6464" w:rsidP="00C96A33">
            <w:r w:rsidRPr="00182381">
              <w:t>Fusobacterium-lajit</w:t>
            </w:r>
          </w:p>
        </w:tc>
        <w:tc>
          <w:tcPr>
            <w:tcW w:w="783" w:type="dxa"/>
            <w:shd w:val="clear" w:color="auto" w:fill="auto"/>
          </w:tcPr>
          <w:p w:rsidR="00DC6464" w:rsidRPr="00182381" w:rsidRDefault="00DC6464" w:rsidP="007764A3">
            <w:pPr>
              <w:jc w:val="right"/>
            </w:pPr>
            <w:r w:rsidRPr="00182381">
              <w:t>12</w:t>
            </w:r>
          </w:p>
        </w:tc>
        <w:tc>
          <w:tcPr>
            <w:tcW w:w="708" w:type="dxa"/>
            <w:shd w:val="clear" w:color="auto" w:fill="auto"/>
          </w:tcPr>
          <w:p w:rsidR="00DC6464" w:rsidRPr="00182381" w:rsidRDefault="00DC6464" w:rsidP="007764A3">
            <w:pPr>
              <w:jc w:val="right"/>
            </w:pPr>
            <w:r w:rsidRPr="00182381">
              <w:t>23</w:t>
            </w:r>
          </w:p>
        </w:tc>
      </w:tr>
    </w:tbl>
    <w:p w:rsidR="00DC6464" w:rsidRDefault="00DC6464" w:rsidP="00DC6464">
      <w:pPr>
        <w:spacing w:line="360" w:lineRule="auto"/>
      </w:pPr>
    </w:p>
    <w:p w:rsidR="00DC6464" w:rsidRDefault="00DC6464" w:rsidP="00DC6464">
      <w:pPr>
        <w:spacing w:line="360" w:lineRule="auto"/>
      </w:pPr>
    </w:p>
    <w:p w:rsidR="00DC6464" w:rsidRDefault="00DC6464" w:rsidP="00DC6464">
      <w:pPr>
        <w:spacing w:line="360" w:lineRule="auto"/>
      </w:pPr>
    </w:p>
    <w:p w:rsidR="00DC6464" w:rsidRDefault="00DC6464" w:rsidP="00DC6464">
      <w:pPr>
        <w:spacing w:line="360" w:lineRule="auto"/>
      </w:pPr>
    </w:p>
    <w:p w:rsidR="00DC6464" w:rsidRDefault="00DC6464" w:rsidP="00DC6464">
      <w:pPr>
        <w:spacing w:line="360" w:lineRule="auto"/>
      </w:pPr>
      <w:r>
        <w:t>Taulukko 3. Potilaille tehdyt toimenpiteet</w:t>
      </w:r>
    </w:p>
    <w:tbl>
      <w:tblPr>
        <w:tblStyle w:val="TableGrid"/>
        <w:tblW w:w="0" w:type="auto"/>
        <w:tblLook w:val="00A0" w:firstRow="1" w:lastRow="0" w:firstColumn="1" w:lastColumn="0" w:noHBand="0" w:noVBand="0"/>
      </w:tblPr>
      <w:tblGrid>
        <w:gridCol w:w="3969"/>
        <w:gridCol w:w="876"/>
        <w:gridCol w:w="933"/>
      </w:tblGrid>
      <w:tr w:rsidR="00DC6464" w:rsidRPr="00C96A33">
        <w:tc>
          <w:tcPr>
            <w:tcW w:w="3969" w:type="dxa"/>
            <w:shd w:val="pct20" w:color="auto" w:fill="auto"/>
          </w:tcPr>
          <w:p w:rsidR="00DC6464" w:rsidRPr="00C96A33" w:rsidRDefault="00DC6464">
            <w:r>
              <w:t>Toimenpide</w:t>
            </w:r>
          </w:p>
        </w:tc>
        <w:tc>
          <w:tcPr>
            <w:tcW w:w="876" w:type="dxa"/>
            <w:shd w:val="pct20" w:color="auto" w:fill="auto"/>
          </w:tcPr>
          <w:p w:rsidR="00DC6464" w:rsidRPr="00C96A33" w:rsidRDefault="00DC6464" w:rsidP="007764A3">
            <w:pPr>
              <w:jc w:val="right"/>
            </w:pPr>
            <w:r>
              <w:t>N</w:t>
            </w:r>
          </w:p>
        </w:tc>
        <w:tc>
          <w:tcPr>
            <w:tcW w:w="933" w:type="dxa"/>
            <w:shd w:val="pct20" w:color="auto" w:fill="auto"/>
          </w:tcPr>
          <w:p w:rsidR="00DC6464" w:rsidRPr="00C96A33" w:rsidRDefault="00DC6464" w:rsidP="007764A3">
            <w:pPr>
              <w:jc w:val="right"/>
            </w:pPr>
            <w:r>
              <w:t>%</w:t>
            </w:r>
          </w:p>
        </w:tc>
      </w:tr>
      <w:tr w:rsidR="00DC6464" w:rsidRPr="00C96A33">
        <w:tc>
          <w:tcPr>
            <w:tcW w:w="3969" w:type="dxa"/>
          </w:tcPr>
          <w:p w:rsidR="00DC6464" w:rsidRPr="00C96A33" w:rsidRDefault="00DC6464">
            <w:r>
              <w:t>H</w:t>
            </w:r>
            <w:r w:rsidRPr="00C96A33">
              <w:t>ampaan poisto ja abskessin avaus</w:t>
            </w:r>
          </w:p>
        </w:tc>
        <w:tc>
          <w:tcPr>
            <w:tcW w:w="876" w:type="dxa"/>
          </w:tcPr>
          <w:p w:rsidR="00DC6464" w:rsidRPr="00C96A33" w:rsidRDefault="00DC6464" w:rsidP="007764A3">
            <w:pPr>
              <w:jc w:val="right"/>
            </w:pPr>
            <w:r w:rsidRPr="00C96A33">
              <w:t>13</w:t>
            </w:r>
          </w:p>
        </w:tc>
        <w:tc>
          <w:tcPr>
            <w:tcW w:w="933" w:type="dxa"/>
          </w:tcPr>
          <w:p w:rsidR="00DC6464" w:rsidRPr="00C96A33" w:rsidRDefault="00DC6464" w:rsidP="007764A3">
            <w:pPr>
              <w:jc w:val="right"/>
            </w:pPr>
            <w:r>
              <w:t>25</w:t>
            </w:r>
          </w:p>
        </w:tc>
      </w:tr>
      <w:tr w:rsidR="00DC6464" w:rsidRPr="00C96A33">
        <w:tc>
          <w:tcPr>
            <w:tcW w:w="3969" w:type="dxa"/>
          </w:tcPr>
          <w:p w:rsidR="00DC6464" w:rsidRPr="00C96A33" w:rsidRDefault="00DC6464">
            <w:r>
              <w:t>H</w:t>
            </w:r>
            <w:r w:rsidRPr="00C96A33">
              <w:t>ampaan poisto</w:t>
            </w:r>
          </w:p>
        </w:tc>
        <w:tc>
          <w:tcPr>
            <w:tcW w:w="876" w:type="dxa"/>
          </w:tcPr>
          <w:p w:rsidR="00DC6464" w:rsidRPr="00C96A33" w:rsidRDefault="00DC6464" w:rsidP="007764A3">
            <w:pPr>
              <w:jc w:val="right"/>
            </w:pPr>
            <w:r w:rsidRPr="00C96A33">
              <w:t>13</w:t>
            </w:r>
          </w:p>
        </w:tc>
        <w:tc>
          <w:tcPr>
            <w:tcW w:w="933" w:type="dxa"/>
          </w:tcPr>
          <w:p w:rsidR="00DC6464" w:rsidRPr="00C96A33" w:rsidRDefault="00DC6464" w:rsidP="007764A3">
            <w:pPr>
              <w:jc w:val="right"/>
            </w:pPr>
            <w:r>
              <w:t>25</w:t>
            </w:r>
          </w:p>
        </w:tc>
      </w:tr>
      <w:tr w:rsidR="00DC6464" w:rsidRPr="00C96A33">
        <w:tc>
          <w:tcPr>
            <w:tcW w:w="3969" w:type="dxa"/>
          </w:tcPr>
          <w:p w:rsidR="00DC6464" w:rsidRPr="00C96A33" w:rsidRDefault="00DC6464">
            <w:r>
              <w:t>A</w:t>
            </w:r>
            <w:r w:rsidRPr="00C96A33">
              <w:t>bskessin avaus</w:t>
            </w:r>
          </w:p>
        </w:tc>
        <w:tc>
          <w:tcPr>
            <w:tcW w:w="876" w:type="dxa"/>
          </w:tcPr>
          <w:p w:rsidR="00DC6464" w:rsidRPr="00C96A33" w:rsidRDefault="00DC6464" w:rsidP="007764A3">
            <w:pPr>
              <w:jc w:val="right"/>
            </w:pPr>
            <w:r w:rsidRPr="00C96A33">
              <w:t>13</w:t>
            </w:r>
          </w:p>
        </w:tc>
        <w:tc>
          <w:tcPr>
            <w:tcW w:w="933" w:type="dxa"/>
          </w:tcPr>
          <w:p w:rsidR="00DC6464" w:rsidRPr="00C96A33" w:rsidRDefault="00DC6464" w:rsidP="007764A3">
            <w:pPr>
              <w:jc w:val="right"/>
            </w:pPr>
            <w:r>
              <w:t>25</w:t>
            </w:r>
          </w:p>
        </w:tc>
      </w:tr>
      <w:tr w:rsidR="00DC6464" w:rsidRPr="00C96A33">
        <w:tc>
          <w:tcPr>
            <w:tcW w:w="3969" w:type="dxa"/>
          </w:tcPr>
          <w:p w:rsidR="00DC6464" w:rsidRPr="00C96A33" w:rsidRDefault="00DC6464">
            <w:r>
              <w:t>M</w:t>
            </w:r>
            <w:r w:rsidRPr="00C96A33">
              <w:t>uu toimenpide</w:t>
            </w:r>
          </w:p>
        </w:tc>
        <w:tc>
          <w:tcPr>
            <w:tcW w:w="876" w:type="dxa"/>
          </w:tcPr>
          <w:p w:rsidR="00DC6464" w:rsidRPr="00C96A33" w:rsidRDefault="00DC6464" w:rsidP="007764A3">
            <w:pPr>
              <w:jc w:val="right"/>
            </w:pPr>
            <w:r w:rsidRPr="00C96A33">
              <w:t>7</w:t>
            </w:r>
          </w:p>
        </w:tc>
        <w:tc>
          <w:tcPr>
            <w:tcW w:w="933" w:type="dxa"/>
          </w:tcPr>
          <w:p w:rsidR="00DC6464" w:rsidRPr="00C96A33" w:rsidRDefault="00DC6464" w:rsidP="007764A3">
            <w:pPr>
              <w:jc w:val="right"/>
            </w:pPr>
            <w:r>
              <w:t>13</w:t>
            </w:r>
          </w:p>
        </w:tc>
      </w:tr>
      <w:tr w:rsidR="00DC6464" w:rsidRPr="00C96A33">
        <w:tc>
          <w:tcPr>
            <w:tcW w:w="3969" w:type="dxa"/>
          </w:tcPr>
          <w:p w:rsidR="00DC6464" w:rsidRPr="00C96A33" w:rsidRDefault="00DC6464">
            <w:r>
              <w:t>P</w:t>
            </w:r>
            <w:r w:rsidRPr="00C96A33">
              <w:t>elkkä antibioottihoito</w:t>
            </w:r>
          </w:p>
        </w:tc>
        <w:tc>
          <w:tcPr>
            <w:tcW w:w="876" w:type="dxa"/>
          </w:tcPr>
          <w:p w:rsidR="00DC6464" w:rsidRPr="00C96A33" w:rsidRDefault="00DC6464" w:rsidP="007764A3">
            <w:pPr>
              <w:jc w:val="right"/>
            </w:pPr>
            <w:r w:rsidRPr="00C96A33">
              <w:t>6</w:t>
            </w:r>
          </w:p>
        </w:tc>
        <w:tc>
          <w:tcPr>
            <w:tcW w:w="933" w:type="dxa"/>
          </w:tcPr>
          <w:p w:rsidR="00DC6464" w:rsidRPr="00C96A33" w:rsidRDefault="00DC6464" w:rsidP="007764A3">
            <w:pPr>
              <w:jc w:val="right"/>
            </w:pPr>
            <w:r>
              <w:t>12</w:t>
            </w:r>
          </w:p>
        </w:tc>
      </w:tr>
    </w:tbl>
    <w:p w:rsidR="00DC6464" w:rsidRDefault="00DC6464" w:rsidP="00DC6464">
      <w:pPr>
        <w:spacing w:line="360" w:lineRule="auto"/>
      </w:pPr>
    </w:p>
    <w:p w:rsidR="00DC6464" w:rsidRDefault="00DC6464" w:rsidP="00DC6464">
      <w:pPr>
        <w:spacing w:line="360" w:lineRule="auto"/>
      </w:pPr>
    </w:p>
    <w:p w:rsidR="00DC6464" w:rsidRDefault="00DC6464" w:rsidP="00DC6464">
      <w:pPr>
        <w:spacing w:line="360" w:lineRule="auto"/>
      </w:pPr>
    </w:p>
    <w:p w:rsidR="00DC6464" w:rsidRDefault="00DC6464" w:rsidP="00DC6464">
      <w:pPr>
        <w:spacing w:line="360" w:lineRule="auto"/>
      </w:pPr>
    </w:p>
    <w:p w:rsidR="00DC6464" w:rsidRDefault="00DC6464" w:rsidP="00DC6464">
      <w:pPr>
        <w:spacing w:line="360" w:lineRule="auto"/>
      </w:pPr>
      <w:r>
        <w:lastRenderedPageBreak/>
        <w:t>Taulukko 4. Potilaille aloitettu empiirinen antibioottihoito</w:t>
      </w:r>
    </w:p>
    <w:tbl>
      <w:tblPr>
        <w:tblStyle w:val="TableGrid"/>
        <w:tblW w:w="0" w:type="auto"/>
        <w:tblLook w:val="00A0" w:firstRow="1" w:lastRow="0" w:firstColumn="1" w:lastColumn="0" w:noHBand="0" w:noVBand="0"/>
      </w:tblPr>
      <w:tblGrid>
        <w:gridCol w:w="3969"/>
        <w:gridCol w:w="876"/>
        <w:gridCol w:w="933"/>
      </w:tblGrid>
      <w:tr w:rsidR="00DC6464" w:rsidRPr="00C96A33">
        <w:tc>
          <w:tcPr>
            <w:tcW w:w="3969" w:type="dxa"/>
            <w:shd w:val="pct20" w:color="auto" w:fill="auto"/>
          </w:tcPr>
          <w:p w:rsidR="00DC6464" w:rsidRPr="00C96A33" w:rsidRDefault="00DC6464">
            <w:r>
              <w:t>Antibiootti tai antibioottiyhdistelmä</w:t>
            </w:r>
          </w:p>
        </w:tc>
        <w:tc>
          <w:tcPr>
            <w:tcW w:w="876" w:type="dxa"/>
            <w:shd w:val="pct20" w:color="auto" w:fill="auto"/>
          </w:tcPr>
          <w:p w:rsidR="00DC6464" w:rsidRPr="00C96A33" w:rsidRDefault="00DC6464" w:rsidP="007764A3">
            <w:pPr>
              <w:jc w:val="right"/>
            </w:pPr>
            <w:r>
              <w:t>N</w:t>
            </w:r>
          </w:p>
        </w:tc>
        <w:tc>
          <w:tcPr>
            <w:tcW w:w="933" w:type="dxa"/>
            <w:shd w:val="pct20" w:color="auto" w:fill="auto"/>
          </w:tcPr>
          <w:p w:rsidR="00DC6464" w:rsidRPr="00C96A33" w:rsidRDefault="00DC6464" w:rsidP="007764A3">
            <w:pPr>
              <w:jc w:val="right"/>
            </w:pPr>
            <w:r>
              <w:t>%</w:t>
            </w:r>
          </w:p>
        </w:tc>
      </w:tr>
      <w:tr w:rsidR="00DC6464" w:rsidRPr="00C96A33">
        <w:tc>
          <w:tcPr>
            <w:tcW w:w="3969" w:type="dxa"/>
          </w:tcPr>
          <w:p w:rsidR="00DC6464" w:rsidRPr="00C96A33" w:rsidRDefault="00DC6464">
            <w:r w:rsidRPr="00C96A33">
              <w:t>penisilliini tai amoksisilliini</w:t>
            </w:r>
          </w:p>
        </w:tc>
        <w:tc>
          <w:tcPr>
            <w:tcW w:w="876" w:type="dxa"/>
          </w:tcPr>
          <w:p w:rsidR="00DC6464" w:rsidRPr="00C96A33" w:rsidRDefault="00DC6464" w:rsidP="007764A3">
            <w:pPr>
              <w:jc w:val="right"/>
            </w:pPr>
            <w:r w:rsidRPr="00C96A33">
              <w:t>3</w:t>
            </w:r>
          </w:p>
        </w:tc>
        <w:tc>
          <w:tcPr>
            <w:tcW w:w="933" w:type="dxa"/>
          </w:tcPr>
          <w:p w:rsidR="00DC6464" w:rsidRPr="00C96A33" w:rsidRDefault="00DC6464" w:rsidP="007764A3">
            <w:pPr>
              <w:jc w:val="right"/>
            </w:pPr>
            <w:r>
              <w:t>6</w:t>
            </w:r>
          </w:p>
        </w:tc>
      </w:tr>
      <w:tr w:rsidR="00DC6464" w:rsidRPr="00C96A33">
        <w:tc>
          <w:tcPr>
            <w:tcW w:w="3969" w:type="dxa"/>
          </w:tcPr>
          <w:p w:rsidR="00DC6464" w:rsidRPr="00C96A33" w:rsidRDefault="00DC6464">
            <w:r w:rsidRPr="00C96A33">
              <w:t>penisilliini + metronidatsoli</w:t>
            </w:r>
          </w:p>
        </w:tc>
        <w:tc>
          <w:tcPr>
            <w:tcW w:w="876" w:type="dxa"/>
          </w:tcPr>
          <w:p w:rsidR="00DC6464" w:rsidRPr="00C96A33" w:rsidRDefault="00DC6464" w:rsidP="007764A3">
            <w:pPr>
              <w:jc w:val="right"/>
            </w:pPr>
            <w:r w:rsidRPr="00C96A33">
              <w:t>26</w:t>
            </w:r>
          </w:p>
        </w:tc>
        <w:tc>
          <w:tcPr>
            <w:tcW w:w="933" w:type="dxa"/>
          </w:tcPr>
          <w:p w:rsidR="00DC6464" w:rsidRPr="00C96A33" w:rsidRDefault="00DC6464" w:rsidP="007764A3">
            <w:pPr>
              <w:jc w:val="right"/>
            </w:pPr>
            <w:r>
              <w:t>50</w:t>
            </w:r>
          </w:p>
        </w:tc>
      </w:tr>
      <w:tr w:rsidR="00DC6464" w:rsidRPr="00C96A33">
        <w:tc>
          <w:tcPr>
            <w:tcW w:w="3969" w:type="dxa"/>
          </w:tcPr>
          <w:p w:rsidR="00DC6464" w:rsidRPr="00C96A33" w:rsidRDefault="00DC6464">
            <w:r w:rsidRPr="00C96A33">
              <w:t>amoksisilliini + metronidatsoli</w:t>
            </w:r>
          </w:p>
        </w:tc>
        <w:tc>
          <w:tcPr>
            <w:tcW w:w="876" w:type="dxa"/>
          </w:tcPr>
          <w:p w:rsidR="00DC6464" w:rsidRPr="00C96A33" w:rsidRDefault="00DC6464" w:rsidP="007764A3">
            <w:pPr>
              <w:jc w:val="right"/>
            </w:pPr>
            <w:r w:rsidRPr="00C96A33">
              <w:t>6</w:t>
            </w:r>
          </w:p>
        </w:tc>
        <w:tc>
          <w:tcPr>
            <w:tcW w:w="933" w:type="dxa"/>
          </w:tcPr>
          <w:p w:rsidR="00DC6464" w:rsidRPr="00C96A33" w:rsidRDefault="00DC6464" w:rsidP="007764A3">
            <w:pPr>
              <w:jc w:val="right"/>
            </w:pPr>
            <w:r>
              <w:t>12</w:t>
            </w:r>
          </w:p>
        </w:tc>
      </w:tr>
      <w:tr w:rsidR="00DC6464" w:rsidRPr="00C96A33">
        <w:tc>
          <w:tcPr>
            <w:tcW w:w="3969" w:type="dxa"/>
          </w:tcPr>
          <w:p w:rsidR="00DC6464" w:rsidRPr="00C96A33" w:rsidRDefault="00DC6464">
            <w:r w:rsidRPr="00C96A33">
              <w:t>amoksisilliini-klavulaanihappo</w:t>
            </w:r>
          </w:p>
        </w:tc>
        <w:tc>
          <w:tcPr>
            <w:tcW w:w="876" w:type="dxa"/>
          </w:tcPr>
          <w:p w:rsidR="00DC6464" w:rsidRPr="00C96A33" w:rsidRDefault="00DC6464" w:rsidP="007764A3">
            <w:pPr>
              <w:jc w:val="right"/>
            </w:pPr>
            <w:r w:rsidRPr="00C96A33">
              <w:t>5</w:t>
            </w:r>
          </w:p>
        </w:tc>
        <w:tc>
          <w:tcPr>
            <w:tcW w:w="933" w:type="dxa"/>
          </w:tcPr>
          <w:p w:rsidR="00DC6464" w:rsidRPr="00C96A33" w:rsidRDefault="00DC6464" w:rsidP="007764A3">
            <w:pPr>
              <w:jc w:val="right"/>
            </w:pPr>
            <w:r>
              <w:t>10</w:t>
            </w:r>
          </w:p>
        </w:tc>
      </w:tr>
      <w:tr w:rsidR="00DC6464" w:rsidRPr="00C96A33">
        <w:tc>
          <w:tcPr>
            <w:tcW w:w="3969" w:type="dxa"/>
          </w:tcPr>
          <w:p w:rsidR="00DC6464" w:rsidRPr="00C96A33" w:rsidRDefault="00DC6464">
            <w:r w:rsidRPr="00C96A33">
              <w:t>kefalosporiini</w:t>
            </w:r>
          </w:p>
        </w:tc>
        <w:tc>
          <w:tcPr>
            <w:tcW w:w="876" w:type="dxa"/>
          </w:tcPr>
          <w:p w:rsidR="00DC6464" w:rsidRPr="00C96A33" w:rsidRDefault="00DC6464" w:rsidP="007764A3">
            <w:pPr>
              <w:jc w:val="right"/>
            </w:pPr>
            <w:r w:rsidRPr="00C96A33">
              <w:t>2</w:t>
            </w:r>
          </w:p>
        </w:tc>
        <w:tc>
          <w:tcPr>
            <w:tcW w:w="933" w:type="dxa"/>
          </w:tcPr>
          <w:p w:rsidR="00DC6464" w:rsidRPr="00C96A33" w:rsidRDefault="00DC6464" w:rsidP="007764A3">
            <w:pPr>
              <w:jc w:val="right"/>
            </w:pPr>
            <w:r>
              <w:t>4</w:t>
            </w:r>
          </w:p>
        </w:tc>
      </w:tr>
      <w:tr w:rsidR="00DC6464" w:rsidRPr="00C96A33">
        <w:tc>
          <w:tcPr>
            <w:tcW w:w="3969" w:type="dxa"/>
          </w:tcPr>
          <w:p w:rsidR="00DC6464" w:rsidRPr="00C96A33" w:rsidRDefault="00DC6464">
            <w:r w:rsidRPr="00C96A33">
              <w:t>kefalosporiini + metronidatsoli</w:t>
            </w:r>
          </w:p>
        </w:tc>
        <w:tc>
          <w:tcPr>
            <w:tcW w:w="876" w:type="dxa"/>
          </w:tcPr>
          <w:p w:rsidR="00DC6464" w:rsidRPr="00C96A33" w:rsidRDefault="00DC6464" w:rsidP="007764A3">
            <w:pPr>
              <w:jc w:val="right"/>
            </w:pPr>
            <w:r w:rsidRPr="00C96A33">
              <w:t>6</w:t>
            </w:r>
          </w:p>
        </w:tc>
        <w:tc>
          <w:tcPr>
            <w:tcW w:w="933" w:type="dxa"/>
          </w:tcPr>
          <w:p w:rsidR="00DC6464" w:rsidRPr="00C96A33" w:rsidRDefault="00DC6464" w:rsidP="007764A3">
            <w:pPr>
              <w:jc w:val="right"/>
            </w:pPr>
            <w:r>
              <w:t>12</w:t>
            </w:r>
          </w:p>
        </w:tc>
      </w:tr>
      <w:tr w:rsidR="00DC6464" w:rsidRPr="00C96A33">
        <w:tc>
          <w:tcPr>
            <w:tcW w:w="3969" w:type="dxa"/>
          </w:tcPr>
          <w:p w:rsidR="00DC6464" w:rsidRPr="00C96A33" w:rsidRDefault="00DC6464">
            <w:r w:rsidRPr="00C96A33">
              <w:t>klindamysiini</w:t>
            </w:r>
          </w:p>
        </w:tc>
        <w:tc>
          <w:tcPr>
            <w:tcW w:w="876" w:type="dxa"/>
          </w:tcPr>
          <w:p w:rsidR="00DC6464" w:rsidRPr="00C96A33" w:rsidRDefault="00DC6464" w:rsidP="007764A3">
            <w:pPr>
              <w:jc w:val="right"/>
            </w:pPr>
            <w:r w:rsidRPr="00C96A33">
              <w:t>2</w:t>
            </w:r>
          </w:p>
        </w:tc>
        <w:tc>
          <w:tcPr>
            <w:tcW w:w="933" w:type="dxa"/>
          </w:tcPr>
          <w:p w:rsidR="00DC6464" w:rsidRPr="00C96A33" w:rsidRDefault="00DC6464" w:rsidP="007764A3">
            <w:pPr>
              <w:jc w:val="right"/>
            </w:pPr>
            <w:r>
              <w:t>4</w:t>
            </w:r>
          </w:p>
        </w:tc>
      </w:tr>
      <w:tr w:rsidR="00DC6464">
        <w:tc>
          <w:tcPr>
            <w:tcW w:w="3969" w:type="dxa"/>
          </w:tcPr>
          <w:p w:rsidR="00DC6464" w:rsidRPr="00C96A33" w:rsidRDefault="00DC6464">
            <w:r w:rsidRPr="00C96A33">
              <w:t>klindamysiini + metronidatsoli</w:t>
            </w:r>
          </w:p>
        </w:tc>
        <w:tc>
          <w:tcPr>
            <w:tcW w:w="876" w:type="dxa"/>
          </w:tcPr>
          <w:p w:rsidR="00DC6464" w:rsidRPr="00C96A33" w:rsidRDefault="00DC6464" w:rsidP="007764A3">
            <w:pPr>
              <w:jc w:val="right"/>
            </w:pPr>
            <w:r w:rsidRPr="00C96A33">
              <w:t>2</w:t>
            </w:r>
          </w:p>
        </w:tc>
        <w:tc>
          <w:tcPr>
            <w:tcW w:w="933" w:type="dxa"/>
          </w:tcPr>
          <w:p w:rsidR="00DC6464" w:rsidRDefault="00DC6464" w:rsidP="007764A3">
            <w:pPr>
              <w:jc w:val="right"/>
            </w:pPr>
            <w:r>
              <w:t>4</w:t>
            </w:r>
          </w:p>
        </w:tc>
      </w:tr>
    </w:tbl>
    <w:p w:rsidR="00DC6464" w:rsidRDefault="00DC6464" w:rsidP="00DC6464">
      <w:pPr>
        <w:tabs>
          <w:tab w:val="right" w:pos="3969"/>
          <w:tab w:val="right" w:pos="4845"/>
        </w:tabs>
      </w:pPr>
    </w:p>
    <w:p w:rsidR="00135D21" w:rsidRPr="00B85D7F" w:rsidRDefault="00135D21" w:rsidP="00BD6462">
      <w:pPr>
        <w:rPr>
          <w:color w:val="FF0000"/>
        </w:rPr>
      </w:pPr>
    </w:p>
    <w:sectPr w:rsidR="00135D21" w:rsidRPr="00B85D7F" w:rsidSect="00135D21">
      <w:pgSz w:w="11906" w:h="16838" w:code="9"/>
      <w:pgMar w:top="1258" w:right="1019" w:bottom="1304" w:left="1304" w:header="567" w:footer="1021"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w:panose1 w:val="02020603050405020304"/>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6038D4F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B136D03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C0E07A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34030B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6FC09D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2D6977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394EB0C"/>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CEA41C7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CDC63E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78810BC"/>
    <w:lvl w:ilvl="0">
      <w:start w:val="1"/>
      <w:numFmt w:val="bullet"/>
      <w:pStyle w:val="List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activeWritingStyle w:appName="MSWord" w:lang="fi-FI" w:vendorID="666" w:dllVersion="513" w:checkStyle="1"/>
  <w:defaultTabStop w:val="1304"/>
  <w:autoHyphenation/>
  <w:hyphenationZone w:val="425"/>
  <w:drawingGridHorizontalSpacing w:val="57"/>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105B"/>
    <w:rsid w:val="00054B9E"/>
    <w:rsid w:val="000761C7"/>
    <w:rsid w:val="000C12C9"/>
    <w:rsid w:val="000E2F5D"/>
    <w:rsid w:val="000F5C47"/>
    <w:rsid w:val="001126DA"/>
    <w:rsid w:val="00135D21"/>
    <w:rsid w:val="0014105B"/>
    <w:rsid w:val="001633BB"/>
    <w:rsid w:val="00176516"/>
    <w:rsid w:val="00182381"/>
    <w:rsid w:val="001A49B6"/>
    <w:rsid w:val="001C2ABA"/>
    <w:rsid w:val="001E6392"/>
    <w:rsid w:val="00204C87"/>
    <w:rsid w:val="00232671"/>
    <w:rsid w:val="00287095"/>
    <w:rsid w:val="002F2E85"/>
    <w:rsid w:val="00346EDF"/>
    <w:rsid w:val="003A41D4"/>
    <w:rsid w:val="003C753F"/>
    <w:rsid w:val="003F0F0C"/>
    <w:rsid w:val="00430342"/>
    <w:rsid w:val="004427DB"/>
    <w:rsid w:val="00455CE5"/>
    <w:rsid w:val="00486CAD"/>
    <w:rsid w:val="004D6636"/>
    <w:rsid w:val="004F0E4B"/>
    <w:rsid w:val="004F7213"/>
    <w:rsid w:val="005601BF"/>
    <w:rsid w:val="00576F83"/>
    <w:rsid w:val="00634FDB"/>
    <w:rsid w:val="00657351"/>
    <w:rsid w:val="006C1875"/>
    <w:rsid w:val="00704077"/>
    <w:rsid w:val="00745E43"/>
    <w:rsid w:val="007764A3"/>
    <w:rsid w:val="00777C8D"/>
    <w:rsid w:val="007D0D7F"/>
    <w:rsid w:val="00805FB8"/>
    <w:rsid w:val="0083304D"/>
    <w:rsid w:val="00855438"/>
    <w:rsid w:val="00861031"/>
    <w:rsid w:val="008703CF"/>
    <w:rsid w:val="008A58B0"/>
    <w:rsid w:val="008E349A"/>
    <w:rsid w:val="008E4D5F"/>
    <w:rsid w:val="009443D4"/>
    <w:rsid w:val="00962304"/>
    <w:rsid w:val="009A2B8F"/>
    <w:rsid w:val="009B2797"/>
    <w:rsid w:val="00A86D13"/>
    <w:rsid w:val="00AC2C12"/>
    <w:rsid w:val="00AD1090"/>
    <w:rsid w:val="00B1429B"/>
    <w:rsid w:val="00B85D7F"/>
    <w:rsid w:val="00B92BF8"/>
    <w:rsid w:val="00BC54DE"/>
    <w:rsid w:val="00BD6462"/>
    <w:rsid w:val="00BF570B"/>
    <w:rsid w:val="00C10F02"/>
    <w:rsid w:val="00C312D0"/>
    <w:rsid w:val="00C75ECA"/>
    <w:rsid w:val="00C92DBA"/>
    <w:rsid w:val="00C96A33"/>
    <w:rsid w:val="00CF477B"/>
    <w:rsid w:val="00D462A8"/>
    <w:rsid w:val="00D87AE8"/>
    <w:rsid w:val="00DC0C73"/>
    <w:rsid w:val="00DC1D4B"/>
    <w:rsid w:val="00DC6464"/>
    <w:rsid w:val="00E3437C"/>
    <w:rsid w:val="00E41ED7"/>
    <w:rsid w:val="00E67264"/>
    <w:rsid w:val="00EC2132"/>
    <w:rsid w:val="00F00C6F"/>
    <w:rsid w:val="00F57E7A"/>
    <w:rsid w:val="00F67915"/>
    <w:rsid w:val="00FC0CDD"/>
    <w:rsid w:val="00FC7A62"/>
    <w:rsid w:val="00FD7B1B"/>
    <w:rsid w:val="00FF58CD"/>
    <w:rsid w:val="00FF719A"/>
  </w:rsids>
  <m:mathPr>
    <m:mathFont m:val="Cambria Math"/>
    <m:brkBin m:val="before"/>
    <m:brkBinSub m:val="--"/>
    <m:smallFrac m:val="0"/>
    <m:dispDef m:val="0"/>
    <m:lMargin m:val="0"/>
    <m:rMargin m:val="0"/>
    <m:defJc m:val="centerGroup"/>
    <m:wrapRight/>
    <m:intLim m:val="subSup"/>
    <m:naryLim m:val="subSup"/>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docId w15:val="{D41557D3-C775-4FB3-BB90-7843A6E4C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i-FI"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8DD"/>
    <w:rPr>
      <w:rFonts w:ascii="Arial" w:hAnsi="Arial"/>
      <w:sz w:val="22"/>
      <w:szCs w:val="24"/>
      <w:lang w:eastAsia="fi-FI"/>
    </w:rPr>
  </w:style>
  <w:style w:type="paragraph" w:styleId="Heading1">
    <w:name w:val="heading 1"/>
    <w:basedOn w:val="Normal"/>
    <w:next w:val="Normal"/>
    <w:qFormat/>
    <w:rsid w:val="00FC307C"/>
    <w:pPr>
      <w:keepNext/>
      <w:spacing w:before="240" w:after="60"/>
      <w:outlineLvl w:val="0"/>
    </w:pPr>
    <w:rPr>
      <w:rFonts w:cs="Arial"/>
      <w:b/>
      <w:bCs/>
      <w:caps/>
      <w:kern w:val="32"/>
    </w:rPr>
  </w:style>
  <w:style w:type="paragraph" w:styleId="Heading2">
    <w:name w:val="heading 2"/>
    <w:basedOn w:val="Normal"/>
    <w:next w:val="Normal"/>
    <w:qFormat/>
    <w:rsid w:val="002E519E"/>
    <w:pPr>
      <w:keepNext/>
      <w:spacing w:before="240" w:after="60"/>
      <w:outlineLvl w:val="1"/>
    </w:pPr>
    <w:rPr>
      <w:rFonts w:cs="Arial"/>
      <w:b/>
      <w:bCs/>
      <w:iCs/>
      <w:sz w:val="24"/>
      <w:szCs w:val="28"/>
    </w:rPr>
  </w:style>
  <w:style w:type="paragraph" w:styleId="Heading3">
    <w:name w:val="heading 3"/>
    <w:basedOn w:val="Normal"/>
    <w:next w:val="Normal"/>
    <w:qFormat/>
    <w:rsid w:val="002E519E"/>
    <w:pPr>
      <w:keepNext/>
      <w:spacing w:before="240" w:after="60"/>
      <w:outlineLvl w:val="2"/>
    </w:pPr>
    <w:rPr>
      <w:rFonts w:cs="Arial"/>
      <w:b/>
      <w:bCs/>
      <w:szCs w:val="26"/>
    </w:rPr>
  </w:style>
  <w:style w:type="paragraph" w:styleId="Heading4">
    <w:name w:val="heading 4"/>
    <w:basedOn w:val="Normal"/>
    <w:next w:val="Normal"/>
    <w:qFormat/>
    <w:rsid w:val="00C64CD0"/>
    <w:pPr>
      <w:keepNext/>
      <w:spacing w:before="240" w:after="60"/>
      <w:outlineLvl w:val="3"/>
    </w:pPr>
    <w:rPr>
      <w:b/>
      <w:bCs/>
      <w:i/>
      <w:szCs w:val="28"/>
    </w:rPr>
  </w:style>
  <w:style w:type="paragraph" w:styleId="Heading5">
    <w:name w:val="heading 5"/>
    <w:basedOn w:val="Normal"/>
    <w:next w:val="Normal"/>
    <w:qFormat/>
    <w:rsid w:val="00C64CD0"/>
    <w:pPr>
      <w:spacing w:before="240" w:after="60"/>
      <w:outlineLvl w:val="4"/>
    </w:pPr>
    <w:rPr>
      <w:bCs/>
      <w:i/>
      <w:iCs/>
      <w:szCs w:val="26"/>
    </w:rPr>
  </w:style>
  <w:style w:type="paragraph" w:styleId="Heading6">
    <w:name w:val="heading 6"/>
    <w:basedOn w:val="Normal"/>
    <w:next w:val="Normal"/>
    <w:qFormat/>
    <w:rsid w:val="00906E68"/>
    <w:pPr>
      <w:spacing w:before="240" w:after="60"/>
      <w:outlineLvl w:val="5"/>
    </w:pPr>
    <w:rPr>
      <w:bCs/>
      <w:sz w:val="24"/>
      <w:szCs w:val="22"/>
    </w:rPr>
  </w:style>
  <w:style w:type="paragraph" w:styleId="Heading7">
    <w:name w:val="heading 7"/>
    <w:basedOn w:val="Normal"/>
    <w:next w:val="Normal"/>
    <w:qFormat/>
    <w:rsid w:val="002E519E"/>
    <w:pPr>
      <w:spacing w:before="240" w:after="60"/>
      <w:outlineLvl w:val="6"/>
    </w:pPr>
    <w:rPr>
      <w:sz w:val="24"/>
    </w:rPr>
  </w:style>
  <w:style w:type="paragraph" w:styleId="Heading8">
    <w:name w:val="heading 8"/>
    <w:basedOn w:val="Normal"/>
    <w:next w:val="Normal"/>
    <w:qFormat/>
    <w:rsid w:val="002E519E"/>
    <w:pPr>
      <w:spacing w:before="240" w:after="60"/>
      <w:outlineLvl w:val="7"/>
    </w:pPr>
    <w:rPr>
      <w:i/>
      <w:iCs/>
      <w:sz w:val="24"/>
    </w:rPr>
  </w:style>
  <w:style w:type="paragraph" w:styleId="Heading9">
    <w:name w:val="heading 9"/>
    <w:basedOn w:val="Normal"/>
    <w:next w:val="Normal"/>
    <w:qFormat/>
    <w:rsid w:val="002E519E"/>
    <w:p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Index1">
    <w:name w:val="index 1"/>
    <w:basedOn w:val="Normal"/>
    <w:next w:val="Normal"/>
    <w:autoRedefine/>
    <w:rsid w:val="002E519E"/>
    <w:pPr>
      <w:ind w:left="220" w:hanging="220"/>
    </w:pPr>
  </w:style>
  <w:style w:type="paragraph" w:styleId="Index2">
    <w:name w:val="index 2"/>
    <w:basedOn w:val="Normal"/>
    <w:next w:val="Normal"/>
    <w:autoRedefine/>
    <w:rsid w:val="002E519E"/>
    <w:pPr>
      <w:ind w:left="440" w:hanging="220"/>
    </w:pPr>
  </w:style>
  <w:style w:type="paragraph" w:styleId="Index3">
    <w:name w:val="index 3"/>
    <w:basedOn w:val="Normal"/>
    <w:next w:val="Normal"/>
    <w:autoRedefine/>
    <w:rsid w:val="002E519E"/>
    <w:pPr>
      <w:ind w:left="660" w:hanging="220"/>
    </w:pPr>
  </w:style>
  <w:style w:type="paragraph" w:styleId="Index4">
    <w:name w:val="index 4"/>
    <w:basedOn w:val="Normal"/>
    <w:next w:val="Normal"/>
    <w:autoRedefine/>
    <w:rsid w:val="002E519E"/>
    <w:pPr>
      <w:ind w:left="880" w:hanging="220"/>
    </w:pPr>
  </w:style>
  <w:style w:type="character" w:styleId="HTMLAcronym">
    <w:name w:val="HTML Acronym"/>
    <w:basedOn w:val="DefaultParagraphFont"/>
    <w:semiHidden/>
    <w:rsid w:val="002E519E"/>
  </w:style>
  <w:style w:type="paragraph" w:styleId="HTMLPreformatted">
    <w:name w:val="HTML Preformatted"/>
    <w:basedOn w:val="Normal"/>
    <w:semiHidden/>
    <w:rsid w:val="002E519E"/>
    <w:rPr>
      <w:rFonts w:ascii="Courier New" w:hAnsi="Courier New" w:cs="Courier New"/>
      <w:sz w:val="20"/>
      <w:szCs w:val="20"/>
    </w:rPr>
  </w:style>
  <w:style w:type="character" w:styleId="HTMLTypewriter">
    <w:name w:val="HTML Typewriter"/>
    <w:basedOn w:val="DefaultParagraphFont"/>
    <w:semiHidden/>
    <w:rsid w:val="002E519E"/>
    <w:rPr>
      <w:rFonts w:ascii="Courier New" w:hAnsi="Courier New" w:cs="Courier New"/>
      <w:sz w:val="20"/>
      <w:szCs w:val="20"/>
    </w:rPr>
  </w:style>
  <w:style w:type="character" w:styleId="HTMLCite">
    <w:name w:val="HTML Cite"/>
    <w:basedOn w:val="DefaultParagraphFont"/>
    <w:semiHidden/>
    <w:rsid w:val="002E519E"/>
    <w:rPr>
      <w:i/>
      <w:iCs/>
    </w:rPr>
  </w:style>
  <w:style w:type="character" w:styleId="HTMLVariable">
    <w:name w:val="HTML Variable"/>
    <w:basedOn w:val="DefaultParagraphFont"/>
    <w:semiHidden/>
    <w:rsid w:val="002E519E"/>
    <w:rPr>
      <w:i/>
      <w:iCs/>
    </w:rPr>
  </w:style>
  <w:style w:type="character" w:styleId="HTMLDefinition">
    <w:name w:val="HTML Definition"/>
    <w:basedOn w:val="DefaultParagraphFont"/>
    <w:semiHidden/>
    <w:rsid w:val="002E519E"/>
    <w:rPr>
      <w:i/>
      <w:iCs/>
    </w:rPr>
  </w:style>
  <w:style w:type="character" w:styleId="HTMLKeyboard">
    <w:name w:val="HTML Keyboard"/>
    <w:basedOn w:val="DefaultParagraphFont"/>
    <w:semiHidden/>
    <w:rsid w:val="002E519E"/>
    <w:rPr>
      <w:rFonts w:ascii="Courier New" w:hAnsi="Courier New" w:cs="Courier New"/>
      <w:sz w:val="20"/>
      <w:szCs w:val="20"/>
    </w:rPr>
  </w:style>
  <w:style w:type="paragraph" w:styleId="ListContinue">
    <w:name w:val="List Continue"/>
    <w:basedOn w:val="Normal"/>
    <w:semiHidden/>
    <w:rsid w:val="002E519E"/>
    <w:pPr>
      <w:spacing w:after="120"/>
      <w:ind w:left="283"/>
    </w:pPr>
  </w:style>
  <w:style w:type="paragraph" w:styleId="ListContinue2">
    <w:name w:val="List Continue 2"/>
    <w:basedOn w:val="Normal"/>
    <w:semiHidden/>
    <w:rsid w:val="002E519E"/>
    <w:pPr>
      <w:spacing w:after="120"/>
      <w:ind w:left="566"/>
    </w:pPr>
  </w:style>
  <w:style w:type="paragraph" w:styleId="ListContinue3">
    <w:name w:val="List Continue 3"/>
    <w:basedOn w:val="Normal"/>
    <w:semiHidden/>
    <w:rsid w:val="002E519E"/>
    <w:pPr>
      <w:spacing w:after="120"/>
      <w:ind w:left="849"/>
    </w:pPr>
  </w:style>
  <w:style w:type="paragraph" w:styleId="ListContinue4">
    <w:name w:val="List Continue 4"/>
    <w:basedOn w:val="Normal"/>
    <w:semiHidden/>
    <w:rsid w:val="002E519E"/>
    <w:pPr>
      <w:spacing w:after="120"/>
      <w:ind w:left="1132"/>
    </w:pPr>
  </w:style>
  <w:style w:type="paragraph" w:styleId="ListContinue5">
    <w:name w:val="List Continue 5"/>
    <w:basedOn w:val="Normal"/>
    <w:semiHidden/>
    <w:rsid w:val="002E519E"/>
    <w:pPr>
      <w:spacing w:after="120"/>
      <w:ind w:left="1415"/>
    </w:pPr>
  </w:style>
  <w:style w:type="paragraph" w:styleId="BodyTextIndent">
    <w:name w:val="Body Text Indent"/>
    <w:basedOn w:val="Normal"/>
    <w:rsid w:val="002E519E"/>
    <w:pPr>
      <w:spacing w:after="120"/>
      <w:ind w:left="283"/>
    </w:pPr>
  </w:style>
  <w:style w:type="paragraph" w:styleId="BodyTextFirstIndent2">
    <w:name w:val="Body Text First Indent 2"/>
    <w:basedOn w:val="BodyTextIndent"/>
    <w:rsid w:val="002E519E"/>
    <w:pPr>
      <w:ind w:firstLine="210"/>
    </w:pPr>
  </w:style>
  <w:style w:type="paragraph" w:styleId="List">
    <w:name w:val="List"/>
    <w:basedOn w:val="Normal"/>
    <w:rsid w:val="002E519E"/>
    <w:pPr>
      <w:ind w:left="283" w:hanging="283"/>
    </w:pPr>
  </w:style>
  <w:style w:type="paragraph" w:styleId="List2">
    <w:name w:val="List 2"/>
    <w:basedOn w:val="Normal"/>
    <w:rsid w:val="002E519E"/>
    <w:pPr>
      <w:ind w:left="566" w:hanging="283"/>
    </w:pPr>
  </w:style>
  <w:style w:type="paragraph" w:styleId="List4">
    <w:name w:val="List 4"/>
    <w:basedOn w:val="Normal"/>
    <w:rsid w:val="002E519E"/>
    <w:pPr>
      <w:ind w:left="1132" w:hanging="283"/>
    </w:pPr>
  </w:style>
  <w:style w:type="paragraph" w:styleId="ListBullet">
    <w:name w:val="List Bullet"/>
    <w:basedOn w:val="Normal"/>
    <w:rsid w:val="002E519E"/>
    <w:pPr>
      <w:numPr>
        <w:numId w:val="11"/>
      </w:numPr>
    </w:pPr>
  </w:style>
  <w:style w:type="paragraph" w:styleId="Date">
    <w:name w:val="Date"/>
    <w:basedOn w:val="Normal"/>
    <w:next w:val="Normal"/>
    <w:semiHidden/>
    <w:rsid w:val="002E519E"/>
  </w:style>
  <w:style w:type="paragraph" w:styleId="TOC1">
    <w:name w:val="toc 1"/>
    <w:basedOn w:val="Normal"/>
    <w:next w:val="Normal"/>
    <w:autoRedefine/>
    <w:rsid w:val="002E519E"/>
  </w:style>
  <w:style w:type="paragraph" w:styleId="TOC2">
    <w:name w:val="toc 2"/>
    <w:basedOn w:val="Normal"/>
    <w:next w:val="Normal"/>
    <w:autoRedefine/>
    <w:rsid w:val="002E519E"/>
    <w:pPr>
      <w:ind w:left="220"/>
    </w:pPr>
  </w:style>
  <w:style w:type="paragraph" w:styleId="TOC3">
    <w:name w:val="toc 3"/>
    <w:basedOn w:val="Normal"/>
    <w:next w:val="Normal"/>
    <w:autoRedefine/>
    <w:rsid w:val="002E519E"/>
    <w:pPr>
      <w:ind w:left="440"/>
    </w:pPr>
  </w:style>
  <w:style w:type="paragraph" w:styleId="TOC4">
    <w:name w:val="toc 4"/>
    <w:basedOn w:val="Normal"/>
    <w:next w:val="Normal"/>
    <w:autoRedefine/>
    <w:rsid w:val="002E519E"/>
    <w:pPr>
      <w:ind w:left="660"/>
    </w:pPr>
  </w:style>
  <w:style w:type="paragraph" w:styleId="TOC5">
    <w:name w:val="toc 5"/>
    <w:basedOn w:val="Normal"/>
    <w:next w:val="Normal"/>
    <w:autoRedefine/>
    <w:rsid w:val="002E519E"/>
    <w:pPr>
      <w:ind w:left="880"/>
    </w:pPr>
  </w:style>
  <w:style w:type="paragraph" w:styleId="NormalIndent">
    <w:name w:val="Normal Indent"/>
    <w:basedOn w:val="Normal"/>
    <w:rsid w:val="002E519E"/>
    <w:pPr>
      <w:ind w:left="1304"/>
    </w:pPr>
  </w:style>
  <w:style w:type="character" w:styleId="Strong">
    <w:name w:val="Strong"/>
    <w:basedOn w:val="DefaultParagraphFont"/>
    <w:qFormat/>
    <w:rsid w:val="002E519E"/>
    <w:rPr>
      <w:b/>
      <w:bCs/>
    </w:rPr>
  </w:style>
  <w:style w:type="paragraph" w:styleId="Title">
    <w:name w:val="Title"/>
    <w:basedOn w:val="Normal"/>
    <w:next w:val="Normal"/>
    <w:qFormat/>
    <w:rsid w:val="00FC307C"/>
    <w:pPr>
      <w:spacing w:before="240" w:after="60"/>
      <w:outlineLvl w:val="0"/>
    </w:pPr>
    <w:rPr>
      <w:rFonts w:cs="Arial"/>
      <w:b/>
      <w:bCs/>
      <w:kern w:val="28"/>
      <w:sz w:val="28"/>
      <w:szCs w:val="32"/>
    </w:rPr>
  </w:style>
  <w:style w:type="paragraph" w:styleId="Index5">
    <w:name w:val="index 5"/>
    <w:basedOn w:val="Normal"/>
    <w:next w:val="Normal"/>
    <w:autoRedefine/>
    <w:rsid w:val="007018E6"/>
    <w:pPr>
      <w:ind w:left="1100" w:hanging="220"/>
    </w:pPr>
  </w:style>
  <w:style w:type="paragraph" w:styleId="Index6">
    <w:name w:val="index 6"/>
    <w:basedOn w:val="Normal"/>
    <w:next w:val="Normal"/>
    <w:autoRedefine/>
    <w:rsid w:val="007018E6"/>
    <w:pPr>
      <w:ind w:left="1320" w:hanging="220"/>
    </w:pPr>
  </w:style>
  <w:style w:type="paragraph" w:styleId="Index7">
    <w:name w:val="index 7"/>
    <w:basedOn w:val="Normal"/>
    <w:next w:val="Normal"/>
    <w:autoRedefine/>
    <w:rsid w:val="007018E6"/>
    <w:pPr>
      <w:ind w:left="1540" w:hanging="220"/>
    </w:pPr>
  </w:style>
  <w:style w:type="paragraph" w:styleId="Index8">
    <w:name w:val="index 8"/>
    <w:basedOn w:val="Normal"/>
    <w:next w:val="Normal"/>
    <w:autoRedefine/>
    <w:rsid w:val="007018E6"/>
    <w:pPr>
      <w:ind w:left="1760" w:hanging="220"/>
    </w:pPr>
  </w:style>
  <w:style w:type="paragraph" w:styleId="Index9">
    <w:name w:val="index 9"/>
    <w:basedOn w:val="Normal"/>
    <w:next w:val="Normal"/>
    <w:autoRedefine/>
    <w:rsid w:val="007018E6"/>
    <w:pPr>
      <w:ind w:left="1980" w:hanging="220"/>
    </w:pPr>
  </w:style>
  <w:style w:type="paragraph" w:styleId="TOC6">
    <w:name w:val="toc 6"/>
    <w:basedOn w:val="Normal"/>
    <w:next w:val="Normal"/>
    <w:autoRedefine/>
    <w:rsid w:val="007018E6"/>
    <w:pPr>
      <w:ind w:left="1100"/>
    </w:pPr>
  </w:style>
  <w:style w:type="paragraph" w:styleId="TOC7">
    <w:name w:val="toc 7"/>
    <w:basedOn w:val="Normal"/>
    <w:next w:val="Normal"/>
    <w:autoRedefine/>
    <w:rsid w:val="007018E6"/>
    <w:pPr>
      <w:ind w:left="1320"/>
    </w:pPr>
  </w:style>
  <w:style w:type="paragraph" w:styleId="TOC8">
    <w:name w:val="toc 8"/>
    <w:basedOn w:val="Normal"/>
    <w:next w:val="Normal"/>
    <w:autoRedefine/>
    <w:rsid w:val="007018E6"/>
    <w:pPr>
      <w:ind w:left="1540"/>
    </w:pPr>
  </w:style>
  <w:style w:type="paragraph" w:styleId="TOC9">
    <w:name w:val="toc 9"/>
    <w:basedOn w:val="Normal"/>
    <w:next w:val="Normal"/>
    <w:autoRedefine/>
    <w:rsid w:val="007018E6"/>
    <w:pPr>
      <w:ind w:left="1760"/>
    </w:pPr>
  </w:style>
  <w:style w:type="paragraph" w:styleId="CommentText">
    <w:name w:val="annotation text"/>
    <w:basedOn w:val="Normal"/>
    <w:rsid w:val="004D0C8C"/>
    <w:rPr>
      <w:sz w:val="20"/>
      <w:szCs w:val="20"/>
    </w:rPr>
  </w:style>
  <w:style w:type="table" w:styleId="TableTheme">
    <w:name w:val="Table Theme"/>
    <w:basedOn w:val="TableNormal"/>
    <w:semiHidden/>
    <w:rsid w:val="004D0C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4D0C8C"/>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4D0C8C"/>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4D0C8C"/>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Salutation">
    <w:name w:val="Salutation"/>
    <w:basedOn w:val="Normal"/>
    <w:next w:val="Normal"/>
    <w:semiHidden/>
    <w:rsid w:val="004D0C8C"/>
  </w:style>
  <w:style w:type="paragraph" w:styleId="PlainText">
    <w:name w:val="Plain Text"/>
    <w:basedOn w:val="Normal"/>
    <w:semiHidden/>
    <w:rsid w:val="004D0C8C"/>
    <w:rPr>
      <w:rFonts w:ascii="Courier New" w:hAnsi="Courier New" w:cs="Courier New"/>
      <w:sz w:val="20"/>
      <w:szCs w:val="20"/>
    </w:rPr>
  </w:style>
  <w:style w:type="paragraph" w:customStyle="1" w:styleId="desc">
    <w:name w:val="desc"/>
    <w:basedOn w:val="Normal"/>
    <w:rsid w:val="003C753F"/>
    <w:pPr>
      <w:spacing w:beforeLines="1" w:afterLines="1"/>
    </w:pPr>
    <w:rPr>
      <w:rFonts w:ascii="Times" w:eastAsia="Cambria" w:hAnsi="Times"/>
      <w:sz w:val="20"/>
      <w:szCs w:val="20"/>
      <w:lang w:eastAsia="en-US"/>
    </w:rPr>
  </w:style>
  <w:style w:type="paragraph" w:customStyle="1" w:styleId="details">
    <w:name w:val="details"/>
    <w:basedOn w:val="Normal"/>
    <w:rsid w:val="003C753F"/>
    <w:pPr>
      <w:spacing w:beforeLines="1" w:afterLines="1"/>
    </w:pPr>
    <w:rPr>
      <w:rFonts w:ascii="Times" w:eastAsia="Cambria" w:hAnsi="Times"/>
      <w:sz w:val="20"/>
      <w:szCs w:val="20"/>
      <w:lang w:eastAsia="en-US"/>
    </w:rPr>
  </w:style>
  <w:style w:type="character" w:customStyle="1" w:styleId="jrnl">
    <w:name w:val="jrnl"/>
    <w:basedOn w:val="DefaultParagraphFont"/>
    <w:rsid w:val="003C753F"/>
  </w:style>
  <w:style w:type="character" w:styleId="Hyperlink">
    <w:name w:val="Hyperlink"/>
    <w:basedOn w:val="DefaultParagraphFont"/>
    <w:uiPriority w:val="99"/>
    <w:rsid w:val="003C753F"/>
    <w:rPr>
      <w:color w:val="0000FF"/>
      <w:u w:val="single"/>
    </w:rPr>
  </w:style>
  <w:style w:type="character" w:customStyle="1" w:styleId="highlight">
    <w:name w:val="highlight"/>
    <w:basedOn w:val="DefaultParagraphFont"/>
    <w:rsid w:val="003C753F"/>
  </w:style>
  <w:style w:type="table" w:styleId="TableGrid">
    <w:name w:val="Table Grid"/>
    <w:basedOn w:val="TableNormal"/>
    <w:rsid w:val="004F721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3443491">
      <w:bodyDiv w:val="1"/>
      <w:marLeft w:val="0"/>
      <w:marRight w:val="0"/>
      <w:marTop w:val="0"/>
      <w:marBottom w:val="0"/>
      <w:divBdr>
        <w:top w:val="none" w:sz="0" w:space="0" w:color="auto"/>
        <w:left w:val="none" w:sz="0" w:space="0" w:color="auto"/>
        <w:bottom w:val="none" w:sz="0" w:space="0" w:color="auto"/>
        <w:right w:val="none" w:sz="0" w:space="0" w:color="auto"/>
      </w:divBdr>
    </w:div>
    <w:div w:id="1298073313">
      <w:bodyDiv w:val="1"/>
      <w:marLeft w:val="0"/>
      <w:marRight w:val="0"/>
      <w:marTop w:val="0"/>
      <w:marBottom w:val="0"/>
      <w:divBdr>
        <w:top w:val="none" w:sz="0" w:space="0" w:color="auto"/>
        <w:left w:val="none" w:sz="0" w:space="0" w:color="auto"/>
        <w:bottom w:val="none" w:sz="0" w:space="0" w:color="auto"/>
        <w:right w:val="none" w:sz="0" w:space="0" w:color="auto"/>
      </w:divBdr>
      <w:divsChild>
        <w:div w:id="1846286232">
          <w:marLeft w:val="0"/>
          <w:marRight w:val="0"/>
          <w:marTop w:val="0"/>
          <w:marBottom w:val="0"/>
          <w:divBdr>
            <w:top w:val="none" w:sz="0" w:space="0" w:color="auto"/>
            <w:left w:val="none" w:sz="0" w:space="0" w:color="auto"/>
            <w:bottom w:val="none" w:sz="0" w:space="0" w:color="auto"/>
            <w:right w:val="none" w:sz="0" w:space="0" w:color="auto"/>
          </w:divBdr>
        </w:div>
        <w:div w:id="1090809666">
          <w:marLeft w:val="0"/>
          <w:marRight w:val="0"/>
          <w:marTop w:val="0"/>
          <w:marBottom w:val="0"/>
          <w:divBdr>
            <w:top w:val="none" w:sz="0" w:space="0" w:color="auto"/>
            <w:left w:val="none" w:sz="0" w:space="0" w:color="auto"/>
            <w:bottom w:val="none" w:sz="0" w:space="0" w:color="auto"/>
            <w:right w:val="none" w:sz="0" w:space="0" w:color="auto"/>
          </w:divBdr>
          <w:divsChild>
            <w:div w:id="1466657684">
              <w:marLeft w:val="0"/>
              <w:marRight w:val="0"/>
              <w:marTop w:val="0"/>
              <w:marBottom w:val="0"/>
              <w:divBdr>
                <w:top w:val="none" w:sz="0" w:space="0" w:color="auto"/>
                <w:left w:val="none" w:sz="0" w:space="0" w:color="auto"/>
                <w:bottom w:val="none" w:sz="0" w:space="0" w:color="auto"/>
                <w:right w:val="none" w:sz="0" w:space="0" w:color="auto"/>
              </w:divBdr>
              <w:divsChild>
                <w:div w:id="927034850">
                  <w:marLeft w:val="0"/>
                  <w:marRight w:val="0"/>
                  <w:marTop w:val="0"/>
                  <w:marBottom w:val="0"/>
                  <w:divBdr>
                    <w:top w:val="none" w:sz="0" w:space="0" w:color="auto"/>
                    <w:left w:val="none" w:sz="0" w:space="0" w:color="auto"/>
                    <w:bottom w:val="none" w:sz="0" w:space="0" w:color="auto"/>
                    <w:right w:val="none" w:sz="0" w:space="0" w:color="auto"/>
                  </w:divBdr>
                </w:div>
                <w:div w:id="604459215">
                  <w:marLeft w:val="0"/>
                  <w:marRight w:val="0"/>
                  <w:marTop w:val="0"/>
                  <w:marBottom w:val="0"/>
                  <w:divBdr>
                    <w:top w:val="none" w:sz="0" w:space="0" w:color="auto"/>
                    <w:left w:val="none" w:sz="0" w:space="0" w:color="auto"/>
                    <w:bottom w:val="none" w:sz="0" w:space="0" w:color="auto"/>
                    <w:right w:val="none" w:sz="0" w:space="0" w:color="auto"/>
                  </w:divBdr>
                </w:div>
                <w:div w:id="1815874860">
                  <w:marLeft w:val="0"/>
                  <w:marRight w:val="0"/>
                  <w:marTop w:val="0"/>
                  <w:marBottom w:val="0"/>
                  <w:divBdr>
                    <w:top w:val="none" w:sz="0" w:space="0" w:color="auto"/>
                    <w:left w:val="none" w:sz="0" w:space="0" w:color="auto"/>
                    <w:bottom w:val="none" w:sz="0" w:space="0" w:color="auto"/>
                    <w:right w:val="none" w:sz="0" w:space="0" w:color="auto"/>
                  </w:divBdr>
                  <w:divsChild>
                    <w:div w:id="973020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1748475">
      <w:bodyDiv w:val="1"/>
      <w:marLeft w:val="0"/>
      <w:marRight w:val="0"/>
      <w:marTop w:val="0"/>
      <w:marBottom w:val="0"/>
      <w:divBdr>
        <w:top w:val="none" w:sz="0" w:space="0" w:color="auto"/>
        <w:left w:val="none" w:sz="0" w:space="0" w:color="auto"/>
        <w:bottom w:val="none" w:sz="0" w:space="0" w:color="auto"/>
        <w:right w:val="none" w:sz="0" w:space="0" w:color="auto"/>
      </w:divBdr>
      <w:divsChild>
        <w:div w:id="692071786">
          <w:marLeft w:val="0"/>
          <w:marRight w:val="0"/>
          <w:marTop w:val="0"/>
          <w:marBottom w:val="0"/>
          <w:divBdr>
            <w:top w:val="none" w:sz="0" w:space="0" w:color="auto"/>
            <w:left w:val="none" w:sz="0" w:space="0" w:color="auto"/>
            <w:bottom w:val="none" w:sz="0" w:space="0" w:color="auto"/>
            <w:right w:val="none" w:sz="0" w:space="0" w:color="auto"/>
          </w:divBdr>
        </w:div>
      </w:divsChild>
    </w:div>
    <w:div w:id="1985311736">
      <w:bodyDiv w:val="1"/>
      <w:marLeft w:val="0"/>
      <w:marRight w:val="0"/>
      <w:marTop w:val="0"/>
      <w:marBottom w:val="0"/>
      <w:divBdr>
        <w:top w:val="none" w:sz="0" w:space="0" w:color="auto"/>
        <w:left w:val="none" w:sz="0" w:space="0" w:color="auto"/>
        <w:bottom w:val="none" w:sz="0" w:space="0" w:color="auto"/>
        <w:right w:val="none" w:sz="0" w:space="0" w:color="auto"/>
      </w:divBdr>
      <w:divsChild>
        <w:div w:id="249122391">
          <w:marLeft w:val="0"/>
          <w:marRight w:val="0"/>
          <w:marTop w:val="0"/>
          <w:marBottom w:val="0"/>
          <w:divBdr>
            <w:top w:val="none" w:sz="0" w:space="0" w:color="auto"/>
            <w:left w:val="none" w:sz="0" w:space="0" w:color="auto"/>
            <w:bottom w:val="none" w:sz="0" w:space="0" w:color="auto"/>
            <w:right w:val="none" w:sz="0" w:space="0" w:color="auto"/>
          </w:divBdr>
        </w:div>
        <w:div w:id="1914003719">
          <w:marLeft w:val="0"/>
          <w:marRight w:val="0"/>
          <w:marTop w:val="0"/>
          <w:marBottom w:val="0"/>
          <w:divBdr>
            <w:top w:val="none" w:sz="0" w:space="0" w:color="auto"/>
            <w:left w:val="none" w:sz="0" w:space="0" w:color="auto"/>
            <w:bottom w:val="none" w:sz="0" w:space="0" w:color="auto"/>
            <w:right w:val="none" w:sz="0" w:space="0" w:color="auto"/>
          </w:divBdr>
        </w:div>
        <w:div w:id="8334145">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17</Pages>
  <Words>1575</Words>
  <Characters>12759</Characters>
  <Application>Microsoft Office Word</Application>
  <DocSecurity>0</DocSecurity>
  <Lines>106</Lines>
  <Paragraphs>28</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Suu- ja leukakirurgisten infektiopotilaiden tutkiminen yksinkertaistetulla bakteeriviljelyllä</vt:lpstr>
      <vt:lpstr>Suu- ja leukakirurgisten infektiopotilaiden tutkiminen yksinkertaistetulla bakteeriviljelyllä</vt:lpstr>
    </vt:vector>
  </TitlesOfParts>
  <Company>HUS</Company>
  <LinksUpToDate>false</LinksUpToDate>
  <CharactersWithSpaces>14306</CharactersWithSpaces>
  <SharedDoc>false</SharedDoc>
  <HLinks>
    <vt:vector size="6" baseType="variant">
      <vt:variant>
        <vt:i4>5505030</vt:i4>
      </vt:variant>
      <vt:variant>
        <vt:i4>4356</vt:i4>
      </vt:variant>
      <vt:variant>
        <vt:i4>1025</vt:i4>
      </vt:variant>
      <vt:variant>
        <vt:i4>1</vt:i4>
      </vt:variant>
      <vt:variant>
        <vt:lpwstr>10M9-4308 yhteisherkkyys 003</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Suu- ja leukakirurgisten infektiopotilaiden tutkiminen yksinkertaistetulla bakteeriviljelyllä</dc:title>
  <dc:creator>Olli</dc:creator>
  <cp:lastModifiedBy>Kimmo Niukko</cp:lastModifiedBy>
  <cp:revision>2</cp:revision>
  <dcterms:created xsi:type="dcterms:W3CDTF">2018-01-30T07:14:00Z</dcterms:created>
  <dcterms:modified xsi:type="dcterms:W3CDTF">2018-01-30T07:14:00Z</dcterms:modified>
</cp:coreProperties>
</file>