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0.11.0 -->
  <w:body>
    <w:p w:rsidR="005E7CFC" w:rsidRPr="005E7CFC" w14:paraId="137F5859" w14:textId="15253971">
      <w:pPr>
        <w:rPr>
          <w:rFonts w:ascii="Times New Roman" w:eastAsia="Times New Roman" w:hAnsi="Times New Roman" w:cs="Times New Roman"/>
          <w:lang w:val="fi-FI" w:eastAsia="en-GB"/>
        </w:rPr>
      </w:pPr>
      <w:r w:rsidRPr="005E7CFC">
        <w:rPr>
          <w:rFonts w:ascii="Times New Roman" w:eastAsia="Times New Roman" w:hAnsi="Times New Roman" w:cs="Times New Roman"/>
          <w:lang w:eastAsia="en-GB"/>
        </w:rPr>
        <w:t xml:space="preserve">Alexander Patschovsky, ed., </w:t>
      </w:r>
      <w:r w:rsidRPr="005E7CFC">
        <w:rPr>
          <w:rFonts w:ascii="Times New Roman" w:eastAsia="Times New Roman" w:hAnsi="Times New Roman" w:cs="Times New Roman"/>
          <w:i/>
          <w:iCs/>
          <w:lang w:eastAsia="en-GB"/>
        </w:rPr>
        <w:t>Ein kurialer Ketzerprozeß in Avignon (1354): die Verurteilung der Franziskanerspiritualen Giovanni di Castiglione und Francesco d’Arquata</w:t>
      </w:r>
      <w:r w:rsidRPr="005E7CFC">
        <w:rPr>
          <w:rFonts w:ascii="Times New Roman" w:eastAsia="Times New Roman" w:hAnsi="Times New Roman" w:cs="Times New Roman"/>
          <w:lang w:eastAsia="en-GB"/>
        </w:rPr>
        <w:t xml:space="preserve">, </w:t>
      </w:r>
      <w:r w:rsidRPr="005E7CFC">
        <w:rPr>
          <w:rFonts w:ascii="Times New Roman" w:eastAsia="Times New Roman" w:hAnsi="Times New Roman" w:cs="Times New Roman"/>
          <w:lang w:val="fi-FI" w:eastAsia="en-GB"/>
        </w:rPr>
        <w:t xml:space="preserve">MGH </w:t>
      </w:r>
      <w:r w:rsidRPr="005E7CFC">
        <w:rPr>
          <w:rFonts w:ascii="Times New Roman" w:eastAsia="Times New Roman" w:hAnsi="Times New Roman" w:cs="Times New Roman"/>
          <w:lang w:eastAsia="en-GB"/>
        </w:rPr>
        <w:t>Studien und Texte</w:t>
      </w:r>
      <w:r w:rsidRPr="005E7CFC">
        <w:rPr>
          <w:rFonts w:ascii="Times New Roman" w:eastAsia="Times New Roman" w:hAnsi="Times New Roman" w:cs="Times New Roman"/>
          <w:lang w:val="fi-FI" w:eastAsia="en-GB"/>
        </w:rPr>
        <w:t xml:space="preserve"> </w:t>
      </w:r>
      <w:r w:rsidRPr="005E7CFC">
        <w:rPr>
          <w:rFonts w:ascii="Times New Roman" w:eastAsia="Times New Roman" w:hAnsi="Times New Roman" w:cs="Times New Roman"/>
          <w:lang w:eastAsia="en-GB"/>
        </w:rPr>
        <w:t>64 (Wiesbaden: Harrassowitz Verlag, 2018)</w:t>
      </w:r>
      <w:r w:rsidRPr="005E7CFC">
        <w:rPr>
          <w:rFonts w:ascii="Times New Roman" w:eastAsia="Times New Roman" w:hAnsi="Times New Roman" w:cs="Times New Roman"/>
          <w:lang w:val="fi-FI" w:eastAsia="en-GB"/>
        </w:rPr>
        <w:t>.</w:t>
      </w:r>
    </w:p>
    <w:p w:rsidR="005E7CFC" w14:paraId="50197067" w14:textId="49A52796">
      <w:pPr>
        <w:rPr>
          <w:rFonts w:ascii="Times New Roman" w:eastAsia="Times New Roman" w:hAnsi="Times New Roman" w:cs="Times New Roman"/>
          <w:lang w:val="fi-FI" w:eastAsia="en-GB"/>
        </w:rPr>
      </w:pPr>
    </w:p>
    <w:p w:rsidR="007B57A3" w14:paraId="4004756D" w14:textId="1D2D655A">
      <w:pPr>
        <w:rPr>
          <w:rFonts w:ascii="Times New Roman" w:eastAsia="Times New Roman" w:hAnsi="Times New Roman" w:cs="Times New Roman"/>
          <w:lang w:val="en-GB" w:eastAsia="en-GB"/>
        </w:rPr>
      </w:pPr>
      <w:r w:rsidRPr="00216A1A">
        <w:rPr>
          <w:rFonts w:ascii="Times New Roman" w:eastAsia="Times New Roman" w:hAnsi="Times New Roman" w:cs="Times New Roman"/>
          <w:lang w:val="en-GB" w:eastAsia="en-GB"/>
        </w:rPr>
        <w:t>Scholars of late medieval heresy are acutely aware that</w:t>
      </w:r>
      <w:r>
        <w:rPr>
          <w:rFonts w:ascii="Times New Roman" w:eastAsia="Times New Roman" w:hAnsi="Times New Roman" w:cs="Times New Roman"/>
          <w:lang w:val="en-GB" w:eastAsia="en-GB"/>
        </w:rPr>
        <w:t xml:space="preserve"> </w:t>
      </w:r>
      <w:r>
        <w:rPr>
          <w:rFonts w:ascii="Times New Roman" w:eastAsia="Times New Roman" w:hAnsi="Times New Roman" w:cs="Times New Roman"/>
          <w:lang w:val="en-GB" w:eastAsia="en-GB"/>
        </w:rPr>
        <w:t xml:space="preserve">there is a wealth of sources that are hardly known in the archives and libraries. </w:t>
      </w:r>
      <w:r w:rsidR="00CE4982">
        <w:rPr>
          <w:rFonts w:ascii="Times New Roman" w:eastAsia="Times New Roman" w:hAnsi="Times New Roman" w:cs="Times New Roman"/>
          <w:lang w:val="en-GB" w:eastAsia="en-GB"/>
        </w:rPr>
        <w:t>Unfortunately,</w:t>
      </w:r>
      <w:r>
        <w:rPr>
          <w:rFonts w:ascii="Times New Roman" w:eastAsia="Times New Roman" w:hAnsi="Times New Roman" w:cs="Times New Roman"/>
          <w:lang w:val="en-GB" w:eastAsia="en-GB"/>
        </w:rPr>
        <w:t xml:space="preserve"> common is</w:t>
      </w:r>
      <w:r w:rsidR="00CE4982">
        <w:rPr>
          <w:rFonts w:ascii="Times New Roman" w:eastAsia="Times New Roman" w:hAnsi="Times New Roman" w:cs="Times New Roman"/>
          <w:lang w:val="en-GB" w:eastAsia="en-GB"/>
        </w:rPr>
        <w:t xml:space="preserve"> also</w:t>
      </w:r>
      <w:r>
        <w:rPr>
          <w:rFonts w:ascii="Times New Roman" w:eastAsia="Times New Roman" w:hAnsi="Times New Roman" w:cs="Times New Roman"/>
          <w:lang w:val="en-GB" w:eastAsia="en-GB"/>
        </w:rPr>
        <w:t xml:space="preserve"> the situation whe</w:t>
      </w:r>
      <w:r w:rsidR="00B53394">
        <w:rPr>
          <w:rFonts w:ascii="Times New Roman" w:eastAsia="Times New Roman" w:hAnsi="Times New Roman" w:cs="Times New Roman"/>
          <w:lang w:val="en-GB" w:eastAsia="en-GB"/>
        </w:rPr>
        <w:t>n,</w:t>
      </w:r>
      <w:r>
        <w:rPr>
          <w:rFonts w:ascii="Times New Roman" w:eastAsia="Times New Roman" w:hAnsi="Times New Roman" w:cs="Times New Roman"/>
          <w:lang w:val="en-GB" w:eastAsia="en-GB"/>
        </w:rPr>
        <w:t xml:space="preserve"> </w:t>
      </w:r>
      <w:r w:rsidR="007F4197">
        <w:rPr>
          <w:rFonts w:ascii="Times New Roman" w:eastAsia="Times New Roman" w:hAnsi="Times New Roman" w:cs="Times New Roman"/>
          <w:lang w:val="en-GB" w:eastAsia="en-GB"/>
        </w:rPr>
        <w:t xml:space="preserve">in the lack of proper critical editions, </w:t>
      </w:r>
      <w:r>
        <w:rPr>
          <w:rFonts w:ascii="Times New Roman" w:eastAsia="Times New Roman" w:hAnsi="Times New Roman" w:cs="Times New Roman"/>
          <w:lang w:val="en-GB" w:eastAsia="en-GB"/>
        </w:rPr>
        <w:t>generations of scholars refer to partial and flawed prints and editions</w:t>
      </w:r>
      <w:r w:rsidR="007F4197">
        <w:rPr>
          <w:rFonts w:ascii="Times New Roman" w:eastAsia="Times New Roman" w:hAnsi="Times New Roman" w:cs="Times New Roman"/>
          <w:lang w:val="en-GB" w:eastAsia="en-GB"/>
        </w:rPr>
        <w:t xml:space="preserve">. </w:t>
      </w:r>
      <w:r w:rsidR="00702B58">
        <w:rPr>
          <w:rFonts w:ascii="Times New Roman" w:eastAsia="Times New Roman" w:hAnsi="Times New Roman" w:cs="Times New Roman"/>
          <w:lang w:val="en-GB" w:eastAsia="en-GB"/>
        </w:rPr>
        <w:t xml:space="preserve">Alexander </w:t>
      </w:r>
      <w:r w:rsidR="00702B58">
        <w:rPr>
          <w:rFonts w:ascii="Times New Roman" w:eastAsia="Times New Roman" w:hAnsi="Times New Roman" w:cs="Times New Roman"/>
          <w:lang w:val="en-GB" w:eastAsia="en-GB"/>
        </w:rPr>
        <w:t>Patschovsky</w:t>
      </w:r>
      <w:r w:rsidR="00702B58">
        <w:rPr>
          <w:rFonts w:ascii="Times New Roman" w:eastAsia="Times New Roman" w:hAnsi="Times New Roman" w:cs="Times New Roman"/>
          <w:lang w:val="en-GB" w:eastAsia="en-GB"/>
        </w:rPr>
        <w:t xml:space="preserve"> aims to remedy such a case with his edition of the heresy process against two Spiritual Franciscans in the papal court at Avignon in 1354</w:t>
      </w:r>
      <w:r w:rsidR="00C37759">
        <w:rPr>
          <w:rFonts w:ascii="Times New Roman" w:eastAsia="Times New Roman" w:hAnsi="Times New Roman" w:cs="Times New Roman"/>
          <w:lang w:val="en-GB" w:eastAsia="en-GB"/>
        </w:rPr>
        <w:t xml:space="preserve">, so far available to scholars only as </w:t>
      </w:r>
      <w:r w:rsidR="00CA25FE">
        <w:rPr>
          <w:rFonts w:ascii="Times New Roman" w:eastAsia="Times New Roman" w:hAnsi="Times New Roman" w:cs="Times New Roman"/>
          <w:lang w:val="en-GB" w:eastAsia="en-GB"/>
        </w:rPr>
        <w:t xml:space="preserve">a </w:t>
      </w:r>
      <w:r w:rsidR="00C37759">
        <w:rPr>
          <w:rFonts w:ascii="Times New Roman" w:eastAsia="Times New Roman" w:hAnsi="Times New Roman" w:cs="Times New Roman"/>
          <w:lang w:val="en-GB" w:eastAsia="en-GB"/>
        </w:rPr>
        <w:t xml:space="preserve">partial edition in Ignaz von </w:t>
      </w:r>
      <w:r w:rsidR="00C37759">
        <w:rPr>
          <w:rFonts w:ascii="Times New Roman" w:eastAsia="Times New Roman" w:hAnsi="Times New Roman" w:cs="Times New Roman"/>
          <w:lang w:val="en-GB" w:eastAsia="en-GB"/>
        </w:rPr>
        <w:t>Döllinger</w:t>
      </w:r>
      <w:r w:rsidR="00CA25FE">
        <w:rPr>
          <w:rFonts w:ascii="Times New Roman" w:eastAsia="Times New Roman" w:hAnsi="Times New Roman" w:cs="Times New Roman"/>
          <w:lang w:val="en-GB" w:eastAsia="en-GB"/>
        </w:rPr>
        <w:t>’</w:t>
      </w:r>
      <w:r w:rsidR="00C37759">
        <w:rPr>
          <w:rFonts w:ascii="Times New Roman" w:eastAsia="Times New Roman" w:hAnsi="Times New Roman" w:cs="Times New Roman"/>
          <w:lang w:val="en-GB" w:eastAsia="en-GB"/>
        </w:rPr>
        <w:t>s</w:t>
      </w:r>
      <w:r w:rsidR="00CA25FE">
        <w:rPr>
          <w:rFonts w:ascii="Times New Roman" w:eastAsia="Times New Roman" w:hAnsi="Times New Roman" w:cs="Times New Roman"/>
          <w:lang w:val="en-GB" w:eastAsia="en-GB"/>
        </w:rPr>
        <w:t xml:space="preserve"> </w:t>
      </w:r>
      <w:r w:rsidRPr="00CA25FE" w:rsidR="00CA25FE">
        <w:rPr>
          <w:rFonts w:ascii="Times New Roman" w:eastAsia="Times New Roman" w:hAnsi="Times New Roman" w:cs="Times New Roman"/>
          <w:i/>
          <w:iCs/>
          <w:lang w:val="en-GB" w:eastAsia="en-GB"/>
        </w:rPr>
        <w:t>Sektengeschichte</w:t>
      </w:r>
      <w:r w:rsidRPr="00CA25FE" w:rsidR="00CA25FE">
        <w:rPr>
          <w:rFonts w:ascii="Times New Roman" w:eastAsia="Times New Roman" w:hAnsi="Times New Roman" w:cs="Times New Roman"/>
          <w:i/>
          <w:iCs/>
          <w:lang w:val="en-GB" w:eastAsia="en-GB"/>
        </w:rPr>
        <w:t xml:space="preserve"> II</w:t>
      </w:r>
      <w:r w:rsidR="00C37759">
        <w:rPr>
          <w:rFonts w:ascii="Times New Roman" w:eastAsia="Times New Roman" w:hAnsi="Times New Roman" w:cs="Times New Roman"/>
          <w:lang w:val="en-GB" w:eastAsia="en-GB"/>
        </w:rPr>
        <w:t xml:space="preserve"> </w:t>
      </w:r>
      <w:r w:rsidR="00CA25FE">
        <w:rPr>
          <w:rFonts w:ascii="Times New Roman" w:eastAsia="Times New Roman" w:hAnsi="Times New Roman" w:cs="Times New Roman"/>
          <w:lang w:val="en-GB" w:eastAsia="en-GB"/>
        </w:rPr>
        <w:t xml:space="preserve">(1890). </w:t>
      </w:r>
      <w:r w:rsidR="00C37759">
        <w:rPr>
          <w:rFonts w:ascii="Times New Roman" w:eastAsia="Times New Roman" w:hAnsi="Times New Roman" w:cs="Times New Roman"/>
          <w:lang w:val="en-GB" w:eastAsia="en-GB"/>
        </w:rPr>
        <w:t>Patschovsky</w:t>
      </w:r>
      <w:r w:rsidR="00C37759">
        <w:rPr>
          <w:rFonts w:ascii="Times New Roman" w:eastAsia="Times New Roman" w:hAnsi="Times New Roman" w:cs="Times New Roman"/>
          <w:lang w:val="en-GB" w:eastAsia="en-GB"/>
        </w:rPr>
        <w:t xml:space="preserve"> himself had </w:t>
      </w:r>
      <w:r w:rsidR="00CA25FE">
        <w:rPr>
          <w:rFonts w:ascii="Times New Roman" w:eastAsia="Times New Roman" w:hAnsi="Times New Roman" w:cs="Times New Roman"/>
          <w:lang w:val="en-GB" w:eastAsia="en-GB"/>
        </w:rPr>
        <w:t xml:space="preserve">referred to the material already in 1974, and 44 years later the edition finally saw daylight. </w:t>
      </w:r>
    </w:p>
    <w:p w:rsidR="00A362A8" w14:paraId="53302A7A" w14:textId="39CBC6B2">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ab/>
        <w:t xml:space="preserve">The case itself is peculiar among medieval heresy processes, which rarely took place in the papal curia and were instead delegated to inquisitors of </w:t>
      </w:r>
      <w:r>
        <w:rPr>
          <w:rFonts w:ascii="Times New Roman" w:eastAsia="Times New Roman" w:hAnsi="Times New Roman" w:cs="Times New Roman"/>
          <w:lang w:val="en-GB" w:eastAsia="en-GB"/>
        </w:rPr>
        <w:t>heresy</w:t>
      </w:r>
      <w:r w:rsidR="00CE4982">
        <w:rPr>
          <w:rFonts w:ascii="Times New Roman" w:eastAsia="Times New Roman" w:hAnsi="Times New Roman" w:cs="Times New Roman"/>
          <w:lang w:val="en-GB" w:eastAsia="en-GB"/>
        </w:rPr>
        <w:t xml:space="preserve">, </w:t>
      </w:r>
      <w:r>
        <w:rPr>
          <w:rFonts w:ascii="Times New Roman" w:eastAsia="Times New Roman" w:hAnsi="Times New Roman" w:cs="Times New Roman"/>
          <w:lang w:val="en-GB" w:eastAsia="en-GB"/>
        </w:rPr>
        <w:t>or</w:t>
      </w:r>
      <w:r>
        <w:rPr>
          <w:rFonts w:ascii="Times New Roman" w:eastAsia="Times New Roman" w:hAnsi="Times New Roman" w:cs="Times New Roman"/>
          <w:lang w:val="en-GB" w:eastAsia="en-GB"/>
        </w:rPr>
        <w:t xml:space="preserve"> remained a bishops' responsibility. </w:t>
      </w:r>
      <w:r w:rsidR="00D72EB8">
        <w:rPr>
          <w:rFonts w:ascii="Times New Roman" w:eastAsia="Times New Roman" w:hAnsi="Times New Roman" w:cs="Times New Roman"/>
          <w:lang w:val="en-GB" w:eastAsia="en-GB"/>
        </w:rPr>
        <w:t xml:space="preserve">It seems that in this </w:t>
      </w:r>
      <w:r w:rsidR="00CD77AC">
        <w:rPr>
          <w:rFonts w:ascii="Times New Roman" w:eastAsia="Times New Roman" w:hAnsi="Times New Roman" w:cs="Times New Roman"/>
          <w:lang w:val="en-GB" w:eastAsia="en-GB"/>
        </w:rPr>
        <w:t>instance</w:t>
      </w:r>
      <w:r w:rsidR="00D72EB8">
        <w:rPr>
          <w:rFonts w:ascii="Times New Roman" w:eastAsia="Times New Roman" w:hAnsi="Times New Roman" w:cs="Times New Roman"/>
          <w:lang w:val="en-GB" w:eastAsia="en-GB"/>
        </w:rPr>
        <w:t xml:space="preserve">, the curia took the initiative and made the inquisitor of </w:t>
      </w:r>
      <w:r w:rsidR="00D72EB8">
        <w:rPr>
          <w:rFonts w:ascii="Times New Roman" w:eastAsia="Times New Roman" w:hAnsi="Times New Roman" w:cs="Times New Roman"/>
          <w:lang w:val="en-GB" w:eastAsia="en-GB"/>
        </w:rPr>
        <w:t>Carcassone</w:t>
      </w:r>
      <w:r w:rsidR="00D72EB8">
        <w:rPr>
          <w:rFonts w:ascii="Times New Roman" w:eastAsia="Times New Roman" w:hAnsi="Times New Roman" w:cs="Times New Roman"/>
          <w:lang w:val="en-GB" w:eastAsia="en-GB"/>
        </w:rPr>
        <w:t xml:space="preserve"> transfer the case to Avignon. According to </w:t>
      </w:r>
      <w:r w:rsidR="00D72EB8">
        <w:rPr>
          <w:rFonts w:ascii="Times New Roman" w:eastAsia="Times New Roman" w:hAnsi="Times New Roman" w:cs="Times New Roman"/>
          <w:lang w:val="en-GB" w:eastAsia="en-GB"/>
        </w:rPr>
        <w:t>Patschovsky</w:t>
      </w:r>
      <w:r w:rsidR="00D72EB8">
        <w:rPr>
          <w:rFonts w:ascii="Times New Roman" w:eastAsia="Times New Roman" w:hAnsi="Times New Roman" w:cs="Times New Roman"/>
          <w:lang w:val="en-GB" w:eastAsia="en-GB"/>
        </w:rPr>
        <w:t xml:space="preserve">, the probable reason </w:t>
      </w:r>
      <w:r w:rsidR="00BE2A0B">
        <w:rPr>
          <w:rFonts w:ascii="Times New Roman" w:eastAsia="Times New Roman" w:hAnsi="Times New Roman" w:cs="Times New Roman"/>
          <w:lang w:val="en-GB" w:eastAsia="en-GB"/>
        </w:rPr>
        <w:t>was</w:t>
      </w:r>
      <w:r w:rsidR="00D72EB8">
        <w:rPr>
          <w:rFonts w:ascii="Times New Roman" w:eastAsia="Times New Roman" w:hAnsi="Times New Roman" w:cs="Times New Roman"/>
          <w:lang w:val="en-GB" w:eastAsia="en-GB"/>
        </w:rPr>
        <w:t xml:space="preserve"> the highly political nature of Franciscan poverty at the time. </w:t>
      </w:r>
      <w:r w:rsidR="000C1052">
        <w:rPr>
          <w:rFonts w:ascii="Times New Roman" w:eastAsia="Times New Roman" w:hAnsi="Times New Roman" w:cs="Times New Roman"/>
          <w:lang w:val="en-GB" w:eastAsia="en-GB"/>
        </w:rPr>
        <w:t xml:space="preserve">On the one hand, the papacy sought to impose its authority over the divided but influential Franciscan order and </w:t>
      </w:r>
      <w:r w:rsidR="00CD77AC">
        <w:rPr>
          <w:rFonts w:ascii="Times New Roman" w:eastAsia="Times New Roman" w:hAnsi="Times New Roman" w:cs="Times New Roman"/>
          <w:lang w:val="en-GB" w:eastAsia="en-GB"/>
        </w:rPr>
        <w:t xml:space="preserve">reconcile its radical elements when possible. On the other hand, the particular case of Giovanni di Castiglione and Francesco </w:t>
      </w:r>
      <w:r w:rsidR="00CD77AC">
        <w:rPr>
          <w:rFonts w:ascii="Times New Roman" w:eastAsia="Times New Roman" w:hAnsi="Times New Roman" w:cs="Times New Roman"/>
          <w:lang w:val="en-GB" w:eastAsia="en-GB"/>
        </w:rPr>
        <w:t>d</w:t>
      </w:r>
      <w:r w:rsidR="00CD77AC">
        <w:rPr>
          <w:rFonts w:ascii="Times New Roman" w:eastAsia="Times New Roman" w:hAnsi="Times New Roman" w:cs="Times New Roman"/>
          <w:lang w:val="en-GB" w:eastAsia="en-GB"/>
        </w:rPr>
        <w:t>’</w:t>
      </w:r>
      <w:r w:rsidR="00CD77AC">
        <w:rPr>
          <w:rFonts w:ascii="Times New Roman" w:eastAsia="Times New Roman" w:hAnsi="Times New Roman" w:cs="Times New Roman"/>
          <w:lang w:val="en-GB" w:eastAsia="en-GB"/>
        </w:rPr>
        <w:t>Arquata</w:t>
      </w:r>
      <w:r w:rsidR="00CD77AC">
        <w:rPr>
          <w:rFonts w:ascii="Times New Roman" w:eastAsia="Times New Roman" w:hAnsi="Times New Roman" w:cs="Times New Roman"/>
          <w:lang w:val="en-GB" w:eastAsia="en-GB"/>
        </w:rPr>
        <w:t xml:space="preserve"> had concrete implications against L</w:t>
      </w:r>
      <w:r w:rsidR="00BE2A0B">
        <w:rPr>
          <w:rFonts w:ascii="Times New Roman" w:eastAsia="Times New Roman" w:hAnsi="Times New Roman" w:cs="Times New Roman"/>
          <w:lang w:val="en-GB" w:eastAsia="en-GB"/>
        </w:rPr>
        <w:t>ouis</w:t>
      </w:r>
      <w:r w:rsidR="00CD77AC">
        <w:rPr>
          <w:rFonts w:ascii="Times New Roman" w:eastAsia="Times New Roman" w:hAnsi="Times New Roman" w:cs="Times New Roman"/>
          <w:lang w:val="en-GB" w:eastAsia="en-GB"/>
        </w:rPr>
        <w:t xml:space="preserve"> of Durazzo. In the 1350s, </w:t>
      </w:r>
      <w:r w:rsidR="00BE2A0B">
        <w:rPr>
          <w:rFonts w:ascii="Times New Roman" w:eastAsia="Times New Roman" w:hAnsi="Times New Roman" w:cs="Times New Roman"/>
          <w:lang w:val="en-GB" w:eastAsia="en-GB"/>
        </w:rPr>
        <w:t xml:space="preserve">Louis was a leading figure of the </w:t>
      </w:r>
      <w:r w:rsidR="00BE2A0B">
        <w:rPr>
          <w:rFonts w:ascii="Times New Roman" w:eastAsia="Times New Roman" w:hAnsi="Times New Roman" w:cs="Times New Roman"/>
          <w:lang w:val="en-GB" w:eastAsia="en-GB"/>
        </w:rPr>
        <w:t>Durazzeschi</w:t>
      </w:r>
      <w:r w:rsidR="00BE2A0B">
        <w:rPr>
          <w:rFonts w:ascii="Times New Roman" w:eastAsia="Times New Roman" w:hAnsi="Times New Roman" w:cs="Times New Roman"/>
          <w:lang w:val="en-GB" w:eastAsia="en-GB"/>
        </w:rPr>
        <w:t xml:space="preserve"> opposition in the war-ravaged Regno. Louis himself would face heresy accusation as a protector of the Spirituals in 1362, and Francesco</w:t>
      </w:r>
      <w:r w:rsidR="00BE2A0B">
        <w:rPr>
          <w:rFonts w:ascii="Times New Roman" w:eastAsia="Times New Roman" w:hAnsi="Times New Roman" w:cs="Times New Roman"/>
          <w:lang w:val="en-GB" w:eastAsia="en-GB"/>
        </w:rPr>
        <w:t>’</w:t>
      </w:r>
      <w:r w:rsidR="00BE2A0B">
        <w:rPr>
          <w:rFonts w:ascii="Times New Roman" w:eastAsia="Times New Roman" w:hAnsi="Times New Roman" w:cs="Times New Roman"/>
          <w:lang w:val="en-GB" w:eastAsia="en-GB"/>
        </w:rPr>
        <w:t xml:space="preserve">s confession revealed his familiarity with Louis. Despite being a rebel and familiarising with known heretics, Louis of Durazzo had connections right to the top of the curia, as his maternal uncle was </w:t>
      </w:r>
      <w:r w:rsidR="00BE2A0B">
        <w:rPr>
          <w:rFonts w:ascii="Times New Roman" w:eastAsia="Times New Roman" w:hAnsi="Times New Roman" w:cs="Times New Roman"/>
          <w:lang w:val="en-GB" w:eastAsia="en-GB"/>
        </w:rPr>
        <w:t>Élie</w:t>
      </w:r>
      <w:r w:rsidR="00BE2A0B">
        <w:rPr>
          <w:rFonts w:ascii="Times New Roman" w:eastAsia="Times New Roman" w:hAnsi="Times New Roman" w:cs="Times New Roman"/>
          <w:lang w:val="en-GB" w:eastAsia="en-GB"/>
        </w:rPr>
        <w:t xml:space="preserve"> de Talleyrand, the cardinal protector of the Franciscan order. Hence the exceptional interest on behalf of the pope and his curia (16, 20–21).</w:t>
      </w:r>
    </w:p>
    <w:p w:rsidR="005F4B34" w14:paraId="08D8BCFF" w14:textId="3CADC8E7">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ab/>
      </w:r>
      <w:r w:rsidR="00D85535">
        <w:rPr>
          <w:rFonts w:ascii="Times New Roman" w:eastAsia="Times New Roman" w:hAnsi="Times New Roman" w:cs="Times New Roman"/>
          <w:lang w:val="en-GB" w:eastAsia="en-GB"/>
        </w:rPr>
        <w:t>The introduction provides the reader with a detailed description of the process</w:t>
      </w:r>
      <w:r w:rsidR="00652C6A">
        <w:rPr>
          <w:rFonts w:ascii="Times New Roman" w:eastAsia="Times New Roman" w:hAnsi="Times New Roman" w:cs="Times New Roman"/>
          <w:lang w:val="en-GB" w:eastAsia="en-GB"/>
        </w:rPr>
        <w:t xml:space="preserve">, </w:t>
      </w:r>
      <w:r w:rsidR="00D85535">
        <w:rPr>
          <w:rFonts w:ascii="Times New Roman" w:eastAsia="Times New Roman" w:hAnsi="Times New Roman" w:cs="Times New Roman"/>
          <w:lang w:val="en-GB" w:eastAsia="en-GB"/>
        </w:rPr>
        <w:t>background</w:t>
      </w:r>
      <w:r w:rsidR="00652C6A">
        <w:rPr>
          <w:rFonts w:ascii="Times New Roman" w:eastAsia="Times New Roman" w:hAnsi="Times New Roman" w:cs="Times New Roman"/>
          <w:lang w:val="en-GB" w:eastAsia="en-GB"/>
        </w:rPr>
        <w:t xml:space="preserve">, and context </w:t>
      </w:r>
      <w:r w:rsidR="00D85535">
        <w:rPr>
          <w:rFonts w:ascii="Times New Roman" w:eastAsia="Times New Roman" w:hAnsi="Times New Roman" w:cs="Times New Roman"/>
          <w:lang w:val="en-GB" w:eastAsia="en-GB"/>
        </w:rPr>
        <w:t>(2–</w:t>
      </w:r>
      <w:r w:rsidR="00652C6A">
        <w:rPr>
          <w:rFonts w:ascii="Times New Roman" w:eastAsia="Times New Roman" w:hAnsi="Times New Roman" w:cs="Times New Roman"/>
          <w:lang w:val="en-GB" w:eastAsia="en-GB"/>
        </w:rPr>
        <w:t>22</w:t>
      </w:r>
      <w:r w:rsidR="00D85535">
        <w:rPr>
          <w:rFonts w:ascii="Times New Roman" w:eastAsia="Times New Roman" w:hAnsi="Times New Roman" w:cs="Times New Roman"/>
          <w:lang w:val="en-GB" w:eastAsia="en-GB"/>
        </w:rPr>
        <w:t xml:space="preserve">). </w:t>
      </w:r>
      <w:r w:rsidR="00CE4982">
        <w:rPr>
          <w:rFonts w:ascii="Times New Roman" w:eastAsia="Times New Roman" w:hAnsi="Times New Roman" w:cs="Times New Roman"/>
          <w:lang w:val="en-GB" w:eastAsia="en-GB"/>
        </w:rPr>
        <w:t xml:space="preserve">A summary of </w:t>
      </w:r>
      <w:r>
        <w:rPr>
          <w:rFonts w:ascii="Times New Roman" w:eastAsia="Times New Roman" w:hAnsi="Times New Roman" w:cs="Times New Roman"/>
          <w:lang w:val="en-GB" w:eastAsia="en-GB"/>
        </w:rPr>
        <w:t>the two Franciscans</w:t>
      </w:r>
      <w:r w:rsidR="00CE4982">
        <w:rPr>
          <w:rFonts w:ascii="Times New Roman" w:eastAsia="Times New Roman" w:hAnsi="Times New Roman" w:cs="Times New Roman"/>
          <w:lang w:val="en-GB" w:eastAsia="en-GB"/>
        </w:rPr>
        <w:t>' fate is in order</w:t>
      </w:r>
      <w:r>
        <w:rPr>
          <w:rFonts w:ascii="Times New Roman" w:eastAsia="Times New Roman" w:hAnsi="Times New Roman" w:cs="Times New Roman"/>
          <w:lang w:val="en-GB" w:eastAsia="en-GB"/>
        </w:rPr>
        <w:t>,</w:t>
      </w:r>
      <w:r w:rsidR="00CE4982">
        <w:rPr>
          <w:rFonts w:ascii="Times New Roman" w:eastAsia="Times New Roman" w:hAnsi="Times New Roman" w:cs="Times New Roman"/>
          <w:lang w:val="en-GB" w:eastAsia="en-GB"/>
        </w:rPr>
        <w:t xml:space="preserve"> as it is</w:t>
      </w:r>
      <w:r>
        <w:rPr>
          <w:rFonts w:ascii="Times New Roman" w:eastAsia="Times New Roman" w:hAnsi="Times New Roman" w:cs="Times New Roman"/>
          <w:lang w:val="en-GB" w:eastAsia="en-GB"/>
        </w:rPr>
        <w:t xml:space="preserve"> a story that could well inspire a novel or other works of fiction. </w:t>
      </w:r>
      <w:r w:rsidR="00414465">
        <w:rPr>
          <w:rFonts w:ascii="Times New Roman" w:eastAsia="Times New Roman" w:hAnsi="Times New Roman" w:cs="Times New Roman"/>
          <w:lang w:val="en-GB" w:eastAsia="en-GB"/>
        </w:rPr>
        <w:t xml:space="preserve">Giovanni and Francesco were on their pilgrimage to Santiago de Compostela, on a route through Midi, when some servants of the inquisitor of Carcassonne caught them in Montpellier. </w:t>
      </w:r>
      <w:r w:rsidR="00983238">
        <w:rPr>
          <w:rFonts w:ascii="Times New Roman" w:eastAsia="Times New Roman" w:hAnsi="Times New Roman" w:cs="Times New Roman"/>
          <w:lang w:val="en-GB" w:eastAsia="en-GB"/>
        </w:rPr>
        <w:t>In their possession, they had a little book (</w:t>
      </w:r>
      <w:r w:rsidR="00983238">
        <w:rPr>
          <w:rFonts w:ascii="Times New Roman" w:eastAsia="Times New Roman" w:hAnsi="Times New Roman" w:cs="Times New Roman"/>
          <w:i/>
          <w:iCs/>
          <w:lang w:val="en-GB" w:eastAsia="en-GB"/>
        </w:rPr>
        <w:t>parvus</w:t>
      </w:r>
      <w:r w:rsidR="00983238">
        <w:rPr>
          <w:rFonts w:ascii="Times New Roman" w:eastAsia="Times New Roman" w:hAnsi="Times New Roman" w:cs="Times New Roman"/>
          <w:i/>
          <w:iCs/>
          <w:lang w:val="en-GB" w:eastAsia="en-GB"/>
        </w:rPr>
        <w:t xml:space="preserve"> </w:t>
      </w:r>
      <w:r w:rsidR="00983238">
        <w:rPr>
          <w:rFonts w:ascii="Times New Roman" w:eastAsia="Times New Roman" w:hAnsi="Times New Roman" w:cs="Times New Roman"/>
          <w:i/>
          <w:iCs/>
          <w:lang w:val="en-GB" w:eastAsia="en-GB"/>
        </w:rPr>
        <w:t>libellus</w:t>
      </w:r>
      <w:r w:rsidR="00983238">
        <w:rPr>
          <w:rFonts w:ascii="Times New Roman" w:eastAsia="Times New Roman" w:hAnsi="Times New Roman" w:cs="Times New Roman"/>
          <w:lang w:val="en-GB" w:eastAsia="en-GB"/>
        </w:rPr>
        <w:t xml:space="preserve">), which contained their declaration of faith and a list of martyred Spirituals. In other words, a damning piece of evidence in the eyes of inquisitors. They were </w:t>
      </w:r>
      <w:r w:rsidR="00D85535">
        <w:rPr>
          <w:rFonts w:ascii="Times New Roman" w:eastAsia="Times New Roman" w:hAnsi="Times New Roman" w:cs="Times New Roman"/>
          <w:lang w:val="en-GB" w:eastAsia="en-GB"/>
        </w:rPr>
        <w:t xml:space="preserve">questioned in Carcassonne in 1353 and held in very harsh conditions, forcing Francesco to recant and abjure. For reasons explained above, the papal curia ordered the transfer of the two accused to Avignon, and Innocent VI entrusted the matter to the Cistercian Cardinal Guillaume Court in spring 1354. The cardinal questioned both men on multiple occasions, and the process gives the impression that he </w:t>
      </w:r>
      <w:r w:rsidR="00CE4982">
        <w:rPr>
          <w:rFonts w:ascii="Times New Roman" w:eastAsia="Times New Roman" w:hAnsi="Times New Roman" w:cs="Times New Roman"/>
          <w:lang w:val="en-GB" w:eastAsia="en-GB"/>
        </w:rPr>
        <w:t>genuinely</w:t>
      </w:r>
      <w:r w:rsidR="00D85535">
        <w:rPr>
          <w:rFonts w:ascii="Times New Roman" w:eastAsia="Times New Roman" w:hAnsi="Times New Roman" w:cs="Times New Roman"/>
          <w:lang w:val="en-GB" w:eastAsia="en-GB"/>
        </w:rPr>
        <w:t xml:space="preserve"> tried to make them recant and save themselves. </w:t>
      </w:r>
    </w:p>
    <w:p w:rsidR="00015E62" w:rsidP="005F4B34" w14:paraId="119033F1" w14:textId="544AF576">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 xml:space="preserve">I agree with </w:t>
      </w:r>
      <w:r>
        <w:rPr>
          <w:rFonts w:ascii="Times New Roman" w:eastAsia="Times New Roman" w:hAnsi="Times New Roman" w:cs="Times New Roman"/>
          <w:lang w:val="en-GB" w:eastAsia="en-GB"/>
        </w:rPr>
        <w:t>Patschovsky</w:t>
      </w:r>
      <w:r>
        <w:rPr>
          <w:rFonts w:ascii="Times New Roman" w:eastAsia="Times New Roman" w:hAnsi="Times New Roman" w:cs="Times New Roman"/>
          <w:lang w:val="en-GB" w:eastAsia="en-GB"/>
        </w:rPr>
        <w:t xml:space="preserve"> that the process's goal was conversion and reconciliation, not the destruction of these heretics (21). </w:t>
      </w:r>
      <w:r w:rsidR="00B53394">
        <w:rPr>
          <w:rFonts w:ascii="Times New Roman" w:eastAsia="Times New Roman" w:hAnsi="Times New Roman" w:cs="Times New Roman"/>
          <w:lang w:val="en-GB" w:eastAsia="en-GB"/>
        </w:rPr>
        <w:t>But u</w:t>
      </w:r>
      <w:r w:rsidR="005F4B34">
        <w:rPr>
          <w:rFonts w:ascii="Times New Roman" w:eastAsia="Times New Roman" w:hAnsi="Times New Roman" w:cs="Times New Roman"/>
          <w:lang w:val="en-GB" w:eastAsia="en-GB"/>
        </w:rPr>
        <w:t xml:space="preserve">nlike </w:t>
      </w:r>
      <w:r w:rsidR="005F4B34">
        <w:rPr>
          <w:rFonts w:ascii="Times New Roman" w:eastAsia="Times New Roman" w:hAnsi="Times New Roman" w:cs="Times New Roman"/>
          <w:lang w:val="en-GB" w:eastAsia="en-GB"/>
        </w:rPr>
        <w:t>Patschovsky</w:t>
      </w:r>
      <w:r w:rsidR="005F4B34">
        <w:rPr>
          <w:rFonts w:ascii="Times New Roman" w:eastAsia="Times New Roman" w:hAnsi="Times New Roman" w:cs="Times New Roman"/>
          <w:lang w:val="en-GB" w:eastAsia="en-GB"/>
        </w:rPr>
        <w:t xml:space="preserve"> proposes (13, 19), in my opinion, even Francesco </w:t>
      </w:r>
      <w:r w:rsidR="005F4B34">
        <w:rPr>
          <w:rFonts w:ascii="Times New Roman" w:eastAsia="Times New Roman" w:hAnsi="Times New Roman" w:cs="Times New Roman"/>
          <w:lang w:val="en-GB" w:eastAsia="en-GB"/>
        </w:rPr>
        <w:t>d</w:t>
      </w:r>
      <w:r w:rsidR="005F4B34">
        <w:rPr>
          <w:rFonts w:ascii="Times New Roman" w:eastAsia="Times New Roman" w:hAnsi="Times New Roman" w:cs="Times New Roman"/>
          <w:lang w:val="en-GB" w:eastAsia="en-GB"/>
        </w:rPr>
        <w:t>’</w:t>
      </w:r>
      <w:r w:rsidR="005F4B34">
        <w:rPr>
          <w:rFonts w:ascii="Times New Roman" w:eastAsia="Times New Roman" w:hAnsi="Times New Roman" w:cs="Times New Roman"/>
          <w:lang w:val="en-GB" w:eastAsia="en-GB"/>
        </w:rPr>
        <w:t>Arquata</w:t>
      </w:r>
      <w:r w:rsidR="005F4B34">
        <w:rPr>
          <w:rFonts w:ascii="Times New Roman" w:eastAsia="Times New Roman" w:hAnsi="Times New Roman" w:cs="Times New Roman"/>
          <w:lang w:val="en-GB" w:eastAsia="en-GB"/>
        </w:rPr>
        <w:t>, who had abjured heresy and relapsed, had the possibility to survive the process. Although according to the law relapsed heretics were condemned to death, mercy in such cases was not entirely unheard, and the irregularities in the Carcassonne process could have provided a legal basis for declaring the previous abjuration invalid. The conversion in a high-profile trial w</w:t>
      </w:r>
      <w:r w:rsidR="00CE4982">
        <w:rPr>
          <w:rFonts w:ascii="Times New Roman" w:eastAsia="Times New Roman" w:hAnsi="Times New Roman" w:cs="Times New Roman"/>
          <w:lang w:val="en-GB" w:eastAsia="en-GB"/>
        </w:rPr>
        <w:t>ould have been</w:t>
      </w:r>
      <w:r w:rsidR="005F4B34">
        <w:rPr>
          <w:rFonts w:ascii="Times New Roman" w:eastAsia="Times New Roman" w:hAnsi="Times New Roman" w:cs="Times New Roman"/>
          <w:lang w:val="en-GB" w:eastAsia="en-GB"/>
        </w:rPr>
        <w:t xml:space="preserve"> more valuable than yet another executed Spiritual. However, reconciliation was not to </w:t>
      </w:r>
      <w:r w:rsidR="005F4B34">
        <w:rPr>
          <w:rFonts w:ascii="Times New Roman" w:eastAsia="Times New Roman" w:hAnsi="Times New Roman" w:cs="Times New Roman"/>
          <w:lang w:val="en-GB" w:eastAsia="en-GB"/>
        </w:rPr>
        <w:t>be:</w:t>
      </w:r>
      <w:r w:rsidR="005F4B34">
        <w:rPr>
          <w:rFonts w:ascii="Times New Roman" w:eastAsia="Times New Roman" w:hAnsi="Times New Roman" w:cs="Times New Roman"/>
          <w:lang w:val="en-GB" w:eastAsia="en-GB"/>
        </w:rPr>
        <w:t xml:space="preserve"> both men were steadfast in their faith and met their fate burning at the stake. </w:t>
      </w:r>
    </w:p>
    <w:p w:rsidR="005E7CFC" w:rsidP="00652C6A" w14:paraId="63634491" w14:textId="1DF0469D">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 xml:space="preserve">As one can expect from a leading scholar of the field with decades of experience on editing medieval sources, the introduction also gives </w:t>
      </w:r>
      <w:r w:rsidR="001E60AA">
        <w:rPr>
          <w:rFonts w:ascii="Times New Roman" w:eastAsia="Times New Roman" w:hAnsi="Times New Roman" w:cs="Times New Roman"/>
          <w:lang w:val="en-GB" w:eastAsia="en-GB"/>
        </w:rPr>
        <w:t xml:space="preserve">a </w:t>
      </w:r>
      <w:r>
        <w:rPr>
          <w:rFonts w:ascii="Times New Roman" w:eastAsia="Times New Roman" w:hAnsi="Times New Roman" w:cs="Times New Roman"/>
          <w:lang w:val="en-GB" w:eastAsia="en-GB"/>
        </w:rPr>
        <w:t>detailed description of the surprisingly broad manuscript transmission of the process material (26</w:t>
      </w:r>
      <w:r w:rsidR="00B7266F">
        <w:rPr>
          <w:rFonts w:ascii="Times New Roman" w:eastAsia="Times New Roman" w:hAnsi="Times New Roman" w:cs="Times New Roman"/>
          <w:lang w:val="en-GB" w:eastAsia="en-GB"/>
        </w:rPr>
        <w:t>–</w:t>
      </w:r>
      <w:r>
        <w:rPr>
          <w:rFonts w:ascii="Times New Roman" w:eastAsia="Times New Roman" w:hAnsi="Times New Roman" w:cs="Times New Roman"/>
          <w:lang w:val="en-GB" w:eastAsia="en-GB"/>
        </w:rPr>
        <w:t>39</w:t>
      </w:r>
      <w:r w:rsidR="00B7266F">
        <w:rPr>
          <w:rFonts w:ascii="Times New Roman" w:eastAsia="Times New Roman" w:hAnsi="Times New Roman" w:cs="Times New Roman"/>
          <w:lang w:val="en-GB" w:eastAsia="en-GB"/>
        </w:rPr>
        <w:t xml:space="preserve">), </w:t>
      </w:r>
      <w:r w:rsidR="001E60AA">
        <w:rPr>
          <w:rFonts w:ascii="Times New Roman" w:eastAsia="Times New Roman" w:hAnsi="Times New Roman" w:cs="Times New Roman"/>
          <w:lang w:val="en-GB" w:eastAsia="en-GB"/>
        </w:rPr>
        <w:t xml:space="preserve">a </w:t>
      </w:r>
      <w:r w:rsidR="00B7266F">
        <w:rPr>
          <w:rFonts w:ascii="Times New Roman" w:eastAsia="Times New Roman" w:hAnsi="Times New Roman" w:cs="Times New Roman"/>
          <w:lang w:val="en-GB" w:eastAsia="en-GB"/>
        </w:rPr>
        <w:t xml:space="preserve">summary of its contents (39–43), critical remarks on the transmission history (43–44), and </w:t>
      </w:r>
      <w:r w:rsidR="00B7266F">
        <w:rPr>
          <w:rFonts w:ascii="Times New Roman" w:eastAsia="Times New Roman" w:hAnsi="Times New Roman" w:cs="Times New Roman"/>
          <w:i/>
          <w:iCs/>
          <w:lang w:val="en-GB" w:eastAsia="en-GB"/>
        </w:rPr>
        <w:t xml:space="preserve">ratio </w:t>
      </w:r>
      <w:r w:rsidR="00B7266F">
        <w:rPr>
          <w:rFonts w:ascii="Times New Roman" w:eastAsia="Times New Roman" w:hAnsi="Times New Roman" w:cs="Times New Roman"/>
          <w:i/>
          <w:iCs/>
          <w:lang w:val="en-GB" w:eastAsia="en-GB"/>
        </w:rPr>
        <w:t>editionis</w:t>
      </w:r>
      <w:r w:rsidR="00B7266F">
        <w:rPr>
          <w:rFonts w:ascii="Times New Roman" w:eastAsia="Times New Roman" w:hAnsi="Times New Roman" w:cs="Times New Roman"/>
          <w:i/>
          <w:iCs/>
          <w:lang w:val="en-GB" w:eastAsia="en-GB"/>
        </w:rPr>
        <w:t xml:space="preserve">. </w:t>
      </w:r>
      <w:r w:rsidR="00B7266F">
        <w:rPr>
          <w:rFonts w:ascii="Times New Roman" w:eastAsia="Times New Roman" w:hAnsi="Times New Roman" w:cs="Times New Roman"/>
          <w:lang w:val="en-GB" w:eastAsia="en-GB"/>
        </w:rPr>
        <w:t xml:space="preserve">The edition is a </w:t>
      </w:r>
      <w:r w:rsidR="00B7266F">
        <w:rPr>
          <w:rFonts w:ascii="Times New Roman" w:eastAsia="Times New Roman" w:hAnsi="Times New Roman" w:cs="Times New Roman"/>
          <w:i/>
          <w:iCs/>
          <w:lang w:val="en-GB" w:eastAsia="en-GB"/>
        </w:rPr>
        <w:t>Mischtext</w:t>
      </w:r>
      <w:r w:rsidR="00B7266F">
        <w:rPr>
          <w:rFonts w:ascii="Times New Roman" w:eastAsia="Times New Roman" w:hAnsi="Times New Roman" w:cs="Times New Roman"/>
          <w:i/>
          <w:iCs/>
          <w:lang w:val="en-GB" w:eastAsia="en-GB"/>
        </w:rPr>
        <w:t xml:space="preserve"> </w:t>
      </w:r>
      <w:r w:rsidR="00B7266F">
        <w:rPr>
          <w:rFonts w:ascii="Times New Roman" w:eastAsia="Times New Roman" w:hAnsi="Times New Roman" w:cs="Times New Roman"/>
          <w:lang w:val="en-GB" w:eastAsia="en-GB"/>
        </w:rPr>
        <w:t>that considers the whole manuscript tradition but prefers two manuscripts (London and Vienna) with the best text</w:t>
      </w:r>
      <w:r w:rsidR="001E60AA">
        <w:rPr>
          <w:rFonts w:ascii="Times New Roman" w:eastAsia="Times New Roman" w:hAnsi="Times New Roman" w:cs="Times New Roman"/>
          <w:lang w:val="en-GB" w:eastAsia="en-GB"/>
        </w:rPr>
        <w:t>ual</w:t>
      </w:r>
      <w:r w:rsidR="00B7266F">
        <w:rPr>
          <w:rFonts w:ascii="Times New Roman" w:eastAsia="Times New Roman" w:hAnsi="Times New Roman" w:cs="Times New Roman"/>
          <w:lang w:val="en-GB" w:eastAsia="en-GB"/>
        </w:rPr>
        <w:t xml:space="preserve"> quality (44–47). </w:t>
      </w:r>
      <w:r w:rsidR="001E60AA">
        <w:rPr>
          <w:rFonts w:ascii="Times New Roman" w:eastAsia="Times New Roman" w:hAnsi="Times New Roman" w:cs="Times New Roman"/>
          <w:lang w:val="en-GB" w:eastAsia="en-GB"/>
        </w:rPr>
        <w:t>The actual edition takes about half of the volume</w:t>
      </w:r>
      <w:r w:rsidR="001E60AA">
        <w:rPr>
          <w:rFonts w:ascii="Times New Roman" w:eastAsia="Times New Roman" w:hAnsi="Times New Roman" w:cs="Times New Roman"/>
          <w:lang w:val="en-GB" w:eastAsia="en-GB"/>
        </w:rPr>
        <w:t>’</w:t>
      </w:r>
      <w:r w:rsidR="001E60AA">
        <w:rPr>
          <w:rFonts w:ascii="Times New Roman" w:eastAsia="Times New Roman" w:hAnsi="Times New Roman" w:cs="Times New Roman"/>
          <w:lang w:val="en-GB" w:eastAsia="en-GB"/>
        </w:rPr>
        <w:t>s length (51–125). The critical apparatus of variant readings is rich, and ample footnotes comment the Latin text. A</w:t>
      </w:r>
      <w:r w:rsidR="00CA5BE2">
        <w:rPr>
          <w:rFonts w:ascii="Times New Roman" w:eastAsia="Times New Roman" w:hAnsi="Times New Roman" w:cs="Times New Roman"/>
          <w:lang w:val="en-GB" w:eastAsia="en-GB"/>
        </w:rPr>
        <w:t xml:space="preserve"> detailed index is a valuable asset an adds the usability of the edition.</w:t>
      </w:r>
    </w:p>
    <w:p w:rsidR="00CA5BE2" w:rsidP="00652C6A" w14:paraId="25D1A511" w14:textId="59DFEB92">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 xml:space="preserve">The publication of the edition was timely. </w:t>
      </w:r>
      <w:r w:rsidR="00332548">
        <w:rPr>
          <w:rFonts w:ascii="Times New Roman" w:eastAsia="Times New Roman" w:hAnsi="Times New Roman" w:cs="Times New Roman"/>
          <w:lang w:val="en-GB" w:eastAsia="en-GB"/>
        </w:rPr>
        <w:t xml:space="preserve">In </w:t>
      </w:r>
      <w:r w:rsidR="00DB1B5C">
        <w:rPr>
          <w:rFonts w:ascii="Times New Roman" w:eastAsia="Times New Roman" w:hAnsi="Times New Roman" w:cs="Times New Roman"/>
          <w:lang w:val="en-GB" w:eastAsia="en-GB"/>
        </w:rPr>
        <w:t>fact,</w:t>
      </w:r>
      <w:r w:rsidR="00332548">
        <w:rPr>
          <w:rFonts w:ascii="Times New Roman" w:eastAsia="Times New Roman" w:hAnsi="Times New Roman" w:cs="Times New Roman"/>
          <w:lang w:val="en-GB" w:eastAsia="en-GB"/>
        </w:rPr>
        <w:t xml:space="preserve"> s</w:t>
      </w:r>
      <w:r>
        <w:rPr>
          <w:rFonts w:ascii="Times New Roman" w:eastAsia="Times New Roman" w:hAnsi="Times New Roman" w:cs="Times New Roman"/>
          <w:lang w:val="en-GB" w:eastAsia="en-GB"/>
        </w:rPr>
        <w:t>o timely that almost simultaneously</w:t>
      </w:r>
      <w:r w:rsidR="005B3A3D">
        <w:rPr>
          <w:rFonts w:ascii="Times New Roman" w:eastAsia="Times New Roman" w:hAnsi="Times New Roman" w:cs="Times New Roman"/>
          <w:lang w:val="en-GB" w:eastAsia="en-GB"/>
        </w:rPr>
        <w:t xml:space="preserve"> with it,</w:t>
      </w:r>
      <w:r>
        <w:rPr>
          <w:rFonts w:ascii="Times New Roman" w:eastAsia="Times New Roman" w:hAnsi="Times New Roman" w:cs="Times New Roman"/>
          <w:lang w:val="en-GB" w:eastAsia="en-GB"/>
        </w:rPr>
        <w:t xml:space="preserve"> two excellent articles discussing related themes came out in </w:t>
      </w:r>
      <w:r>
        <w:rPr>
          <w:rFonts w:ascii="Times New Roman" w:eastAsia="Times New Roman" w:hAnsi="Times New Roman" w:cs="Times New Roman"/>
          <w:lang w:val="en-GB" w:eastAsia="en-GB"/>
        </w:rPr>
        <w:t>Rober</w:t>
      </w:r>
      <w:r>
        <w:rPr>
          <w:rFonts w:ascii="Times New Roman" w:eastAsia="Times New Roman" w:hAnsi="Times New Roman" w:cs="Times New Roman"/>
          <w:lang w:val="en-GB" w:eastAsia="en-GB"/>
        </w:rPr>
        <w:t xml:space="preserve"> E. Lerner's </w:t>
      </w:r>
      <w:r>
        <w:rPr>
          <w:rFonts w:ascii="Times New Roman" w:eastAsia="Times New Roman" w:hAnsi="Times New Roman" w:cs="Times New Roman"/>
          <w:i/>
          <w:iCs/>
          <w:lang w:val="en-GB" w:eastAsia="en-GB"/>
        </w:rPr>
        <w:t xml:space="preserve">Festschrift. </w:t>
      </w:r>
      <w:r>
        <w:rPr>
          <w:rFonts w:ascii="Times New Roman" w:eastAsia="Times New Roman" w:hAnsi="Times New Roman" w:cs="Times New Roman"/>
          <w:lang w:val="en-GB" w:eastAsia="en-GB"/>
        </w:rPr>
        <w:t xml:space="preserve">Sylvain </w:t>
      </w:r>
      <w:r>
        <w:rPr>
          <w:rFonts w:ascii="Times New Roman" w:eastAsia="Times New Roman" w:hAnsi="Times New Roman" w:cs="Times New Roman"/>
          <w:lang w:val="en-GB" w:eastAsia="en-GB"/>
        </w:rPr>
        <w:t>Piron</w:t>
      </w:r>
      <w:r>
        <w:rPr>
          <w:rFonts w:ascii="Times New Roman" w:eastAsia="Times New Roman" w:hAnsi="Times New Roman" w:cs="Times New Roman"/>
          <w:lang w:val="en-GB" w:eastAsia="en-GB"/>
        </w:rPr>
        <w:t xml:space="preserve"> </w:t>
      </w:r>
      <w:r w:rsidR="00B315BE">
        <w:rPr>
          <w:rFonts w:ascii="Times New Roman" w:eastAsia="Times New Roman" w:hAnsi="Times New Roman" w:cs="Times New Roman"/>
          <w:lang w:val="en-GB" w:eastAsia="en-GB"/>
        </w:rPr>
        <w:t xml:space="preserve">has </w:t>
      </w:r>
      <w:r>
        <w:rPr>
          <w:rFonts w:ascii="Times New Roman" w:eastAsia="Times New Roman" w:hAnsi="Times New Roman" w:cs="Times New Roman"/>
          <w:lang w:val="en-GB" w:eastAsia="en-GB"/>
        </w:rPr>
        <w:t xml:space="preserve">provided new manuscript evidence on the transmission of </w:t>
      </w:r>
      <w:r>
        <w:rPr>
          <w:rFonts w:ascii="Times New Roman" w:eastAsia="Times New Roman" w:hAnsi="Times New Roman" w:cs="Times New Roman"/>
          <w:lang w:val="en-GB" w:eastAsia="en-GB"/>
        </w:rPr>
        <w:t>Barthélemy</w:t>
      </w:r>
      <w:r>
        <w:rPr>
          <w:rFonts w:ascii="Times New Roman" w:eastAsia="Times New Roman" w:hAnsi="Times New Roman" w:cs="Times New Roman"/>
          <w:lang w:val="en-GB" w:eastAsia="en-GB"/>
        </w:rPr>
        <w:t xml:space="preserve"> Sicard</w:t>
      </w:r>
      <w:r>
        <w:rPr>
          <w:rFonts w:ascii="Times New Roman" w:eastAsia="Times New Roman" w:hAnsi="Times New Roman" w:cs="Times New Roman"/>
          <w:lang w:val="en-GB" w:eastAsia="en-GB"/>
        </w:rPr>
        <w:t>’</w:t>
      </w:r>
      <w:r>
        <w:rPr>
          <w:rFonts w:ascii="Times New Roman" w:eastAsia="Times New Roman" w:hAnsi="Times New Roman" w:cs="Times New Roman"/>
          <w:lang w:val="en-GB" w:eastAsia="en-GB"/>
        </w:rPr>
        <w:t xml:space="preserve">s </w:t>
      </w:r>
      <w:r>
        <w:rPr>
          <w:rFonts w:ascii="Times New Roman" w:eastAsia="Times New Roman" w:hAnsi="Times New Roman" w:cs="Times New Roman"/>
          <w:i/>
          <w:iCs/>
          <w:lang w:val="en-GB" w:eastAsia="en-GB"/>
        </w:rPr>
        <w:t>Postilla</w:t>
      </w:r>
      <w:r>
        <w:rPr>
          <w:rFonts w:ascii="Times New Roman" w:eastAsia="Times New Roman" w:hAnsi="Times New Roman" w:cs="Times New Roman"/>
          <w:i/>
          <w:iCs/>
          <w:lang w:val="en-GB" w:eastAsia="en-GB"/>
        </w:rPr>
        <w:t xml:space="preserve"> super </w:t>
      </w:r>
      <w:r>
        <w:rPr>
          <w:rFonts w:ascii="Times New Roman" w:eastAsia="Times New Roman" w:hAnsi="Times New Roman" w:cs="Times New Roman"/>
          <w:i/>
          <w:iCs/>
          <w:lang w:val="en-GB" w:eastAsia="en-GB"/>
        </w:rPr>
        <w:t>Danielem</w:t>
      </w:r>
      <w:r>
        <w:rPr>
          <w:rFonts w:ascii="Times New Roman" w:eastAsia="Times New Roman" w:hAnsi="Times New Roman" w:cs="Times New Roman"/>
          <w:lang w:val="en-GB" w:eastAsia="en-GB"/>
        </w:rPr>
        <w:t xml:space="preserve">, which allowed him to analyse the survival of Peter John </w:t>
      </w:r>
      <w:r>
        <w:rPr>
          <w:rFonts w:ascii="Times New Roman" w:eastAsia="Times New Roman" w:hAnsi="Times New Roman" w:cs="Times New Roman"/>
          <w:lang w:val="en-GB" w:eastAsia="en-GB"/>
        </w:rPr>
        <w:t>Olivi</w:t>
      </w:r>
      <w:r>
        <w:rPr>
          <w:rFonts w:ascii="Times New Roman" w:eastAsia="Times New Roman" w:hAnsi="Times New Roman" w:cs="Times New Roman"/>
          <w:lang w:val="en-GB" w:eastAsia="en-GB"/>
        </w:rPr>
        <w:t>’</w:t>
      </w:r>
      <w:r>
        <w:rPr>
          <w:rFonts w:ascii="Times New Roman" w:eastAsia="Times New Roman" w:hAnsi="Times New Roman" w:cs="Times New Roman"/>
          <w:lang w:val="en-GB" w:eastAsia="en-GB"/>
        </w:rPr>
        <w:t>s</w:t>
      </w:r>
      <w:r>
        <w:rPr>
          <w:rFonts w:ascii="Times New Roman" w:eastAsia="Times New Roman" w:hAnsi="Times New Roman" w:cs="Times New Roman"/>
          <w:lang w:val="en-GB" w:eastAsia="en-GB"/>
        </w:rPr>
        <w:t xml:space="preserve"> works and ideas in the fourteenth century.</w:t>
      </w:r>
      <w:r>
        <w:rPr>
          <w:rStyle w:val="FootnoteReference"/>
          <w:rFonts w:ascii="Times New Roman" w:eastAsia="Times New Roman" w:hAnsi="Times New Roman" w:cs="Times New Roman"/>
          <w:lang w:val="en-GB" w:eastAsia="en-GB"/>
        </w:rPr>
        <w:footnoteReference w:id="2"/>
      </w:r>
      <w:r w:rsidR="00D65106">
        <w:rPr>
          <w:rFonts w:ascii="Times New Roman" w:eastAsia="Times New Roman" w:hAnsi="Times New Roman" w:cs="Times New Roman"/>
          <w:lang w:val="en-GB" w:eastAsia="en-GB"/>
        </w:rPr>
        <w:t xml:space="preserve"> This issue also came up in the 1354 trial (16, 62–63</w:t>
      </w:r>
      <w:r w:rsidR="005B3A3D">
        <w:rPr>
          <w:rFonts w:ascii="Times New Roman" w:eastAsia="Times New Roman" w:hAnsi="Times New Roman" w:cs="Times New Roman"/>
          <w:lang w:val="en-GB" w:eastAsia="en-GB"/>
        </w:rPr>
        <w:t>, 100, 124). Elizabeth Casteen</w:t>
      </w:r>
      <w:r w:rsidR="00156930">
        <w:rPr>
          <w:rFonts w:ascii="Times New Roman" w:eastAsia="Times New Roman" w:hAnsi="Times New Roman" w:cs="Times New Roman"/>
          <w:lang w:val="en-GB" w:eastAsia="en-GB"/>
        </w:rPr>
        <w:t xml:space="preserve"> has reconsidered the heresy accusations against Louis of Durazzo in 1362</w:t>
      </w:r>
      <w:r w:rsidR="008267A6">
        <w:rPr>
          <w:rFonts w:ascii="Times New Roman" w:eastAsia="Times New Roman" w:hAnsi="Times New Roman" w:cs="Times New Roman"/>
          <w:lang w:val="en-GB" w:eastAsia="en-GB"/>
        </w:rPr>
        <w:t>,</w:t>
      </w:r>
      <w:r>
        <w:rPr>
          <w:rStyle w:val="FootnoteReference"/>
          <w:rFonts w:ascii="Times New Roman" w:eastAsia="Times New Roman" w:hAnsi="Times New Roman" w:cs="Times New Roman"/>
          <w:lang w:val="en-GB" w:eastAsia="en-GB"/>
        </w:rPr>
        <w:footnoteReference w:id="3"/>
      </w:r>
      <w:r w:rsidR="00156930">
        <w:rPr>
          <w:rFonts w:ascii="Times New Roman" w:eastAsia="Times New Roman" w:hAnsi="Times New Roman" w:cs="Times New Roman"/>
          <w:lang w:val="en-GB" w:eastAsia="en-GB"/>
        </w:rPr>
        <w:t xml:space="preserve"> and </w:t>
      </w:r>
      <w:r w:rsidR="00B741AC">
        <w:rPr>
          <w:rFonts w:ascii="Times New Roman" w:eastAsia="Times New Roman" w:hAnsi="Times New Roman" w:cs="Times New Roman"/>
          <w:lang w:val="en-GB" w:eastAsia="en-GB"/>
        </w:rPr>
        <w:t xml:space="preserve">as already stated above, the </w:t>
      </w:r>
      <w:r w:rsidR="00156930">
        <w:rPr>
          <w:rFonts w:ascii="Times New Roman" w:eastAsia="Times New Roman" w:hAnsi="Times New Roman" w:cs="Times New Roman"/>
          <w:lang w:val="en-GB" w:eastAsia="en-GB"/>
        </w:rPr>
        <w:t xml:space="preserve">confession of Francesco </w:t>
      </w:r>
      <w:r w:rsidR="00156930">
        <w:rPr>
          <w:rFonts w:ascii="Times New Roman" w:eastAsia="Times New Roman" w:hAnsi="Times New Roman" w:cs="Times New Roman"/>
          <w:lang w:val="en-GB" w:eastAsia="en-GB"/>
        </w:rPr>
        <w:t>d</w:t>
      </w:r>
      <w:r w:rsidR="00156930">
        <w:rPr>
          <w:rFonts w:ascii="Times New Roman" w:eastAsia="Times New Roman" w:hAnsi="Times New Roman" w:cs="Times New Roman"/>
          <w:lang w:val="en-GB" w:eastAsia="en-GB"/>
        </w:rPr>
        <w:t>’</w:t>
      </w:r>
      <w:r w:rsidR="00156930">
        <w:rPr>
          <w:rFonts w:ascii="Times New Roman" w:eastAsia="Times New Roman" w:hAnsi="Times New Roman" w:cs="Times New Roman"/>
          <w:lang w:val="en-GB" w:eastAsia="en-GB"/>
        </w:rPr>
        <w:t>Arquata</w:t>
      </w:r>
      <w:r w:rsidR="00156930">
        <w:rPr>
          <w:rFonts w:ascii="Times New Roman" w:eastAsia="Times New Roman" w:hAnsi="Times New Roman" w:cs="Times New Roman"/>
          <w:lang w:val="en-GB" w:eastAsia="en-GB"/>
        </w:rPr>
        <w:t xml:space="preserve"> </w:t>
      </w:r>
      <w:r w:rsidR="008267A6">
        <w:rPr>
          <w:rFonts w:ascii="Times New Roman" w:eastAsia="Times New Roman" w:hAnsi="Times New Roman" w:cs="Times New Roman"/>
          <w:lang w:val="en-GB" w:eastAsia="en-GB"/>
        </w:rPr>
        <w:t>indeed demonstrates his familiarity with Louis</w:t>
      </w:r>
      <w:r w:rsidR="00B741AC">
        <w:rPr>
          <w:rFonts w:ascii="Times New Roman" w:eastAsia="Times New Roman" w:hAnsi="Times New Roman" w:cs="Times New Roman"/>
          <w:lang w:val="en-GB" w:eastAsia="en-GB"/>
        </w:rPr>
        <w:t xml:space="preserve">, </w:t>
      </w:r>
      <w:r w:rsidR="008267A6">
        <w:rPr>
          <w:rFonts w:ascii="Times New Roman" w:eastAsia="Times New Roman" w:hAnsi="Times New Roman" w:cs="Times New Roman"/>
          <w:lang w:val="fi-FI" w:eastAsia="en-GB"/>
        </w:rPr>
        <w:t>supporting</w:t>
      </w:r>
      <w:r w:rsidR="008267A6">
        <w:rPr>
          <w:rFonts w:ascii="Times New Roman" w:eastAsia="Times New Roman" w:hAnsi="Times New Roman" w:cs="Times New Roman"/>
          <w:lang w:val="fi-FI" w:eastAsia="en-GB"/>
        </w:rPr>
        <w:t xml:space="preserve"> </w:t>
      </w:r>
      <w:r w:rsidR="008267A6">
        <w:rPr>
          <w:rFonts w:ascii="Times New Roman" w:eastAsia="Times New Roman" w:hAnsi="Times New Roman" w:cs="Times New Roman"/>
          <w:lang w:val="fi-FI" w:eastAsia="en-GB"/>
        </w:rPr>
        <w:t>Casteen</w:t>
      </w:r>
      <w:r w:rsidR="008267A6">
        <w:rPr>
          <w:rFonts w:ascii="Times New Roman" w:eastAsia="Times New Roman" w:hAnsi="Times New Roman" w:cs="Times New Roman"/>
          <w:lang w:val="en-GB" w:eastAsia="en-GB"/>
        </w:rPr>
        <w:t>’</w:t>
      </w:r>
      <w:r w:rsidR="008267A6">
        <w:rPr>
          <w:rFonts w:ascii="Times New Roman" w:eastAsia="Times New Roman" w:hAnsi="Times New Roman" w:cs="Times New Roman"/>
          <w:lang w:val="en-GB" w:eastAsia="en-GB"/>
        </w:rPr>
        <w:t>s argument that there were real grounds to deem Louis of Durazzo</w:t>
      </w:r>
      <w:r w:rsidR="005B3A3D">
        <w:rPr>
          <w:rFonts w:ascii="Times New Roman" w:eastAsia="Times New Roman" w:hAnsi="Times New Roman" w:cs="Times New Roman"/>
          <w:lang w:val="en-GB" w:eastAsia="en-GB"/>
        </w:rPr>
        <w:t xml:space="preserve"> </w:t>
      </w:r>
      <w:r w:rsidR="008267A6">
        <w:rPr>
          <w:rFonts w:ascii="Times New Roman" w:eastAsia="Times New Roman" w:hAnsi="Times New Roman" w:cs="Times New Roman"/>
          <w:lang w:val="en-GB" w:eastAsia="en-GB"/>
        </w:rPr>
        <w:t>a protector of Spiritual Franciscans.</w:t>
      </w:r>
      <w:r w:rsidR="00C50A34">
        <w:rPr>
          <w:rFonts w:ascii="Times New Roman" w:eastAsia="Times New Roman" w:hAnsi="Times New Roman" w:cs="Times New Roman"/>
          <w:lang w:val="en-GB" w:eastAsia="en-GB"/>
        </w:rPr>
        <w:t xml:space="preserve"> </w:t>
      </w:r>
      <w:r w:rsidR="00EF3CD3">
        <w:rPr>
          <w:rFonts w:ascii="Times New Roman" w:eastAsia="Times New Roman" w:hAnsi="Times New Roman" w:cs="Times New Roman"/>
          <w:lang w:val="en-GB" w:eastAsia="en-GB"/>
        </w:rPr>
        <w:t xml:space="preserve">Neither </w:t>
      </w:r>
      <w:r w:rsidR="00EF3CD3">
        <w:rPr>
          <w:rFonts w:ascii="Times New Roman" w:eastAsia="Times New Roman" w:hAnsi="Times New Roman" w:cs="Times New Roman"/>
          <w:lang w:val="en-GB" w:eastAsia="en-GB"/>
        </w:rPr>
        <w:t>Patschovsky</w:t>
      </w:r>
      <w:r w:rsidR="00EF3CD3">
        <w:rPr>
          <w:rFonts w:ascii="Times New Roman" w:eastAsia="Times New Roman" w:hAnsi="Times New Roman" w:cs="Times New Roman"/>
          <w:lang w:val="en-GB" w:eastAsia="en-GB"/>
        </w:rPr>
        <w:t xml:space="preserve"> nor </w:t>
      </w:r>
      <w:r w:rsidR="00EF3CD3">
        <w:rPr>
          <w:rFonts w:ascii="Times New Roman" w:eastAsia="Times New Roman" w:hAnsi="Times New Roman" w:cs="Times New Roman"/>
          <w:lang w:val="en-GB" w:eastAsia="en-GB"/>
        </w:rPr>
        <w:t>Piron</w:t>
      </w:r>
      <w:r w:rsidR="00EF3CD3">
        <w:rPr>
          <w:rFonts w:ascii="Times New Roman" w:eastAsia="Times New Roman" w:hAnsi="Times New Roman" w:cs="Times New Roman"/>
          <w:lang w:val="en-GB" w:eastAsia="en-GB"/>
        </w:rPr>
        <w:t xml:space="preserve"> and Casteen could have taken into account each other</w:t>
      </w:r>
      <w:r w:rsidR="00332548">
        <w:rPr>
          <w:rFonts w:ascii="Times New Roman" w:eastAsia="Times New Roman" w:hAnsi="Times New Roman" w:cs="Times New Roman"/>
          <w:lang w:val="en-GB" w:eastAsia="en-GB"/>
        </w:rPr>
        <w:t>’</w:t>
      </w:r>
      <w:r w:rsidR="00332548">
        <w:rPr>
          <w:rFonts w:ascii="Times New Roman" w:eastAsia="Times New Roman" w:hAnsi="Times New Roman" w:cs="Times New Roman"/>
          <w:lang w:val="en-GB" w:eastAsia="en-GB"/>
        </w:rPr>
        <w:t xml:space="preserve">s works, but future scholarship must read these publications side by side. </w:t>
      </w:r>
    </w:p>
    <w:p w:rsidR="00A8142F" w:rsidRPr="002D4447" w:rsidP="00652C6A" w14:paraId="693D1283" w14:textId="59F42492">
      <w:pPr>
        <w:ind w:firstLine="720"/>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 xml:space="preserve">To sum up, </w:t>
      </w:r>
      <w:r w:rsidR="00364261">
        <w:rPr>
          <w:rFonts w:ascii="Times New Roman" w:eastAsia="Times New Roman" w:hAnsi="Times New Roman" w:cs="Times New Roman"/>
          <w:lang w:val="en-GB" w:eastAsia="en-GB"/>
        </w:rPr>
        <w:t xml:space="preserve">this is a carefully made edition of an important text, supported by an erudite introduction and critical footnotes by one of the most experienced scholars in the field. As the scholarly discussion around Spiritual Franciscans and late medieval heresy more generally remains lively, the book will certainly find readers in the years to come. </w:t>
      </w:r>
    </w:p>
    <w:p w:rsidR="005E7CFC" w14:paraId="2C36434B" w14:textId="192DB7E7"/>
    <w:p w:rsidR="00E800F9" w:rsidP="00E800F9" w14:paraId="10EA3E01" w14:textId="77777777">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Reima Välimäki</w:t>
      </w:r>
    </w:p>
    <w:p w:rsidR="00E800F9" w:rsidP="00E800F9" w14:paraId="055955A7" w14:textId="77777777">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Turku Institute for Advanced Studies</w:t>
      </w:r>
    </w:p>
    <w:p w:rsidR="00E800F9" w:rsidP="00E800F9" w14:paraId="4F379E5D" w14:textId="77777777">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University of Turku</w:t>
      </w:r>
    </w:p>
    <w:p w:rsidR="00E800F9" w:rsidP="00E800F9" w14:paraId="23C3468E" w14:textId="77777777">
      <w:pPr>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reima.valimaki@utu.fi</w:t>
      </w:r>
    </w:p>
    <w:p w:rsidR="00E800F9" w14:paraId="09F4D70A" w14:textId="77777777"/>
    <w:sectPr>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ACFF"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footnote w:type="separator" w:id="0">
    <w:p w:rsidR="00FA36E6" w:rsidP="00D65106" w14:paraId="5A1A8517" w14:textId="77777777">
      <w:r>
        <w:separator/>
      </w:r>
    </w:p>
  </w:footnote>
  <w:footnote w:type="continuationSeparator" w:id="1">
    <w:p w:rsidR="00FA36E6" w:rsidP="00D65106" w14:paraId="6876A267" w14:textId="77777777">
      <w:r>
        <w:continuationSeparator/>
      </w:r>
    </w:p>
  </w:footnote>
  <w:footnote w:id="2">
    <w:p w:rsidR="00D65106" w:rsidRPr="00C50A34" w14:paraId="3A68216C" w14:textId="57E20FD0">
      <w:pPr>
        <w:pStyle w:val="FootnoteText"/>
        <w:rPr>
          <w:rFonts w:ascii="Times New Roman" w:hAnsi="Times New Roman" w:cs="Times New Roman"/>
          <w:lang w:val="fi-FI"/>
        </w:rPr>
      </w:pPr>
      <w:r w:rsidRPr="005B3A3D">
        <w:rPr>
          <w:rStyle w:val="FootnoteReference"/>
          <w:rFonts w:ascii="Times New Roman" w:hAnsi="Times New Roman" w:cs="Times New Roman"/>
        </w:rPr>
        <w:footnoteRef/>
      </w:r>
      <w:r w:rsidRPr="005B3A3D">
        <w:rPr>
          <w:rFonts w:ascii="Times New Roman" w:hAnsi="Times New Roman" w:cs="Times New Roman"/>
        </w:rPr>
        <w:t xml:space="preserve"> </w:t>
      </w:r>
      <w:r w:rsidRPr="00C50A34">
        <w:rPr>
          <w:rFonts w:ascii="Times New Roman" w:hAnsi="Times New Roman" w:cs="Times New Roman"/>
        </w:rPr>
        <w:t xml:space="preserve">Sylvain Piron, ‘The Dissemination of Barthélemy Sicard’s Postilla Super Danielem’, in </w:t>
      </w:r>
      <w:r w:rsidRPr="00C50A34">
        <w:rPr>
          <w:rFonts w:ascii="Times New Roman" w:hAnsi="Times New Roman" w:cs="Times New Roman"/>
          <w:i/>
          <w:iCs/>
        </w:rPr>
        <w:t>Late Medieval Heresy: New Perspectives: Studies in Honor of Robert E. Lerner</w:t>
      </w:r>
      <w:r w:rsidRPr="00C50A34">
        <w:rPr>
          <w:rFonts w:ascii="Times New Roman" w:hAnsi="Times New Roman" w:cs="Times New Roman"/>
        </w:rPr>
        <w:t>, ed. Michael D. Bailey and Sean L. Field, Heresy and Inquisition in the Middle Ages 5 (York: York Medieval Press, 2018), 35–55</w:t>
      </w:r>
      <w:r w:rsidRPr="00C50A34">
        <w:rPr>
          <w:rFonts w:ascii="Times New Roman" w:hAnsi="Times New Roman" w:cs="Times New Roman"/>
          <w:lang w:val="fi-FI"/>
        </w:rPr>
        <w:t>.</w:t>
      </w:r>
    </w:p>
  </w:footnote>
  <w:footnote w:id="3">
    <w:p w:rsidR="005B3A3D" w:rsidRPr="00C50A34" w14:paraId="2E1978AB" w14:textId="3C34D4A4">
      <w:pPr>
        <w:pStyle w:val="FootnoteText"/>
        <w:rPr>
          <w:rFonts w:ascii="Times New Roman" w:hAnsi="Times New Roman" w:cs="Times New Roman"/>
          <w:lang w:val="fi-FI"/>
        </w:rPr>
      </w:pPr>
      <w:r w:rsidRPr="00C50A34">
        <w:rPr>
          <w:rStyle w:val="FootnoteReference"/>
          <w:rFonts w:ascii="Times New Roman" w:hAnsi="Times New Roman" w:cs="Times New Roman"/>
        </w:rPr>
        <w:footnoteRef/>
      </w:r>
      <w:r w:rsidRPr="00C50A34">
        <w:rPr>
          <w:rFonts w:ascii="Times New Roman" w:hAnsi="Times New Roman" w:cs="Times New Roman"/>
        </w:rPr>
        <w:t xml:space="preserve"> </w:t>
      </w:r>
      <w:r w:rsidRPr="00C50A34">
        <w:rPr>
          <w:rFonts w:ascii="Times New Roman" w:hAnsi="Times New Roman" w:cs="Times New Roman"/>
        </w:rPr>
        <w:t xml:space="preserve">Elizabeth Casteen, ‘Princely Poverty: Louis of Durazzo, Dynastic Politics, and Heresy in Fourteenth-Century Naples’, in </w:t>
      </w:r>
      <w:r w:rsidRPr="00C50A34">
        <w:rPr>
          <w:rFonts w:ascii="Times New Roman" w:hAnsi="Times New Roman" w:cs="Times New Roman"/>
          <w:i/>
          <w:iCs/>
        </w:rPr>
        <w:t>Late Medieval Heresy</w:t>
      </w:r>
      <w:r w:rsidRPr="00C50A34">
        <w:rPr>
          <w:rFonts w:ascii="Times New Roman" w:hAnsi="Times New Roman" w:cs="Times New Roman"/>
          <w:lang w:val="fi-FI"/>
        </w:rPr>
        <w:t xml:space="preserve">, </w:t>
      </w:r>
      <w:r w:rsidRPr="00C50A34">
        <w:rPr>
          <w:rFonts w:ascii="Times New Roman" w:hAnsi="Times New Roman" w:cs="Times New Roman"/>
        </w:rPr>
        <w:t>116–36.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CFC"/>
    <w:rsid w:val="00015E62"/>
    <w:rsid w:val="000C1052"/>
    <w:rsid w:val="00156930"/>
    <w:rsid w:val="001E60AA"/>
    <w:rsid w:val="00216A1A"/>
    <w:rsid w:val="002D4447"/>
    <w:rsid w:val="00332548"/>
    <w:rsid w:val="003368C5"/>
    <w:rsid w:val="00364261"/>
    <w:rsid w:val="00414465"/>
    <w:rsid w:val="005B3A3D"/>
    <w:rsid w:val="005E7CFC"/>
    <w:rsid w:val="005F4B34"/>
    <w:rsid w:val="006468A6"/>
    <w:rsid w:val="00652C6A"/>
    <w:rsid w:val="006D05DA"/>
    <w:rsid w:val="00702B58"/>
    <w:rsid w:val="007B57A3"/>
    <w:rsid w:val="007E6E87"/>
    <w:rsid w:val="007F4197"/>
    <w:rsid w:val="008267A6"/>
    <w:rsid w:val="00983238"/>
    <w:rsid w:val="00A362A8"/>
    <w:rsid w:val="00A57ADC"/>
    <w:rsid w:val="00A8142F"/>
    <w:rsid w:val="00B315BE"/>
    <w:rsid w:val="00B53394"/>
    <w:rsid w:val="00B7266F"/>
    <w:rsid w:val="00B741AC"/>
    <w:rsid w:val="00BE2A0B"/>
    <w:rsid w:val="00C37759"/>
    <w:rsid w:val="00C50A34"/>
    <w:rsid w:val="00CA25FE"/>
    <w:rsid w:val="00CA5BE2"/>
    <w:rsid w:val="00CC5936"/>
    <w:rsid w:val="00CD77AC"/>
    <w:rsid w:val="00CE4982"/>
    <w:rsid w:val="00D04616"/>
    <w:rsid w:val="00D65106"/>
    <w:rsid w:val="00D72EB8"/>
    <w:rsid w:val="00D85535"/>
    <w:rsid w:val="00DB1B5C"/>
    <w:rsid w:val="00E800F9"/>
    <w:rsid w:val="00EF3CD3"/>
    <w:rsid w:val="00FA36E6"/>
  </w:rsids>
  <m:mathPr>
    <m:mathFont m:val="Cambria Math"/>
  </m:mathPr>
  <w:clrSchemeMapping w:bg1="light1" w:t1="dark1" w:bg2="light2" w:t2="dark2" w:accent1="accent1" w:accent2="accent2" w:accent3="accent3" w:accent4="accent4" w:accent5="accent5" w:accent6="accent6" w:hyperlink="hyperlink" w:followedHyperlink="followedHyperlink"/>
  <w15:chartTrackingRefBased/>
  <w15:docId w15:val="{386ADB0D-2AA7-8344-888F-5F106B1CF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65106"/>
    <w:rPr>
      <w:sz w:val="20"/>
      <w:szCs w:val="20"/>
    </w:rPr>
  </w:style>
  <w:style w:type="character" w:customStyle="1" w:styleId="FootnoteTextChar">
    <w:name w:val="Footnote Text Char"/>
    <w:basedOn w:val="DefaultParagraphFont"/>
    <w:link w:val="FootnoteText"/>
    <w:uiPriority w:val="99"/>
    <w:semiHidden/>
    <w:rsid w:val="00D65106"/>
    <w:rPr>
      <w:sz w:val="20"/>
      <w:szCs w:val="20"/>
    </w:rPr>
  </w:style>
  <w:style w:type="character" w:styleId="FootnoteReference">
    <w:name w:val="footnote reference"/>
    <w:basedOn w:val="DefaultParagraphFont"/>
    <w:uiPriority w:val="99"/>
    <w:semiHidden/>
    <w:unhideWhenUsed/>
    <w:rsid w:val="00D6510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154</TotalTime>
  <Pages>2</Pages>
  <Words>935</Words>
  <Characters>5336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Reima Välimäki</dc:creator>
  <cp:lastModifiedBy>Reima Välimäki</cp:lastModifiedBy>
  <cp:revision>31</cp:revision>
  <dcterms:created xsi:type="dcterms:W3CDTF">2021-01-04T07:47:00Z</dcterms:created>
  <dcterms:modified xsi:type="dcterms:W3CDTF">2021-01-04T12:38:00Z</dcterms:modified>
</cp:coreProperties>
</file>