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27739A8" w14:textId="6452DB22" w:rsidR="00E7763B" w:rsidRPr="00E77C03" w:rsidRDefault="317200CE" w:rsidP="00E7763B">
      <w:pPr>
        <w:pStyle w:val="Title"/>
        <w:rPr>
          <w:smallCaps w:val="0"/>
          <w:sz w:val="24"/>
          <w:szCs w:val="24"/>
          <w:lang w:val="en-US"/>
        </w:rPr>
      </w:pPr>
      <w:bookmarkStart w:id="0" w:name="_GoBack"/>
      <w:r w:rsidRPr="00E77C03">
        <w:rPr>
          <w:b/>
          <w:lang w:val="en-US"/>
        </w:rPr>
        <w:t xml:space="preserve">Temporal trends in </w:t>
      </w:r>
      <w:r w:rsidR="00FA0C40" w:rsidRPr="00E77C03">
        <w:rPr>
          <w:b/>
          <w:lang w:val="en-US"/>
        </w:rPr>
        <w:t xml:space="preserve">healthcare </w:t>
      </w:r>
      <w:r w:rsidR="003353A9" w:rsidRPr="00E77C03">
        <w:rPr>
          <w:b/>
          <w:lang w:val="en-US"/>
        </w:rPr>
        <w:t>costs</w:t>
      </w:r>
      <w:r w:rsidR="00852BCA" w:rsidRPr="00E77C03">
        <w:rPr>
          <w:b/>
          <w:lang w:val="en-US"/>
        </w:rPr>
        <w:t xml:space="preserve"> </w:t>
      </w:r>
      <w:bookmarkEnd w:id="0"/>
      <w:r w:rsidR="00852BCA" w:rsidRPr="00E77C03">
        <w:rPr>
          <w:b/>
          <w:lang w:val="en-US"/>
        </w:rPr>
        <w:t>and outcome following intensive care unit admission after traumatic brain injury</w:t>
      </w:r>
      <w:r w:rsidR="003353A9" w:rsidRPr="00E77C03">
        <w:rPr>
          <w:b/>
          <w:lang w:val="en-US"/>
        </w:rPr>
        <w:t xml:space="preserve"> </w:t>
      </w:r>
    </w:p>
    <w:p w14:paraId="27FC08A0" w14:textId="77777777" w:rsidR="002F204E" w:rsidRPr="002F204E" w:rsidRDefault="002F204E" w:rsidP="00E77C03">
      <w:pPr>
        <w:rPr>
          <w:lang w:val="en-US"/>
        </w:rPr>
      </w:pPr>
    </w:p>
    <w:p w14:paraId="62EBC768" w14:textId="4FF9E1BA" w:rsidR="00E7763B" w:rsidRPr="00C2509C" w:rsidRDefault="00466748" w:rsidP="00C2509C">
      <w:pPr>
        <w:spacing w:after="400"/>
        <w:rPr>
          <w:rFonts w:ascii="Calibri" w:eastAsia="Calibri" w:hAnsi="Calibri" w:cs="Calibri"/>
          <w:color w:val="000000" w:themeColor="text1"/>
          <w:lang w:val="en-US"/>
        </w:rPr>
      </w:pPr>
      <w:r w:rsidRPr="00C2509C">
        <w:rPr>
          <w:rFonts w:ascii="Calibri" w:eastAsia="Calibri" w:hAnsi="Calibri" w:cs="Calibri"/>
          <w:b/>
          <w:color w:val="000000" w:themeColor="text1"/>
          <w:lang w:val="en-US"/>
        </w:rPr>
        <w:t xml:space="preserve">Running title: </w:t>
      </w:r>
      <w:r w:rsidR="00AC67E6">
        <w:rPr>
          <w:rFonts w:ascii="Calibri" w:eastAsia="Calibri" w:hAnsi="Calibri" w:cs="Calibri"/>
          <w:color w:val="000000" w:themeColor="text1"/>
          <w:lang w:val="en-US"/>
        </w:rPr>
        <w:t>Healthcare costs</w:t>
      </w:r>
      <w:r w:rsidR="00AC67E6" w:rsidRPr="00C2509C">
        <w:rPr>
          <w:rFonts w:ascii="Calibri" w:eastAsia="Calibri" w:hAnsi="Calibri" w:cs="Calibri"/>
          <w:color w:val="000000" w:themeColor="text1"/>
          <w:lang w:val="en-US"/>
        </w:rPr>
        <w:t xml:space="preserve"> </w:t>
      </w:r>
      <w:r w:rsidRPr="00C2509C">
        <w:rPr>
          <w:rFonts w:ascii="Calibri" w:eastAsia="Calibri" w:hAnsi="Calibri" w:cs="Calibri"/>
          <w:color w:val="000000" w:themeColor="text1"/>
          <w:lang w:val="en-US"/>
        </w:rPr>
        <w:t>and outcome of intensive care in traumatic brain injury</w:t>
      </w:r>
    </w:p>
    <w:p w14:paraId="2922E253" w14:textId="17C407F6" w:rsidR="001B3C8B" w:rsidRPr="00605EEC" w:rsidRDefault="001B3C8B" w:rsidP="00C2509C">
      <w:pPr>
        <w:spacing w:line="360" w:lineRule="auto"/>
        <w:rPr>
          <w:rFonts w:ascii="Calibri" w:hAnsi="Calibri"/>
          <w:b/>
          <w:vertAlign w:val="superscript"/>
          <w:lang w:val="en-US"/>
        </w:rPr>
      </w:pPr>
      <w:r w:rsidRPr="00605EEC">
        <w:rPr>
          <w:rFonts w:ascii="Calibri" w:hAnsi="Calibri"/>
          <w:b/>
          <w:lang w:val="en-US"/>
        </w:rPr>
        <w:t>Rahul Raj</w:t>
      </w:r>
      <w:r w:rsidRPr="00605EEC">
        <w:rPr>
          <w:rFonts w:ascii="Calibri" w:hAnsi="Calibri"/>
          <w:b/>
          <w:vertAlign w:val="superscript"/>
          <w:lang w:val="en-US"/>
        </w:rPr>
        <w:t>1</w:t>
      </w:r>
      <w:r w:rsidR="00605EEC" w:rsidRPr="00605EEC">
        <w:rPr>
          <w:rFonts w:ascii="Calibri" w:hAnsi="Calibri"/>
          <w:b/>
          <w:vertAlign w:val="superscript"/>
          <w:lang w:val="en-US"/>
        </w:rPr>
        <w:t xml:space="preserve"> </w:t>
      </w:r>
      <w:r w:rsidR="00605EEC" w:rsidRPr="00605EEC">
        <w:rPr>
          <w:rFonts w:ascii="Calibri" w:hAnsi="Calibri"/>
          <w:lang w:val="en-US"/>
        </w:rPr>
        <w:t>(MD, PhD)</w:t>
      </w:r>
      <w:r w:rsidRPr="00605EEC">
        <w:rPr>
          <w:rFonts w:ascii="Calibri" w:hAnsi="Calibri"/>
          <w:b/>
          <w:lang w:val="en-US"/>
        </w:rPr>
        <w:t>, Stepani Bendel</w:t>
      </w:r>
      <w:r w:rsidRPr="00605EEC">
        <w:rPr>
          <w:rFonts w:ascii="Calibri" w:hAnsi="Calibri"/>
          <w:b/>
          <w:vertAlign w:val="superscript"/>
          <w:lang w:val="en-US"/>
        </w:rPr>
        <w:t>2</w:t>
      </w:r>
      <w:r w:rsidR="00605EEC" w:rsidRPr="00605EEC">
        <w:rPr>
          <w:rFonts w:ascii="Calibri" w:hAnsi="Calibri"/>
          <w:b/>
          <w:vertAlign w:val="superscript"/>
          <w:lang w:val="en-US"/>
        </w:rPr>
        <w:t xml:space="preserve"> </w:t>
      </w:r>
      <w:r w:rsidR="00605EEC" w:rsidRPr="00605EEC">
        <w:rPr>
          <w:rFonts w:ascii="Calibri" w:hAnsi="Calibri"/>
          <w:lang w:val="en-US"/>
        </w:rPr>
        <w:t>(MD, PhD)</w:t>
      </w:r>
      <w:r w:rsidRPr="00605EEC">
        <w:rPr>
          <w:rFonts w:ascii="Calibri" w:hAnsi="Calibri"/>
          <w:b/>
          <w:lang w:val="en-US"/>
        </w:rPr>
        <w:t>, Matti Reinikainen</w:t>
      </w:r>
      <w:r w:rsidRPr="00605EEC">
        <w:rPr>
          <w:rFonts w:ascii="Calibri" w:hAnsi="Calibri"/>
          <w:b/>
          <w:vertAlign w:val="superscript"/>
          <w:lang w:val="en-US"/>
        </w:rPr>
        <w:t>3</w:t>
      </w:r>
      <w:r w:rsidR="00605EEC" w:rsidRPr="00605EEC">
        <w:rPr>
          <w:rFonts w:ascii="Calibri" w:hAnsi="Calibri"/>
          <w:b/>
          <w:vertAlign w:val="superscript"/>
          <w:lang w:val="en-US"/>
        </w:rPr>
        <w:t xml:space="preserve"> </w:t>
      </w:r>
      <w:r w:rsidR="00605EEC" w:rsidRPr="00605EEC">
        <w:rPr>
          <w:rFonts w:ascii="Calibri" w:hAnsi="Calibri"/>
          <w:lang w:val="en-US"/>
        </w:rPr>
        <w:t>(MD, PhD)</w:t>
      </w:r>
      <w:r w:rsidRPr="00605EEC">
        <w:rPr>
          <w:rFonts w:ascii="Calibri" w:hAnsi="Calibri"/>
          <w:b/>
          <w:lang w:val="en-US"/>
        </w:rPr>
        <w:t>, Sanna Hoppu</w:t>
      </w:r>
      <w:r w:rsidRPr="00605EEC">
        <w:rPr>
          <w:rFonts w:ascii="Calibri" w:hAnsi="Calibri"/>
          <w:b/>
          <w:vertAlign w:val="superscript"/>
          <w:lang w:val="en-US"/>
        </w:rPr>
        <w:t>4</w:t>
      </w:r>
      <w:r w:rsidR="00605EEC" w:rsidRPr="00605EEC">
        <w:rPr>
          <w:rFonts w:ascii="Calibri" w:hAnsi="Calibri"/>
          <w:b/>
          <w:vertAlign w:val="superscript"/>
          <w:lang w:val="en-US"/>
        </w:rPr>
        <w:t xml:space="preserve"> </w:t>
      </w:r>
      <w:r w:rsidR="00605EEC" w:rsidRPr="00605EEC">
        <w:rPr>
          <w:rFonts w:ascii="Calibri" w:hAnsi="Calibri"/>
          <w:lang w:val="en-US"/>
        </w:rPr>
        <w:t>(MD, PhD)</w:t>
      </w:r>
      <w:r w:rsidRPr="00605EEC">
        <w:rPr>
          <w:rFonts w:ascii="Calibri" w:hAnsi="Calibri"/>
          <w:b/>
          <w:lang w:val="en-US"/>
        </w:rPr>
        <w:t>, Teemu Luoto</w:t>
      </w:r>
      <w:r w:rsidRPr="00605EEC">
        <w:rPr>
          <w:rFonts w:ascii="Calibri" w:hAnsi="Calibri"/>
          <w:b/>
          <w:vertAlign w:val="superscript"/>
          <w:lang w:val="en-US"/>
        </w:rPr>
        <w:t>5</w:t>
      </w:r>
      <w:r w:rsidR="00605EEC">
        <w:rPr>
          <w:rFonts w:ascii="Calibri" w:hAnsi="Calibri"/>
          <w:b/>
          <w:vertAlign w:val="superscript"/>
          <w:lang w:val="en-US"/>
        </w:rPr>
        <w:t xml:space="preserve"> </w:t>
      </w:r>
      <w:r w:rsidR="00605EEC" w:rsidRPr="00605EEC">
        <w:rPr>
          <w:rFonts w:ascii="Calibri" w:hAnsi="Calibri"/>
          <w:lang w:val="en-US"/>
        </w:rPr>
        <w:t>(MD, PhD)</w:t>
      </w:r>
      <w:r w:rsidRPr="00605EEC">
        <w:rPr>
          <w:rFonts w:ascii="Calibri" w:hAnsi="Calibri"/>
          <w:b/>
          <w:lang w:val="en-US"/>
        </w:rPr>
        <w:t>, Tero Ala-Kokko</w:t>
      </w:r>
      <w:r w:rsidRPr="00605EEC">
        <w:rPr>
          <w:rFonts w:ascii="Calibri" w:hAnsi="Calibri"/>
          <w:b/>
          <w:vertAlign w:val="superscript"/>
          <w:lang w:val="en-US"/>
        </w:rPr>
        <w:t>6</w:t>
      </w:r>
      <w:r w:rsidR="00605EEC">
        <w:rPr>
          <w:rFonts w:ascii="Calibri" w:hAnsi="Calibri"/>
          <w:b/>
          <w:vertAlign w:val="superscript"/>
          <w:lang w:val="en-US"/>
        </w:rPr>
        <w:t xml:space="preserve"> </w:t>
      </w:r>
      <w:r w:rsidR="00605EEC" w:rsidRPr="00605EEC">
        <w:rPr>
          <w:rFonts w:ascii="Calibri" w:hAnsi="Calibri"/>
          <w:lang w:val="en-US"/>
        </w:rPr>
        <w:t>(MD, PhD)</w:t>
      </w:r>
      <w:r w:rsidRPr="00605EEC">
        <w:rPr>
          <w:rFonts w:ascii="Calibri" w:hAnsi="Calibri"/>
          <w:b/>
          <w:lang w:val="en-US"/>
        </w:rPr>
        <w:t>, Sami Tetri</w:t>
      </w:r>
      <w:r w:rsidRPr="00605EEC">
        <w:rPr>
          <w:rFonts w:ascii="Calibri" w:hAnsi="Calibri"/>
          <w:b/>
          <w:vertAlign w:val="superscript"/>
          <w:lang w:val="en-US"/>
        </w:rPr>
        <w:t>7</w:t>
      </w:r>
      <w:r w:rsidR="00605EEC">
        <w:rPr>
          <w:rFonts w:ascii="Calibri" w:hAnsi="Calibri"/>
          <w:b/>
          <w:vertAlign w:val="superscript"/>
          <w:lang w:val="en-US"/>
        </w:rPr>
        <w:t xml:space="preserve"> </w:t>
      </w:r>
      <w:r w:rsidR="00605EEC" w:rsidRPr="00605EEC">
        <w:rPr>
          <w:rFonts w:ascii="Calibri" w:hAnsi="Calibri"/>
          <w:lang w:val="en-US"/>
        </w:rPr>
        <w:t>(MD, PhD)</w:t>
      </w:r>
      <w:r w:rsidRPr="00605EEC">
        <w:rPr>
          <w:rFonts w:ascii="Calibri" w:hAnsi="Calibri"/>
          <w:b/>
          <w:lang w:val="en-US"/>
        </w:rPr>
        <w:t>, Ruut Laitio</w:t>
      </w:r>
      <w:r w:rsidRPr="00605EEC">
        <w:rPr>
          <w:rFonts w:ascii="Calibri" w:hAnsi="Calibri"/>
          <w:b/>
          <w:vertAlign w:val="superscript"/>
          <w:lang w:val="en-US"/>
        </w:rPr>
        <w:t>8</w:t>
      </w:r>
      <w:r w:rsidR="00605EEC">
        <w:rPr>
          <w:rFonts w:ascii="Calibri" w:hAnsi="Calibri"/>
          <w:b/>
          <w:vertAlign w:val="superscript"/>
          <w:lang w:val="en-US"/>
        </w:rPr>
        <w:t xml:space="preserve"> </w:t>
      </w:r>
      <w:r w:rsidR="00605EEC" w:rsidRPr="00605EEC">
        <w:rPr>
          <w:rFonts w:ascii="Calibri" w:hAnsi="Calibri"/>
          <w:lang w:val="en-US"/>
        </w:rPr>
        <w:t>(MD, PhD)</w:t>
      </w:r>
      <w:r w:rsidRPr="00605EEC">
        <w:rPr>
          <w:rFonts w:ascii="Calibri" w:hAnsi="Calibri"/>
          <w:b/>
          <w:lang w:val="en-US"/>
        </w:rPr>
        <w:t>, Timo Koivisto</w:t>
      </w:r>
      <w:r w:rsidRPr="00605EEC">
        <w:rPr>
          <w:rFonts w:ascii="Calibri" w:hAnsi="Calibri"/>
          <w:b/>
          <w:vertAlign w:val="superscript"/>
          <w:lang w:val="en-US"/>
        </w:rPr>
        <w:t>9</w:t>
      </w:r>
      <w:r w:rsidR="00605EEC">
        <w:rPr>
          <w:rFonts w:ascii="Calibri" w:hAnsi="Calibri"/>
          <w:b/>
          <w:vertAlign w:val="superscript"/>
          <w:lang w:val="en-US"/>
        </w:rPr>
        <w:t xml:space="preserve"> </w:t>
      </w:r>
      <w:r w:rsidR="00605EEC" w:rsidRPr="00605EEC">
        <w:rPr>
          <w:rFonts w:ascii="Calibri" w:hAnsi="Calibri"/>
          <w:lang w:val="en-US"/>
        </w:rPr>
        <w:t>(MD, PhD)</w:t>
      </w:r>
      <w:r w:rsidRPr="00605EEC">
        <w:rPr>
          <w:rFonts w:ascii="Calibri" w:hAnsi="Calibri"/>
          <w:b/>
          <w:lang w:val="en-US"/>
        </w:rPr>
        <w:t>, Jaakko Rinne</w:t>
      </w:r>
      <w:r w:rsidRPr="00605EEC">
        <w:rPr>
          <w:rFonts w:ascii="Calibri" w:hAnsi="Calibri"/>
          <w:b/>
          <w:vertAlign w:val="superscript"/>
          <w:lang w:val="en-US"/>
        </w:rPr>
        <w:t>10</w:t>
      </w:r>
      <w:r w:rsidR="00605EEC">
        <w:rPr>
          <w:rFonts w:ascii="Calibri" w:hAnsi="Calibri"/>
          <w:b/>
          <w:vertAlign w:val="superscript"/>
          <w:lang w:val="en-US"/>
        </w:rPr>
        <w:t xml:space="preserve"> </w:t>
      </w:r>
      <w:r w:rsidR="00605EEC" w:rsidRPr="00605EEC">
        <w:rPr>
          <w:rFonts w:ascii="Calibri" w:hAnsi="Calibri"/>
          <w:lang w:val="en-US"/>
        </w:rPr>
        <w:t>(MD, PhD)</w:t>
      </w:r>
      <w:r w:rsidRPr="00605EEC">
        <w:rPr>
          <w:rFonts w:ascii="Calibri" w:hAnsi="Calibri"/>
          <w:b/>
          <w:lang w:val="en-US"/>
        </w:rPr>
        <w:t>, Riku Kivisaari</w:t>
      </w:r>
      <w:r w:rsidRPr="00605EEC">
        <w:rPr>
          <w:rFonts w:ascii="Calibri" w:hAnsi="Calibri"/>
          <w:b/>
          <w:vertAlign w:val="superscript"/>
          <w:lang w:val="en-US"/>
        </w:rPr>
        <w:t>1</w:t>
      </w:r>
      <w:r w:rsidR="00605EEC">
        <w:rPr>
          <w:rFonts w:ascii="Calibri" w:hAnsi="Calibri"/>
          <w:b/>
          <w:vertAlign w:val="superscript"/>
          <w:lang w:val="en-US"/>
        </w:rPr>
        <w:t xml:space="preserve"> </w:t>
      </w:r>
      <w:r w:rsidR="00605EEC" w:rsidRPr="00605EEC">
        <w:rPr>
          <w:rFonts w:ascii="Calibri" w:hAnsi="Calibri"/>
          <w:lang w:val="en-US"/>
        </w:rPr>
        <w:t>(MD, PhD)</w:t>
      </w:r>
      <w:r w:rsidRPr="00605EEC">
        <w:rPr>
          <w:rFonts w:ascii="Calibri" w:hAnsi="Calibri"/>
          <w:b/>
          <w:lang w:val="en-US"/>
        </w:rPr>
        <w:t>, Jari Siironen</w:t>
      </w:r>
      <w:r w:rsidRPr="00605EEC">
        <w:rPr>
          <w:rFonts w:ascii="Calibri" w:hAnsi="Calibri"/>
          <w:b/>
          <w:vertAlign w:val="superscript"/>
          <w:lang w:val="en-US"/>
        </w:rPr>
        <w:t>1</w:t>
      </w:r>
      <w:r w:rsidR="00605EEC">
        <w:rPr>
          <w:rFonts w:ascii="Calibri" w:hAnsi="Calibri"/>
          <w:b/>
          <w:vertAlign w:val="superscript"/>
          <w:lang w:val="en-US"/>
        </w:rPr>
        <w:t xml:space="preserve"> </w:t>
      </w:r>
      <w:r w:rsidR="00605EEC" w:rsidRPr="00605EEC">
        <w:rPr>
          <w:rFonts w:ascii="Calibri" w:hAnsi="Calibri"/>
          <w:lang w:val="en-US"/>
        </w:rPr>
        <w:t>(MD, PhD)</w:t>
      </w:r>
      <w:r w:rsidRPr="00605EEC">
        <w:rPr>
          <w:rFonts w:ascii="Calibri" w:hAnsi="Calibri"/>
          <w:b/>
          <w:lang w:val="en-US"/>
        </w:rPr>
        <w:t>, Alisa Higgins</w:t>
      </w:r>
      <w:r w:rsidRPr="00605EEC">
        <w:rPr>
          <w:rFonts w:ascii="Calibri" w:hAnsi="Calibri"/>
          <w:b/>
          <w:vertAlign w:val="superscript"/>
          <w:lang w:val="en-US"/>
        </w:rPr>
        <w:t>11</w:t>
      </w:r>
      <w:r w:rsidR="00605EEC" w:rsidRPr="00605EEC">
        <w:rPr>
          <w:rFonts w:ascii="Calibri" w:hAnsi="Calibri"/>
          <w:b/>
          <w:vertAlign w:val="superscript"/>
          <w:lang w:val="en-US"/>
        </w:rPr>
        <w:t xml:space="preserve"> </w:t>
      </w:r>
      <w:r w:rsidR="00605EEC" w:rsidRPr="00605EEC">
        <w:rPr>
          <w:rFonts w:ascii="Calibri" w:hAnsi="Calibri"/>
          <w:lang w:val="en-US"/>
        </w:rPr>
        <w:t>(MPH)</w:t>
      </w:r>
      <w:r w:rsidRPr="00605EEC">
        <w:rPr>
          <w:rFonts w:ascii="Calibri" w:hAnsi="Calibri"/>
          <w:b/>
          <w:lang w:val="en-US"/>
        </w:rPr>
        <w:t>, Markus B. Skrifvars</w:t>
      </w:r>
      <w:r w:rsidRPr="00605EEC">
        <w:rPr>
          <w:rFonts w:ascii="Calibri" w:hAnsi="Calibri"/>
          <w:b/>
          <w:vertAlign w:val="superscript"/>
          <w:lang w:val="en-US"/>
        </w:rPr>
        <w:t>11,12</w:t>
      </w:r>
      <w:r w:rsidR="00605EEC">
        <w:rPr>
          <w:rFonts w:ascii="Calibri" w:hAnsi="Calibri"/>
          <w:b/>
          <w:vertAlign w:val="superscript"/>
          <w:lang w:val="en-US"/>
        </w:rPr>
        <w:t xml:space="preserve"> </w:t>
      </w:r>
      <w:r w:rsidR="00605EEC" w:rsidRPr="00605EEC">
        <w:rPr>
          <w:rFonts w:ascii="Calibri" w:hAnsi="Calibri"/>
          <w:lang w:val="en-US"/>
        </w:rPr>
        <w:t>(MD, PhD)</w:t>
      </w:r>
      <w:r w:rsidR="00605EEC">
        <w:rPr>
          <w:rFonts w:ascii="Calibri" w:hAnsi="Calibri"/>
          <w:lang w:val="en-US"/>
        </w:rPr>
        <w:t>.</w:t>
      </w:r>
    </w:p>
    <w:p w14:paraId="7DBFE2B3" w14:textId="4041154D" w:rsidR="001B3C8B" w:rsidRPr="00C2509C" w:rsidRDefault="001B3C8B" w:rsidP="00C2509C">
      <w:pPr>
        <w:pStyle w:val="ListParagraph"/>
        <w:numPr>
          <w:ilvl w:val="0"/>
          <w:numId w:val="7"/>
        </w:numPr>
        <w:spacing w:line="360" w:lineRule="auto"/>
        <w:rPr>
          <w:rFonts w:ascii="Calibri" w:hAnsi="Calibri"/>
          <w:lang w:val="en-US"/>
        </w:rPr>
      </w:pPr>
      <w:r w:rsidRPr="00C2509C">
        <w:rPr>
          <w:rFonts w:ascii="Calibri" w:hAnsi="Calibri"/>
          <w:lang w:val="en-US"/>
        </w:rPr>
        <w:lastRenderedPageBreak/>
        <w:t xml:space="preserve">Department of Neurosurgery, Helsinki University Hospital </w:t>
      </w:r>
      <w:r w:rsidR="0079600D" w:rsidRPr="00347139">
        <w:rPr>
          <w:rFonts w:ascii="Calibri" w:hAnsi="Calibri"/>
          <w:lang w:val="en-US"/>
        </w:rPr>
        <w:t>and</w:t>
      </w:r>
      <w:r w:rsidRPr="00C2509C">
        <w:rPr>
          <w:rFonts w:ascii="Calibri" w:hAnsi="Calibri"/>
          <w:lang w:val="en-US"/>
        </w:rPr>
        <w:t xml:space="preserve"> University of Helsinki, Helsinki, Finland</w:t>
      </w:r>
    </w:p>
    <w:p w14:paraId="60113F07" w14:textId="30C013F6" w:rsidR="001B3C8B" w:rsidRPr="00C2509C" w:rsidRDefault="001B3C8B" w:rsidP="00C2509C">
      <w:pPr>
        <w:pStyle w:val="ListParagraph"/>
        <w:numPr>
          <w:ilvl w:val="0"/>
          <w:numId w:val="7"/>
        </w:numPr>
        <w:spacing w:line="360" w:lineRule="auto"/>
        <w:rPr>
          <w:rFonts w:ascii="Calibri" w:hAnsi="Calibri"/>
          <w:lang w:val="en-US"/>
        </w:rPr>
      </w:pPr>
      <w:r w:rsidRPr="00C2509C">
        <w:rPr>
          <w:rFonts w:ascii="Calibri" w:eastAsia="Calibri" w:hAnsi="Calibri" w:cs="Calibri"/>
          <w:color w:val="000000" w:themeColor="text1"/>
          <w:lang w:val="en-US"/>
        </w:rPr>
        <w:t>Department of Intensive Care</w:t>
      </w:r>
      <w:r w:rsidRPr="00C2509C">
        <w:rPr>
          <w:rFonts w:ascii="Calibri" w:hAnsi="Calibri"/>
          <w:lang w:val="en-US"/>
        </w:rPr>
        <w:t xml:space="preserve">, </w:t>
      </w:r>
      <w:r w:rsidRPr="00C2509C">
        <w:rPr>
          <w:rFonts w:ascii="Calibri" w:eastAsia="Calibri" w:hAnsi="Calibri" w:cs="Calibri"/>
          <w:color w:val="000000" w:themeColor="text1"/>
          <w:lang w:val="en-US"/>
        </w:rPr>
        <w:t>Kuopio University Hospital &amp; University of Eastern Finland, Kuopio, Finland</w:t>
      </w:r>
    </w:p>
    <w:p w14:paraId="4C3DD745" w14:textId="182F0021" w:rsidR="001B3C8B" w:rsidRPr="00C2509C" w:rsidRDefault="001B3C8B" w:rsidP="00C2509C">
      <w:pPr>
        <w:pStyle w:val="ListParagraph"/>
        <w:numPr>
          <w:ilvl w:val="0"/>
          <w:numId w:val="7"/>
        </w:numPr>
        <w:spacing w:line="360" w:lineRule="auto"/>
        <w:rPr>
          <w:rFonts w:ascii="Calibri" w:hAnsi="Calibri"/>
          <w:lang w:val="en-US"/>
        </w:rPr>
      </w:pPr>
      <w:r w:rsidRPr="00C2509C">
        <w:rPr>
          <w:rFonts w:ascii="Calibri" w:eastAsia="Calibri" w:hAnsi="Calibri" w:cs="Calibri"/>
          <w:color w:val="000000" w:themeColor="text1"/>
          <w:lang w:val="en-US"/>
        </w:rPr>
        <w:t>Department of Intensive Care, North Karelia Central Hospital, Joensuu, Finland</w:t>
      </w:r>
    </w:p>
    <w:p w14:paraId="17BEE2F4" w14:textId="77777777" w:rsidR="00C14304" w:rsidRPr="00C14304" w:rsidRDefault="00C14304" w:rsidP="00C2509C">
      <w:pPr>
        <w:pStyle w:val="ListParagraph"/>
        <w:numPr>
          <w:ilvl w:val="0"/>
          <w:numId w:val="7"/>
        </w:numPr>
        <w:spacing w:line="360" w:lineRule="auto"/>
        <w:rPr>
          <w:rFonts w:ascii="Calibri" w:hAnsi="Calibri"/>
          <w:lang w:val="en-US"/>
        </w:rPr>
      </w:pPr>
      <w:r>
        <w:rPr>
          <w:rFonts w:ascii="Calibri" w:eastAsia="Calibri" w:hAnsi="Calibri" w:cs="Calibri"/>
          <w:color w:val="000000" w:themeColor="text1"/>
          <w:lang w:val="en-US"/>
        </w:rPr>
        <w:t xml:space="preserve">Department </w:t>
      </w:r>
      <w:r w:rsidR="001B3C8B" w:rsidRPr="00C2509C">
        <w:rPr>
          <w:rFonts w:ascii="Calibri" w:eastAsia="Calibri" w:hAnsi="Calibri" w:cs="Calibri"/>
          <w:color w:val="000000" w:themeColor="text1"/>
          <w:lang w:val="en-US"/>
        </w:rPr>
        <w:t>of Intensive Care, Tampere University Hospital &amp; University of Tampere, Tampere, Finland</w:t>
      </w:r>
    </w:p>
    <w:p w14:paraId="15C29982" w14:textId="11156EE7" w:rsidR="001B3C8B" w:rsidRPr="00C14304" w:rsidRDefault="001B3C8B" w:rsidP="00C2509C">
      <w:pPr>
        <w:pStyle w:val="ListParagraph"/>
        <w:numPr>
          <w:ilvl w:val="0"/>
          <w:numId w:val="7"/>
        </w:numPr>
        <w:spacing w:line="360" w:lineRule="auto"/>
        <w:rPr>
          <w:rFonts w:ascii="Calibri" w:hAnsi="Calibri"/>
          <w:lang w:val="en-US"/>
        </w:rPr>
      </w:pPr>
      <w:r w:rsidRPr="00C14304">
        <w:rPr>
          <w:rFonts w:ascii="Calibri" w:eastAsia="Calibri" w:hAnsi="Calibri" w:cs="Calibri"/>
          <w:color w:val="000000" w:themeColor="text1"/>
          <w:lang w:val="en-US"/>
        </w:rPr>
        <w:t>Department of Neurosurgery, Tampere University Hospital &amp; University of Tampere, Tampere, Finland</w:t>
      </w:r>
    </w:p>
    <w:p w14:paraId="0A6CF945" w14:textId="7E4C5999" w:rsidR="001B3C8B" w:rsidRPr="00C2509C" w:rsidRDefault="001B3C8B" w:rsidP="00C2509C">
      <w:pPr>
        <w:pStyle w:val="ListParagraph"/>
        <w:numPr>
          <w:ilvl w:val="0"/>
          <w:numId w:val="7"/>
        </w:numPr>
        <w:spacing w:line="360" w:lineRule="auto"/>
        <w:rPr>
          <w:rFonts w:ascii="Calibri" w:hAnsi="Calibri"/>
          <w:lang w:val="en-US"/>
        </w:rPr>
      </w:pPr>
      <w:r w:rsidRPr="00C2509C">
        <w:rPr>
          <w:rFonts w:ascii="Calibri" w:eastAsia="Calibri" w:hAnsi="Calibri" w:cs="Calibri"/>
          <w:color w:val="000000" w:themeColor="text1"/>
          <w:lang w:val="en-US"/>
        </w:rPr>
        <w:t>Department of Intensive Care, Oulu University Hospital &amp; University of Oulu, Oulu, Finland</w:t>
      </w:r>
    </w:p>
    <w:p w14:paraId="19CF03EA" w14:textId="6F6D3FA8" w:rsidR="001B3C8B" w:rsidRPr="00C2509C" w:rsidRDefault="001B3C8B" w:rsidP="00C2509C">
      <w:pPr>
        <w:pStyle w:val="ListParagraph"/>
        <w:numPr>
          <w:ilvl w:val="0"/>
          <w:numId w:val="7"/>
        </w:numPr>
        <w:spacing w:line="360" w:lineRule="auto"/>
        <w:rPr>
          <w:rFonts w:ascii="Calibri" w:hAnsi="Calibri"/>
          <w:lang w:val="en-US"/>
        </w:rPr>
      </w:pPr>
      <w:r w:rsidRPr="00C2509C">
        <w:rPr>
          <w:rFonts w:ascii="Calibri" w:eastAsia="Calibri" w:hAnsi="Calibri" w:cs="Calibri"/>
          <w:color w:val="000000" w:themeColor="text1"/>
          <w:lang w:val="en-US"/>
        </w:rPr>
        <w:lastRenderedPageBreak/>
        <w:t>Department of Neurosurgery, Oulu University Hospital &amp; University of Oulu, Oulu, Finland</w:t>
      </w:r>
    </w:p>
    <w:p w14:paraId="6C5FEB2D" w14:textId="52163FF0" w:rsidR="001B3C8B" w:rsidRPr="00C2509C" w:rsidRDefault="001B3C8B" w:rsidP="00C2509C">
      <w:pPr>
        <w:pStyle w:val="ListParagraph"/>
        <w:numPr>
          <w:ilvl w:val="0"/>
          <w:numId w:val="7"/>
        </w:numPr>
        <w:spacing w:line="360" w:lineRule="auto"/>
        <w:rPr>
          <w:rFonts w:ascii="Calibri" w:hAnsi="Calibri"/>
          <w:lang w:val="en-US"/>
        </w:rPr>
      </w:pPr>
      <w:r w:rsidRPr="00C2509C">
        <w:rPr>
          <w:rFonts w:ascii="Calibri" w:eastAsia="Calibri" w:hAnsi="Calibri" w:cs="Calibri"/>
          <w:color w:val="000000" w:themeColor="text1"/>
          <w:lang w:val="en-US"/>
        </w:rPr>
        <w:t>Department of Intensive Care, Turku University Hospital &amp; University of Turku, Turku, Finland</w:t>
      </w:r>
    </w:p>
    <w:p w14:paraId="3DEEEFE9" w14:textId="6708E22E" w:rsidR="001B3C8B" w:rsidRPr="00C2509C" w:rsidRDefault="001B3C8B" w:rsidP="00C2509C">
      <w:pPr>
        <w:pStyle w:val="ListParagraph"/>
        <w:numPr>
          <w:ilvl w:val="0"/>
          <w:numId w:val="7"/>
        </w:numPr>
        <w:spacing w:line="360" w:lineRule="auto"/>
        <w:rPr>
          <w:rFonts w:ascii="Calibri" w:hAnsi="Calibri"/>
          <w:lang w:val="en-US"/>
        </w:rPr>
      </w:pPr>
      <w:r w:rsidRPr="00C2509C">
        <w:rPr>
          <w:rFonts w:ascii="Calibri" w:eastAsia="Calibri" w:hAnsi="Calibri" w:cs="Calibri"/>
          <w:color w:val="000000" w:themeColor="text1"/>
          <w:lang w:val="en-US"/>
        </w:rPr>
        <w:t xml:space="preserve">Department of Neurosurgery, Kuopio University Hospital &amp; </w:t>
      </w:r>
      <w:r w:rsidR="00F13B11" w:rsidRPr="00C2509C">
        <w:rPr>
          <w:rFonts w:ascii="Calibri" w:eastAsia="Calibri" w:hAnsi="Calibri" w:cs="Calibri"/>
          <w:color w:val="000000" w:themeColor="text1"/>
          <w:lang w:val="en-US"/>
        </w:rPr>
        <w:t>University of Eastern Finland, Kuopio, Finland</w:t>
      </w:r>
    </w:p>
    <w:p w14:paraId="4ABD9BA5" w14:textId="0D6F8279" w:rsidR="00F13B11" w:rsidRPr="00C2509C" w:rsidRDefault="00F13B11" w:rsidP="00C2509C">
      <w:pPr>
        <w:pStyle w:val="ListParagraph"/>
        <w:numPr>
          <w:ilvl w:val="0"/>
          <w:numId w:val="7"/>
        </w:numPr>
        <w:spacing w:line="360" w:lineRule="auto"/>
        <w:rPr>
          <w:rFonts w:ascii="Calibri" w:hAnsi="Calibri"/>
          <w:lang w:val="en-US"/>
        </w:rPr>
      </w:pPr>
      <w:r w:rsidRPr="00C2509C">
        <w:rPr>
          <w:rFonts w:ascii="Calibri" w:eastAsia="Calibri" w:hAnsi="Calibri" w:cs="Calibri"/>
          <w:color w:val="000000" w:themeColor="text1"/>
          <w:lang w:val="en-US"/>
        </w:rPr>
        <w:t>Department of Neurosurgery, Turku University Hospital &amp; University of Turku, Turku, Finland</w:t>
      </w:r>
    </w:p>
    <w:p w14:paraId="09ED05C5" w14:textId="7EE5D69C" w:rsidR="00F13B11" w:rsidRPr="00C2509C" w:rsidRDefault="00F13B11" w:rsidP="00C2509C">
      <w:pPr>
        <w:pStyle w:val="ListParagraph"/>
        <w:numPr>
          <w:ilvl w:val="0"/>
          <w:numId w:val="7"/>
        </w:numPr>
        <w:spacing w:line="360" w:lineRule="auto"/>
        <w:rPr>
          <w:rFonts w:ascii="Calibri" w:hAnsi="Calibri"/>
          <w:lang w:val="en-US"/>
        </w:rPr>
      </w:pPr>
      <w:r w:rsidRPr="00C2509C">
        <w:rPr>
          <w:rFonts w:ascii="Calibri" w:eastAsia="Calibri" w:hAnsi="Calibri" w:cs="Calibri"/>
          <w:color w:val="000000" w:themeColor="text1"/>
          <w:lang w:val="en-US"/>
        </w:rPr>
        <w:t>Australian and New Zealand Intensive Care Research Centre, School of Public Health and Preventive Medicine, Monash University, Melbourne, Australia</w:t>
      </w:r>
    </w:p>
    <w:p w14:paraId="52670AB8" w14:textId="3D6713B6" w:rsidR="00F13B11" w:rsidRPr="00C2509C" w:rsidRDefault="00C14304" w:rsidP="00C2509C">
      <w:pPr>
        <w:pStyle w:val="ListParagraph"/>
        <w:numPr>
          <w:ilvl w:val="0"/>
          <w:numId w:val="7"/>
        </w:numPr>
        <w:spacing w:line="360" w:lineRule="auto"/>
        <w:rPr>
          <w:rFonts w:ascii="Calibri" w:hAnsi="Calibri"/>
          <w:lang w:val="en-US"/>
        </w:rPr>
      </w:pPr>
      <w:r>
        <w:rPr>
          <w:rFonts w:ascii="Calibri" w:eastAsia="Calibri" w:hAnsi="Calibri" w:cs="Calibri"/>
          <w:color w:val="000000" w:themeColor="text1"/>
          <w:lang w:val="en-US"/>
        </w:rPr>
        <w:lastRenderedPageBreak/>
        <w:t xml:space="preserve">Department </w:t>
      </w:r>
      <w:r w:rsidR="00F13B11" w:rsidRPr="00C2509C">
        <w:rPr>
          <w:rFonts w:ascii="Calibri" w:eastAsia="Calibri" w:hAnsi="Calibri" w:cs="Calibri"/>
          <w:color w:val="000000" w:themeColor="text1"/>
          <w:lang w:val="en-US"/>
        </w:rPr>
        <w:t>Intensive Care, Helsinki University Hospital &amp; University of Helsinki, Helsinki, Finland</w:t>
      </w:r>
    </w:p>
    <w:p w14:paraId="1821E67E" w14:textId="77777777" w:rsidR="00605EEC" w:rsidRDefault="00605EEC" w:rsidP="317200CE">
      <w:pPr>
        <w:rPr>
          <w:rFonts w:ascii="Calibri" w:eastAsia="Calibri" w:hAnsi="Calibri" w:cs="Calibri"/>
          <w:color w:val="000000" w:themeColor="text1"/>
          <w:lang w:val="en-US"/>
        </w:rPr>
      </w:pPr>
    </w:p>
    <w:p w14:paraId="6DD8ED23" w14:textId="67942B90" w:rsidR="001C04DE" w:rsidRPr="00C2509C" w:rsidRDefault="317200CE" w:rsidP="317200CE">
      <w:pPr>
        <w:rPr>
          <w:rFonts w:ascii="Calibri" w:eastAsia="Calibri" w:hAnsi="Calibri" w:cs="Calibri"/>
          <w:color w:val="000000" w:themeColor="text1"/>
          <w:lang w:val="en-US"/>
        </w:rPr>
      </w:pPr>
      <w:r w:rsidRPr="00C2509C">
        <w:rPr>
          <w:rFonts w:ascii="Calibri" w:eastAsia="Calibri" w:hAnsi="Calibri" w:cs="Calibri"/>
          <w:b/>
          <w:bCs/>
          <w:color w:val="000000" w:themeColor="text1"/>
          <w:lang w:val="en-US"/>
        </w:rPr>
        <w:t>Corresponding author information</w:t>
      </w:r>
    </w:p>
    <w:p w14:paraId="360E4D47" w14:textId="10EE1396" w:rsidR="001C04DE" w:rsidRPr="00C2509C" w:rsidRDefault="317200CE" w:rsidP="317200CE">
      <w:pPr>
        <w:pStyle w:val="ListParagraph"/>
        <w:numPr>
          <w:ilvl w:val="0"/>
          <w:numId w:val="2"/>
        </w:numPr>
        <w:rPr>
          <w:rFonts w:ascii="Calibri" w:eastAsia="Calibri" w:hAnsi="Calibri" w:cs="Calibri"/>
          <w:color w:val="000000" w:themeColor="text1"/>
          <w:lang w:val="en-US"/>
        </w:rPr>
      </w:pPr>
      <w:r w:rsidRPr="00C2509C">
        <w:rPr>
          <w:rFonts w:ascii="Calibri" w:eastAsia="Calibri" w:hAnsi="Calibri" w:cs="Calibri"/>
          <w:color w:val="000000" w:themeColor="text1"/>
          <w:lang w:val="en-US"/>
        </w:rPr>
        <w:t xml:space="preserve">Address: </w:t>
      </w:r>
      <w:r w:rsidR="00F13B11" w:rsidRPr="00C2509C">
        <w:rPr>
          <w:rFonts w:ascii="Calibri" w:eastAsia="Calibri" w:hAnsi="Calibri" w:cs="Calibri"/>
          <w:color w:val="000000" w:themeColor="text1"/>
          <w:lang w:val="en-US"/>
        </w:rPr>
        <w:t xml:space="preserve">Töölö Hospital, </w:t>
      </w:r>
      <w:r w:rsidRPr="00C2509C">
        <w:rPr>
          <w:rFonts w:ascii="Calibri" w:eastAsia="Calibri" w:hAnsi="Calibri" w:cs="Calibri"/>
          <w:color w:val="000000" w:themeColor="text1"/>
          <w:lang w:val="en-US"/>
        </w:rPr>
        <w:t>Topeliuksenkatu 5, P</w:t>
      </w:r>
      <w:r w:rsidR="00F13B11" w:rsidRPr="00C2509C">
        <w:rPr>
          <w:rFonts w:ascii="Calibri" w:eastAsia="Calibri" w:hAnsi="Calibri" w:cs="Calibri"/>
          <w:color w:val="000000" w:themeColor="text1"/>
          <w:lang w:val="en-US"/>
        </w:rPr>
        <w:t xml:space="preserve">.B. </w:t>
      </w:r>
      <w:r w:rsidRPr="00C2509C">
        <w:rPr>
          <w:rFonts w:ascii="Calibri" w:eastAsia="Calibri" w:hAnsi="Calibri" w:cs="Calibri"/>
          <w:color w:val="000000" w:themeColor="text1"/>
          <w:lang w:val="en-US"/>
        </w:rPr>
        <w:t>266, 00029 HUS, Finland, Department of Neurosurgery, Helsinki University Hospital</w:t>
      </w:r>
      <w:r w:rsidR="00F13B11" w:rsidRPr="00C2509C">
        <w:rPr>
          <w:rFonts w:ascii="Calibri" w:eastAsia="Calibri" w:hAnsi="Calibri" w:cs="Calibri"/>
          <w:color w:val="000000" w:themeColor="text1"/>
          <w:lang w:val="en-US"/>
        </w:rPr>
        <w:t xml:space="preserve"> &amp; University of Helsinki, Helsinki, Finland</w:t>
      </w:r>
    </w:p>
    <w:p w14:paraId="5DB7767B" w14:textId="77777777" w:rsidR="001C04DE" w:rsidRPr="00C2509C" w:rsidRDefault="317200CE" w:rsidP="317200CE">
      <w:pPr>
        <w:pStyle w:val="ListParagraph"/>
        <w:numPr>
          <w:ilvl w:val="0"/>
          <w:numId w:val="2"/>
        </w:numPr>
        <w:rPr>
          <w:rFonts w:ascii="Calibri" w:eastAsia="Calibri" w:hAnsi="Calibri" w:cs="Calibri"/>
          <w:color w:val="000000" w:themeColor="text1"/>
          <w:lang w:val="en-US"/>
        </w:rPr>
      </w:pPr>
      <w:r w:rsidRPr="00C2509C">
        <w:rPr>
          <w:rFonts w:ascii="Calibri" w:eastAsia="Calibri" w:hAnsi="Calibri" w:cs="Calibri"/>
          <w:color w:val="000000" w:themeColor="text1"/>
          <w:lang w:val="en-US"/>
        </w:rPr>
        <w:t>Phone: +358443191190</w:t>
      </w:r>
    </w:p>
    <w:p w14:paraId="20CBCBCC" w14:textId="2FBBDF81" w:rsidR="002379CD" w:rsidRDefault="317200CE" w:rsidP="002379CD">
      <w:pPr>
        <w:pStyle w:val="ListParagraph"/>
        <w:numPr>
          <w:ilvl w:val="0"/>
          <w:numId w:val="2"/>
        </w:numPr>
        <w:rPr>
          <w:rFonts w:ascii="Calibri" w:eastAsia="Calibri" w:hAnsi="Calibri" w:cs="Calibri"/>
          <w:color w:val="000000" w:themeColor="text1"/>
          <w:lang w:val="en-US"/>
        </w:rPr>
      </w:pPr>
      <w:r w:rsidRPr="0010525B">
        <w:rPr>
          <w:rFonts w:ascii="Calibri" w:eastAsia="Calibri" w:hAnsi="Calibri" w:cs="Calibri"/>
          <w:color w:val="000000" w:themeColor="text1"/>
          <w:lang w:val="en-US"/>
        </w:rPr>
        <w:t xml:space="preserve">Email: </w:t>
      </w:r>
      <w:r w:rsidR="0010525B">
        <w:rPr>
          <w:rFonts w:ascii="Calibri" w:eastAsia="Calibri" w:hAnsi="Calibri" w:cs="Calibri"/>
          <w:color w:val="000000" w:themeColor="text1"/>
          <w:lang w:val="en-US"/>
        </w:rPr>
        <w:t>rahul.raj@hus.fi</w:t>
      </w:r>
      <w:r w:rsidRPr="0010525B">
        <w:rPr>
          <w:rFonts w:ascii="Calibri" w:eastAsia="Calibri" w:hAnsi="Calibri" w:cs="Calibri"/>
          <w:color w:val="000000" w:themeColor="text1"/>
          <w:lang w:val="en-US"/>
        </w:rPr>
        <w:t xml:space="preserve"> or </w:t>
      </w:r>
      <w:hyperlink r:id="rId8">
        <w:r w:rsidRPr="0010525B">
          <w:rPr>
            <w:rStyle w:val="Hyperlink"/>
            <w:rFonts w:ascii="Calibri" w:eastAsia="Calibri" w:hAnsi="Calibri" w:cs="Calibri"/>
            <w:color w:val="000000" w:themeColor="text1"/>
            <w:u w:val="none"/>
            <w:lang w:val="en-US"/>
          </w:rPr>
          <w:t>rahul.raj@helsinki.fi</w:t>
        </w:r>
      </w:hyperlink>
      <w:r w:rsidRPr="0010525B">
        <w:rPr>
          <w:rFonts w:ascii="Calibri" w:eastAsia="Calibri" w:hAnsi="Calibri" w:cs="Calibri"/>
          <w:color w:val="000000" w:themeColor="text1"/>
          <w:lang w:val="en-US"/>
        </w:rPr>
        <w:t xml:space="preserve"> </w:t>
      </w:r>
    </w:p>
    <w:p w14:paraId="7BC3C675" w14:textId="77777777" w:rsidR="00B350F8" w:rsidRPr="0010525B" w:rsidRDefault="00B350F8" w:rsidP="00B350F8">
      <w:pPr>
        <w:pStyle w:val="ListParagraph"/>
        <w:rPr>
          <w:rFonts w:ascii="Calibri" w:eastAsia="Calibri" w:hAnsi="Calibri" w:cs="Calibri"/>
          <w:color w:val="000000" w:themeColor="text1"/>
          <w:lang w:val="en-US"/>
        </w:rPr>
      </w:pPr>
    </w:p>
    <w:p w14:paraId="42F00808" w14:textId="0BFCB183" w:rsidR="0010525B" w:rsidRPr="00CA6B15" w:rsidRDefault="00605EEC" w:rsidP="0010525B">
      <w:pPr>
        <w:rPr>
          <w:rFonts w:ascii="Calibri" w:eastAsia="Calibri" w:hAnsi="Calibri" w:cs="Calibri"/>
          <w:color w:val="000000" w:themeColor="text1"/>
          <w:lang w:val="en-US"/>
        </w:rPr>
      </w:pPr>
      <w:r>
        <w:rPr>
          <w:rFonts w:ascii="Calibri" w:eastAsia="Calibri" w:hAnsi="Calibri" w:cs="Calibri"/>
          <w:b/>
          <w:color w:val="000000" w:themeColor="text1"/>
          <w:lang w:val="en-US"/>
        </w:rPr>
        <w:t>Authors’ e</w:t>
      </w:r>
      <w:r w:rsidR="0010525B" w:rsidRPr="00B350F8">
        <w:rPr>
          <w:rFonts w:ascii="Calibri" w:eastAsia="Calibri" w:hAnsi="Calibri" w:cs="Calibri"/>
          <w:b/>
          <w:color w:val="000000" w:themeColor="text1"/>
          <w:lang w:val="en-US"/>
        </w:rPr>
        <w:t>-mail addresses</w:t>
      </w:r>
      <w:r w:rsidR="0010525B" w:rsidRPr="00CA6B15">
        <w:rPr>
          <w:rFonts w:ascii="Calibri" w:eastAsia="Calibri" w:hAnsi="Calibri" w:cs="Calibri"/>
          <w:color w:val="000000" w:themeColor="text1"/>
          <w:lang w:val="en-US"/>
        </w:rPr>
        <w:t xml:space="preserve">: </w:t>
      </w:r>
      <w:r w:rsidR="00F878CC">
        <w:rPr>
          <w:rFonts w:ascii="Calibri" w:eastAsia="Calibri" w:hAnsi="Calibri" w:cs="Calibri"/>
          <w:color w:val="000000" w:themeColor="text1"/>
          <w:lang w:val="en-US"/>
        </w:rPr>
        <w:t xml:space="preserve">RR, </w:t>
      </w:r>
      <w:hyperlink r:id="rId9" w:history="1">
        <w:r w:rsidR="00F878CC" w:rsidRPr="00C008D9">
          <w:rPr>
            <w:rStyle w:val="Hyperlink"/>
            <w:rFonts w:ascii="Calibri" w:eastAsia="Calibri" w:hAnsi="Calibri" w:cs="Calibri"/>
            <w:color w:val="000000" w:themeColor="text1"/>
            <w:u w:val="none"/>
            <w:lang w:val="en-US"/>
          </w:rPr>
          <w:t>rahul.raj@hus.fi</w:t>
        </w:r>
      </w:hyperlink>
      <w:r w:rsidR="00F878CC" w:rsidRPr="00C008D9">
        <w:rPr>
          <w:rFonts w:ascii="Calibri" w:eastAsia="Calibri" w:hAnsi="Calibri" w:cs="Calibri"/>
          <w:color w:val="000000" w:themeColor="text1"/>
          <w:lang w:val="en-US"/>
        </w:rPr>
        <w:t xml:space="preserve">; </w:t>
      </w:r>
      <w:r w:rsidR="0010525B" w:rsidRPr="00C008D9">
        <w:rPr>
          <w:rFonts w:ascii="Calibri" w:eastAsia="Calibri" w:hAnsi="Calibri" w:cs="Calibri"/>
          <w:color w:val="000000" w:themeColor="text1"/>
          <w:lang w:val="en-US"/>
        </w:rPr>
        <w:t xml:space="preserve">SB, </w:t>
      </w:r>
      <w:hyperlink r:id="rId10" w:history="1">
        <w:r w:rsidR="0010525B" w:rsidRPr="00C008D9">
          <w:rPr>
            <w:rStyle w:val="Hyperlink"/>
            <w:rFonts w:ascii="Calibri" w:eastAsia="Calibri" w:hAnsi="Calibri" w:cs="Calibri"/>
            <w:color w:val="000000" w:themeColor="text1"/>
            <w:u w:val="none"/>
            <w:lang w:val="en-US"/>
          </w:rPr>
          <w:t>stepani.bendel@kuh.fi</w:t>
        </w:r>
      </w:hyperlink>
      <w:r w:rsidR="0010525B" w:rsidRPr="00C008D9">
        <w:rPr>
          <w:rFonts w:ascii="Calibri" w:eastAsia="Calibri" w:hAnsi="Calibri" w:cs="Calibri"/>
          <w:color w:val="000000" w:themeColor="text1"/>
          <w:lang w:val="en-US"/>
        </w:rPr>
        <w:t xml:space="preserve">; MR, </w:t>
      </w:r>
      <w:hyperlink r:id="rId11" w:history="1">
        <w:r w:rsidR="0010525B" w:rsidRPr="00C008D9">
          <w:rPr>
            <w:rStyle w:val="Hyperlink"/>
            <w:rFonts w:ascii="Calibri" w:eastAsia="Calibri" w:hAnsi="Calibri" w:cs="Calibri"/>
            <w:color w:val="000000" w:themeColor="text1"/>
            <w:u w:val="none"/>
            <w:lang w:val="en-US"/>
          </w:rPr>
          <w:t>matti.reinikainen@siunsote.fi</w:t>
        </w:r>
      </w:hyperlink>
      <w:r w:rsidR="0010525B" w:rsidRPr="00C008D9">
        <w:rPr>
          <w:rFonts w:ascii="Calibri" w:eastAsia="Calibri" w:hAnsi="Calibri" w:cs="Calibri"/>
          <w:color w:val="000000" w:themeColor="text1"/>
          <w:lang w:val="en-US"/>
        </w:rPr>
        <w:t xml:space="preserve">; SH, </w:t>
      </w:r>
      <w:hyperlink r:id="rId12" w:history="1">
        <w:r w:rsidR="0010525B" w:rsidRPr="00C008D9">
          <w:rPr>
            <w:rStyle w:val="Hyperlink"/>
            <w:rFonts w:ascii="Calibri" w:eastAsia="Calibri" w:hAnsi="Calibri" w:cs="Calibri"/>
            <w:color w:val="000000" w:themeColor="text1"/>
            <w:u w:val="none"/>
            <w:lang w:val="en-US"/>
          </w:rPr>
          <w:t>sanna.hoppu@pshp.fi</w:t>
        </w:r>
      </w:hyperlink>
      <w:r w:rsidR="0010525B" w:rsidRPr="00C008D9">
        <w:rPr>
          <w:rFonts w:ascii="Calibri" w:eastAsia="Calibri" w:hAnsi="Calibri" w:cs="Calibri"/>
          <w:color w:val="000000" w:themeColor="text1"/>
          <w:lang w:val="en-US"/>
        </w:rPr>
        <w:t>; TL</w:t>
      </w:r>
      <w:r w:rsidR="0010525B" w:rsidRPr="00CA6B15">
        <w:rPr>
          <w:rFonts w:ascii="Calibri" w:eastAsia="Calibri" w:hAnsi="Calibri" w:cs="Calibri"/>
          <w:color w:val="000000" w:themeColor="text1"/>
          <w:lang w:val="en-US"/>
        </w:rPr>
        <w:t xml:space="preserve">, </w:t>
      </w:r>
      <w:hyperlink r:id="rId13" w:history="1">
        <w:r w:rsidR="0010525B" w:rsidRPr="00CA6B15">
          <w:rPr>
            <w:rStyle w:val="Hyperlink"/>
            <w:rFonts w:ascii="Calibri" w:eastAsia="Calibri" w:hAnsi="Calibri" w:cs="Calibri"/>
            <w:color w:val="000000" w:themeColor="text1"/>
            <w:u w:val="none"/>
            <w:lang w:val="en-US"/>
          </w:rPr>
          <w:t>teemu.luoto@pshp.fi</w:t>
        </w:r>
      </w:hyperlink>
      <w:r w:rsidR="0010525B" w:rsidRPr="00CA6B15">
        <w:rPr>
          <w:rFonts w:ascii="Calibri" w:eastAsia="Calibri" w:hAnsi="Calibri" w:cs="Calibri"/>
          <w:color w:val="000000" w:themeColor="text1"/>
          <w:lang w:val="en-US"/>
        </w:rPr>
        <w:t xml:space="preserve">; TAK, </w:t>
      </w:r>
      <w:hyperlink r:id="rId14" w:history="1">
        <w:r w:rsidR="0010525B" w:rsidRPr="00CA6B15">
          <w:rPr>
            <w:rStyle w:val="Hyperlink"/>
            <w:rFonts w:ascii="Calibri" w:eastAsia="Calibri" w:hAnsi="Calibri" w:cs="Calibri"/>
            <w:color w:val="000000" w:themeColor="text1"/>
            <w:u w:val="none"/>
            <w:lang w:val="en-US"/>
          </w:rPr>
          <w:t>tero.ala-</w:t>
        </w:r>
        <w:r w:rsidR="0010525B" w:rsidRPr="00CA6B15">
          <w:rPr>
            <w:rStyle w:val="Hyperlink"/>
            <w:rFonts w:ascii="Calibri" w:eastAsia="Calibri" w:hAnsi="Calibri" w:cs="Calibri"/>
            <w:color w:val="000000" w:themeColor="text1"/>
            <w:u w:val="none"/>
            <w:lang w:val="en-US"/>
          </w:rPr>
          <w:lastRenderedPageBreak/>
          <w:t>kokko@ppshp.fi</w:t>
        </w:r>
      </w:hyperlink>
      <w:r w:rsidR="0010525B" w:rsidRPr="00CA6B15">
        <w:rPr>
          <w:rFonts w:ascii="Calibri" w:eastAsia="Calibri" w:hAnsi="Calibri" w:cs="Calibri"/>
          <w:color w:val="000000" w:themeColor="text1"/>
          <w:lang w:val="en-US"/>
        </w:rPr>
        <w:t xml:space="preserve">; ST, </w:t>
      </w:r>
      <w:hyperlink r:id="rId15" w:history="1">
        <w:r w:rsidR="0010525B" w:rsidRPr="00CA6B15">
          <w:rPr>
            <w:rStyle w:val="Hyperlink"/>
            <w:rFonts w:ascii="Calibri" w:eastAsia="Calibri" w:hAnsi="Calibri" w:cs="Calibri"/>
            <w:color w:val="000000" w:themeColor="text1"/>
            <w:u w:val="none"/>
            <w:lang w:val="en-US"/>
          </w:rPr>
          <w:t>sami.tetri@ppshp.fi</w:t>
        </w:r>
      </w:hyperlink>
      <w:r w:rsidR="0010525B" w:rsidRPr="00CA6B15">
        <w:rPr>
          <w:rFonts w:ascii="Calibri" w:eastAsia="Calibri" w:hAnsi="Calibri" w:cs="Calibri"/>
          <w:color w:val="000000" w:themeColor="text1"/>
          <w:lang w:val="en-US"/>
        </w:rPr>
        <w:t xml:space="preserve">; RL, </w:t>
      </w:r>
      <w:hyperlink r:id="rId16" w:history="1">
        <w:r w:rsidR="0010525B" w:rsidRPr="00CA6B15">
          <w:rPr>
            <w:rStyle w:val="Hyperlink"/>
            <w:rFonts w:ascii="Calibri" w:eastAsia="Calibri" w:hAnsi="Calibri" w:cs="Calibri"/>
            <w:color w:val="000000" w:themeColor="text1"/>
            <w:u w:val="none"/>
            <w:lang w:val="en-US"/>
          </w:rPr>
          <w:t>ruut.laitio@tyks.fi</w:t>
        </w:r>
      </w:hyperlink>
      <w:r w:rsidR="0010525B" w:rsidRPr="00CA6B15">
        <w:rPr>
          <w:rFonts w:ascii="Calibri" w:eastAsia="Calibri" w:hAnsi="Calibri" w:cs="Calibri"/>
          <w:color w:val="000000" w:themeColor="text1"/>
          <w:lang w:val="en-US"/>
        </w:rPr>
        <w:t xml:space="preserve">; TK, </w:t>
      </w:r>
      <w:hyperlink r:id="rId17" w:history="1">
        <w:r w:rsidR="0010525B" w:rsidRPr="00CA6B15">
          <w:rPr>
            <w:rStyle w:val="Hyperlink"/>
            <w:rFonts w:ascii="Calibri" w:eastAsia="Calibri" w:hAnsi="Calibri" w:cs="Calibri"/>
            <w:color w:val="000000" w:themeColor="text1"/>
            <w:u w:val="none"/>
            <w:lang w:val="en-US"/>
          </w:rPr>
          <w:t>timo.koivisto@kuh.fi</w:t>
        </w:r>
      </w:hyperlink>
      <w:r w:rsidR="0010525B" w:rsidRPr="00CA6B15">
        <w:rPr>
          <w:rFonts w:ascii="Calibri" w:eastAsia="Calibri" w:hAnsi="Calibri" w:cs="Calibri"/>
          <w:color w:val="000000" w:themeColor="text1"/>
          <w:lang w:val="en-US"/>
        </w:rPr>
        <w:t xml:space="preserve">; JR, </w:t>
      </w:r>
      <w:hyperlink r:id="rId18" w:history="1">
        <w:r w:rsidR="0010525B" w:rsidRPr="00CA6B15">
          <w:rPr>
            <w:rStyle w:val="Hyperlink"/>
            <w:rFonts w:ascii="Calibri" w:eastAsia="Calibri" w:hAnsi="Calibri" w:cs="Calibri"/>
            <w:color w:val="000000" w:themeColor="text1"/>
            <w:u w:val="none"/>
            <w:lang w:val="en-US"/>
          </w:rPr>
          <w:t>jaakko.rinne@tyks.fi</w:t>
        </w:r>
      </w:hyperlink>
      <w:r w:rsidR="0010525B" w:rsidRPr="00CA6B15">
        <w:rPr>
          <w:rFonts w:ascii="Calibri" w:eastAsia="Calibri" w:hAnsi="Calibri" w:cs="Calibri"/>
          <w:color w:val="000000" w:themeColor="text1"/>
          <w:lang w:val="en-US"/>
        </w:rPr>
        <w:t xml:space="preserve">; RK, </w:t>
      </w:r>
      <w:hyperlink r:id="rId19" w:history="1">
        <w:r w:rsidR="0010525B" w:rsidRPr="00CA6B15">
          <w:rPr>
            <w:rStyle w:val="Hyperlink"/>
            <w:rFonts w:ascii="Calibri" w:eastAsia="Calibri" w:hAnsi="Calibri" w:cs="Calibri"/>
            <w:color w:val="000000" w:themeColor="text1"/>
            <w:u w:val="none"/>
            <w:lang w:val="en-US"/>
          </w:rPr>
          <w:t>riku.kivisaari@hus.fi</w:t>
        </w:r>
      </w:hyperlink>
      <w:r w:rsidR="0010525B" w:rsidRPr="00CA6B15">
        <w:rPr>
          <w:rFonts w:ascii="Calibri" w:eastAsia="Calibri" w:hAnsi="Calibri" w:cs="Calibri"/>
          <w:color w:val="000000" w:themeColor="text1"/>
          <w:lang w:val="en-US"/>
        </w:rPr>
        <w:t xml:space="preserve">; JS, </w:t>
      </w:r>
      <w:hyperlink r:id="rId20" w:history="1">
        <w:r w:rsidR="0010525B" w:rsidRPr="00CA6B15">
          <w:rPr>
            <w:rStyle w:val="Hyperlink"/>
            <w:rFonts w:ascii="Calibri" w:eastAsia="Calibri" w:hAnsi="Calibri" w:cs="Calibri"/>
            <w:color w:val="000000" w:themeColor="text1"/>
            <w:u w:val="none"/>
            <w:lang w:val="en-US"/>
          </w:rPr>
          <w:t>jari.siironen@hus.fi</w:t>
        </w:r>
      </w:hyperlink>
      <w:r w:rsidR="0010525B" w:rsidRPr="00CA6B15">
        <w:rPr>
          <w:rFonts w:ascii="Calibri" w:eastAsia="Calibri" w:hAnsi="Calibri" w:cs="Calibri"/>
          <w:color w:val="000000" w:themeColor="text1"/>
          <w:lang w:val="en-US"/>
        </w:rPr>
        <w:t xml:space="preserve">; </w:t>
      </w:r>
      <w:r w:rsidR="00CA6B15" w:rsidRPr="00CA6B15">
        <w:rPr>
          <w:rFonts w:ascii="Calibri" w:eastAsia="Calibri" w:hAnsi="Calibri" w:cs="Calibri"/>
          <w:color w:val="000000" w:themeColor="text1"/>
          <w:lang w:val="en-US"/>
        </w:rPr>
        <w:t xml:space="preserve">AH, </w:t>
      </w:r>
      <w:hyperlink r:id="rId21" w:history="1">
        <w:r w:rsidR="00CA6B15" w:rsidRPr="00CA6B15">
          <w:rPr>
            <w:rStyle w:val="Hyperlink"/>
            <w:rFonts w:ascii="Calibri" w:eastAsia="Calibri" w:hAnsi="Calibri" w:cs="Calibri"/>
            <w:color w:val="000000" w:themeColor="text1"/>
            <w:u w:val="none"/>
            <w:lang w:val="en-US"/>
          </w:rPr>
          <w:t>lisa.higgins@monash.edu</w:t>
        </w:r>
      </w:hyperlink>
      <w:r w:rsidR="00CA6B15" w:rsidRPr="00CA6B15">
        <w:rPr>
          <w:rFonts w:ascii="Calibri" w:eastAsia="Calibri" w:hAnsi="Calibri" w:cs="Calibri"/>
          <w:color w:val="000000" w:themeColor="text1"/>
          <w:lang w:val="en-US"/>
        </w:rPr>
        <w:t xml:space="preserve">; MS, </w:t>
      </w:r>
      <w:hyperlink r:id="rId22" w:history="1">
        <w:r w:rsidR="00CA6B15" w:rsidRPr="00CA6B15">
          <w:rPr>
            <w:rStyle w:val="Hyperlink"/>
            <w:rFonts w:ascii="Calibri" w:eastAsia="Calibri" w:hAnsi="Calibri" w:cs="Calibri"/>
            <w:color w:val="000000" w:themeColor="text1"/>
            <w:u w:val="none"/>
            <w:lang w:val="en-US"/>
          </w:rPr>
          <w:t>markus.skrifvars@hus.fi</w:t>
        </w:r>
      </w:hyperlink>
      <w:r w:rsidR="00CA6B15" w:rsidRPr="00CA6B15">
        <w:rPr>
          <w:rFonts w:ascii="Calibri" w:eastAsia="Calibri" w:hAnsi="Calibri" w:cs="Calibri"/>
          <w:color w:val="000000" w:themeColor="text1"/>
          <w:lang w:val="en-US"/>
        </w:rPr>
        <w:t xml:space="preserve"> or </w:t>
      </w:r>
      <w:hyperlink r:id="rId23" w:history="1">
        <w:r w:rsidR="00CA6B15" w:rsidRPr="00CA6B15">
          <w:rPr>
            <w:rStyle w:val="Hyperlink"/>
            <w:rFonts w:ascii="Calibri" w:eastAsia="Calibri" w:hAnsi="Calibri" w:cs="Calibri"/>
            <w:color w:val="000000" w:themeColor="text1"/>
            <w:u w:val="none"/>
            <w:lang w:val="en-US"/>
          </w:rPr>
          <w:t>markus.skrifvars@monash.edu</w:t>
        </w:r>
      </w:hyperlink>
      <w:r w:rsidR="00CA6B15" w:rsidRPr="00CA6B15">
        <w:rPr>
          <w:rFonts w:ascii="Calibri" w:eastAsia="Calibri" w:hAnsi="Calibri" w:cs="Calibri"/>
          <w:color w:val="000000" w:themeColor="text1"/>
          <w:lang w:val="en-US"/>
        </w:rPr>
        <w:t xml:space="preserve"> </w:t>
      </w:r>
    </w:p>
    <w:p w14:paraId="44508BD7" w14:textId="77777777" w:rsidR="003243B8" w:rsidRDefault="003243B8">
      <w:pPr>
        <w:rPr>
          <w:rFonts w:ascii="Calibri" w:eastAsia="Calibri" w:hAnsi="Calibri" w:cs="Calibri"/>
          <w:b/>
          <w:bCs/>
          <w:color w:val="000000" w:themeColor="text1"/>
          <w:lang w:val="en-US"/>
        </w:rPr>
      </w:pPr>
    </w:p>
    <w:p w14:paraId="65838814" w14:textId="77777777" w:rsidR="00E36CBA" w:rsidRDefault="003243B8">
      <w:pPr>
        <w:rPr>
          <w:rFonts w:ascii="Calibri" w:eastAsia="Calibri" w:hAnsi="Calibri" w:cs="Calibri"/>
          <w:b/>
          <w:bCs/>
          <w:color w:val="000000" w:themeColor="text1"/>
          <w:lang w:val="en-US"/>
        </w:rPr>
      </w:pPr>
      <w:r w:rsidRPr="00C2509C">
        <w:rPr>
          <w:rFonts w:ascii="Calibri" w:eastAsia="Calibri" w:hAnsi="Calibri" w:cs="Calibri"/>
          <w:b/>
          <w:bCs/>
          <w:color w:val="000000" w:themeColor="text1"/>
          <w:lang w:val="en-US"/>
        </w:rPr>
        <w:t>Key words</w:t>
      </w:r>
      <w:r w:rsidRPr="00C2509C">
        <w:rPr>
          <w:rFonts w:ascii="Calibri" w:eastAsia="Calibri" w:hAnsi="Calibri" w:cs="Calibri"/>
          <w:b/>
          <w:color w:val="000000" w:themeColor="text1"/>
          <w:lang w:val="en-US"/>
        </w:rPr>
        <w:t>:</w:t>
      </w:r>
      <w:r w:rsidRPr="00C2509C">
        <w:rPr>
          <w:rFonts w:ascii="Calibri" w:eastAsia="Calibri" w:hAnsi="Calibri" w:cs="Calibri"/>
          <w:color w:val="000000" w:themeColor="text1"/>
          <w:lang w:val="en-US"/>
        </w:rPr>
        <w:t xml:space="preserve"> traumatic brain injury</w:t>
      </w:r>
      <w:r>
        <w:rPr>
          <w:rFonts w:ascii="Calibri" w:eastAsia="Calibri" w:hAnsi="Calibri" w:cs="Calibri"/>
          <w:color w:val="000000" w:themeColor="text1"/>
          <w:lang w:val="en-US"/>
        </w:rPr>
        <w:t>,</w:t>
      </w:r>
      <w:r w:rsidRPr="00C2509C">
        <w:rPr>
          <w:rFonts w:ascii="Calibri" w:eastAsia="Calibri" w:hAnsi="Calibri" w:cs="Calibri"/>
          <w:color w:val="000000" w:themeColor="text1"/>
          <w:lang w:val="en-US"/>
        </w:rPr>
        <w:t xml:space="preserve"> intensive care unit</w:t>
      </w:r>
      <w:r>
        <w:rPr>
          <w:rFonts w:ascii="Calibri" w:eastAsia="Calibri" w:hAnsi="Calibri" w:cs="Calibri"/>
          <w:color w:val="000000" w:themeColor="text1"/>
          <w:lang w:val="en-US"/>
        </w:rPr>
        <w:t>,</w:t>
      </w:r>
      <w:r w:rsidRPr="00C2509C">
        <w:rPr>
          <w:rFonts w:ascii="Calibri" w:eastAsia="Calibri" w:hAnsi="Calibri" w:cs="Calibri"/>
          <w:color w:val="000000" w:themeColor="text1"/>
          <w:lang w:val="en-US"/>
        </w:rPr>
        <w:t xml:space="preserve"> treatment intensity, treatment cost</w:t>
      </w:r>
      <w:r>
        <w:rPr>
          <w:rFonts w:ascii="Calibri" w:eastAsia="Calibri" w:hAnsi="Calibri" w:cs="Calibri"/>
          <w:color w:val="000000" w:themeColor="text1"/>
          <w:lang w:val="en-US"/>
        </w:rPr>
        <w:t>,</w:t>
      </w:r>
      <w:r w:rsidRPr="00C2509C">
        <w:rPr>
          <w:rFonts w:ascii="Calibri" w:eastAsia="Calibri" w:hAnsi="Calibri" w:cs="Calibri"/>
          <w:color w:val="000000" w:themeColor="text1"/>
          <w:lang w:val="en-US"/>
        </w:rPr>
        <w:t xml:space="preserve"> outcome, cost-effectiveness</w:t>
      </w:r>
      <w:r w:rsidRPr="00C2509C">
        <w:rPr>
          <w:rFonts w:ascii="Calibri" w:eastAsia="Calibri" w:hAnsi="Calibri" w:cs="Calibri"/>
          <w:b/>
          <w:bCs/>
          <w:color w:val="000000" w:themeColor="text1"/>
          <w:lang w:val="en-US"/>
        </w:rPr>
        <w:t xml:space="preserve"> </w:t>
      </w:r>
    </w:p>
    <w:p w14:paraId="745C053E" w14:textId="77777777" w:rsidR="00E36CBA" w:rsidRDefault="00E36CBA">
      <w:pPr>
        <w:rPr>
          <w:rFonts w:ascii="Calibri" w:eastAsia="Calibri" w:hAnsi="Calibri" w:cs="Calibri"/>
          <w:b/>
          <w:bCs/>
          <w:color w:val="000000" w:themeColor="text1"/>
          <w:lang w:val="en-US"/>
        </w:rPr>
      </w:pPr>
    </w:p>
    <w:p w14:paraId="27491D73" w14:textId="18D8F992" w:rsidR="00E36CBA" w:rsidRDefault="00E36CBA">
      <w:pPr>
        <w:rPr>
          <w:rFonts w:ascii="Calibri" w:eastAsia="Calibri" w:hAnsi="Calibri" w:cs="Calibri"/>
          <w:b/>
          <w:bCs/>
          <w:color w:val="000000" w:themeColor="text1"/>
          <w:lang w:val="en-US"/>
        </w:rPr>
      </w:pPr>
      <w:r>
        <w:rPr>
          <w:rFonts w:ascii="Calibri" w:eastAsia="Calibri" w:hAnsi="Calibri" w:cs="Calibri"/>
          <w:b/>
          <w:bCs/>
          <w:color w:val="000000" w:themeColor="text1"/>
          <w:lang w:val="en-US"/>
        </w:rPr>
        <w:t xml:space="preserve">Abstract = </w:t>
      </w:r>
      <w:r w:rsidR="00820AA7">
        <w:rPr>
          <w:rFonts w:ascii="Calibri" w:eastAsia="Calibri" w:hAnsi="Calibri" w:cs="Calibri"/>
          <w:bCs/>
          <w:color w:val="000000" w:themeColor="text1"/>
          <w:lang w:val="en-US"/>
        </w:rPr>
        <w:t>244</w:t>
      </w:r>
      <w:r w:rsidRPr="00E36CBA">
        <w:rPr>
          <w:rFonts w:ascii="Calibri" w:eastAsia="Calibri" w:hAnsi="Calibri" w:cs="Calibri"/>
          <w:bCs/>
          <w:color w:val="000000" w:themeColor="text1"/>
          <w:lang w:val="en-US"/>
        </w:rPr>
        <w:t xml:space="preserve"> words</w:t>
      </w:r>
    </w:p>
    <w:p w14:paraId="6B3F7150" w14:textId="4147FC31" w:rsidR="00E36CBA" w:rsidRDefault="00E36CBA">
      <w:pPr>
        <w:rPr>
          <w:rFonts w:ascii="Calibri" w:eastAsia="Calibri" w:hAnsi="Calibri" w:cs="Calibri"/>
          <w:b/>
          <w:bCs/>
          <w:color w:val="000000" w:themeColor="text1"/>
          <w:lang w:val="en-US"/>
        </w:rPr>
      </w:pPr>
      <w:r>
        <w:rPr>
          <w:rFonts w:ascii="Calibri" w:eastAsia="Calibri" w:hAnsi="Calibri" w:cs="Calibri"/>
          <w:b/>
          <w:bCs/>
          <w:color w:val="000000" w:themeColor="text1"/>
          <w:lang w:val="en-US"/>
        </w:rPr>
        <w:t xml:space="preserve">Text = </w:t>
      </w:r>
      <w:r w:rsidR="002E2656">
        <w:rPr>
          <w:rFonts w:ascii="Calibri" w:eastAsia="Calibri" w:hAnsi="Calibri" w:cs="Calibri"/>
          <w:bCs/>
          <w:color w:val="000000" w:themeColor="text1"/>
          <w:lang w:val="en-US"/>
        </w:rPr>
        <w:t>3,208</w:t>
      </w:r>
      <w:r w:rsidRPr="00E36CBA">
        <w:rPr>
          <w:rFonts w:ascii="Calibri" w:eastAsia="Calibri" w:hAnsi="Calibri" w:cs="Calibri"/>
          <w:bCs/>
          <w:color w:val="000000" w:themeColor="text1"/>
          <w:lang w:val="en-US"/>
        </w:rPr>
        <w:t xml:space="preserve"> words</w:t>
      </w:r>
    </w:p>
    <w:p w14:paraId="503DE11C" w14:textId="26709B48" w:rsidR="00E36CBA" w:rsidRDefault="00E36CBA">
      <w:pPr>
        <w:rPr>
          <w:rFonts w:ascii="Calibri" w:eastAsia="Calibri" w:hAnsi="Calibri" w:cs="Calibri"/>
          <w:bCs/>
          <w:color w:val="000000" w:themeColor="text1"/>
          <w:lang w:val="en-US"/>
        </w:rPr>
      </w:pPr>
      <w:r>
        <w:rPr>
          <w:rFonts w:ascii="Calibri" w:eastAsia="Calibri" w:hAnsi="Calibri" w:cs="Calibri"/>
          <w:b/>
          <w:bCs/>
          <w:color w:val="000000" w:themeColor="text1"/>
          <w:lang w:val="en-US"/>
        </w:rPr>
        <w:t>Tables</w:t>
      </w:r>
      <w:r w:rsidR="0063569A">
        <w:rPr>
          <w:rFonts w:ascii="Calibri" w:eastAsia="Calibri" w:hAnsi="Calibri" w:cs="Calibri"/>
          <w:bCs/>
          <w:color w:val="000000" w:themeColor="text1"/>
          <w:lang w:val="en-US"/>
        </w:rPr>
        <w:t xml:space="preserve"> = 3</w:t>
      </w:r>
    </w:p>
    <w:p w14:paraId="391D8FFC" w14:textId="77777777" w:rsidR="00E36CBA" w:rsidRDefault="00E36CBA">
      <w:pPr>
        <w:rPr>
          <w:rFonts w:ascii="Calibri" w:eastAsia="Calibri" w:hAnsi="Calibri" w:cs="Calibri"/>
          <w:bCs/>
          <w:color w:val="000000" w:themeColor="text1"/>
          <w:lang w:val="en-US"/>
        </w:rPr>
      </w:pPr>
      <w:r>
        <w:rPr>
          <w:rFonts w:ascii="Calibri" w:eastAsia="Calibri" w:hAnsi="Calibri" w:cs="Calibri"/>
          <w:b/>
          <w:bCs/>
          <w:color w:val="000000" w:themeColor="text1"/>
          <w:lang w:val="en-US"/>
        </w:rPr>
        <w:t xml:space="preserve">Figures </w:t>
      </w:r>
      <w:r>
        <w:rPr>
          <w:rFonts w:ascii="Calibri" w:eastAsia="Calibri" w:hAnsi="Calibri" w:cs="Calibri"/>
          <w:bCs/>
          <w:color w:val="000000" w:themeColor="text1"/>
          <w:lang w:val="en-US"/>
        </w:rPr>
        <w:t>= 2</w:t>
      </w:r>
    </w:p>
    <w:p w14:paraId="2DC7784A" w14:textId="78E3DCD7" w:rsidR="005C25FE" w:rsidRPr="00C2509C" w:rsidRDefault="00E36CBA">
      <w:pPr>
        <w:rPr>
          <w:rFonts w:ascii="Calibri" w:eastAsia="Calibri" w:hAnsi="Calibri" w:cs="Calibri"/>
          <w:b/>
          <w:bCs/>
          <w:smallCaps/>
          <w:color w:val="000000" w:themeColor="text1"/>
          <w:spacing w:val="5"/>
          <w:sz w:val="32"/>
          <w:szCs w:val="32"/>
          <w:lang w:val="en-US"/>
        </w:rPr>
      </w:pPr>
      <w:r>
        <w:rPr>
          <w:rFonts w:ascii="Calibri" w:eastAsia="Calibri" w:hAnsi="Calibri" w:cs="Calibri"/>
          <w:b/>
          <w:bCs/>
          <w:color w:val="000000" w:themeColor="text1"/>
          <w:lang w:val="en-US"/>
        </w:rPr>
        <w:lastRenderedPageBreak/>
        <w:t>Electronic Supplemental Material</w:t>
      </w:r>
      <w:r w:rsidR="00E840B3">
        <w:rPr>
          <w:rFonts w:ascii="Calibri" w:eastAsia="Calibri" w:hAnsi="Calibri" w:cs="Calibri"/>
          <w:bCs/>
          <w:color w:val="000000" w:themeColor="text1"/>
          <w:lang w:val="en-US"/>
        </w:rPr>
        <w:t xml:space="preserve"> = 7</w:t>
      </w:r>
      <w:r>
        <w:rPr>
          <w:rFonts w:ascii="Calibri" w:eastAsia="Calibri" w:hAnsi="Calibri" w:cs="Calibri"/>
          <w:bCs/>
          <w:color w:val="000000" w:themeColor="text1"/>
          <w:lang w:val="en-US"/>
        </w:rPr>
        <w:t xml:space="preserve"> </w:t>
      </w:r>
      <w:r w:rsidR="005C25FE" w:rsidRPr="00C2509C">
        <w:rPr>
          <w:rFonts w:ascii="Calibri" w:eastAsia="Calibri" w:hAnsi="Calibri" w:cs="Calibri"/>
          <w:b/>
          <w:bCs/>
          <w:color w:val="000000" w:themeColor="text1"/>
          <w:lang w:val="en-US"/>
        </w:rPr>
        <w:br w:type="page"/>
      </w:r>
    </w:p>
    <w:p w14:paraId="28B7FA6C" w14:textId="41805A5B" w:rsidR="005C25FE" w:rsidRPr="00C80A8E" w:rsidRDefault="00FE33B9" w:rsidP="00C2509C">
      <w:pPr>
        <w:pStyle w:val="Heading2"/>
        <w:rPr>
          <w:b/>
          <w:lang w:val="en-US"/>
        </w:rPr>
      </w:pPr>
      <w:r w:rsidRPr="00C80A8E">
        <w:rPr>
          <w:rStyle w:val="Heading1Char"/>
          <w:b/>
          <w:smallCaps/>
          <w:sz w:val="28"/>
          <w:szCs w:val="28"/>
          <w:lang w:val="en-US"/>
        </w:rPr>
        <w:lastRenderedPageBreak/>
        <w:t>Funding</w:t>
      </w:r>
    </w:p>
    <w:p w14:paraId="4BA61F6D" w14:textId="187213B2" w:rsidR="005C25FE" w:rsidRPr="00C2509C" w:rsidRDefault="005C25FE" w:rsidP="00C2509C">
      <w:pPr>
        <w:spacing w:line="480" w:lineRule="auto"/>
        <w:rPr>
          <w:lang w:val="en-US"/>
        </w:rPr>
      </w:pPr>
      <w:r w:rsidRPr="002D686B">
        <w:rPr>
          <w:rFonts w:ascii="Calibri" w:eastAsia="Calibri" w:hAnsi="Calibri" w:cs="Calibri"/>
          <w:lang w:val="en-US"/>
        </w:rPr>
        <w:t>Th</w:t>
      </w:r>
      <w:r w:rsidR="00323372">
        <w:rPr>
          <w:rFonts w:ascii="Calibri" w:eastAsia="Calibri" w:hAnsi="Calibri" w:cs="Calibri"/>
          <w:lang w:val="en-US"/>
        </w:rPr>
        <w:t>is</w:t>
      </w:r>
      <w:r w:rsidRPr="002D686B">
        <w:rPr>
          <w:rFonts w:ascii="Calibri" w:eastAsia="Calibri" w:hAnsi="Calibri" w:cs="Calibri"/>
          <w:lang w:val="en-US"/>
        </w:rPr>
        <w:t xml:space="preserve"> study was funded with grants from Helsinki University (three-year project grant</w:t>
      </w:r>
      <w:r w:rsidR="00AD0812">
        <w:rPr>
          <w:rFonts w:ascii="Calibri" w:eastAsia="Calibri" w:hAnsi="Calibri" w:cs="Calibri"/>
          <w:lang w:val="en-US"/>
        </w:rPr>
        <w:t>:</w:t>
      </w:r>
      <w:r w:rsidRPr="002D686B">
        <w:rPr>
          <w:rFonts w:ascii="Calibri" w:eastAsia="Calibri" w:hAnsi="Calibri" w:cs="Calibri"/>
          <w:lang w:val="en-US"/>
        </w:rPr>
        <w:t xml:space="preserve"> H3702 73702705) and Helsinki University Hospital (state funding</w:t>
      </w:r>
      <w:r w:rsidR="00AD0812">
        <w:rPr>
          <w:rFonts w:ascii="Calibri" w:eastAsia="Calibri" w:hAnsi="Calibri" w:cs="Calibri"/>
          <w:lang w:val="en-US"/>
        </w:rPr>
        <w:t>:</w:t>
      </w:r>
      <w:r w:rsidRPr="002D686B">
        <w:rPr>
          <w:rFonts w:ascii="Calibri" w:eastAsia="Calibri" w:hAnsi="Calibri" w:cs="Calibri"/>
          <w:lang w:val="en-US"/>
        </w:rPr>
        <w:t xml:space="preserve"> VTR-TYH2014221). RR received personal research grants from Svenska Kulturfonden (Grant 17/2921), Medicinska Understödsföreningen Liv </w:t>
      </w:r>
      <w:r w:rsidR="00323372">
        <w:rPr>
          <w:rFonts w:ascii="Calibri" w:eastAsia="Calibri" w:hAnsi="Calibri" w:cs="Calibri"/>
          <w:lang w:val="en-US"/>
        </w:rPr>
        <w:t>and</w:t>
      </w:r>
      <w:r w:rsidRPr="002D686B">
        <w:rPr>
          <w:rFonts w:ascii="Calibri" w:eastAsia="Calibri" w:hAnsi="Calibri" w:cs="Calibri"/>
          <w:lang w:val="en-US"/>
        </w:rPr>
        <w:t xml:space="preserve"> Hälsa, Finska Läkaresällskapet, Maud Kuistilan Säätiö, Eemil Aaltosen Säätiö, Ella </w:t>
      </w:r>
      <w:r w:rsidR="00323372">
        <w:rPr>
          <w:rFonts w:ascii="Calibri" w:eastAsia="Calibri" w:hAnsi="Calibri" w:cs="Calibri"/>
          <w:lang w:val="en-US"/>
        </w:rPr>
        <w:t>and</w:t>
      </w:r>
      <w:r w:rsidRPr="002D686B">
        <w:rPr>
          <w:rFonts w:ascii="Calibri" w:eastAsia="Calibri" w:hAnsi="Calibri" w:cs="Calibri"/>
          <w:lang w:val="en-US"/>
        </w:rPr>
        <w:t xml:space="preserve"> Georg Ehrnroothin Säätiö, Suomalais-Norjalainen Lääketieteen Säätiö, Suomen Lääketieteen Säätiö, and Maire Taposen Säätiö. The funders had no role in</w:t>
      </w:r>
      <w:r w:rsidR="00AD0812">
        <w:rPr>
          <w:rFonts w:ascii="Calibri" w:eastAsia="Calibri" w:hAnsi="Calibri" w:cs="Calibri"/>
          <w:lang w:val="en-US"/>
        </w:rPr>
        <w:t xml:space="preserve"> the</w:t>
      </w:r>
      <w:r w:rsidRPr="002D686B">
        <w:rPr>
          <w:rFonts w:ascii="Calibri" w:eastAsia="Calibri" w:hAnsi="Calibri" w:cs="Calibri"/>
          <w:lang w:val="en-US"/>
        </w:rPr>
        <w:t xml:space="preserve"> study design, data collection and analysis, decision to publish, or preparation of the manuscript.</w:t>
      </w:r>
    </w:p>
    <w:p w14:paraId="62B182A2" w14:textId="2F077733" w:rsidR="005C25FE" w:rsidRPr="00001763" w:rsidRDefault="005C25FE" w:rsidP="00001763">
      <w:pPr>
        <w:rPr>
          <w:lang w:val="en-US"/>
        </w:rPr>
      </w:pPr>
      <w:r w:rsidRPr="00C2509C">
        <w:rPr>
          <w:lang w:val="en-US"/>
        </w:rPr>
        <w:lastRenderedPageBreak/>
        <w:br w:type="page"/>
      </w:r>
    </w:p>
    <w:p w14:paraId="7FDE2B4C" w14:textId="09A67EE4" w:rsidR="008D34A9" w:rsidRPr="00C80A8E" w:rsidRDefault="317200CE" w:rsidP="005910EA">
      <w:pPr>
        <w:pStyle w:val="Heading1"/>
        <w:spacing w:line="480" w:lineRule="auto"/>
        <w:rPr>
          <w:b/>
          <w:lang w:val="en-US"/>
        </w:rPr>
      </w:pPr>
      <w:r w:rsidRPr="00C80A8E">
        <w:rPr>
          <w:b/>
          <w:lang w:val="en-US"/>
        </w:rPr>
        <w:lastRenderedPageBreak/>
        <w:t>ABSTRACT</w:t>
      </w:r>
    </w:p>
    <w:p w14:paraId="514C98F4" w14:textId="43B3CFF0" w:rsidR="001F289C" w:rsidRPr="002D686B" w:rsidRDefault="008A26D3" w:rsidP="00CB4D35">
      <w:pPr>
        <w:spacing w:line="480" w:lineRule="auto"/>
        <w:rPr>
          <w:rFonts w:ascii="Calibri" w:hAnsi="Calibri"/>
          <w:lang w:val="en-US"/>
        </w:rPr>
      </w:pPr>
      <w:r>
        <w:rPr>
          <w:rFonts w:ascii="Calibri" w:eastAsia="Calibri" w:hAnsi="Calibri" w:cs="Calibri"/>
          <w:b/>
          <w:bCs/>
          <w:lang w:val="en-US"/>
        </w:rPr>
        <w:t>Objective</w:t>
      </w:r>
      <w:r w:rsidR="317200CE" w:rsidRPr="002D686B">
        <w:rPr>
          <w:rFonts w:ascii="Calibri" w:eastAsia="Calibri" w:hAnsi="Calibri" w:cs="Calibri"/>
          <w:b/>
          <w:bCs/>
          <w:lang w:val="en-US"/>
        </w:rPr>
        <w:t xml:space="preserve">: </w:t>
      </w:r>
      <w:r w:rsidR="00A57AD4" w:rsidRPr="002D686B">
        <w:rPr>
          <w:rFonts w:ascii="Calibri" w:eastAsia="Calibri" w:hAnsi="Calibri" w:cs="Calibri"/>
          <w:lang w:val="en-US"/>
        </w:rPr>
        <w:t>To assess</w:t>
      </w:r>
      <w:r w:rsidR="317200CE" w:rsidRPr="002D686B">
        <w:rPr>
          <w:rFonts w:ascii="Calibri" w:eastAsia="Calibri" w:hAnsi="Calibri" w:cs="Calibri"/>
          <w:lang w:val="en-US"/>
        </w:rPr>
        <w:t xml:space="preserve"> temporal trends in</w:t>
      </w:r>
      <w:r w:rsidR="00DC11A0">
        <w:rPr>
          <w:rFonts w:ascii="Calibri" w:eastAsia="Calibri" w:hAnsi="Calibri" w:cs="Calibri"/>
          <w:lang w:val="en-US"/>
        </w:rPr>
        <w:t xml:space="preserve"> </w:t>
      </w:r>
      <w:r w:rsidR="00F1273C">
        <w:rPr>
          <w:rFonts w:ascii="Calibri" w:eastAsia="Calibri" w:hAnsi="Calibri" w:cs="Calibri"/>
          <w:lang w:val="en-US"/>
        </w:rPr>
        <w:t>one-year</w:t>
      </w:r>
      <w:r w:rsidR="003378B5">
        <w:rPr>
          <w:rFonts w:ascii="Calibri" w:eastAsia="Calibri" w:hAnsi="Calibri" w:cs="Calibri"/>
          <w:lang w:val="en-US"/>
        </w:rPr>
        <w:t xml:space="preserve"> health</w:t>
      </w:r>
      <w:r w:rsidR="00D950D1">
        <w:rPr>
          <w:rFonts w:ascii="Calibri" w:eastAsia="Calibri" w:hAnsi="Calibri" w:cs="Calibri"/>
          <w:lang w:val="en-US"/>
        </w:rPr>
        <w:t xml:space="preserve">care </w:t>
      </w:r>
      <w:r w:rsidR="317200CE" w:rsidRPr="002D686B">
        <w:rPr>
          <w:rFonts w:ascii="Calibri" w:eastAsia="Calibri" w:hAnsi="Calibri" w:cs="Calibri"/>
          <w:lang w:val="en-US"/>
        </w:rPr>
        <w:t>costs</w:t>
      </w:r>
      <w:r w:rsidR="00241D62">
        <w:rPr>
          <w:rFonts w:ascii="Calibri" w:eastAsia="Calibri" w:hAnsi="Calibri" w:cs="Calibri"/>
          <w:lang w:val="en-US"/>
        </w:rPr>
        <w:t xml:space="preserve"> and </w:t>
      </w:r>
      <w:r w:rsidR="317200CE" w:rsidRPr="002D686B">
        <w:rPr>
          <w:rFonts w:ascii="Calibri" w:eastAsia="Calibri" w:hAnsi="Calibri" w:cs="Calibri"/>
          <w:lang w:val="en-US"/>
        </w:rPr>
        <w:t>outcome</w:t>
      </w:r>
      <w:r w:rsidR="00241D62">
        <w:rPr>
          <w:rFonts w:ascii="Calibri" w:eastAsia="Calibri" w:hAnsi="Calibri" w:cs="Calibri"/>
          <w:lang w:val="en-US"/>
        </w:rPr>
        <w:t xml:space="preserve"> </w:t>
      </w:r>
      <w:r w:rsidR="0048784F" w:rsidRPr="002D686B">
        <w:rPr>
          <w:rFonts w:ascii="Calibri" w:eastAsia="Calibri" w:hAnsi="Calibri" w:cs="Calibri"/>
          <w:lang w:val="en-US"/>
        </w:rPr>
        <w:t>of</w:t>
      </w:r>
      <w:r w:rsidR="00CB4D35" w:rsidRPr="002D686B">
        <w:rPr>
          <w:rFonts w:ascii="Calibri" w:eastAsia="Calibri" w:hAnsi="Calibri" w:cs="Calibri"/>
          <w:lang w:val="en-US"/>
        </w:rPr>
        <w:t xml:space="preserve"> </w:t>
      </w:r>
      <w:r w:rsidR="00A57AD4" w:rsidRPr="002D686B">
        <w:rPr>
          <w:rFonts w:ascii="Calibri" w:eastAsia="Calibri" w:hAnsi="Calibri" w:cs="Calibri"/>
          <w:lang w:val="en-US"/>
        </w:rPr>
        <w:t>intensive care for traumatic brain injury (TBI)</w:t>
      </w:r>
      <w:r w:rsidR="008D65F5">
        <w:rPr>
          <w:rFonts w:ascii="Calibri" w:eastAsia="Calibri" w:hAnsi="Calibri" w:cs="Calibri"/>
          <w:lang w:val="en-US"/>
        </w:rPr>
        <w:t xml:space="preserve"> </w:t>
      </w:r>
      <w:r w:rsidR="008D65F5" w:rsidRPr="00E77C03">
        <w:rPr>
          <w:rFonts w:ascii="Calibri" w:eastAsia="Calibri" w:hAnsi="Calibri" w:cs="Calibri"/>
          <w:b/>
          <w:lang w:val="en-US"/>
        </w:rPr>
        <w:t>in Finland</w:t>
      </w:r>
      <w:r w:rsidR="00CB4D35" w:rsidRPr="002D686B">
        <w:rPr>
          <w:lang w:val="en-US"/>
        </w:rPr>
        <w:t>.</w:t>
      </w:r>
    </w:p>
    <w:p w14:paraId="342033FB" w14:textId="36CADE8A" w:rsidR="008A26D3" w:rsidRDefault="008A26D3" w:rsidP="00D94BBD">
      <w:pPr>
        <w:spacing w:line="480" w:lineRule="auto"/>
        <w:rPr>
          <w:rFonts w:ascii="Calibri" w:eastAsia="Calibri" w:hAnsi="Calibri" w:cs="Calibri"/>
          <w:lang w:val="en-US"/>
        </w:rPr>
      </w:pPr>
      <w:r>
        <w:rPr>
          <w:rFonts w:ascii="Calibri" w:eastAsia="Calibri" w:hAnsi="Calibri" w:cs="Calibri"/>
          <w:b/>
          <w:bCs/>
          <w:lang w:val="en-US"/>
        </w:rPr>
        <w:t>Design</w:t>
      </w:r>
      <w:r w:rsidR="317200CE" w:rsidRPr="00C2509C">
        <w:rPr>
          <w:rFonts w:ascii="Calibri" w:eastAsia="Calibri" w:hAnsi="Calibri" w:cs="Calibri"/>
          <w:b/>
          <w:lang w:val="en-US"/>
        </w:rPr>
        <w:t>:</w:t>
      </w:r>
      <w:r w:rsidR="317200CE" w:rsidRPr="002D686B">
        <w:rPr>
          <w:rFonts w:ascii="Calibri" w:eastAsia="Calibri" w:hAnsi="Calibri" w:cs="Calibri"/>
          <w:lang w:val="en-US"/>
        </w:rPr>
        <w:t xml:space="preserve"> </w:t>
      </w:r>
      <w:r>
        <w:rPr>
          <w:rFonts w:ascii="Calibri" w:eastAsia="Calibri" w:hAnsi="Calibri" w:cs="Calibri"/>
          <w:lang w:val="en-US"/>
        </w:rPr>
        <w:t>R</w:t>
      </w:r>
      <w:r w:rsidRPr="002D686B">
        <w:rPr>
          <w:rFonts w:ascii="Calibri" w:eastAsia="Calibri" w:hAnsi="Calibri" w:cs="Calibri"/>
          <w:lang w:val="en-US"/>
        </w:rPr>
        <w:t>etrospective observational cohort study</w:t>
      </w:r>
      <w:r>
        <w:rPr>
          <w:rFonts w:ascii="Calibri" w:eastAsia="Calibri" w:hAnsi="Calibri" w:cs="Calibri"/>
          <w:lang w:val="en-US"/>
        </w:rPr>
        <w:t xml:space="preserve"> </w:t>
      </w:r>
    </w:p>
    <w:p w14:paraId="1937B61A" w14:textId="4C749A6C" w:rsidR="008A26D3" w:rsidRDefault="008A26D3" w:rsidP="00D94BBD">
      <w:pPr>
        <w:spacing w:line="480" w:lineRule="auto"/>
        <w:rPr>
          <w:rFonts w:ascii="Calibri" w:eastAsia="Calibri" w:hAnsi="Calibri" w:cs="Calibri"/>
          <w:lang w:val="en-US"/>
        </w:rPr>
      </w:pPr>
      <w:r>
        <w:rPr>
          <w:rFonts w:ascii="Calibri" w:eastAsia="Calibri" w:hAnsi="Calibri" w:cs="Calibri"/>
          <w:b/>
          <w:lang w:val="en-US"/>
        </w:rPr>
        <w:t>Setting</w:t>
      </w:r>
      <w:r>
        <w:rPr>
          <w:rFonts w:ascii="Calibri" w:eastAsia="Calibri" w:hAnsi="Calibri" w:cs="Calibri"/>
          <w:lang w:val="en-US"/>
        </w:rPr>
        <w:t xml:space="preserve">: Multicenter </w:t>
      </w:r>
      <w:r w:rsidR="00001763">
        <w:rPr>
          <w:rFonts w:ascii="Calibri" w:eastAsia="Calibri" w:hAnsi="Calibri" w:cs="Calibri"/>
          <w:lang w:val="en-US"/>
        </w:rPr>
        <w:t xml:space="preserve">study </w:t>
      </w:r>
      <w:r>
        <w:rPr>
          <w:rFonts w:ascii="Calibri" w:eastAsia="Calibri" w:hAnsi="Calibri" w:cs="Calibri"/>
          <w:lang w:val="en-US"/>
        </w:rPr>
        <w:t>including four tertiary intensive care units (ICU)</w:t>
      </w:r>
    </w:p>
    <w:p w14:paraId="73F337CC" w14:textId="77777777" w:rsidR="00001763" w:rsidRDefault="00001763" w:rsidP="00001763">
      <w:pPr>
        <w:spacing w:line="480" w:lineRule="auto"/>
        <w:rPr>
          <w:rFonts w:ascii="Calibri" w:eastAsia="Calibri" w:hAnsi="Calibri" w:cs="Calibri"/>
          <w:lang w:val="en-US"/>
        </w:rPr>
      </w:pPr>
      <w:r>
        <w:rPr>
          <w:rFonts w:ascii="Calibri" w:eastAsia="Calibri" w:hAnsi="Calibri" w:cs="Calibri"/>
          <w:b/>
          <w:lang w:val="en-US"/>
        </w:rPr>
        <w:t>Patients</w:t>
      </w:r>
      <w:r w:rsidR="008A26D3">
        <w:rPr>
          <w:rFonts w:ascii="Calibri" w:eastAsia="Calibri" w:hAnsi="Calibri" w:cs="Calibri"/>
          <w:lang w:val="en-US"/>
        </w:rPr>
        <w:t xml:space="preserve">: </w:t>
      </w:r>
      <w:r w:rsidR="0084238A">
        <w:rPr>
          <w:rFonts w:ascii="Calibri" w:eastAsia="Calibri" w:hAnsi="Calibri" w:cs="Calibri"/>
          <w:lang w:val="en-US"/>
        </w:rPr>
        <w:t>3,051 a</w:t>
      </w:r>
      <w:r w:rsidR="008A26D3">
        <w:rPr>
          <w:rFonts w:ascii="Calibri" w:eastAsia="Calibri" w:hAnsi="Calibri" w:cs="Calibri"/>
          <w:lang w:val="en-US"/>
        </w:rPr>
        <w:t>dult patients (≥18 years) with significant</w:t>
      </w:r>
      <w:r w:rsidR="00931F2E">
        <w:rPr>
          <w:rFonts w:ascii="Calibri" w:eastAsia="Calibri" w:hAnsi="Calibri" w:cs="Calibri"/>
          <w:lang w:val="en-US"/>
        </w:rPr>
        <w:t xml:space="preserve"> TBI</w:t>
      </w:r>
      <w:r w:rsidR="008A26D3">
        <w:rPr>
          <w:rFonts w:ascii="Calibri" w:eastAsia="Calibri" w:hAnsi="Calibri" w:cs="Calibri"/>
          <w:lang w:val="en-US"/>
        </w:rPr>
        <w:t xml:space="preserve"> </w:t>
      </w:r>
      <w:r w:rsidR="0084238A">
        <w:rPr>
          <w:rFonts w:ascii="Calibri" w:eastAsia="Calibri" w:hAnsi="Calibri" w:cs="Calibri"/>
          <w:lang w:val="en-US"/>
        </w:rPr>
        <w:t>treated in a tertiary ICU during 2003–2013</w:t>
      </w:r>
      <w:r w:rsidR="00033B19">
        <w:rPr>
          <w:rFonts w:ascii="Calibri" w:eastAsia="Calibri" w:hAnsi="Calibri" w:cs="Calibri"/>
          <w:lang w:val="en-US"/>
        </w:rPr>
        <w:t xml:space="preserve"> were included</w:t>
      </w:r>
      <w:r w:rsidR="0084238A">
        <w:rPr>
          <w:rFonts w:ascii="Calibri" w:eastAsia="Calibri" w:hAnsi="Calibri" w:cs="Calibri"/>
          <w:lang w:val="en-US"/>
        </w:rPr>
        <w:t xml:space="preserve">. </w:t>
      </w:r>
    </w:p>
    <w:p w14:paraId="125E1C81" w14:textId="0FAC8E69" w:rsidR="00001763" w:rsidRPr="00001763" w:rsidRDefault="00001763" w:rsidP="00001763">
      <w:pPr>
        <w:spacing w:line="480" w:lineRule="auto"/>
        <w:rPr>
          <w:rFonts w:ascii="Calibri" w:eastAsia="Calibri" w:hAnsi="Calibri" w:cs="Calibri"/>
          <w:lang w:val="en-US"/>
        </w:rPr>
      </w:pPr>
      <w:r>
        <w:rPr>
          <w:rFonts w:ascii="Calibri" w:eastAsia="Calibri" w:hAnsi="Calibri" w:cs="Calibri"/>
          <w:b/>
          <w:lang w:val="en-US"/>
        </w:rPr>
        <w:lastRenderedPageBreak/>
        <w:t>Intervention</w:t>
      </w:r>
      <w:r>
        <w:rPr>
          <w:rFonts w:ascii="Calibri" w:eastAsia="Calibri" w:hAnsi="Calibri" w:cs="Calibri"/>
          <w:lang w:val="en-US"/>
        </w:rPr>
        <w:t>: None</w:t>
      </w:r>
    </w:p>
    <w:p w14:paraId="7D28646D" w14:textId="1A84D550" w:rsidR="00033B19" w:rsidRPr="00E77C03" w:rsidRDefault="00001763" w:rsidP="00D94BBD">
      <w:pPr>
        <w:spacing w:line="480" w:lineRule="auto"/>
        <w:rPr>
          <w:rFonts w:ascii="Calibri" w:eastAsia="Calibri" w:hAnsi="Calibri" w:cs="Calibri"/>
          <w:b/>
          <w:color w:val="000000" w:themeColor="text1"/>
          <w:lang w:val="en-US"/>
        </w:rPr>
      </w:pPr>
      <w:r>
        <w:rPr>
          <w:rFonts w:ascii="Calibri" w:eastAsia="Calibri" w:hAnsi="Calibri" w:cs="Calibri"/>
          <w:b/>
          <w:lang w:val="en-US"/>
        </w:rPr>
        <w:t xml:space="preserve">Measurements and </w:t>
      </w:r>
      <w:r w:rsidR="00033B19">
        <w:rPr>
          <w:rFonts w:ascii="Calibri" w:eastAsia="Calibri" w:hAnsi="Calibri" w:cs="Calibri"/>
          <w:b/>
          <w:lang w:val="en-US"/>
        </w:rPr>
        <w:t>Main outcome:</w:t>
      </w:r>
      <w:r w:rsidR="00830262">
        <w:rPr>
          <w:rFonts w:ascii="Calibri" w:eastAsia="Calibri" w:hAnsi="Calibri" w:cs="Calibri"/>
          <w:b/>
          <w:lang w:val="en-US"/>
        </w:rPr>
        <w:t xml:space="preserve"> </w:t>
      </w:r>
      <w:r w:rsidR="0060777D" w:rsidRPr="0060777D">
        <w:rPr>
          <w:rFonts w:ascii="Calibri" w:eastAsia="Calibri" w:hAnsi="Calibri" w:cs="Calibri"/>
          <w:color w:val="000000" w:themeColor="text1"/>
          <w:lang w:val="en-US"/>
        </w:rPr>
        <w:t xml:space="preserve">Total one-year </w:t>
      </w:r>
      <w:r w:rsidR="0060777D" w:rsidRPr="0072119C">
        <w:rPr>
          <w:rFonts w:ascii="Calibri" w:eastAsia="Calibri" w:hAnsi="Calibri" w:cs="Calibri"/>
          <w:color w:val="000000" w:themeColor="text1"/>
          <w:lang w:val="en-US"/>
        </w:rPr>
        <w:t>healthcare costs included the index hospitalization costs, rehabilitation unit costs and social security reimbursements. All costs are reported as</w:t>
      </w:r>
      <w:r w:rsidR="00D3670E" w:rsidRPr="0072119C">
        <w:rPr>
          <w:rFonts w:ascii="Calibri" w:eastAsia="Calibri" w:hAnsi="Calibri" w:cs="Calibri"/>
          <w:color w:val="000000" w:themeColor="text1"/>
          <w:lang w:val="en-US"/>
        </w:rPr>
        <w:t xml:space="preserve"> 2013 U.S. dollars</w:t>
      </w:r>
      <w:r w:rsidR="0089374F" w:rsidRPr="0072119C">
        <w:rPr>
          <w:rFonts w:ascii="Calibri" w:eastAsia="Calibri" w:hAnsi="Calibri" w:cs="Calibri"/>
          <w:color w:val="000000" w:themeColor="text1"/>
          <w:lang w:val="en-US"/>
        </w:rPr>
        <w:t xml:space="preserve"> [$]</w:t>
      </w:r>
      <w:r w:rsidR="009D70B5" w:rsidRPr="0072119C">
        <w:rPr>
          <w:rFonts w:ascii="Calibri" w:eastAsia="Calibri" w:hAnsi="Calibri" w:cs="Calibri"/>
          <w:color w:val="000000" w:themeColor="text1"/>
          <w:lang w:val="en-US"/>
        </w:rPr>
        <w:t>).</w:t>
      </w:r>
      <w:r w:rsidR="00241D62">
        <w:rPr>
          <w:rFonts w:ascii="Calibri" w:eastAsia="Calibri" w:hAnsi="Calibri" w:cs="Calibri"/>
          <w:color w:val="000000" w:themeColor="text1"/>
          <w:lang w:val="en-US"/>
        </w:rPr>
        <w:t xml:space="preserve"> </w:t>
      </w:r>
      <w:r w:rsidR="00B23027">
        <w:rPr>
          <w:rFonts w:ascii="Calibri" w:eastAsia="Calibri" w:hAnsi="Calibri" w:cs="Calibri"/>
          <w:color w:val="000000" w:themeColor="text1"/>
          <w:lang w:val="en-US"/>
        </w:rPr>
        <w:t xml:space="preserve">Outcomes were one-year mortality and permanent disability. </w:t>
      </w:r>
      <w:r w:rsidR="0072119C">
        <w:rPr>
          <w:color w:val="000000" w:themeColor="text1"/>
          <w:lang w:val="en-US"/>
        </w:rPr>
        <w:t xml:space="preserve">Multivariate regression models, adjusting for case-mix, were used to assess temporal trends in </w:t>
      </w:r>
      <w:r w:rsidR="00B23027">
        <w:rPr>
          <w:color w:val="000000" w:themeColor="text1"/>
          <w:lang w:val="en-US"/>
        </w:rPr>
        <w:t xml:space="preserve">costs and </w:t>
      </w:r>
      <w:r w:rsidR="0072119C">
        <w:rPr>
          <w:color w:val="000000" w:themeColor="text1"/>
          <w:lang w:val="en-US"/>
        </w:rPr>
        <w:t>outcome</w:t>
      </w:r>
      <w:r w:rsidR="00B23027">
        <w:rPr>
          <w:color w:val="000000" w:themeColor="text1"/>
          <w:lang w:val="en-US"/>
        </w:rPr>
        <w:t xml:space="preserve"> </w:t>
      </w:r>
      <w:r w:rsidR="007E3D86" w:rsidRPr="00E77C03">
        <w:rPr>
          <w:b/>
          <w:color w:val="000000" w:themeColor="text1"/>
          <w:lang w:val="en-US"/>
        </w:rPr>
        <w:t>in predefined</w:t>
      </w:r>
      <w:r w:rsidR="00B23027">
        <w:rPr>
          <w:b/>
          <w:color w:val="000000" w:themeColor="text1"/>
          <w:lang w:val="en-US"/>
        </w:rPr>
        <w:t xml:space="preserve"> </w:t>
      </w:r>
      <w:r w:rsidR="00E77C03" w:rsidRPr="00E77C03">
        <w:rPr>
          <w:b/>
          <w:color w:val="000000" w:themeColor="text1"/>
          <w:lang w:val="en-US"/>
        </w:rPr>
        <w:t>GCS</w:t>
      </w:r>
      <w:r w:rsidR="007E3D86" w:rsidRPr="00E77C03">
        <w:rPr>
          <w:b/>
          <w:color w:val="000000" w:themeColor="text1"/>
          <w:lang w:val="en-US"/>
        </w:rPr>
        <w:t xml:space="preserve"> (</w:t>
      </w:r>
      <w:r w:rsidR="00B23027">
        <w:rPr>
          <w:b/>
          <w:color w:val="000000" w:themeColor="text1"/>
          <w:lang w:val="en-US"/>
        </w:rPr>
        <w:t>3-8, 9-12 and 13-15</w:t>
      </w:r>
      <w:r w:rsidR="007E3D86" w:rsidRPr="00E77C03">
        <w:rPr>
          <w:b/>
          <w:color w:val="000000" w:themeColor="text1"/>
          <w:lang w:val="en-US"/>
        </w:rPr>
        <w:t>) and age (</w:t>
      </w:r>
      <w:r w:rsidR="00B23027">
        <w:rPr>
          <w:b/>
          <w:color w:val="000000" w:themeColor="text1"/>
          <w:lang w:val="en-US"/>
        </w:rPr>
        <w:t>18-40, 41-64 and ≥65 years</w:t>
      </w:r>
      <w:r w:rsidR="007E3D86" w:rsidRPr="00E77C03">
        <w:rPr>
          <w:b/>
          <w:color w:val="000000" w:themeColor="text1"/>
          <w:lang w:val="en-US"/>
        </w:rPr>
        <w:t>) subgroups</w:t>
      </w:r>
      <w:r w:rsidR="0072119C">
        <w:rPr>
          <w:color w:val="000000" w:themeColor="text1"/>
          <w:lang w:val="en-US"/>
        </w:rPr>
        <w:t>.</w:t>
      </w:r>
      <w:r w:rsidR="000B7452" w:rsidRPr="0072119C">
        <w:rPr>
          <w:rFonts w:ascii="Calibri" w:eastAsia="Calibri" w:hAnsi="Calibri" w:cs="Calibri"/>
          <w:color w:val="000000" w:themeColor="text1"/>
          <w:lang w:val="en-US"/>
        </w:rPr>
        <w:t xml:space="preserve"> Overall one-year survival was 76% (n=2,304) and of one-year survivors, 37% (n=850) </w:t>
      </w:r>
      <w:r w:rsidR="000B7452" w:rsidRPr="0072119C">
        <w:rPr>
          <w:rFonts w:ascii="Calibri" w:eastAsia="Calibri" w:hAnsi="Calibri" w:cs="Calibri"/>
          <w:color w:val="000000" w:themeColor="text1"/>
          <w:lang w:val="en-US"/>
        </w:rPr>
        <w:lastRenderedPageBreak/>
        <w:t xml:space="preserve">were permanently disabled. </w:t>
      </w:r>
      <w:r w:rsidR="00ED7F2A">
        <w:rPr>
          <w:rFonts w:ascii="Calibri" w:eastAsia="Calibri" w:hAnsi="Calibri" w:cs="Calibri"/>
          <w:color w:val="000000" w:themeColor="text1"/>
          <w:lang w:val="en-US"/>
        </w:rPr>
        <w:t>M</w:t>
      </w:r>
      <w:r w:rsidR="000B7452" w:rsidRPr="0072119C">
        <w:rPr>
          <w:rFonts w:ascii="Calibri" w:eastAsia="Calibri" w:hAnsi="Calibri" w:cs="Calibri"/>
          <w:color w:val="000000" w:themeColor="text1"/>
          <w:lang w:val="en-US"/>
        </w:rPr>
        <w:t>ean</w:t>
      </w:r>
      <w:r w:rsidR="0063346D" w:rsidRPr="0072119C">
        <w:rPr>
          <w:rFonts w:ascii="Calibri" w:eastAsia="Calibri" w:hAnsi="Calibri" w:cs="Calibri"/>
          <w:color w:val="000000" w:themeColor="text1"/>
          <w:lang w:val="en-US"/>
        </w:rPr>
        <w:t xml:space="preserve"> unadjusted</w:t>
      </w:r>
      <w:r w:rsidR="000B7452" w:rsidRPr="0072119C">
        <w:rPr>
          <w:rFonts w:ascii="Calibri" w:eastAsia="Calibri" w:hAnsi="Calibri" w:cs="Calibri"/>
          <w:color w:val="000000" w:themeColor="text1"/>
          <w:lang w:val="en-US"/>
        </w:rPr>
        <w:t xml:space="preserve"> one-year</w:t>
      </w:r>
      <w:r w:rsidR="0063346D" w:rsidRPr="0072119C">
        <w:rPr>
          <w:rFonts w:ascii="Calibri" w:eastAsia="Calibri" w:hAnsi="Calibri" w:cs="Calibri"/>
          <w:color w:val="000000" w:themeColor="text1"/>
          <w:lang w:val="en-US"/>
        </w:rPr>
        <w:t xml:space="preserve"> healthcare</w:t>
      </w:r>
      <w:r w:rsidR="000331DA" w:rsidRPr="0072119C">
        <w:rPr>
          <w:rFonts w:ascii="Calibri" w:eastAsia="Calibri" w:hAnsi="Calibri" w:cs="Calibri"/>
          <w:color w:val="000000" w:themeColor="text1"/>
          <w:lang w:val="en-US"/>
        </w:rPr>
        <w:t xml:space="preserve"> cost was $39,809 (95% confidence interval [CI] $38,144</w:t>
      </w:r>
      <w:r w:rsidR="000B7452" w:rsidRPr="0072119C">
        <w:rPr>
          <w:rFonts w:ascii="Calibri" w:eastAsia="Calibri" w:hAnsi="Calibri" w:cs="Calibri"/>
          <w:color w:val="000000" w:themeColor="text1"/>
          <w:lang w:val="en-US"/>
        </w:rPr>
        <w:softHyphen/>
        <w:t>–</w:t>
      </w:r>
      <w:r w:rsidR="000331DA" w:rsidRPr="0072119C">
        <w:rPr>
          <w:rFonts w:ascii="Calibri" w:eastAsia="Calibri" w:hAnsi="Calibri" w:cs="Calibri"/>
          <w:color w:val="000000" w:themeColor="text1"/>
          <w:lang w:val="en-US"/>
        </w:rPr>
        <w:t>$41,473</w:t>
      </w:r>
      <w:r w:rsidR="000B7452" w:rsidRPr="0072119C">
        <w:rPr>
          <w:rFonts w:ascii="Calibri" w:eastAsia="Calibri" w:hAnsi="Calibri" w:cs="Calibri"/>
          <w:color w:val="000000" w:themeColor="text1"/>
          <w:lang w:val="en-US"/>
        </w:rPr>
        <w:t xml:space="preserve">) per patient. </w:t>
      </w:r>
      <w:r w:rsidR="000B7452" w:rsidRPr="00CF2833">
        <w:rPr>
          <w:rFonts w:ascii="Calibri" w:eastAsia="Calibri" w:hAnsi="Calibri" w:cs="Calibri"/>
          <w:color w:val="000000" w:themeColor="text1"/>
          <w:lang w:val="en-US"/>
        </w:rPr>
        <w:t>Adjuste</w:t>
      </w:r>
      <w:r w:rsidR="0089374F" w:rsidRPr="00CF2833">
        <w:rPr>
          <w:rFonts w:ascii="Calibri" w:eastAsia="Calibri" w:hAnsi="Calibri" w:cs="Calibri"/>
          <w:color w:val="000000" w:themeColor="text1"/>
          <w:lang w:val="en-US"/>
        </w:rPr>
        <w:t xml:space="preserve">d </w:t>
      </w:r>
      <w:r w:rsidR="00E77C03">
        <w:rPr>
          <w:rFonts w:ascii="Calibri" w:eastAsia="Calibri" w:hAnsi="Calibri" w:cs="Calibri"/>
          <w:color w:val="000000" w:themeColor="text1"/>
          <w:lang w:val="en-US"/>
        </w:rPr>
        <w:t xml:space="preserve">healthcare </w:t>
      </w:r>
      <w:r w:rsidR="0089374F" w:rsidRPr="00CF2833">
        <w:rPr>
          <w:rFonts w:ascii="Calibri" w:eastAsia="Calibri" w:hAnsi="Calibri" w:cs="Calibri"/>
          <w:color w:val="000000" w:themeColor="text1"/>
          <w:lang w:val="en-US"/>
        </w:rPr>
        <w:t xml:space="preserve">costs decreased </w:t>
      </w:r>
      <w:r w:rsidR="007E3D86" w:rsidRPr="00E77C03">
        <w:rPr>
          <w:rFonts w:ascii="Calibri" w:eastAsia="Calibri" w:hAnsi="Calibri" w:cs="Calibri"/>
          <w:b/>
          <w:color w:val="000000" w:themeColor="text1"/>
          <w:lang w:val="en-US"/>
        </w:rPr>
        <w:t>only in the</w:t>
      </w:r>
      <w:r w:rsidR="00B23027">
        <w:rPr>
          <w:rFonts w:ascii="Calibri" w:eastAsia="Calibri" w:hAnsi="Calibri" w:cs="Calibri"/>
          <w:b/>
          <w:color w:val="000000" w:themeColor="text1"/>
          <w:lang w:val="en-US"/>
        </w:rPr>
        <w:t xml:space="preserve"> GCS 13-15</w:t>
      </w:r>
      <w:r w:rsidR="007E3D86" w:rsidRPr="00E77C03">
        <w:rPr>
          <w:rFonts w:ascii="Calibri" w:eastAsia="Calibri" w:hAnsi="Calibri" w:cs="Calibri"/>
          <w:b/>
          <w:color w:val="000000" w:themeColor="text1"/>
          <w:lang w:val="en-US"/>
        </w:rPr>
        <w:t xml:space="preserve"> and </w:t>
      </w:r>
      <w:r w:rsidR="00B23027">
        <w:rPr>
          <w:rFonts w:ascii="Calibri" w:eastAsia="Calibri" w:hAnsi="Calibri" w:cs="Calibri"/>
          <w:b/>
          <w:color w:val="000000" w:themeColor="text1"/>
          <w:lang w:val="en-US"/>
        </w:rPr>
        <w:t>≥65 years</w:t>
      </w:r>
      <w:r w:rsidR="007E3D86" w:rsidRPr="00E77C03">
        <w:rPr>
          <w:rFonts w:ascii="Calibri" w:eastAsia="Calibri" w:hAnsi="Calibri" w:cs="Calibri"/>
          <w:b/>
          <w:color w:val="000000" w:themeColor="text1"/>
          <w:lang w:val="en-US"/>
        </w:rPr>
        <w:t xml:space="preserve"> subgroups</w:t>
      </w:r>
      <w:r w:rsidR="00ED7F2A">
        <w:rPr>
          <w:rFonts w:ascii="Calibri" w:eastAsia="Calibri" w:hAnsi="Calibri" w:cs="Calibri"/>
          <w:b/>
          <w:color w:val="000000" w:themeColor="text1"/>
          <w:lang w:val="en-US"/>
        </w:rPr>
        <w:t>, due to lower rehabilitation costs</w:t>
      </w:r>
      <w:r w:rsidR="000B7452" w:rsidRPr="00CF2833">
        <w:rPr>
          <w:rFonts w:ascii="Calibri" w:eastAsia="Calibri" w:hAnsi="Calibri" w:cs="Calibri"/>
          <w:color w:val="000000" w:themeColor="text1"/>
          <w:lang w:val="en-US"/>
        </w:rPr>
        <w:t>. Adjusted one-year mortality did not change</w:t>
      </w:r>
      <w:r w:rsidR="007E3D86" w:rsidRPr="00CF2833">
        <w:rPr>
          <w:rFonts w:ascii="Calibri" w:eastAsia="Calibri" w:hAnsi="Calibri" w:cs="Calibri"/>
          <w:color w:val="000000" w:themeColor="text1"/>
          <w:lang w:val="en-US"/>
        </w:rPr>
        <w:t xml:space="preserve"> </w:t>
      </w:r>
      <w:r w:rsidR="007E3D86" w:rsidRPr="00E77C03">
        <w:rPr>
          <w:rFonts w:ascii="Calibri" w:eastAsia="Calibri" w:hAnsi="Calibri" w:cs="Calibri"/>
          <w:b/>
          <w:color w:val="000000" w:themeColor="text1"/>
          <w:lang w:val="en-US"/>
        </w:rPr>
        <w:t>in any subgroup</w:t>
      </w:r>
      <w:r w:rsidR="00B23027">
        <w:rPr>
          <w:rFonts w:ascii="Calibri" w:eastAsia="Calibri" w:hAnsi="Calibri" w:cs="Calibri"/>
          <w:b/>
          <w:color w:val="000000" w:themeColor="text1"/>
          <w:lang w:val="en-US"/>
        </w:rPr>
        <w:t xml:space="preserve"> (p&lt;0.05 for all subgroups)</w:t>
      </w:r>
      <w:r w:rsidR="007E3D86" w:rsidRPr="00CF2833">
        <w:rPr>
          <w:rFonts w:ascii="Calibri" w:eastAsia="Calibri" w:hAnsi="Calibri" w:cs="Calibri"/>
          <w:color w:val="000000" w:themeColor="text1"/>
          <w:lang w:val="en-US"/>
        </w:rPr>
        <w:t>.</w:t>
      </w:r>
      <w:r w:rsidR="00B23027">
        <w:rPr>
          <w:rFonts w:ascii="Calibri" w:eastAsia="Calibri" w:hAnsi="Calibri" w:cs="Calibri"/>
          <w:color w:val="000000" w:themeColor="text1"/>
          <w:lang w:val="en-US"/>
        </w:rPr>
        <w:t xml:space="preserve"> A</w:t>
      </w:r>
      <w:r w:rsidR="000B7452" w:rsidRPr="00CF2833">
        <w:rPr>
          <w:rFonts w:ascii="Calibri" w:eastAsia="Calibri" w:hAnsi="Calibri" w:cs="Calibri"/>
          <w:color w:val="000000" w:themeColor="text1"/>
          <w:lang w:val="en-US"/>
        </w:rPr>
        <w:t xml:space="preserve">djusted risk of permanent disability decreased significantly </w:t>
      </w:r>
      <w:r w:rsidR="007E3D86" w:rsidRPr="00E77C03">
        <w:rPr>
          <w:rFonts w:ascii="Calibri" w:eastAsia="Calibri" w:hAnsi="Calibri" w:cs="Calibri"/>
          <w:b/>
          <w:color w:val="000000" w:themeColor="text1"/>
          <w:lang w:val="en-US"/>
        </w:rPr>
        <w:t>in all subgroups (p&lt;0.05).</w:t>
      </w:r>
      <w:r w:rsidR="000B7452" w:rsidRPr="00CF2833">
        <w:rPr>
          <w:rFonts w:ascii="Calibri" w:eastAsia="Calibri" w:hAnsi="Calibri" w:cs="Calibri"/>
          <w:color w:val="000000" w:themeColor="text1"/>
          <w:lang w:val="en-US"/>
        </w:rPr>
        <w:t xml:space="preserve"> </w:t>
      </w:r>
    </w:p>
    <w:p w14:paraId="53D6168B" w14:textId="77777777" w:rsidR="00241D62" w:rsidRDefault="00033B19" w:rsidP="00D94BBD">
      <w:pPr>
        <w:spacing w:line="480" w:lineRule="auto"/>
        <w:rPr>
          <w:rFonts w:ascii="Calibri" w:eastAsia="Calibri" w:hAnsi="Calibri" w:cs="Calibri"/>
          <w:lang w:val="en-US"/>
        </w:rPr>
      </w:pPr>
      <w:r w:rsidRPr="001C149B">
        <w:rPr>
          <w:rFonts w:ascii="Calibri" w:eastAsia="Calibri" w:hAnsi="Calibri" w:cs="Calibri"/>
          <w:b/>
          <w:lang w:val="en-US"/>
        </w:rPr>
        <w:t>Conclusion</w:t>
      </w:r>
      <w:r w:rsidRPr="001C149B">
        <w:rPr>
          <w:rFonts w:ascii="Calibri" w:eastAsia="Calibri" w:hAnsi="Calibri" w:cs="Calibri"/>
          <w:lang w:val="en-US"/>
        </w:rPr>
        <w:t>:</w:t>
      </w:r>
      <w:r w:rsidR="008D65F5" w:rsidRPr="001C149B">
        <w:rPr>
          <w:rFonts w:ascii="Calibri" w:eastAsia="Calibri" w:hAnsi="Calibri" w:cs="Calibri"/>
          <w:lang w:val="en-US"/>
        </w:rPr>
        <w:t xml:space="preserve"> </w:t>
      </w:r>
    </w:p>
    <w:p w14:paraId="40CFD8CE" w14:textId="77777777" w:rsidR="00241D62" w:rsidRDefault="00241D62" w:rsidP="00D94BBD">
      <w:pPr>
        <w:spacing w:line="480" w:lineRule="auto"/>
        <w:rPr>
          <w:rFonts w:ascii="Calibri" w:eastAsia="Calibri" w:hAnsi="Calibri" w:cs="Calibri"/>
          <w:lang w:val="en-US"/>
        </w:rPr>
      </w:pPr>
    </w:p>
    <w:p w14:paraId="4C4AC0C1" w14:textId="4C4FD55A" w:rsidR="00033B19" w:rsidRPr="00E77C03" w:rsidRDefault="00654CA5" w:rsidP="00D94BBD">
      <w:pPr>
        <w:spacing w:line="480" w:lineRule="auto"/>
        <w:rPr>
          <w:rFonts w:ascii="Calibri" w:eastAsia="Calibri" w:hAnsi="Calibri" w:cs="Calibri"/>
          <w:b/>
          <w:lang w:val="en-US"/>
        </w:rPr>
      </w:pPr>
      <w:r>
        <w:rPr>
          <w:rFonts w:ascii="Calibri" w:eastAsia="Calibri" w:hAnsi="Calibri" w:cs="Calibri"/>
          <w:b/>
          <w:lang w:val="en-US"/>
        </w:rPr>
        <w:lastRenderedPageBreak/>
        <w:t>H</w:t>
      </w:r>
      <w:r w:rsidR="00B23027">
        <w:rPr>
          <w:rFonts w:ascii="Calibri" w:eastAsia="Calibri" w:hAnsi="Calibri" w:cs="Calibri"/>
          <w:b/>
          <w:lang w:val="en-US"/>
        </w:rPr>
        <w:t xml:space="preserve">ealthcare costs have remained largely the same during the last decade </w:t>
      </w:r>
      <w:r w:rsidR="00AD1F20">
        <w:rPr>
          <w:rFonts w:ascii="Calibri" w:eastAsia="Calibri" w:hAnsi="Calibri" w:cs="Calibri"/>
          <w:b/>
          <w:lang w:val="en-US"/>
        </w:rPr>
        <w:t>following</w:t>
      </w:r>
      <w:r w:rsidR="00B23027">
        <w:rPr>
          <w:rFonts w:ascii="Calibri" w:eastAsia="Calibri" w:hAnsi="Calibri" w:cs="Calibri"/>
          <w:b/>
          <w:lang w:val="en-US"/>
        </w:rPr>
        <w:t xml:space="preserve"> ICU </w:t>
      </w:r>
      <w:r w:rsidR="00AD1F20">
        <w:rPr>
          <w:rFonts w:ascii="Calibri" w:eastAsia="Calibri" w:hAnsi="Calibri" w:cs="Calibri"/>
          <w:b/>
          <w:lang w:val="en-US"/>
        </w:rPr>
        <w:t>admission after</w:t>
      </w:r>
      <w:r w:rsidR="00B23027">
        <w:rPr>
          <w:rFonts w:ascii="Calibri" w:eastAsia="Calibri" w:hAnsi="Calibri" w:cs="Calibri"/>
          <w:b/>
          <w:lang w:val="en-US"/>
        </w:rPr>
        <w:t xml:space="preserve"> TB</w:t>
      </w:r>
      <w:r w:rsidR="00BA2E71">
        <w:rPr>
          <w:rFonts w:ascii="Calibri" w:eastAsia="Calibri" w:hAnsi="Calibri" w:cs="Calibri"/>
          <w:b/>
          <w:lang w:val="en-US"/>
        </w:rPr>
        <w:t>I</w:t>
      </w:r>
      <w:r w:rsidR="00B23027">
        <w:rPr>
          <w:rFonts w:ascii="Calibri" w:eastAsia="Calibri" w:hAnsi="Calibri" w:cs="Calibri"/>
          <w:b/>
          <w:lang w:val="en-US"/>
        </w:rPr>
        <w:t xml:space="preserve">. </w:t>
      </w:r>
      <w:r w:rsidR="00AD1F20">
        <w:rPr>
          <w:rFonts w:ascii="Calibri" w:eastAsia="Calibri" w:hAnsi="Calibri" w:cs="Calibri"/>
          <w:b/>
          <w:lang w:val="en-US"/>
        </w:rPr>
        <w:t>N</w:t>
      </w:r>
      <w:r w:rsidR="00AD1F20" w:rsidRPr="00AD1F20">
        <w:rPr>
          <w:rFonts w:ascii="Calibri" w:eastAsia="Calibri" w:hAnsi="Calibri" w:cs="Calibri"/>
          <w:b/>
          <w:lang w:val="en-US"/>
        </w:rPr>
        <w:t>o</w:t>
      </w:r>
      <w:r w:rsidR="008231A3" w:rsidRPr="00AD1F20">
        <w:rPr>
          <w:rFonts w:ascii="Calibri" w:eastAsia="Calibri" w:hAnsi="Calibri" w:cs="Calibri"/>
          <w:b/>
          <w:lang w:val="en-US"/>
        </w:rPr>
        <w:t xml:space="preserve"> change in mortality</w:t>
      </w:r>
      <w:r w:rsidR="00AD1F20" w:rsidRPr="00AD1F20">
        <w:rPr>
          <w:rFonts w:ascii="Calibri" w:eastAsia="Calibri" w:hAnsi="Calibri" w:cs="Calibri"/>
          <w:b/>
          <w:lang w:val="en-US"/>
        </w:rPr>
        <w:t xml:space="preserve"> was noted</w:t>
      </w:r>
      <w:r w:rsidR="008231A3" w:rsidRPr="00AD1F20">
        <w:rPr>
          <w:rFonts w:ascii="Calibri" w:eastAsia="Calibri" w:hAnsi="Calibri" w:cs="Calibri"/>
          <w:b/>
          <w:lang w:val="en-US"/>
        </w:rPr>
        <w:t xml:space="preserve"> </w:t>
      </w:r>
      <w:r w:rsidR="000B7452" w:rsidRPr="00E77C03">
        <w:rPr>
          <w:rFonts w:ascii="Calibri" w:eastAsia="Calibri" w:hAnsi="Calibri" w:cs="Calibri"/>
          <w:b/>
          <w:lang w:val="en-US"/>
        </w:rPr>
        <w:t xml:space="preserve">but </w:t>
      </w:r>
      <w:r w:rsidR="00AD1F20" w:rsidRPr="00E77C03">
        <w:rPr>
          <w:rFonts w:ascii="Calibri" w:eastAsia="Calibri" w:hAnsi="Calibri" w:cs="Calibri"/>
          <w:b/>
          <w:lang w:val="en-US"/>
        </w:rPr>
        <w:t xml:space="preserve">the </w:t>
      </w:r>
      <w:r w:rsidR="008231A3" w:rsidRPr="00E77C03">
        <w:rPr>
          <w:rFonts w:ascii="Calibri" w:eastAsia="Calibri" w:hAnsi="Calibri" w:cs="Calibri"/>
          <w:b/>
          <w:lang w:val="en-US"/>
        </w:rPr>
        <w:t xml:space="preserve">risk </w:t>
      </w:r>
      <w:r w:rsidR="00AD1F20" w:rsidRPr="00AD1F20">
        <w:rPr>
          <w:rFonts w:ascii="Calibri" w:eastAsia="Calibri" w:hAnsi="Calibri" w:cs="Calibri"/>
          <w:b/>
          <w:lang w:val="en-US"/>
        </w:rPr>
        <w:t>for</w:t>
      </w:r>
      <w:r w:rsidR="008231A3" w:rsidRPr="00E77C03">
        <w:rPr>
          <w:rFonts w:ascii="Calibri" w:eastAsia="Calibri" w:hAnsi="Calibri" w:cs="Calibri"/>
          <w:b/>
          <w:lang w:val="en-US"/>
        </w:rPr>
        <w:t xml:space="preserve"> permanent disability </w:t>
      </w:r>
      <w:r w:rsidR="00B23027" w:rsidRPr="00AD1F20">
        <w:rPr>
          <w:rFonts w:ascii="Calibri" w:eastAsia="Calibri" w:hAnsi="Calibri" w:cs="Calibri"/>
          <w:b/>
          <w:lang w:val="en-US"/>
        </w:rPr>
        <w:t xml:space="preserve">decreased </w:t>
      </w:r>
      <w:r w:rsidR="008231A3" w:rsidRPr="00E77C03">
        <w:rPr>
          <w:rFonts w:ascii="Calibri" w:eastAsia="Calibri" w:hAnsi="Calibri" w:cs="Calibri"/>
          <w:b/>
          <w:lang w:val="en-US"/>
        </w:rPr>
        <w:t>significantly</w:t>
      </w:r>
      <w:r w:rsidR="000B7452" w:rsidRPr="00E77C03">
        <w:rPr>
          <w:rFonts w:ascii="Calibri" w:eastAsia="Calibri" w:hAnsi="Calibri" w:cs="Calibri"/>
          <w:b/>
          <w:lang w:val="en-US"/>
        </w:rPr>
        <w:t>.</w:t>
      </w:r>
      <w:r w:rsidR="00B23027" w:rsidRPr="00E77C03">
        <w:rPr>
          <w:rFonts w:ascii="Calibri" w:eastAsia="Calibri" w:hAnsi="Calibri" w:cs="Calibri"/>
          <w:b/>
          <w:lang w:val="en-US"/>
        </w:rPr>
        <w:t xml:space="preserve"> Thus,</w:t>
      </w:r>
      <w:r w:rsidR="000B7452" w:rsidRPr="00E77C03">
        <w:rPr>
          <w:rFonts w:ascii="Calibri" w:eastAsia="Calibri" w:hAnsi="Calibri" w:cs="Calibri"/>
          <w:b/>
          <w:lang w:val="en-US"/>
        </w:rPr>
        <w:t xml:space="preserve"> </w:t>
      </w:r>
      <w:r w:rsidR="00B23027" w:rsidRPr="00E77C03">
        <w:rPr>
          <w:rFonts w:ascii="Calibri" w:eastAsia="Calibri" w:hAnsi="Calibri" w:cs="Calibri"/>
          <w:b/>
          <w:lang w:val="en-US"/>
        </w:rPr>
        <w:t>o</w:t>
      </w:r>
      <w:r w:rsidR="000B7452" w:rsidRPr="00E77C03">
        <w:rPr>
          <w:rFonts w:ascii="Calibri" w:eastAsia="Calibri" w:hAnsi="Calibri" w:cs="Calibri"/>
          <w:b/>
          <w:lang w:val="en-US"/>
        </w:rPr>
        <w:t xml:space="preserve">ur results suggest that cost-effectiveness of </w:t>
      </w:r>
      <w:r w:rsidR="000B7452" w:rsidRPr="00E77C03">
        <w:rPr>
          <w:b/>
          <w:lang w:val="en-US"/>
        </w:rPr>
        <w:t>TBI</w:t>
      </w:r>
      <w:r w:rsidR="000823BE">
        <w:rPr>
          <w:b/>
          <w:lang w:val="en-US"/>
        </w:rPr>
        <w:t xml:space="preserve"> care</w:t>
      </w:r>
      <w:r w:rsidR="000B7452" w:rsidRPr="00E77C03">
        <w:rPr>
          <w:b/>
          <w:lang w:val="en-US"/>
        </w:rPr>
        <w:t xml:space="preserve"> </w:t>
      </w:r>
      <w:r w:rsidR="000823BE">
        <w:rPr>
          <w:b/>
          <w:lang w:val="en-US"/>
        </w:rPr>
        <w:t>has</w:t>
      </w:r>
      <w:r w:rsidR="00B23027" w:rsidRPr="00E77C03">
        <w:rPr>
          <w:b/>
          <w:lang w:val="en-US"/>
        </w:rPr>
        <w:t xml:space="preserve"> </w:t>
      </w:r>
      <w:r w:rsidR="000B7452" w:rsidRPr="00E77C03">
        <w:rPr>
          <w:b/>
          <w:lang w:val="en-US"/>
        </w:rPr>
        <w:t xml:space="preserve">improved </w:t>
      </w:r>
      <w:r w:rsidR="00B23027" w:rsidRPr="00E77C03">
        <w:rPr>
          <w:b/>
          <w:lang w:val="en-US"/>
        </w:rPr>
        <w:t xml:space="preserve">during </w:t>
      </w:r>
      <w:r w:rsidR="000B7452" w:rsidRPr="00E77C03">
        <w:rPr>
          <w:b/>
          <w:lang w:val="en-US"/>
        </w:rPr>
        <w:t>the past decade</w:t>
      </w:r>
      <w:r w:rsidR="00B23027" w:rsidRPr="00E77C03">
        <w:rPr>
          <w:b/>
          <w:lang w:val="en-US"/>
        </w:rPr>
        <w:t xml:space="preserve"> in Finland</w:t>
      </w:r>
      <w:r w:rsidR="000B7452" w:rsidRPr="00E77C03">
        <w:rPr>
          <w:b/>
          <w:lang w:val="en-US"/>
        </w:rPr>
        <w:t>.</w:t>
      </w:r>
    </w:p>
    <w:p w14:paraId="462DA0A9" w14:textId="4E1986AD" w:rsidR="00B30B22" w:rsidRPr="00C2509C" w:rsidRDefault="001F289C" w:rsidP="317200CE">
      <w:pPr>
        <w:spacing w:line="480" w:lineRule="auto"/>
        <w:rPr>
          <w:rFonts w:ascii="Calibri" w:eastAsia="Calibri" w:hAnsi="Calibri" w:cs="Calibri"/>
          <w:lang w:val="en-US"/>
        </w:rPr>
      </w:pPr>
      <w:r w:rsidRPr="002D686B">
        <w:rPr>
          <w:rFonts w:ascii="Calibri" w:eastAsia="Calibri" w:hAnsi="Calibri" w:cs="Calibri"/>
          <w:b/>
          <w:bCs/>
          <w:lang w:val="en-US"/>
        </w:rPr>
        <w:br w:type="page"/>
      </w:r>
    </w:p>
    <w:p w14:paraId="63E454D0" w14:textId="535EB59D" w:rsidR="0000779C" w:rsidRPr="00C80A8E" w:rsidRDefault="317200CE" w:rsidP="005910EA">
      <w:pPr>
        <w:pStyle w:val="Heading1"/>
        <w:spacing w:line="480" w:lineRule="auto"/>
        <w:rPr>
          <w:b/>
          <w:lang w:val="en-US"/>
        </w:rPr>
      </w:pPr>
      <w:r w:rsidRPr="00C80A8E">
        <w:rPr>
          <w:b/>
          <w:lang w:val="en-US"/>
        </w:rPr>
        <w:lastRenderedPageBreak/>
        <w:t>INTRODUCTION</w:t>
      </w:r>
    </w:p>
    <w:p w14:paraId="4F0C8555" w14:textId="5F6447E5" w:rsidR="00095208" w:rsidRPr="002D686B" w:rsidRDefault="004E3784" w:rsidP="000F3B33">
      <w:pPr>
        <w:spacing w:line="480" w:lineRule="auto"/>
        <w:rPr>
          <w:lang w:val="en-US"/>
        </w:rPr>
      </w:pPr>
      <w:r w:rsidRPr="002D686B">
        <w:rPr>
          <w:lang w:val="en-US"/>
        </w:rPr>
        <w:t xml:space="preserve">Traumatic brain injury </w:t>
      </w:r>
      <w:r w:rsidR="00A820EC" w:rsidRPr="002D686B">
        <w:rPr>
          <w:lang w:val="en-US"/>
        </w:rPr>
        <w:t xml:space="preserve">(TBI) </w:t>
      </w:r>
      <w:r w:rsidR="003F0E40" w:rsidRPr="002D686B">
        <w:rPr>
          <w:lang w:val="en-US"/>
        </w:rPr>
        <w:t>i</w:t>
      </w:r>
      <w:r w:rsidR="00095208" w:rsidRPr="002D686B">
        <w:rPr>
          <w:lang w:val="en-US"/>
        </w:rPr>
        <w:t>s a globally growing problem</w:t>
      </w:r>
      <w:r w:rsidR="00BA39CE">
        <w:rPr>
          <w:lang w:val="en-US"/>
        </w:rPr>
        <w:t xml:space="preserve"> </w:t>
      </w:r>
      <w:r w:rsidR="00BA39CE" w:rsidRPr="00C2509C">
        <w:rPr>
          <w:lang w:val="en-US"/>
        </w:rPr>
        <w:fldChar w:fldCharType="begin" w:fldLock="1"/>
      </w:r>
      <w:r w:rsidR="00B83FF2">
        <w:rPr>
          <w:i/>
          <w:lang w:val="en-US"/>
        </w:rPr>
        <w:instrText>ADDIN CSL_CITATION { "citationItems" : [ { "id" : "ITEM-1", "itemData" : { "DOI" : "10.1227/NEU.0000000000000575", "ISSN" : "15244040 0148396X", "abstract" : "Copyright \u00a9 2014 by the Congress of Neurological Surgeons.BACKGROUND: Current classification of traumatic brain injury (TBI) is suboptimal, and management is based on weak evidence, with little attempt to personalize treatment. A need exists for new precision medicine and stratified management approaches that incorporate emerging technologies. OBJECTIVE: To improve characterization and classification of TBI and to identify best clinical care, using comparative effectiveness research approaches. METHODS: This multicenter, longitudinal, prospective, observational study in 22 countries across Europe and Israel will collect detailed data from 5400 consenting patients, presenting within 24 hours of injury, with a clinical diagnosis of TBI and an indication for computed tomography. Broader registry-level data collection in approximately 20 000 patients will assess generalizability. Cross sectional comprehensive outcome assessments, including quality of life and neuropsychological testing, will be performed at 6 months. Longitudinal assessments will continue up to 24 months post TBI in patient subsets. Advanced neuroimaging and genomic and biomarker data will be used to improve characterization, and analyses will include neuroinformatics approaches to address variations in process and clinical care. Results will be integrated with living systematic reviews in a process of knowledge transfer. The study initiation was from October to December 2014, and the recruitment period was for 18 to 24 months. EXPECTED OUTCOMES: Collaborative European NeuroTrauma Effectiveness Research in TBI should provide novel multidimensional approaches to TBI characterization and classification, evidence to support treatment recommendations, and benchmarks for quality of care. Data and sample repositories will ensure opportunities for legacy research. DISCUSSION: Comparative effectiveness research provides an alternative to reductionistic clinical trials in restricted patient populations by exploiting differences in biology, care, and outcome to support optimal personalized patient management.", "author" : [ { "dropping-particle" : "", "family" : "Maas", "given" : "A.I.R.", "non-dropping-particle" : "", "parse-names" : false, "suffix" : "" }, { "dropping-particle" : "", "family" : "Menon", "given" : "D.K.", "non-dropping-particle" : "", "parse-names" : false, "suffix" : "" }, { "dropping-particle" : "", "family" : "Steyerberg", "given" : "E.W.", "non-dropping-particle" : "", "parse-names" : false, "suffix" : "" }, { "dropping-particle" : "", "family" : "Citerio", "given" : "G.", "non-dropping-particle" : "", "parse-names" : false, "suffix" : "" }, { "dropping-particle" : "", "family" : "Lecky", "given" : "F.", "non-dropping-particle" : "", "parse-names" : false, "suffix" : "" }, { "dropping-particle" : "", "family" : "Manley", "given" : "G.T.", "non-dropping-particle" : "", "parse-names" : false, "suffix" : "" }, { "dropping-particle" : "", "family" : "Hill", "given" : "S.", "non-dropping-particle" : "", "parse-names" : false, "suffix" : "" }, { "dropping-particle" : "", "family" : "Legrand", "given" : "V.", "non-dropping-particle" : "", "parse-names" : false, "suffix" : "" }, { "dropping-particle" : "", "family" : "Sorgner", "given" : "A.", "non-dropping-particle" : "", "parse-names" : false, "suffix" : "" }, { "dropping-particle" : "", "family" : "Andelic", "given" : "N.", "non-dropping-particle" : "", "parse-names" : false, "suffix" : "" }, { "dropping-particle" : "", "family" : "Andreassen", "given" : "L.", "non-dropping-particle" : "", "parse-names" : false, "suffix" : "" }, { "dropping-particle" : "", "family" : "Andrews", "given" : "P.", "non-dropping-particle" : "", "parse-names" : false, "suffix" : "" }, { "dropping-particle" : "", "family" : "Audibert", "given" : "G.", "non-dropping-particle" : "", "parse-names" : false, "suffix" : "" }, { "dropping-particle" : "", "family" : "Audny", "given" : "A.", "non-dropping-particle" : "", "parse-names" : false, "suffix" : "" }, { "dropping-particle" : "", "family" : "Azouv", "given" : "P.", "non-dropping-particle" : "", "parse-names" : false, "suffix" : "" }, { "dropping-particle" : "", "family" : "Barz\u00f3", "given" : "P.", "non-dropping-particle" : "", "parse-names" : false, "suffix" : "" }, { "dropping-particle" : "", "family" : "Beer", "given" : "R.", "non-dropping-particle" : "", "parse-names" : false, "suffix" : "" }, { "dropping-particle" : "", "family" : "Bellander", "given" : "B.-M.", "non-dropping-particle" : "", "parse-names" : false, "suffix" : "" }, { "dropping-particle" : "", "family" : "Belli", "given" : "A.", "non-dropping-particle" : "", "parse-names" : false, "suffix" : "" }, { "dropping-particle" : "", "family" : "Benali", "given" : "H.", "non-dropping-particle" : "", "parse-names" : false, "suffix" : "" }, { "dropping-particle" : "", "family" : "Berardino", "given" : "M.", "non-dropping-particle" : "", "parse-names" : false, "suffix" : "" }, { "dropping-particle" : "", "family" : "Beretta", "given" : "L.", "non-dropping-particle" : "", "parse-names" : false, "suffix" : "" }, { "dropping-particle" : "", "family" : "Bra\u017einov\u00e1", "given" : "A.", "non-dropping-particle" : "", "parse-names" : false, "suffix" : "" }, { "dropping-particle" : "", "family" : "Binder", "given" : "H.", "non-dropping-particle" : "", "parse-names" : false, "suffix" : "" }, { "dropping-particle" : "", "family" : "Brehar", "given" : "F.", "non-dropping-particle" : "", "parse-names" : false, "suffix" : "" }, { "dropping-particle" : "", "family" : "Buki", "given" : "A.", "non-dropping-particle" : "", "parse-names" : false, "suffix" : "" }, { "dropping-particle" : "", "family" : "Bullinger", "given" : "M.", "non-dropping-particle" : "", "parse-names" : false, "suffix" : "" }, { "dropping-particle" : "", "family" : "Cakmak", "given" : "E.", "non-dropping-particle" : "", "parse-names" : false, "suffix" : "" }, { "dropping-particle" : "", "family" : "Callebaut", "given" : "I.", "non-dropping-particle" : "", "parse-names" : false, "suffix" : "" }, { "dropping-particle" : "", "family" : "Cameron", "given" : "P.", "non-dropping-particle" : "", "parse-names" : false, "suffix" : "" }, { "dropping-particle" : "", "family" : "Lozano", "given" : "G.C.", "non-dropping-particle" : "", "parse-names" : false, "suffix" : "" }, { "dropping-particle" : "", "family" : "Carpenter", "given" : "K.L.H.", "non-dropping-particle" : "", "parse-names" : false, "suffix" : "" }, { "dropping-particle" : "", "family" : "Chieregato", "given" : "A.", "non-dropping-particle" : "", "parse-names" : false, "suffix" : "" }, { "dropping-particle" : "", "family" : "Coburn", "given" : "M.", "non-dropping-particle" : "", "parse-names" : false, "suffix" : "" }, { "dropping-particle" : "", "family" : "Coles", "given" : "J.P.", "non-dropping-particle" : "", "parse-names" : false, "suffix" : "" }, { "dropping-particle" : "", "family" : "Cooper", "given" : "J.", "non-dropping-particle" : "", "parse-names" : false, "suffix" : "" }, { "dropping-particle" : "", "family" : "Cnossen", "given" : "M.", "non-dropping-particle" : "", "parse-names" : false, "suffix" : "" }, { "dropping-particle" : "", "family" : "Curry", "given" : "N.", "non-dropping-particle" : "", "parse-names" : false, "suffix" : "" }, { "dropping-particle" : "", "family" : "Czeiter", "given" : "E.", "non-dropping-particle" : "", "parse-names" : false, "suffix" : "" }, { "dropping-particle" : "", "family" : "Czosnyka", "given" : "M.", "non-dropping-particle" : "", "parse-names" : false, "suffix" : "" }, { "dropping-particle" : "", "family" : "Dahyot-Fitzelier", "given" : "C.", "non-dropping-particle" : "", "parse-names" : false, "suffix" : "" }, { "dropping-particle" : "", "family" : "Damas", "given" : "F.", "non-dropping-particle" : "", "parse-names" : false, "suffix" : "" }, { "dropping-particle" : "", "family" : "Dawes", "given" : "H.", "non-dropping-particle" : "", "parse-names" : false, "suffix" : "" }, { "dropping-particle" : "", "family" : "Keyser", "given" : "V.", "non-dropping-particle" : "De", "parse-names" : false, "suffix" : "" }, { "dropping-particle" : "", "family" : "Luca", "given" : "A.", "non-dropping-particle" : "De", "parse-names" : false, "suffix" : "" }, { "dropping-particle" : "", "family" : "Ruiter", "given" : "G.C.W.", "non-dropping-particle" : "De", "parse-names" : false, "suffix" : "" }, { "dropping-particle" : "", "family" : "Witte", "given" : "O.", "non-dropping-particle" : "De", "parse-names" : false, "suffix" : "" }, { "dropping-particle" : "", "family" : "Corte", "given" : "F.D.", "non-dropping-particle" : "", "parse-names" : false, "suffix" : "" }, { "dropping-particle" : "", "family" : "Demeter", "given" : "B.", "non-dropping-particle" : "", "parse-names" : false, "suffix" : "" }, { "dropping-particle" : "", "family" : "Depreitere", "given" : "B.", "non-dropping-particle" : "", "parse-names" : false, "suffix" : "" }, { "dropping-particle" : "", "family" : "Dippel", "given" : "D.W.J.", "non-dropping-particle" : "", "parse-names" : false, "suffix" : "" }, { "dropping-particle" : "", "family" : "Dizdarevic", "given" : "K.", "non-dropping-particle" : "", "parse-names" : false, "suffix" : "" }, { "dropping-particle" : "", "family" : "Dreier", "given" : "J.P.", "non-dropping-particle" : "", "parse-names" : false, "suffix" : "" }, { "dropping-particle" : "", "family" : "Eapen", "given" : "G.", "non-dropping-particle" : "", "parse-names" : false, "suffix" : "" }, { "dropping-particle" : "", "family" : "Ercole", "given" : "A.", "non-dropping-particle" : "", "parse-names" : false, "suffix" : "" }, { "dropping-particle" : "", "family" : "Esser", "given" : "P.", "non-dropping-particle" : "", "parse-names" : false, "suffix" : "" }, { "dropping-particle" : "", "family" : "Fabricius", "given" : "M.", "non-dropping-particle" : "", "parse-names" : false, "suffix" : "" }, { "dropping-particle" : "", "family" : "Feremans", "given" : "L.", "non-dropping-particle" : "", "parse-names" : false, "suffix" : "" }, { "dropping-particle" : "", "family" : "Feigin", "given" : "V.L.", "non-dropping-particle" : "", "parse-names" : false, "suffix" : "" }, { "dropping-particle" : "", "family" : "Fossi", "given" : "F.", "non-dropping-particle" : "", "parse-names" : false, "suffix" : "" }, { "dropping-particle" : "", "family" : "Forsyth", "given" : "F.", "non-dropping-particle" : "", "parse-names" : false, "suffix" : "" }, { "dropping-particle" : "", "family" : "Florian", "given" : "S.", "non-dropping-particle" : "", "parse-names" : false, "suffix" : "" }, { "dropping-particle" : "", "family" : "Frisvold", "given" : "S.K.", "non-dropping-particle" : "", "parse-names" : false, "suffix" : "" }, { "dropping-particle" : "", "family" : "Frosini", "given" : "C.", "non-dropping-particle" : "", "parse-names" : false, "suffix" : "" }, { "dropping-particle" : "", "family" : "Furmanov", "given" : "A.", "non-dropping-particle" : "", "parse-names" : false, "suffix" : "" }, { "dropping-particle" : "", "family" : "Frantz\u00e9n", "given" : "J.", "non-dropping-particle" : "", "parse-names" : false, "suffix" : "" }, { "dropping-particle" : "", "family" : "Gadda", "given" : "D.", "non-dropping-particle" : "", "parse-names" : false, "suffix" : "" }, { "dropping-particle" : "", "family" : "Gagliardo", "given" : "P.", "non-dropping-particle" : "", "parse-names" : false, "suffix" : "" }, { "dropping-particle" : "", "family" : "Galanaud", "given" : "D.", "non-dropping-particle" : "", "parse-names" : false, "suffix" : "" }, { "dropping-particle" : "", "family" : "Gao", "given" : "G.", "non-dropping-particle" : "", "parse-names" : false, "suffix" : "" }, { "dropping-particle" : "", "family" : "Ghuysen", "given" : "A.", "non-dropping-particle" : "", "parse-names" : false, "suffix" : "" }, { "dropping-particle" : "", "family" : "Godbolt", "given" : "A.", "non-dropping-particle" : "", "parse-names" : false, "suffix" : "" }, { "dropping-particle" : "", "family" : "Gon\u0161orov\u00e1", "given" : "V.", "non-dropping-particle" : "", "parse-names" : false, "suffix" : "" }, { "dropping-particle" : "", "family" : "Grigore", "given" : "Z.", "non-dropping-particle" : "", "parse-names" : false, "suffix" : "" }, { "dropping-particle" : "", "family" : "Gruen", "given" : "R.", "non-dropping-particle" : "", "parse-names" : false, "suffix" : "" }, { "dropping-particle" : "", "family" : "Haagsma", "given" : "J.A.", "non-dropping-particle" : "", "parse-names" : false, "suffix" : "" }, { "dropping-particle" : "", "family" : "Hallaert", "given" : "G.", "non-dropping-particle" : "", "parse-names" : false, "suffix" : "" }, { "dropping-particle" : "", "family" : "Hadzic", "given" : "E.", "non-dropping-particle" : "", "parse-names" : false, "suffix" : "" }, { "dropping-particle" : "", "family" : "Haitsma", "given" : "I.", "non-dropping-particle" : "", "parse-names" : false, "suffix" : "" }, { "dropping-particle" : "", "family" : "Hartings", "given" : "J.A.", "non-dropping-particle" : "", "parse-names" : false, "suffix" : "" }, { "dropping-particle" : "", "family" : "Helbok", "given" : "R.", "non-dropping-particle" : "", "parse-names" : false, "suffix" : "" }, { "dropping-particle" : "", "family" : "Helseth", "given" : "E.", "non-dropping-particle" : "", "parse-names" : false, "suffix" : "" }, { "dropping-particle" : "", "family" : "Hoefer", "given" : "S.", "non-dropping-particle" : "", "parse-names" : false, "suffix" : "" }, { "dropping-particle" : "", "family" : "Holling", "given" : "M.", "non-dropping-particle" : "", "parse-names" : false, "suffix" : "" }, { "dropping-particle" : "", "family" : "Hunfeld", "given" : "M.", "non-dropping-particle" : "", "parse-names" : false, "suffix" : "" }, { "dropping-particle" : "", "family" : "Hutchinson", "given" : "P.J.", "non-dropping-particle" : "", "parse-names" : false, "suffix" : "" }, { "dropping-particle" : "", "family" : "Ill\u00e9\u0161", "given" : "R.", "non-dropping-particle" : "", "parse-names" : false, "suffix" : "" }, { "dropping-particle" : "", "family" : "Janssens", "given" : "K.", "non-dropping-particle" : "", "parse-names" : false, "suffix" : "" }, { "dropping-particle" : "", "family" : "Bovend'Eerdt", "given" : "T.J.H.", "non-dropping-particle" : "", "parse-names" : false, "suffix" : "" }, { "dropping-particle" : "", "family" : "Jiang", "given" : "J.-Y.", "non-dropping-particle" : "", "parse-names" : false, "suffix" : "" }, { "dropping-particle" : "", "family" : "Jones", "given" : "K.M.", "non-dropping-particle" : "", "parse-names" : false, "suffix" : "" }, { "dropping-particle" : "", "family" : "Kalala", "given" : "J.-P.", "non-dropping-particle" : "", "parse-names" : false, "suffix" : "" }, { "dropping-particle" : "", "family" : "Kalovits", "given" : "F.", "non-dropping-particle" : "", "parse-names" : false, "suffix" : "" }, { "dropping-particle" : "", "family" : "Kasprian", "given" : "G.", "non-dropping-particle" : "", "parse-names" : false, "suffix" : "" }, { "dropping-particle" : "", "family" : "Katila", "given" : "A.", "non-dropping-particle" : "", "parse-names" : false, "suffix" : "" }, { "dropping-particle" : "", "family" : "Ketharanathan", "given" : "N.", "non-dropping-particle" : "", "parse-names" : false, "suffix" : "" }, { "dropping-particle" : "", "family" : "Kolias", "given" : "A.G.", "non-dropping-particle" : "", "parse-names" : false, "suffix" : "" }, { "dropping-particle" : "", "family" : "Kolibay", "given" : "F.", "non-dropping-particle" : "", "parse-names" : false, "suffix" : "" }, { "dropping-particle" : "", "family" : "Kondziella", "given" : "D.", "non-dropping-particle" : "", "parse-names" : false, "suffix" : "" }, { "dropping-particle" : "", "family" : "Koskinen", "given" : "L.-O.", "non-dropping-particle" : "", "parse-names" : false, "suffix" : "" }, { "dropping-particle" : "", "family" : "Lagares", "given" : "A.", "non-dropping-particle" : "", "parse-names" : false, "suffix" : "" }, { "dropping-particle" : "", "family" : "Lanyon", "given" : "L.", "non-dropping-particle" : "", "parse-names" : false, "suffix" : "" }, { "dropping-particle" : "", "family" : "Laureys", "given" : "S.", "non-dropping-particle" : "", "parse-names" : false, "suffix" : "" }, { "dropping-particle" : "", "family" : "Lefering", "given" : "R.", "non-dropping-particle" : "", "parse-names" : false, "suffix" : "" }, { "dropping-particle" : "", "family" : "Levi", "given" : "L.", "non-dropping-particle" : "", "parse-names" : false, "suffix" : "" }, { "dropping-particle" : "", "family" : "Lightfoot", "given" : "R.", "non-dropping-particle" : "", "parse-names" : false, "suffix" : "" }, { "dropping-particle" : "", "family" : "Lingsma", "given" : "H.F.", "non-dropping-particle" : "", "parse-names" : false, "suffix" : "" }, { "dropping-particle" : "", "family" : "Loeckx", "given" : "D.", "non-dropping-particle" : "", "parse-names" : false, "suffix" : "" }, { "dropping-particle" : "", "family" : "Lohkamp", "given" : "L.-N.", "non-dropping-particle" : "", "parse-names" : false, "suffix" : "" }, { "dropping-particle" : "", "family" : "L\u00f6tj\u00f6nen", "given" : "J.", "non-dropping-particle" : "", "parse-names" : false, "suffix" : "" }, { "dropping-particle" : "", "family" : "Lumenta", "given" : "C.", "non-dropping-particle" : "", "parse-names" : false, "suffix" : "" }, { "dropping-particle" : "", "family" : "Lyttle", "given" : "M.", "non-dropping-particle" : "", "parse-names" : false, "suffix" : "" }, { "dropping-particle" : "", "family" : "Maegele", "given" : "M.", "non-dropping-particle" : "", "parse-names" : false, "suffix" : "" }, { "dropping-particle" : "", "family" : "Majdan", "given" : "M.", "non-dropping-particle" : "", "parse-names" : false, "suffix" : "" }, { "dropping-particle" : "", "family" : "Manara", "given" : "A.", "non-dropping-particle" : "", "parse-names" : false, "suffix" : "" }, { "dropping-particle" : "", "family" : "Mar\u00e9chal", "given" : "H.", "non-dropping-particle" : "", "parse-names" : false, "suffix" : "" }, { "dropping-particle" : "", "family" : "Martino", "given" : "C.", "non-dropping-particle" : "", "parse-names" : false, "suffix" : "" }, { "dropping-particle" : "", "family" : "Mascia", "given" : "L.", "non-dropping-particle" : "", "parse-names" : false, "suffix" : "" }, { "dropping-particle" : "", "family" : "Mauritz", "given" : "W.", "non-dropping-particle" : "", "parse-names" : false, "suffix" : "" }, { "dropping-particle" : "", "family" : "McMahon", "given" : "C.", "non-dropping-particle" : "", "parse-names" : false, "suffix" : "" }, { "dropping-particle" : "", "family" : "Menovsky", "given" : "T.", "non-dropping-particle" : "", "parse-names" : false, "suffix" : "" }, { "dropping-particle" : "", "family" : "Mitchell", "given" : "P.", "non-dropping-particle" : "", "parse-names" : false, "suffix" : "" }, { "dropping-particle" : "", "family" : "Mladenov", "given" : "N.", "non-dropping-particle" : "", "parse-names" : false, "suffix" : "" }, { "dropping-particle" : "", "family" : "Morganti-Kossmann", "given" : "C.", "non-dropping-particle" : "", "parse-names" : false, "suffix" : "" }, { "dropping-particle" : "", "family" : "Nelson", "given" : "D.", "non-dropping-particle" : "", "parse-names" : false, "suffix" : "" }, { "dropping-particle" : "", "family" : "Neugebauer", "given" : "E.", "non-dropping-particle" : "", "parse-names" : false, "suffix" : "" }, { "dropping-particle" : "", "family" : "Newcombe", "given" : "V.F.", "non-dropping-particle" : "", "parse-names" : false, "suffix" : "" }, { "dropping-particle" : "", "family" : "Oddo", "given" : "M.", "non-dropping-particle" : "", "parse-names" : false, "suffix" : "" }, { "dropping-particle" : "", "family" : "Oresic", "given" : "M.", "non-dropping-particle" : "", "parse-names" : false, "suffix" : "" }, { "dropping-particle" : "", "family" : "Orzalesi", "given" : "V.", "non-dropping-particle" : "", "parse-names" : false, "suffix" : "" }, { "dropping-particle" : "", "family" : "Outtrim", "given" : "J.G.", "non-dropping-particle" : "", "parse-names" : false, "suffix" : "" }, { "dropping-particle" : "", "family" : "Palotie", "given" : "A.", "non-dropping-particle" : "", "parse-names" : false, "suffix" : "" }, { "dropping-particle" : "", "family" : "Parizel", "given" : "P.", "non-dropping-particle" : "", "parse-names" : false, "suffix" : "" }, { "dropping-particle" : "", "family" : "Payen", "given" : "J.-F.", "non-dropping-particle" : "", "parse-names" : false, "suffix" : "" }, { "dropping-particle" : "", "family" : "Perlbarg", "given" : "V.", "non-dropping-particle" : "", "parse-names" : false, "suffix" : "" }, { "dropping-particle" : "", "family" : "Peul", "given" : "W.", "non-dropping-particle" : "", "parse-names" : false, "suffix" : "" }, { "dropping-particle" : "", "family" : "Pichon", "given" : "N.", "non-dropping-particle" : "", "parse-names" : false, "suffix" : "" }, { "dropping-particle" : "", "family" : "Piippo", "given" : "A.", "non-dropping-particle" : "", "parse-names" : false, "suffix" : "" }, { "dropping-particle" : "", "family" : "Floury", "given" : "S.P.", "non-dropping-particle" : "", "parse-names" : false, "suffix" : "" }, { "dropping-particle" : "", "family" : "Ples", "given" : "H.", "non-dropping-particle" : "", "parse-names" : false, "suffix" : "" }, { "dropping-particle" : "", "family" : "Polinder", "given" : "S.", "non-dropping-particle" : "", "parse-names" : false, "suffix" : "" }, { "dropping-particle" : "", "family" : "Preiksaitis", "given" : "A.", "non-dropping-particle" : "", "parse-names" : false, "suffix" : "" }, { "dropping-particle" : "", "family" : "Psota", "given" : "M.", "non-dropping-particle" : "", "parse-names" : false, "suffix" : "" }, { "dropping-particle" : "", "family" : "Pullens", "given" : "P.", "non-dropping-particle" : "", "parse-names" : false, "suffix" : "" }, { "dropping-particle" : "", "family" : "Puybasset", "given" : "L.", "non-dropping-particle" : "", "parse-names" : false, "suffix" : "" }, { "dropping-particle" : "", "family" : "Ragauskas", "given" : "A.", "non-dropping-particle" : "", "parse-names" : false, "suffix" : "" }, { "dropping-particle" : "", "family" : "Raj", "given" : "R.", "non-dropping-particle" : "", "parse-names" : false, "suffix" : "" }, { "dropping-particle" : "", "family" : "Reiner", "given" : "M.", "non-dropping-particle" : "", "parse-names" : false, "suffix" : "" }, { "dropping-particle" : "", "family" : "Rhodes", "given" : "J.K.J.", "non-dropping-particle" : "", "parse-names" : false, "suffix" : "" }, { "dropping-particle" : "", "family" : "Richardson", "given" : "S.", "non-dropping-particle" : "", "parse-names" : false, "suffix" : "" }, { "dropping-particle" : "", "family" : "Ripatti", "given" : "S.", "non-dropping-particle" : "", "parse-names" : false, "suffix" : "" }, { "dropping-particle" : "", "family" : "Rocka", "given" : "S.", "non-dropping-particle" : "", "parse-names" : false, "suffix" : "" }, { "dropping-particle" : "", "family" : "Roosenfeld", "given" : "J.", "non-dropping-particle" : "", "parse-names" : false, "suffix" : "" }, { "dropping-particle" : "", "family" : "Rosand", "given" : "J.", "non-dropping-particle" : "", "parse-names" : false, "suffix" : "" }, { "dropping-particle" : "", "family" : "Rosenlund", "given" : "C.", "non-dropping-particle" : "", "parse-names" : false, "suffix" : "" }, { "dropping-particle" : "", "family" : "Rosenthal", "given" : "G.", "non-dropping-particle" : "", "parse-names" : false, "suffix" : "" }, { "dropping-particle" : "", "family" : "Rossaint", "given" : "R.", "non-dropping-particle" : "", "parse-names" : false, "suffix" : "" }, { "dropping-particle" : "", "family" : "Rossi", "given" : "S.", "non-dropping-particle" : "", "parse-names" : false, "suffix" : "" }, { "dropping-particle" : "", "family" : "Rueckert", "given" : "D.", "non-dropping-particle" : "", "parse-names" : false, "suffix" : "" }, { "dropping-particle" : "", "family" : "Rusn\u00e1k", "given" : "M.", "non-dropping-particle" : "", "parse-names" : false, "suffix" : "" }, { "dropping-particle" : "", "family" : "Rynkowski", "given" : "M.A.", "non-dropping-particle" : "", "parse-names" : false, "suffix" : "" }, { "dropping-particle" : "", "family" : "Sahuquillo", "given" : "J.", "non-dropping-particle" : "", "parse-names" : false, "suffix" : "" }, { "dropping-particle" : "", "family" : "Sakowitz", "given" : "O.", "non-dropping-particle" : "", "parse-names" : false, "suffix" : "" }, { "dropping-particle" : "", "family" : "Sandor", "given" : "J.", "non-dropping-particle" : "", "parse-names" : false, "suffix" : "" }, { "dropping-particle" : "", "family" : "Schmidt", "given" : "S.", "non-dropping-particle" : "", "parse-names" : false, "suffix" : "" }, { "dropping-particle" : "", "family" : "Schoechl", "given" : "H.", "non-dropping-particle" : "", "parse-names" : false, "suffix" : "" }, { "dropping-particle" : "", "family" : "Schou", "given" : "R.", "non-dropping-particle" : "", "parse-names" : false, "suffix" : "" }, { "dropping-particle" : "", "family" : "Skandsen", "given" : "T.", "non-dropping-particle" : "", "parse-names" : false, "suffix" : "" }, { "dropping-particle" : "", "family" : "Sonne", "given" : "M.", "non-dropping-particle" : "", "parse-names" : false, "suffix" : "" }, { "dropping-particle" : "", "family" : "Schwendenwein", "given" : "E.", "non-dropping-particle" : "", "parse-names" : false, "suffix" : "" }, { "dropping-particle" : "", "family" : "Smeets", "given" : "D.", "non-dropping-particle" : "", "parse-names" : false, "suffix" : "" }, { "dropping-particle" : "", "family" : "Smieleweski", "given" : "P.", "non-dropping-particle" : "", "parse-names" : false, "suffix" : "" }, { "dropping-particle" : "", "family" : "S\u00f6derberg", "given" : "J.", "non-dropping-particle" : "", "parse-names" : false, "suffix" : "" }, { "dropping-particle" : "", "family" : "Stamatakis", "given" : "E.", "non-dropping-particle" : "", "parse-names" : false, "suffix" : "" }, { "dropping-particle" : "", "family" : "Stanworth", "given" : "S.", "non-dropping-particle" : "", "parse-names" : false, "suffix" : "" }, { "dropping-particle" : "", "family" : "Stefini", "given" : "R.", "non-dropping-particle" : "", "parse-names" : false, "suffix" : "" }, { "dropping-particle" : "", "family" : "Stevens", "given" : "R.", "non-dropping-particle" : "", "parse-names" : false, "suffix" : "" }, { "dropping-particle" : "", "family" : "Stewart", "given" : "W.", "non-dropping-particle" : "", "parse-names" : false, "suffix" : "" }, { "dropping-particle" : "", "family" : "Stocchetti", "given" : "N.", "non-dropping-particle" : "", "parse-names" : false, "suffix" : "" }, { "dropping-particle" : "", "family" : "Stummer", "given" : "W.", "non-dropping-particle" : "", "parse-names" : false, "suffix" : "" }, { "dropping-particle" : "", "family" : "Szab\u00f3", "given" : "J.", "non-dropping-particle" : "", "parse-names" : false, "suffix" : "" }, { "dropping-particle" : "", "family" : "Tascu", "given" : "A.", "non-dropping-particle" : "", "parse-names" : false, "suffix" : "" }, { "dropping-particle" : "", "family" : "Tenovuo", "given" : "O.", "non-dropping-particle" : "", "parse-names" : false, "suffix" : "" }, { "dropping-particle" : "", "family" : "Theadom", "given" : "A.", "non-dropping-particle" : "", "parse-names" : false, "suffix" : "" }, { "dropping-particle" : "", "family" : "Tibboel", "given" : "D.", "non-dropping-particle" : "", "parse-names" : false, "suffix" : "" }, { "dropping-particle" : "", "family" : "Tolias", "given" : "C.M.", "non-dropping-particle" : "", "parse-names" : false, "suffix" : "" }, { "dropping-particle" : "", "family" : "Unterberg", "given" : "A.", "non-dropping-particle" : "", "parse-names" : false, "suffix" : "" }, { "dropping-particle" : "", "family" : "Vajkoczy", "given" : "P.", "non-dropping-particle" : "", "parse-names" : false, "suffix" : "" }, { "dropping-particle" : "", "family" : "Vargiolu", "given" : "A.", "non-dropping-particle" : "", "parse-names" : false, "suffix" : "" }, { "dropping-particle" : "", "family" : "Naalt", "given" : "J.", "non-dropping-particle" : "Van Der", "parse-names" : false, "suffix" : "" }, { "dropping-particle" : "", "family" : "Essen", "given" : "T.", "non-dropping-particle" : "Van", "parse-names" : false, "suffix" : "" }, { "dropping-particle" : "", "family" : "Hecke", "given" : "W.", "non-dropping-particle" : "Van", "parse-names" : false, "suffix" : "" }, { "dropping-particle" : "", "family" : "Praag", "given" : "D.", "non-dropping-particle" : "Van", "parse-names" : false, "suffix" : "" }, { "dropping-particle" : "", "family" : "Roost", "given" : "D.", "non-dropping-particle" : "Van", "parse-names" : false, "suffix" : "" }, { "dropping-particle" : "", "family" : "Vandenbulcke", "given" : "T.", "non-dropping-particle" : "", "parse-names" : false, "suffix" : "" }, { "dropping-particle" : "", "family" : "Hauwe", "given" : "L.", "non-dropping-particle" : "Vande", "parse-names" : false, "suffix" : "" }, { "dropping-particle" : "", "family" : "Jagt", "given" : "M.", "non-dropping-particle" : "Van Der", "parse-names" : false, "suffix" : "" }, { "dropping-particle" : "", "family" : "Vega", "given" : "E.", "non-dropping-particle" : "", "parse-names" : false, "suffix" : "" }, { "dropping-particle" : "", "family" : "Verheyden", "given" : "J.", "non-dropping-particle" : "", "parse-names" : false, "suffix" : "" }, { "dropping-particle" : "", "family" : "Verma", "given" : "V.", "non-dropping-particle" : "", "parse-names" : false, "suffix" : "" }, { "dropping-particle" : "", "family" : "Vespa", "given" : "P.M.", "non-dropping-particle" : "", "parse-names" : false, "suffix" : "" }, { "dropping-particle" : "", "family" : "Vik", "given" : "A.", "non-dropping-particle" : "", "parse-names" : false, "suffix" : "" }, { "dropping-particle" : "", "family" : "Vilcinis", "given" : "R.", "non-dropping-particle" : "", "parse-names" : false, "suffix" : "" }, { "dropping-particle" : "", "family" : "Steinb\u00fcchel", "given" : "N.", "non-dropping-particle" : "Von", "parse-names" : false, "suffix" : "" }, { "dropping-particle" : "", "family" : "Vulekovic", "given" : "P.", "non-dropping-particle" : "", "parse-names" : false, "suffix" : "" }, { "dropping-particle" : "", "family" : "Wang", "given" : "K.K.W.", "non-dropping-particle" : "", "parse-names" : false, "suffix" : "" }, { "dropping-particle" : "", "family" : "Wildschut", "given" : "E.", "non-dropping-particle" : "", "parse-names" : false, "suffix" : "" }, { "dropping-particle" : "", "family" : "Williams", "given" : "G.", "non-dropping-particle" : "", "parse-names" : false, "suffix" : "" }, { "dropping-particle" : "", "family" : "Wilson", "given" : "M.", "non-dropping-particle" : "", "parse-names" : false, "suffix" : "" }, { "dropping-particle" : "", "family" : "Wilson", "given" : "L.", "non-dropping-particle" : "", "parse-names" : false, "suffix" : "" }, { "dropping-particle" : "", "family" : "Wolf", "given" : "S.", "non-dropping-particle" : "", "parse-names" : false, "suffix" : "" }, { "dropping-particle" : "", "family" : "Yl\u00e9n", "given" : "P.", "non-dropping-particle" : "", "parse-names" : false, "suffix" : "" }, { "dropping-particle" : "", "family" : "Zaaroor", "given" : "M.", "non-dropping-particle" : "", "parse-names" : false, "suffix" : "" }, { "dropping-particle" : "", "family" : "Zolfaghari", "given" : "P.", "non-dropping-particle" : "", "parse-names" : false, "suffix" : "" }, { "dropping-particle" : "", "family" : "Martin", "given" : "D.", "non-dropping-particle" : "", "parse-names" : false, "suffix" : "" }, { "dropping-particle" : "", "family" : "D'Orio", "given" : "V.", "non-dropping-particle" : "", "parse-names" : false, "suffix" : "" }, { "dropping-particle" : "", "family" : "Damas", "given" : "P.", "non-dropping-particle" : "", "parse-names" : false, "suffix" : "" }, { "dropping-particle" : "", "family" : "Luaba Tshibanda", "given" : "J.-F.", "non-dropping-particle" : "", "parse-names" : false, "suffix" : "" } ], "container-title" : "Neurosurgery", "id" : "ITEM-1", "issue" : "1", "issued" : { "date-parts" : [ [ "2015" ] ] }, "title" : "Collaborative European neurotrauma effectiveness research in traumatic brain injury (CENTER-TBI): A prospective longitudinal observational study", "type" : "article-journal", "volume" : "76" }, "uris" : [ "http://www.mendeley.com/documents/?uuid=d7188ca8-2af4-3306-9744-9b9511fe582e" ] }, { "id" : "ITEM-2", "itemData" : { "author" : [ { "dropping-particle" : "", "family" : "World Health Organization", "given" : "", "non-dropping-particle" : "", "parse-names" : false, "suffix" : "" } ], "id" : "ITEM-2", "issued" : { "date-parts" : [ [ "1996" ] ] }, "number-of-pages" : "TDR/Gen/96.1", "publisher-place" : "Geneva", "title" : "Investing in Health Research and Development: Report of the Ad Hoc Committee on Health Research Relating to Future Intervention Options", "type" : "report" }, "uris" : [ "http://www.mendeley.com/documents/?uuid=85ad9725-cc49-3bfb-a63e-b65792e4db03" ] } ], "mendeley" : { "formattedCitation" : "(1, 2)", "plainTextFormattedCitation" : "(1, 2)", "previouslyFormattedCitation" : "(1, 2)" }, "properties" : { "noteIndex" : 0 }, "schema" : "https://github.com/citation-style-language/schema/raw/master/csl-citation.json" }</w:instrText>
      </w:r>
      <w:r w:rsidR="00BA39CE" w:rsidRPr="00C2509C">
        <w:rPr>
          <w:i/>
          <w:lang w:val="en-US"/>
        </w:rPr>
        <w:fldChar w:fldCharType="separate"/>
      </w:r>
      <w:r w:rsidR="00395A1E" w:rsidRPr="00395A1E">
        <w:rPr>
          <w:noProof/>
          <w:lang w:val="en-US"/>
        </w:rPr>
        <w:t>(1, 2)</w:t>
      </w:r>
      <w:r w:rsidR="00BA39CE" w:rsidRPr="00C2509C">
        <w:rPr>
          <w:lang w:val="en-US"/>
        </w:rPr>
        <w:fldChar w:fldCharType="end"/>
      </w:r>
      <w:r w:rsidR="00BA39CE">
        <w:rPr>
          <w:lang w:val="en-US"/>
        </w:rPr>
        <w:t>.</w:t>
      </w:r>
      <w:r w:rsidR="00095208" w:rsidRPr="002D686B">
        <w:rPr>
          <w:lang w:val="en-US"/>
        </w:rPr>
        <w:t xml:space="preserve"> </w:t>
      </w:r>
      <w:r w:rsidR="00E95C6E" w:rsidRPr="002D686B">
        <w:rPr>
          <w:lang w:val="en-US"/>
        </w:rPr>
        <w:t>In Europ</w:t>
      </w:r>
      <w:r w:rsidR="00EA723E" w:rsidRPr="002D686B">
        <w:rPr>
          <w:lang w:val="en-US"/>
        </w:rPr>
        <w:t>e</w:t>
      </w:r>
      <w:r w:rsidR="00E95C6E" w:rsidRPr="002D686B">
        <w:rPr>
          <w:lang w:val="en-US"/>
        </w:rPr>
        <w:t xml:space="preserve"> and the U.S.</w:t>
      </w:r>
      <w:r w:rsidR="00977E6A" w:rsidRPr="002D686B">
        <w:rPr>
          <w:lang w:val="en-US"/>
        </w:rPr>
        <w:t xml:space="preserve">, the increasing incidence of </w:t>
      </w:r>
      <w:r w:rsidR="00BA39CE">
        <w:rPr>
          <w:lang w:val="en-US"/>
        </w:rPr>
        <w:t xml:space="preserve">elderly people falling </w:t>
      </w:r>
      <w:r w:rsidR="00A25B00">
        <w:rPr>
          <w:lang w:val="en-US"/>
        </w:rPr>
        <w:t>is</w:t>
      </w:r>
      <w:r w:rsidR="00BA39CE">
        <w:rPr>
          <w:lang w:val="en-US"/>
        </w:rPr>
        <w:t xml:space="preserve"> </w:t>
      </w:r>
      <w:r w:rsidR="00A25B00">
        <w:rPr>
          <w:lang w:val="en-US"/>
        </w:rPr>
        <w:t>changing</w:t>
      </w:r>
      <w:r w:rsidR="00BA39CE">
        <w:rPr>
          <w:lang w:val="en-US"/>
        </w:rPr>
        <w:t xml:space="preserve"> the epidemiology of TBI</w:t>
      </w:r>
      <w:r w:rsidR="005C1B80">
        <w:rPr>
          <w:lang w:val="en-US"/>
        </w:rPr>
        <w:t xml:space="preserve"> </w:t>
      </w:r>
      <w:r w:rsidR="00A25B00">
        <w:rPr>
          <w:lang w:val="en-US"/>
        </w:rPr>
        <w:t xml:space="preserve"> and</w:t>
      </w:r>
      <w:r w:rsidR="004E2500">
        <w:rPr>
          <w:lang w:val="en-US"/>
        </w:rPr>
        <w:t xml:space="preserve"> </w:t>
      </w:r>
      <w:r w:rsidR="00A25B00">
        <w:rPr>
          <w:lang w:val="en-US"/>
        </w:rPr>
        <w:t>t</w:t>
      </w:r>
      <w:r w:rsidR="00996DEB" w:rsidRPr="002D686B">
        <w:rPr>
          <w:lang w:val="en-US"/>
        </w:rPr>
        <w:t>he</w:t>
      </w:r>
      <w:r w:rsidR="00A860B8" w:rsidRPr="002D686B">
        <w:rPr>
          <w:lang w:val="en-US"/>
        </w:rPr>
        <w:t xml:space="preserve"> </w:t>
      </w:r>
      <w:r w:rsidR="0061473B" w:rsidRPr="002D686B">
        <w:rPr>
          <w:lang w:val="en-US"/>
        </w:rPr>
        <w:t>rising</w:t>
      </w:r>
      <w:r w:rsidR="00A860B8" w:rsidRPr="002D686B">
        <w:rPr>
          <w:lang w:val="en-US"/>
        </w:rPr>
        <w:t xml:space="preserve"> age of </w:t>
      </w:r>
      <w:r w:rsidR="008B2530" w:rsidRPr="002D686B">
        <w:rPr>
          <w:lang w:val="en-US"/>
        </w:rPr>
        <w:t xml:space="preserve">patients </w:t>
      </w:r>
      <w:r w:rsidR="00A860B8" w:rsidRPr="002D686B">
        <w:rPr>
          <w:lang w:val="en-US"/>
        </w:rPr>
        <w:t xml:space="preserve">treated in </w:t>
      </w:r>
      <w:r w:rsidR="00262B24">
        <w:rPr>
          <w:lang w:val="en-US"/>
        </w:rPr>
        <w:t>intensive care units (</w:t>
      </w:r>
      <w:r w:rsidR="00DF09D3">
        <w:rPr>
          <w:lang w:val="en-US"/>
        </w:rPr>
        <w:t>ICUs</w:t>
      </w:r>
      <w:r w:rsidR="00262B24">
        <w:rPr>
          <w:lang w:val="en-US"/>
        </w:rPr>
        <w:t>)</w:t>
      </w:r>
      <w:r w:rsidR="00613EFB" w:rsidRPr="002D686B">
        <w:rPr>
          <w:lang w:val="en-US"/>
        </w:rPr>
        <w:t xml:space="preserve"> </w:t>
      </w:r>
      <w:r w:rsidR="00843B98">
        <w:rPr>
          <w:lang w:val="en-US"/>
        </w:rPr>
        <w:t>has</w:t>
      </w:r>
      <w:r w:rsidR="00A860B8" w:rsidRPr="002D686B">
        <w:rPr>
          <w:lang w:val="en-US"/>
        </w:rPr>
        <w:t xml:space="preserve"> </w:t>
      </w:r>
      <w:r w:rsidR="00977E6A" w:rsidRPr="002D686B">
        <w:rPr>
          <w:lang w:val="en-US"/>
        </w:rPr>
        <w:t xml:space="preserve">drastically </w:t>
      </w:r>
      <w:r w:rsidR="00843B98" w:rsidRPr="002D686B">
        <w:rPr>
          <w:lang w:val="en-US"/>
        </w:rPr>
        <w:t>increas</w:t>
      </w:r>
      <w:r w:rsidR="00843B98">
        <w:rPr>
          <w:lang w:val="en-US"/>
        </w:rPr>
        <w:t>ed</w:t>
      </w:r>
      <w:r w:rsidR="00843B98" w:rsidRPr="002D686B">
        <w:rPr>
          <w:lang w:val="en-US"/>
        </w:rPr>
        <w:t xml:space="preserve"> </w:t>
      </w:r>
      <w:r w:rsidR="00977E6A" w:rsidRPr="002D686B">
        <w:rPr>
          <w:lang w:val="en-US"/>
        </w:rPr>
        <w:t>the demand for ICU beds</w:t>
      </w:r>
      <w:r w:rsidR="005C1B80">
        <w:rPr>
          <w:lang w:val="en-US"/>
        </w:rPr>
        <w:t xml:space="preserve"> </w:t>
      </w:r>
      <w:r w:rsidR="0061473B" w:rsidRPr="00C2509C">
        <w:rPr>
          <w:lang w:val="en-US"/>
        </w:rPr>
        <w:fldChar w:fldCharType="begin" w:fldLock="1"/>
      </w:r>
      <w:r w:rsidR="003548D1">
        <w:rPr>
          <w:lang w:val="en-US"/>
        </w:rPr>
        <w:instrText>ADDIN CSL_CITATION { "citationItems" : [ { "id" : "ITEM-1", "itemData" : { "DOI" : "10.1111/j.1399-6576.2007.01274.x", "ISSN" : "00015172", "PMID" : "17430311", "abstract" : "BACKGROUND The ageing of the population will increase the demand for health care resources. The aim of this study was to determine how age affects resource consumption and outcome of intensive care in Finland. METHODS Data on 79,361 admissions to 26 Finnish intensive care units (ICUs) during the years 1998-2004 were analysed. The severity of illness was measured using Simplified Acute Physiology II scores and the intensity of care using Therapeutic Intervention Scoring System scores. RESULTS The median age was 62 years; 8.9% of patients were aged 80 years or over. The hospital mortality rate was 16.2% in the overall patient population, but 28.4% in patients aged 80 years or over. Old age was an independent risk factor for hospital mortality. The mean intensity of care was at its highest in the age groups 60-69, 70-74 and 75-79 years. It was notably lower for patients aged 80 years or over. If the need for intensive care remains unchanged in each age group, the change in the age distribution of the Finnish population will increase the demand for ICU beds by 19% by the year 2020 and by 25% by the year 2030. CONCLUSION The hospital mortality rate increases with increasing age. The mean intensity of care is lower for the oldest patients than for patients aged less than 80 years. The ageing of the population will probably cause a remarkable increase in the need for intensive care in the near future.", "author" : [ { "dropping-particle" : "", "family" : "Reinikainen", "given" : "M.", "non-dropping-particle" : "", "parse-names" : false, "suffix" : "" }, { "dropping-particle" : "", "family" : "Uusaro", "given" : "A.", "non-dropping-particle" : "", "parse-names" : false, "suffix" : "" }, { "dropping-particle" : "", "family" : "Niskanen", "given" : "M.", "non-dropping-particle" : "", "parse-names" : false, "suffix" : "" }, { "dropping-particle" : "", "family" : "Ruokonen", "given" : "E.", "non-dropping-particle" : "", "parse-names" : false, "suffix" : "" } ], "container-title" : "Acta Anaesthesiologica Scandinavica", "id" : "ITEM-1", "issue" : "5", "issued" : { "date-parts" : [ [ "2007" ] ] }, "page" : "522-529", "title" : "Intensive care of the elderly in Finland", "type" : "article-journal", "volume" : "51" }, "uris" : [ "http://www.mendeley.com/documents/?uuid=85ea1540-adef-452c-b0bf-c2635c772646" ] }, { "id" : "ITEM-2", "itemData" : { "ISSN" : "0090-3493", "PMID" : "15187502", "abstract" : "OBJECTIVE To establish a database that permits description and analysis of the evolving role, patterns of use, and costs of critical care medicine (CCM) in the United States from 1985 to 2000. DESIGN Retrospective study combining data from federal (Hospital Cost Report Information System, Center for Medicare and Medicaid Services, Baltimore, MD) and private (Hospital Statistics, American Hospital Association, Chicago, IL) databases to analyze U.S. hospitals, hospital and CCM beds, and occupancy. CCM costs were calculated by the Russell equation and compared with national health care and financial indexes. SETTING Nonfederal, acute care hospitals with CCM units in the United States. SUBJECTS None. INTERVENTIONS None. MEASUREMENTS AND MAIN RESULTS We analyzed hospitals with CCM units and focused on hospital and CCM beds, CCM occupancy, and CCM costs. CCM costs were compared with national cost indexes. Between 1985 and 2000, the total number of U.S. hospitals decreased by 8.9% (6,032 to 5,494) and acute care hospitals offering CCM decreased by 13.7% (4,150 to 3,581). The total number of beds in hospitals with CCM units decreased by 26.4% (889,600 to 654,400). In contrast, CCM beds increased by 26.2% (69,300 to 87,400). CCM occupancy was constant at 65%. CCM bed costs per day increased by 126% (1,185 to 2,674 US dollars). Although CCM costs increased by 190.4% (19.1 billion to 55.5 billion US dollars), the proportion of national health expenditures allocated to CCM decreased by 5.4%. In 2000, CCM costs represented 13.3% of hospital costs, 4.2% of national health expenditures, and 0.56% of the gross domestic product. CONCLUSIONS CCM is increasingly used and prominent in a shrinking U.S. hospital system. CCM occupancy is lower than expected. Despite its increasing use and cost, CCM is using proportionally less of national health expenses and the gross domestic product than previously estimated.", "author" : [ { "dropping-particle" : "", "family" : "Halpern", "given" : "Neil A", "non-dropping-particle" : "", "parse-names" : false, "suffix" : "" }, { "dropping-particle" : "", "family" : "Pastores", "given" : "Stephen M", "non-dropping-particle" : "", "parse-names" : false, "suffix" : "" }, { "dropping-particle" : "", "family" : "Greenstein", "given" : "Robert J", "non-dropping-particle" : "", "parse-names" : false, "suffix" : "" } ], "container-title" : "Critical care medicine", "id" : "ITEM-2", "issue" : "6", "issued" : { "date-parts" : [ [ "2004", "6" ] ] }, "note" : "NULL", "page" : "1254-9", "title" : "Critical care medicine in the United States 1985-2000: an analysis of bed numbers, use, and costs.", "type" : "article-journal", "volume" : "32" }, "uris" : [ "http://www.mendeley.com/documents/?uuid=ad89aef3-1d3a-3701-ad3b-689d4572e25b" ] }, { "id" : "ITEM-3", "itemData" : { "DOI" : "10.1097/CCM.0b013e3181b090d0", "ISSN" : "1530-0293", "PMID" : "19730257", "abstract" : "OBJECTIVES To analyze the evolving role, patterns of use, and costs of critical care medicine in the United States from 2000 to 2005. DESIGN Retrospective study of data from the Hospital Cost Report Information System (Centers for Medicare and Medicaid Services, Baltimore, Maryland). SETTING Nonfederal, acute care hospitals with critical care medicine beds in the United States. SUBJECTS None. INTERVENTIONS None. MEASUREMENTS AND MAIN RESULTS We analyzed hospital and critical care medicine beds, bed types, days, occupancy rates, payer mix (Medicare and Medicaid), and costs. Critical care medicine costs were compared with national cost indexes. Between 2000 and 2005, the total number of U.S. hospitals with critical care medicine beds decreased by 12.2% (from 3,586 to 3,150). Although the number of hospital beds decreased by 4.2% (from 655,785 to 628,409), both hospital days and occupancy rates increased by 5.1% (from 145.1 to 152.5 million) and 13.7% (from 59% to 67%), respectively. Critical care medicine beds increased by 6.5% (from 88,252 to 93,955), days by 10.6% (from 21.0 to 23.2 million), and occupancy rates by 4.5% (from 65% to 68%). The majority (90%) of critical care medicine beds were classified as intensive care, premature/neonatal, and coronary care unit beds. The percentage of critical care medicine days used by Medicare decreased by 3.8% (from 37.9% to 36.5%) compared with an increase of 15.5% (from 14.5% to 16.8%) by Medicaid. From 2000 to 2005, critical care medicine costs per day increased by 30.4% (from $2698 to $3518). Although annual critical care medicine costs increased by 44.2% (from $56.6 to $81.7 billion), the proportion of hospital costs and national health expenditures allocated to critical care medicine decreased by 1.6% and 1.8%, respectively. However, the proportion of the gross domestic product used by critical care medicine increased by 13.7%. In 2005, critical care medicine costs represented 13.4% of hospital costs, 4.1% of national health expenditures, and 0.66% of the gross domestic product. CONCLUSIONS Critical care medicine continues to grow in a shrinking U.S. hospital system. The critical care medicine payer mix is evolving, with Medicaid increasing in its percentage of critical care medicine use. Critical care medicine is more cost controlled than other healthcare indexes, but is still using an increasing percentage of the gross domestic product. Our updated and comprehensive critical care medicine use and cost anal\u2026", "author" : [ { "dropping-particle" : "", "family" : "Halpern", "given" : "Neil A", "non-dropping-particle" : "", "parse-names" : false, "suffix" : "" }, { "dropping-particle" : "", "family" : "Pastores", "given" : "Stephen M", "non-dropping-particle" : "", "parse-names" : false, "suffix" : "" } ], "container-title" : "Critical care medicine", "id" : "ITEM-3", "issue" : "1", "issued" : { "date-parts" : [ [ "2010", "1" ] ] }, "note" : "NULL", "page" : "65-71", "title" : "Critical care medicine in the United States 2000-2005: an analysis of bed numbers, occupancy rates, payer mix, and costs.", "type" : "article-journal", "volume" : "38" }, "uris" : [ "http://www.mendeley.com/documents/?uuid=329dc114-c09f-39b1-98e5-eacda2ff98e0" ] }, { "id" : "ITEM-4", "itemData" : { "DOI" : "10.1038/nrneurol.2013.22", "ISBN" : "doi:10.1038/nrneurol.2013.22", "ISSN" : "1759-4766", "PMID" : "23443846", "abstract" : "Traumatic brain injury (TBI) is a critical public health and socio-economic problem throughout the world. Reliable quantification of the burden caused by TBI is difficult owing to inadequate standardization and incomplete capture of data on the incidence and outcome of brain injury, with variability in the definition of TBI being partly to blame. Reports show changes in epidemiological patterns of TBI: the median age of individuals who experience TBI is increasing, and falls have now surpassed road traffic incidents as the leading cause of this injury. Despite claims to the contrary, no clear decrease in TBI-related mortality or improvement of overall outcome has been observed over the past two decades. In this Perspectives article, we discuss the strengths and limitations of epidemiological studies, address the variability in its definition, and highlight changing epidemiological patterns. Taken together, these analyses identify a great need for standardized epidemiological monitoring in TBI.", "author" : [ { "dropping-particle" : "", "family" : "Roozenbeek", "given" : "Bob", "non-dropping-particle" : "", "parse-names" : false, "suffix" : "" }, { "dropping-particle" : "", "family" : "Maas", "given" : "Andrew I R", "non-dropping-particle" : "", "parse-names" : false, "suffix" : "" }, { "dropping-particle" : "", "family" : "Menon", "given" : "David K", "non-dropping-particle" : "", "parse-names" : false, "suffix" : "" } ], "container-title" : "Nature reviews. Neurology", "id" : "ITEM-4", "issue" : "4", "issued" : { "date-parts" : [ [ "2013" ] ] }, "page" : "231-6", "title" : "Changing patterns in the epidemiology of traumatic brain injury.", "type" : "article-journal", "volume" : "9" }, "uris" : [ "http://www.mendeley.com/documents/?uuid=37b08621-f4d5-48f1-8a9a-61bd087055e9" ] } ], "mendeley" : { "formattedCitation" : "(3\u20136)", "plainTextFormattedCitation" : "(3\u20136)", "previouslyFormattedCitation" : "(3\u20136)" }, "properties" : { "noteIndex" : 0 }, "schema" : "https://github.com/citation-style-language/schema/raw/master/csl-citation.json" }</w:instrText>
      </w:r>
      <w:r w:rsidR="0061473B" w:rsidRPr="00C2509C">
        <w:rPr>
          <w:lang w:val="en-US"/>
        </w:rPr>
        <w:fldChar w:fldCharType="separate"/>
      </w:r>
      <w:r w:rsidR="00A25B00" w:rsidRPr="00A25B00">
        <w:rPr>
          <w:noProof/>
          <w:lang w:val="en-US"/>
        </w:rPr>
        <w:t>(3–6)</w:t>
      </w:r>
      <w:r w:rsidR="0061473B" w:rsidRPr="00C2509C">
        <w:rPr>
          <w:lang w:val="en-US"/>
        </w:rPr>
        <w:fldChar w:fldCharType="end"/>
      </w:r>
      <w:r w:rsidR="005C1B80">
        <w:rPr>
          <w:lang w:val="en-US"/>
        </w:rPr>
        <w:t>.</w:t>
      </w:r>
    </w:p>
    <w:p w14:paraId="2FC80A76" w14:textId="00ADED14" w:rsidR="00B3567E" w:rsidRPr="002D686B" w:rsidRDefault="00882D41" w:rsidP="000F3B33">
      <w:pPr>
        <w:spacing w:line="480" w:lineRule="auto"/>
        <w:rPr>
          <w:lang w:val="en-US"/>
        </w:rPr>
      </w:pPr>
      <w:r w:rsidRPr="002D686B">
        <w:rPr>
          <w:lang w:val="en-US"/>
        </w:rPr>
        <w:t xml:space="preserve">Intensive care treatment is expensive, comprising 4% of </w:t>
      </w:r>
      <w:r w:rsidR="00B7510C">
        <w:rPr>
          <w:lang w:val="en-US"/>
        </w:rPr>
        <w:t xml:space="preserve">the </w:t>
      </w:r>
      <w:r w:rsidRPr="002D686B">
        <w:rPr>
          <w:lang w:val="en-US"/>
        </w:rPr>
        <w:t xml:space="preserve">national health care expenditures and 0.5% of the national </w:t>
      </w:r>
      <w:r w:rsidR="00B7510C">
        <w:rPr>
          <w:lang w:val="en-US"/>
        </w:rPr>
        <w:t>gross domestic product (</w:t>
      </w:r>
      <w:r w:rsidRPr="002D686B">
        <w:rPr>
          <w:lang w:val="en-US"/>
        </w:rPr>
        <w:t>GDP</w:t>
      </w:r>
      <w:r w:rsidR="00B7510C">
        <w:rPr>
          <w:lang w:val="en-US"/>
        </w:rPr>
        <w:t>)</w:t>
      </w:r>
      <w:r w:rsidRPr="002D686B">
        <w:rPr>
          <w:lang w:val="en-US"/>
        </w:rPr>
        <w:t xml:space="preserve"> in the U.S</w:t>
      </w:r>
      <w:r w:rsidR="00DF09D3">
        <w:rPr>
          <w:lang w:val="en-US"/>
        </w:rPr>
        <w:t>.</w:t>
      </w:r>
      <w:r w:rsidR="005C1B80">
        <w:rPr>
          <w:lang w:val="en-US"/>
        </w:rPr>
        <w:t xml:space="preserve"> alone </w:t>
      </w:r>
      <w:r w:rsidRPr="00C2509C">
        <w:rPr>
          <w:lang w:val="en-US"/>
        </w:rPr>
        <w:fldChar w:fldCharType="begin" w:fldLock="1"/>
      </w:r>
      <w:r w:rsidR="003548D1">
        <w:rPr>
          <w:lang w:val="en-US"/>
        </w:rPr>
        <w:instrText>ADDIN CSL_CITATION { "citationItems" : [ { "id" : "ITEM-1", "itemData" : { "DOI" : "10.1097/CCM.0b013e3181b090d0", "ISSN" : "1530-0293", "PMID" : "19730257", "abstract" : "OBJECTIVES To analyze the evolving role, patterns of use, and costs of critical care medicine in the United States from 2000 to 2005. DESIGN Retrospective study of data from the Hospital Cost Report Information System (Centers for Medicare and Medicaid Services, Baltimore, Maryland). SETTING Nonfederal, acute care hospitals with critical care medicine beds in the United States. SUBJECTS None. INTERVENTIONS None. MEASUREMENTS AND MAIN RESULTS We analyzed hospital and critical care medicine beds, bed types, days, occupancy rates, payer mix (Medicare and Medicaid), and costs. Critical care medicine costs were compared with national cost indexes. Between 2000 and 2005, the total number of U.S. hospitals with critical care medicine beds decreased by 12.2% (from 3,586 to 3,150). Although the number of hospital beds decreased by 4.2% (from 655,785 to 628,409), both hospital days and occupancy rates increased by 5.1% (from 145.1 to 152.5 million) and 13.7% (from 59% to 67%), respectively. Critical care medicine beds increased by 6.5% (from 88,252 to 93,955), days by 10.6% (from 21.0 to 23.2 million), and occupancy rates by 4.5% (from 65% to 68%). The majority (90%) of critical care medicine beds were classified as intensive care, premature/neonatal, and coronary care unit beds. The percentage of critical care medicine days used by Medicare decreased by 3.8% (from 37.9% to 36.5%) compared with an increase of 15.5% (from 14.5% to 16.8%) by Medicaid. From 2000 to 2005, critical care medicine costs per day increased by 30.4% (from $2698 to $3518). Although annual critical care medicine costs increased by 44.2% (from $56.6 to $81.7 billion), the proportion of hospital costs and national health expenditures allocated to critical care medicine decreased by 1.6% and 1.8%, respectively. However, the proportion of the gross domestic product used by critical care medicine increased by 13.7%. In 2005, critical care medicine costs represented 13.4% of hospital costs, 4.1% of national health expenditures, and 0.66% of the gross domestic product. CONCLUSIONS Critical care medicine continues to grow in a shrinking U.S. hospital system. The critical care medicine payer mix is evolving, with Medicaid increasing in its percentage of critical care medicine use. Critical care medicine is more cost controlled than other healthcare indexes, but is still using an increasing percentage of the gross domestic product. Our updated and comprehensive critical care medicine use and cost anal\u2026", "author" : [ { "dropping-particle" : "", "family" : "Halpern", "given" : "Neil A", "non-dropping-particle" : "", "parse-names" : false, "suffix" : "" }, { "dropping-particle" : "", "family" : "Pastores", "given" : "Stephen M", "non-dropping-particle" : "", "parse-names" : false, "suffix" : "" } ], "container-title" : "Critical care medicine", "id" : "ITEM-1", "issue" : "1", "issued" : { "date-parts" : [ [ "2010", "1" ] ] }, "note" : "NULL", "page" : "65-71", "title" : "Critical care medicine in the United States 2000-2005: an analysis of bed numbers, occupancy rates, payer mix, and costs.", "type" : "article-journal", "volume" : "38" }, "uris" : [ "http://www.mendeley.com/documents/?uuid=329dc114-c09f-39b1-98e5-eacda2ff98e0" ] } ], "mendeley" : { "formattedCitation" : "(5)", "plainTextFormattedCitation" : "(5)", "previouslyFormattedCitation" : "(5)" }, "properties" : { "noteIndex" : 0 }, "schema" : "https://github.com/citation-style-language/schema/raw/master/csl-citation.json" }</w:instrText>
      </w:r>
      <w:r w:rsidRPr="00C2509C">
        <w:rPr>
          <w:lang w:val="en-US"/>
        </w:rPr>
        <w:fldChar w:fldCharType="separate"/>
      </w:r>
      <w:r w:rsidR="00A25B00" w:rsidRPr="00A25B00">
        <w:rPr>
          <w:noProof/>
          <w:lang w:val="en-US"/>
        </w:rPr>
        <w:t>(5)</w:t>
      </w:r>
      <w:r w:rsidRPr="00C2509C">
        <w:rPr>
          <w:lang w:val="en-US"/>
        </w:rPr>
        <w:fldChar w:fldCharType="end"/>
      </w:r>
      <w:r w:rsidR="005C1B80">
        <w:rPr>
          <w:lang w:val="en-US"/>
        </w:rPr>
        <w:t>.</w:t>
      </w:r>
      <w:r w:rsidRPr="002D686B">
        <w:rPr>
          <w:lang w:val="en-US"/>
        </w:rPr>
        <w:t xml:space="preserve"> </w:t>
      </w:r>
      <w:r w:rsidR="0005738D" w:rsidRPr="002D686B">
        <w:rPr>
          <w:lang w:val="en-US"/>
        </w:rPr>
        <w:t xml:space="preserve">Yet, </w:t>
      </w:r>
      <w:r w:rsidR="00095208" w:rsidRPr="002D686B">
        <w:rPr>
          <w:lang w:val="en-US"/>
        </w:rPr>
        <w:t>extensive cost-</w:t>
      </w:r>
      <w:r w:rsidR="00095208" w:rsidRPr="002D686B">
        <w:rPr>
          <w:lang w:val="en-US"/>
        </w:rPr>
        <w:lastRenderedPageBreak/>
        <w:t xml:space="preserve">analysis data for ICU-treated TBI patients is virtually non-existent. </w:t>
      </w:r>
      <w:r w:rsidR="00613EFB" w:rsidRPr="002D686B">
        <w:rPr>
          <w:lang w:val="en-US"/>
        </w:rPr>
        <w:t xml:space="preserve">In Finland, all specialized tertiary care of TBI patients (including neurosurgical and neurointensive care) has </w:t>
      </w:r>
      <w:r w:rsidR="00A80248">
        <w:rPr>
          <w:lang w:val="en-US"/>
        </w:rPr>
        <w:t>for several decades</w:t>
      </w:r>
      <w:r w:rsidR="00613EFB" w:rsidRPr="002D686B">
        <w:rPr>
          <w:lang w:val="en-US"/>
        </w:rPr>
        <w:t xml:space="preserve"> </w:t>
      </w:r>
      <w:r w:rsidR="007C1225">
        <w:rPr>
          <w:lang w:val="en-US"/>
        </w:rPr>
        <w:t xml:space="preserve">been </w:t>
      </w:r>
      <w:r w:rsidR="00613EFB" w:rsidRPr="002D686B">
        <w:rPr>
          <w:lang w:val="en-US"/>
        </w:rPr>
        <w:t xml:space="preserve">centralized to </w:t>
      </w:r>
      <w:r w:rsidR="00095208" w:rsidRPr="002D686B">
        <w:rPr>
          <w:lang w:val="en-US"/>
        </w:rPr>
        <w:t xml:space="preserve">five </w:t>
      </w:r>
      <w:r w:rsidR="00613EFB" w:rsidRPr="002D686B">
        <w:rPr>
          <w:lang w:val="en-US"/>
        </w:rPr>
        <w:t>publically funded university hospitals</w:t>
      </w:r>
      <w:r w:rsidR="005C1B80">
        <w:rPr>
          <w:lang w:val="en-US"/>
        </w:rPr>
        <w:t xml:space="preserve"> </w:t>
      </w:r>
      <w:r w:rsidR="00613EFB" w:rsidRPr="002D686B">
        <w:rPr>
          <w:lang w:val="en-US"/>
        </w:rPr>
        <w:fldChar w:fldCharType="begin" w:fldLock="1"/>
      </w:r>
      <w:r w:rsidR="00B83FF2">
        <w:rPr>
          <w:lang w:val="en-US"/>
        </w:rPr>
        <w:instrText>ADDIN CSL_CITATION { "citationItems" : [ { "id" : "ITEM-1", "itemData" : { "abstract" : "Background: Differences in outcomes after traumatic brain injury (TBI) between neurosurgical centers exist, although the reasons for this are not clear. Thus, our aim was to assess the association between the annual volume of TBI patients and mortality in neurosurgical intensive care units (NICUs). Methods: We collected data on all patients treated in the five Finnish university hospitals to examine all patients with TBI treated in NICUs in Finland from 2009 to 2012. We used a random effect logistic regression model to adjust for important prognostic factors to assess the independent effect of ICU volume on 6-month mortality. Subgroup analyses were performed for patients with severe TBI, moderate-to-severe TBI, and those who were undergoing mechanical ventilation or intracranial pressure monitoring. Results: Altogether 2,328 TBI patients were treated during the study period in five NICUs. The annual TBI patient volume ranged from 61 to 206 patients between the NICUs. Univariate analysis, showed no association between the NICUs\u2019 annual TBI patient volume and 6-month mortality (p = 0.063). The random effect model showed no independent association between the NICUs\u2019 annual TBI patient volume and 6-month mortality (OR = 1.000, 95% CI = 0.996\u20131.004, p = 0.876). None of the pre-defined subgroup analyses indicated any association between NICU volume and patient mortality (p &gt; 0.05 for all). Discussion and Conclusion: We did not find any association between annual TBI patient volume and 6-month mortality in NICUs. These findings should be interpreted taking into account that we only included NICUs, which by international standards all treated high volumes of TBI patients, and that we were not able to study the effect of NICU volume on neurological outcome.", "author" : [ { "dropping-particle" : "", "family" : "Raj", "given" : "Rahul", "non-dropping-particle" : "", "parse-names" : false, "suffix" : "" }, { "dropping-particle" : "", "family" : "Bendel", "given" : "Stepani", "non-dropping-particle" : "", "parse-names" : false, "suffix" : "" }, { "dropping-particle" : "", "family" : "Reinikainen", "given" : "Matti", "non-dropping-particle" : "", "parse-names" : false, "suffix" : "" }, { "dropping-particle" : "", "family" : "Hoppu", "given" : "Sanna", "non-dropping-particle" : "", "parse-names" : false, "suffix" : "" }, { "dropping-particle" : "", "family" : "Luoto", "given" : "Teemu", "non-dropping-particle" : "", "parse-names" : false, "suffix" : "" }, { "dropping-particle" : "", "family" : "Ala-Kokko", "given" : "Tero", "non-dropping-particle" : "", "parse-names" : false, "suffix" : "" }, { "dropping-particle" : "", "family" : "Tetri", "given" : "Sami", "non-dropping-particle" : "", "parse-names" : false, "suffix" : "" }, { "dropping-particle" : "", "family" : "Laitio", "given" : "Ruut", "non-dropping-particle" : "", "parse-names" : false, "suffix" : "" }, { "dropping-particle" : "", "family" : "Koivisto", "given" : "Timo", "non-dropping-particle" : "", "parse-names" : false, "suffix" : "" }, { "dropping-particle" : "", "family" : "Rinne", "given" : "Jaakko", "non-dropping-particle" : "", "parse-names" : false, "suffix" : "" }, { "dropping-particle" : "", "family" : "Kivisaari", "given" : "Riku", "non-dropping-particle" : "", "parse-names" : false, "suffix" : "" }, { "dropping-particle" : "", "family" : "Siironen", "given" : "Jari", "non-dropping-particle" : "", "parse-names" : false, "suffix" : "" }, { "dropping-particle" : "", "family" : "Skrifvars", "given" : "Markus B.", "non-dropping-particle" : "", "parse-names" : false, "suffix" : "" } ], "container-title" : "Scandinavian Journal of Trauma, Resuscitation", "id" : "ITEM-1", "issue" : "133", "issued" : { "date-parts" : [ [ "2016" ] ] }, "title" : "Traumatic brain injury patient volume and mortality in neurosurgical intensive care units: a Finnish nationwide study", "type" : "article-journal", "volume" : "24" }, "uris" : [ "http://www.mendeley.com/documents/?uuid=083874b5-df28-4801-be56-b013956258d7" ] } ], "mendeley" : { "formattedCitation" : "(7)", "plainTextFormattedCitation" : "(7)", "previouslyFormattedCitation" : "(7)" }, "properties" : { "noteIndex" : 0 }, "schema" : "https://github.com/citation-style-language/schema/raw/master/csl-citation.json" }</w:instrText>
      </w:r>
      <w:r w:rsidR="00613EFB" w:rsidRPr="002D686B">
        <w:rPr>
          <w:lang w:val="en-US"/>
        </w:rPr>
        <w:fldChar w:fldCharType="separate"/>
      </w:r>
      <w:r w:rsidR="00395A1E" w:rsidRPr="00395A1E">
        <w:rPr>
          <w:noProof/>
          <w:lang w:val="en-US"/>
        </w:rPr>
        <w:t>(7)</w:t>
      </w:r>
      <w:r w:rsidR="00613EFB" w:rsidRPr="002D686B">
        <w:rPr>
          <w:lang w:val="en-US"/>
        </w:rPr>
        <w:fldChar w:fldCharType="end"/>
      </w:r>
      <w:r w:rsidR="005C1B80">
        <w:rPr>
          <w:lang w:val="en-US"/>
        </w:rPr>
        <w:t>.</w:t>
      </w:r>
      <w:r w:rsidR="00613EFB" w:rsidRPr="002D686B">
        <w:rPr>
          <w:lang w:val="en-US"/>
        </w:rPr>
        <w:t xml:space="preserve"> Further, </w:t>
      </w:r>
      <w:r w:rsidR="00866B91">
        <w:rPr>
          <w:lang w:val="en-US"/>
        </w:rPr>
        <w:t>the</w:t>
      </w:r>
      <w:r w:rsidR="003E5724">
        <w:rPr>
          <w:lang w:val="en-US"/>
        </w:rPr>
        <w:t xml:space="preserve"> same Social Insurance I</w:t>
      </w:r>
      <w:r w:rsidR="00613EFB" w:rsidRPr="002D686B">
        <w:rPr>
          <w:lang w:val="en-US"/>
        </w:rPr>
        <w:t>nstitute</w:t>
      </w:r>
      <w:r w:rsidR="003E5724">
        <w:rPr>
          <w:lang w:val="en-US"/>
        </w:rPr>
        <w:t xml:space="preserve"> (SII)</w:t>
      </w:r>
      <w:r w:rsidR="00866B91">
        <w:rPr>
          <w:lang w:val="en-US"/>
        </w:rPr>
        <w:t xml:space="preserve"> covers all Finnish citizens</w:t>
      </w:r>
      <w:r w:rsidR="00613EFB" w:rsidRPr="002D686B">
        <w:rPr>
          <w:lang w:val="en-US"/>
        </w:rPr>
        <w:t>, allowing</w:t>
      </w:r>
      <w:r w:rsidR="00866B91">
        <w:rPr>
          <w:lang w:val="en-US"/>
        </w:rPr>
        <w:t xml:space="preserve"> for</w:t>
      </w:r>
      <w:r w:rsidR="00613EFB" w:rsidRPr="002D686B">
        <w:rPr>
          <w:lang w:val="en-US"/>
        </w:rPr>
        <w:t xml:space="preserve"> a unique opportunity to comprehensively assess the economic burden of TBI. </w:t>
      </w:r>
    </w:p>
    <w:p w14:paraId="15007EC9" w14:textId="6936CBA8" w:rsidR="00F47E90" w:rsidRPr="002D686B" w:rsidRDefault="00095208" w:rsidP="00AD6EB3">
      <w:pPr>
        <w:spacing w:line="480" w:lineRule="auto"/>
        <w:rPr>
          <w:lang w:val="en-US"/>
        </w:rPr>
      </w:pPr>
      <w:r w:rsidRPr="002D686B">
        <w:rPr>
          <w:lang w:val="en-US"/>
        </w:rPr>
        <w:t xml:space="preserve">Our </w:t>
      </w:r>
      <w:r w:rsidR="00AD1F20" w:rsidRPr="00E77C03">
        <w:rPr>
          <w:b/>
          <w:lang w:val="en-US"/>
        </w:rPr>
        <w:t>primary</w:t>
      </w:r>
      <w:r w:rsidR="00AD1F20">
        <w:rPr>
          <w:lang w:val="en-US"/>
        </w:rPr>
        <w:t xml:space="preserve"> </w:t>
      </w:r>
      <w:r w:rsidRPr="002D686B">
        <w:rPr>
          <w:lang w:val="en-US"/>
        </w:rPr>
        <w:t>aim was to</w:t>
      </w:r>
      <w:r w:rsidR="317200CE" w:rsidRPr="002D686B">
        <w:rPr>
          <w:lang w:val="en-US"/>
        </w:rPr>
        <w:t xml:space="preserve"> </w:t>
      </w:r>
      <w:r w:rsidRPr="002D686B">
        <w:rPr>
          <w:lang w:val="en-US"/>
        </w:rPr>
        <w:t xml:space="preserve">evaluate </w:t>
      </w:r>
      <w:r w:rsidR="00AD6EB3" w:rsidRPr="002D686B">
        <w:rPr>
          <w:lang w:val="en-US"/>
        </w:rPr>
        <w:t>temporal trends in</w:t>
      </w:r>
      <w:r w:rsidR="003378B5">
        <w:rPr>
          <w:lang w:val="en-US"/>
        </w:rPr>
        <w:t xml:space="preserve"> one-year healthcare</w:t>
      </w:r>
      <w:r w:rsidR="00AD6EB3" w:rsidRPr="002D686B">
        <w:rPr>
          <w:lang w:val="en-US"/>
        </w:rPr>
        <w:t xml:space="preserve"> costs</w:t>
      </w:r>
      <w:r w:rsidR="00BA2E71">
        <w:rPr>
          <w:lang w:val="en-US"/>
        </w:rPr>
        <w:t xml:space="preserve"> </w:t>
      </w:r>
      <w:r w:rsidR="00AD1F20">
        <w:rPr>
          <w:lang w:val="en-US"/>
        </w:rPr>
        <w:t>and</w:t>
      </w:r>
      <w:r w:rsidR="00AD6EB3" w:rsidRPr="002D686B">
        <w:rPr>
          <w:lang w:val="en-US"/>
        </w:rPr>
        <w:t xml:space="preserve"> outcome</w:t>
      </w:r>
      <w:r w:rsidR="317200CE" w:rsidRPr="002D686B">
        <w:rPr>
          <w:lang w:val="en-US"/>
        </w:rPr>
        <w:t xml:space="preserve"> </w:t>
      </w:r>
      <w:r w:rsidRPr="002D686B">
        <w:rPr>
          <w:lang w:val="en-US"/>
        </w:rPr>
        <w:t xml:space="preserve">of intensive care </w:t>
      </w:r>
      <w:r w:rsidR="317200CE" w:rsidRPr="002D686B">
        <w:rPr>
          <w:lang w:val="en-US"/>
        </w:rPr>
        <w:t>for p</w:t>
      </w:r>
      <w:r w:rsidR="00F83126" w:rsidRPr="002D686B">
        <w:rPr>
          <w:lang w:val="en-US"/>
        </w:rPr>
        <w:t>atients</w:t>
      </w:r>
      <w:r w:rsidR="317200CE" w:rsidRPr="002D686B">
        <w:rPr>
          <w:lang w:val="en-US"/>
        </w:rPr>
        <w:t xml:space="preserve"> with TBI </w:t>
      </w:r>
      <w:r w:rsidRPr="002D686B">
        <w:rPr>
          <w:lang w:val="en-US"/>
        </w:rPr>
        <w:t>from</w:t>
      </w:r>
      <w:r w:rsidR="0006776F" w:rsidRPr="002D686B">
        <w:rPr>
          <w:lang w:val="en-US"/>
        </w:rPr>
        <w:t xml:space="preserve"> 2003</w:t>
      </w:r>
      <w:r w:rsidR="006B3860">
        <w:rPr>
          <w:rFonts w:ascii="Calibri" w:eastAsia="Calibri" w:hAnsi="Calibri" w:cs="Calibri"/>
          <w:lang w:val="en-US"/>
        </w:rPr>
        <w:t>–</w:t>
      </w:r>
      <w:r w:rsidR="0006776F" w:rsidRPr="002D686B">
        <w:rPr>
          <w:lang w:val="en-US"/>
        </w:rPr>
        <w:t>2013</w:t>
      </w:r>
      <w:r w:rsidR="008D65F5">
        <w:rPr>
          <w:lang w:val="en-US"/>
        </w:rPr>
        <w:t xml:space="preserve"> </w:t>
      </w:r>
      <w:r w:rsidR="008D65F5" w:rsidRPr="00E77C03">
        <w:rPr>
          <w:b/>
          <w:lang w:val="en-US"/>
        </w:rPr>
        <w:t xml:space="preserve">treated in </w:t>
      </w:r>
      <w:r w:rsidR="004E2500">
        <w:rPr>
          <w:b/>
          <w:lang w:val="en-US"/>
        </w:rPr>
        <w:t xml:space="preserve">tertiary </w:t>
      </w:r>
      <w:r w:rsidR="008D65F5" w:rsidRPr="00E77C03">
        <w:rPr>
          <w:b/>
          <w:lang w:val="en-US"/>
        </w:rPr>
        <w:t>Finnish ICUs</w:t>
      </w:r>
      <w:r w:rsidR="317200CE" w:rsidRPr="00E77C03">
        <w:rPr>
          <w:b/>
          <w:lang w:val="en-US"/>
        </w:rPr>
        <w:t>.</w:t>
      </w:r>
      <w:r w:rsidR="00E77C03" w:rsidRPr="00E77C03">
        <w:rPr>
          <w:b/>
          <w:lang w:val="en-US"/>
        </w:rPr>
        <w:t xml:space="preserve"> As</w:t>
      </w:r>
      <w:r w:rsidR="00AD1F20" w:rsidRPr="00E77C03">
        <w:rPr>
          <w:b/>
          <w:lang w:val="en-US"/>
        </w:rPr>
        <w:t xml:space="preserve"> second</w:t>
      </w:r>
      <w:r w:rsidR="00AD1F20" w:rsidRPr="00E77C03">
        <w:rPr>
          <w:b/>
          <w:lang w:val="en-US"/>
        </w:rPr>
        <w:lastRenderedPageBreak/>
        <w:t>ary aim</w:t>
      </w:r>
      <w:r w:rsidR="00E77C03">
        <w:rPr>
          <w:b/>
          <w:lang w:val="en-US"/>
        </w:rPr>
        <w:t>s</w:t>
      </w:r>
      <w:r w:rsidR="00AD1F20" w:rsidRPr="00E77C03">
        <w:rPr>
          <w:b/>
          <w:lang w:val="en-US"/>
        </w:rPr>
        <w:t>, we aimed to assess temporal changes in treatment intensity and to assess cost-effectiveness in some clinically relevant predefined subgroups.</w:t>
      </w:r>
      <w:r w:rsidR="00AD1F20">
        <w:rPr>
          <w:lang w:val="en-US"/>
        </w:rPr>
        <w:t xml:space="preserve"> </w:t>
      </w:r>
      <w:r w:rsidR="317200CE" w:rsidRPr="002D686B">
        <w:rPr>
          <w:lang w:val="en-US"/>
        </w:rPr>
        <w:t xml:space="preserve"> We hypothesized that </w:t>
      </w:r>
      <w:r w:rsidR="00A25B00">
        <w:rPr>
          <w:lang w:val="en-US"/>
        </w:rPr>
        <w:t xml:space="preserve">healthcare </w:t>
      </w:r>
      <w:r w:rsidR="317200CE" w:rsidRPr="002D686B">
        <w:rPr>
          <w:lang w:val="en-US"/>
        </w:rPr>
        <w:t xml:space="preserve">costs </w:t>
      </w:r>
      <w:r w:rsidR="00AD6EB3" w:rsidRPr="002D686B">
        <w:rPr>
          <w:lang w:val="en-US"/>
        </w:rPr>
        <w:t xml:space="preserve">and treatment intensity </w:t>
      </w:r>
      <w:r w:rsidR="317200CE" w:rsidRPr="002D686B">
        <w:rPr>
          <w:lang w:val="en-US"/>
        </w:rPr>
        <w:t xml:space="preserve">have increased without any change in patient outcome. </w:t>
      </w:r>
    </w:p>
    <w:p w14:paraId="1C0FB0ED" w14:textId="37597669" w:rsidR="00B30B22" w:rsidRPr="002D686B" w:rsidRDefault="00F726AD" w:rsidP="00D94BBD">
      <w:pPr>
        <w:spacing w:line="480" w:lineRule="auto"/>
        <w:rPr>
          <w:lang w:val="en-US"/>
        </w:rPr>
      </w:pPr>
      <w:r w:rsidRPr="002D686B">
        <w:rPr>
          <w:lang w:val="en-US"/>
        </w:rPr>
        <w:br w:type="page"/>
      </w:r>
    </w:p>
    <w:p w14:paraId="5102CA27" w14:textId="73F77336" w:rsidR="00C70A81" w:rsidRPr="00C80A8E" w:rsidRDefault="317200CE" w:rsidP="00D94BBD">
      <w:pPr>
        <w:pStyle w:val="Heading1"/>
        <w:spacing w:line="480" w:lineRule="auto"/>
        <w:rPr>
          <w:b/>
          <w:lang w:val="en-US"/>
        </w:rPr>
      </w:pPr>
      <w:r w:rsidRPr="00C80A8E">
        <w:rPr>
          <w:b/>
          <w:lang w:val="en-US"/>
        </w:rPr>
        <w:lastRenderedPageBreak/>
        <w:t>METHODS</w:t>
      </w:r>
    </w:p>
    <w:p w14:paraId="1F6E3BDE" w14:textId="11DB294A" w:rsidR="00C2012C" w:rsidRPr="002D686B" w:rsidRDefault="00C2012C" w:rsidP="00FE33B9">
      <w:pPr>
        <w:spacing w:line="480" w:lineRule="auto"/>
        <w:rPr>
          <w:rFonts w:ascii="Calibri" w:eastAsia="Calibri" w:hAnsi="Calibri" w:cs="Calibri"/>
          <w:lang w:val="en-US"/>
        </w:rPr>
      </w:pPr>
      <w:r w:rsidRPr="002D686B">
        <w:rPr>
          <w:rFonts w:ascii="Calibri" w:eastAsia="Calibri" w:hAnsi="Calibri" w:cs="Calibri"/>
          <w:lang w:val="en-US"/>
        </w:rPr>
        <w:t>The ethics committee of the Operative Division of Helsinki University Hospital, the Finnish National Institute for Health and Welfare, Statistics Finland, the Social Insurance Institution</w:t>
      </w:r>
      <w:r w:rsidR="003D7325">
        <w:rPr>
          <w:rFonts w:ascii="Calibri" w:eastAsia="Calibri" w:hAnsi="Calibri" w:cs="Calibri"/>
          <w:lang w:val="en-US"/>
        </w:rPr>
        <w:t>,</w:t>
      </w:r>
      <w:r w:rsidRPr="002D686B">
        <w:rPr>
          <w:rFonts w:ascii="Calibri" w:eastAsia="Calibri" w:hAnsi="Calibri" w:cs="Calibri"/>
          <w:lang w:val="en-US"/>
        </w:rPr>
        <w:t xml:space="preserve"> the Office of the Data Protection Ombudsman</w:t>
      </w:r>
      <w:r w:rsidR="00B80F35">
        <w:rPr>
          <w:rFonts w:ascii="Calibri" w:eastAsia="Calibri" w:hAnsi="Calibri" w:cs="Calibri"/>
          <w:lang w:val="en-US"/>
        </w:rPr>
        <w:t>,</w:t>
      </w:r>
      <w:r w:rsidRPr="002D686B">
        <w:rPr>
          <w:rFonts w:ascii="Calibri" w:eastAsia="Calibri" w:hAnsi="Calibri" w:cs="Calibri"/>
          <w:lang w:val="en-US"/>
        </w:rPr>
        <w:t xml:space="preserve"> and all</w:t>
      </w:r>
      <w:r w:rsidR="003D7325">
        <w:rPr>
          <w:rFonts w:ascii="Calibri" w:eastAsia="Calibri" w:hAnsi="Calibri" w:cs="Calibri"/>
          <w:lang w:val="en-US"/>
        </w:rPr>
        <w:t xml:space="preserve"> of the</w:t>
      </w:r>
      <w:r w:rsidRPr="002D686B">
        <w:rPr>
          <w:rFonts w:ascii="Calibri" w:eastAsia="Calibri" w:hAnsi="Calibri" w:cs="Calibri"/>
          <w:lang w:val="en-US"/>
        </w:rPr>
        <w:t xml:space="preserve"> participating university hospitals</w:t>
      </w:r>
      <w:r w:rsidR="003D7325">
        <w:rPr>
          <w:rFonts w:ascii="Calibri" w:eastAsia="Calibri" w:hAnsi="Calibri" w:cs="Calibri"/>
          <w:lang w:val="en-US"/>
        </w:rPr>
        <w:t>’</w:t>
      </w:r>
      <w:r w:rsidRPr="002D686B">
        <w:rPr>
          <w:rFonts w:ascii="Calibri" w:eastAsia="Calibri" w:hAnsi="Calibri" w:cs="Calibri"/>
          <w:lang w:val="en-US"/>
        </w:rPr>
        <w:t xml:space="preserve"> ethics committees approved </w:t>
      </w:r>
      <w:r w:rsidR="003D7325">
        <w:rPr>
          <w:rFonts w:ascii="Calibri" w:eastAsia="Calibri" w:hAnsi="Calibri" w:cs="Calibri"/>
          <w:lang w:val="en-US"/>
        </w:rPr>
        <w:t>this</w:t>
      </w:r>
      <w:r w:rsidR="00133688">
        <w:rPr>
          <w:rFonts w:ascii="Calibri" w:eastAsia="Calibri" w:hAnsi="Calibri" w:cs="Calibri"/>
          <w:lang w:val="en-US"/>
        </w:rPr>
        <w:t xml:space="preserve"> study.</w:t>
      </w:r>
    </w:p>
    <w:p w14:paraId="503F9289" w14:textId="502DAF40" w:rsidR="00572340" w:rsidRPr="00C80A8E" w:rsidRDefault="00C40003" w:rsidP="000F3B33">
      <w:pPr>
        <w:pStyle w:val="Heading2"/>
        <w:rPr>
          <w:b/>
          <w:lang w:val="en-US"/>
        </w:rPr>
      </w:pPr>
      <w:r w:rsidRPr="00C80A8E">
        <w:rPr>
          <w:b/>
          <w:lang w:val="en-US"/>
        </w:rPr>
        <w:t xml:space="preserve">study </w:t>
      </w:r>
      <w:r w:rsidR="00BD4AC2" w:rsidRPr="00C80A8E">
        <w:rPr>
          <w:b/>
          <w:lang w:val="en-US"/>
        </w:rPr>
        <w:t xml:space="preserve">design and </w:t>
      </w:r>
      <w:r w:rsidRPr="00C80A8E">
        <w:rPr>
          <w:b/>
          <w:lang w:val="en-US"/>
        </w:rPr>
        <w:t>population</w:t>
      </w:r>
    </w:p>
    <w:p w14:paraId="0E7DC2A1" w14:textId="1BE7DB98" w:rsidR="00C70A81" w:rsidRPr="00E77C03" w:rsidRDefault="008A26D3" w:rsidP="000F3B33">
      <w:pPr>
        <w:spacing w:line="480" w:lineRule="auto"/>
        <w:rPr>
          <w:rFonts w:ascii="Calibri" w:eastAsia="Calibri" w:hAnsi="Calibri" w:cs="Calibri"/>
          <w:b/>
          <w:lang w:val="en-US"/>
        </w:rPr>
      </w:pPr>
      <w:r>
        <w:rPr>
          <w:rFonts w:ascii="Calibri" w:eastAsia="Calibri" w:hAnsi="Calibri" w:cs="Calibri"/>
          <w:lang w:val="en-US"/>
        </w:rPr>
        <w:lastRenderedPageBreak/>
        <w:t>We performed a multi</w:t>
      </w:r>
      <w:r w:rsidR="00BD4AC2" w:rsidRPr="002D686B">
        <w:rPr>
          <w:rFonts w:ascii="Calibri" w:eastAsia="Calibri" w:hAnsi="Calibri" w:cs="Calibri"/>
          <w:lang w:val="en-US"/>
        </w:rPr>
        <w:t xml:space="preserve">center retrospective observational study using </w:t>
      </w:r>
      <w:r w:rsidR="00D97769">
        <w:rPr>
          <w:rFonts w:ascii="Calibri" w:eastAsia="Calibri" w:hAnsi="Calibri" w:cs="Calibri"/>
          <w:lang w:val="en-US"/>
        </w:rPr>
        <w:t>data that were</w:t>
      </w:r>
      <w:r w:rsidR="00BD4AC2" w:rsidRPr="002D686B">
        <w:rPr>
          <w:rFonts w:ascii="Calibri" w:eastAsia="Calibri" w:hAnsi="Calibri" w:cs="Calibri"/>
          <w:lang w:val="en-US"/>
        </w:rPr>
        <w:t xml:space="preserve"> prospectively collect</w:t>
      </w:r>
      <w:r w:rsidR="00D97769">
        <w:rPr>
          <w:rFonts w:ascii="Calibri" w:eastAsia="Calibri" w:hAnsi="Calibri" w:cs="Calibri"/>
          <w:lang w:val="en-US"/>
        </w:rPr>
        <w:t xml:space="preserve">ed from </w:t>
      </w:r>
      <w:r w:rsidR="00B3567E">
        <w:rPr>
          <w:rFonts w:ascii="Calibri" w:eastAsia="Calibri" w:hAnsi="Calibri" w:cs="Calibri"/>
          <w:lang w:val="en-US"/>
        </w:rPr>
        <w:t xml:space="preserve">the </w:t>
      </w:r>
      <w:r w:rsidR="00EA5671">
        <w:rPr>
          <w:rFonts w:ascii="Calibri" w:eastAsia="Calibri" w:hAnsi="Calibri" w:cs="Calibri"/>
          <w:lang w:val="en-US"/>
        </w:rPr>
        <w:t xml:space="preserve">Finnish Intensive Care Consortium (FICC) </w:t>
      </w:r>
      <w:r w:rsidR="00B3567E">
        <w:rPr>
          <w:rFonts w:ascii="Calibri" w:eastAsia="Calibri" w:hAnsi="Calibri" w:cs="Calibri"/>
          <w:lang w:val="en-US"/>
        </w:rPr>
        <w:t>database</w:t>
      </w:r>
      <w:r w:rsidR="000E13AE">
        <w:rPr>
          <w:rFonts w:ascii="Calibri" w:eastAsia="Calibri" w:hAnsi="Calibri" w:cs="Calibri"/>
          <w:lang w:val="en-US"/>
        </w:rPr>
        <w:t xml:space="preserve">. </w:t>
      </w:r>
      <w:r w:rsidR="000E13AE" w:rsidRPr="00E77C03">
        <w:rPr>
          <w:rFonts w:ascii="Calibri" w:eastAsia="Calibri" w:hAnsi="Calibri" w:cs="Calibri"/>
          <w:b/>
          <w:lang w:val="en-US"/>
        </w:rPr>
        <w:t xml:space="preserve">The FICC </w:t>
      </w:r>
      <w:r w:rsidR="00EA5671" w:rsidRPr="00E77C03">
        <w:rPr>
          <w:rFonts w:ascii="Calibri" w:eastAsia="Calibri" w:hAnsi="Calibri" w:cs="Calibri"/>
          <w:b/>
          <w:lang w:val="en-US"/>
        </w:rPr>
        <w:t xml:space="preserve">database is a nationwide prospectively data collecting database including all ICU treated patients </w:t>
      </w:r>
      <w:r w:rsidR="00727B5D">
        <w:rPr>
          <w:rFonts w:ascii="Calibri" w:eastAsia="Calibri" w:hAnsi="Calibri" w:cs="Calibri"/>
          <w:b/>
          <w:lang w:val="en-US"/>
        </w:rPr>
        <w:t>from</w:t>
      </w:r>
      <w:r w:rsidR="00EA5671" w:rsidRPr="00E77C03">
        <w:rPr>
          <w:rFonts w:ascii="Calibri" w:eastAsia="Calibri" w:hAnsi="Calibri" w:cs="Calibri"/>
          <w:b/>
          <w:lang w:val="en-US"/>
        </w:rPr>
        <w:t xml:space="preserve"> the majority</w:t>
      </w:r>
      <w:r w:rsidR="00727B5D">
        <w:rPr>
          <w:rFonts w:ascii="Calibri" w:eastAsia="Calibri" w:hAnsi="Calibri" w:cs="Calibri"/>
          <w:b/>
          <w:lang w:val="en-US"/>
        </w:rPr>
        <w:t xml:space="preserve"> of all</w:t>
      </w:r>
      <w:r w:rsidR="00EA5671" w:rsidRPr="00E77C03">
        <w:rPr>
          <w:rFonts w:ascii="Calibri" w:eastAsia="Calibri" w:hAnsi="Calibri" w:cs="Calibri"/>
          <w:b/>
          <w:lang w:val="en-US"/>
        </w:rPr>
        <w:t xml:space="preserve"> ICUs in Finland</w:t>
      </w:r>
      <w:r w:rsidR="00415E97">
        <w:rPr>
          <w:b/>
          <w:lang w:val="en-US"/>
        </w:rPr>
        <w:t xml:space="preserve"> </w:t>
      </w:r>
      <w:r w:rsidR="00BD4AC2" w:rsidRPr="002D686B">
        <w:rPr>
          <w:rFonts w:ascii="Calibri" w:eastAsia="Calibri" w:hAnsi="Calibri" w:cs="Calibri"/>
          <w:lang w:val="en-US"/>
        </w:rPr>
        <w:fldChar w:fldCharType="begin" w:fldLock="1"/>
      </w:r>
      <w:r w:rsidR="00B83FF2">
        <w:rPr>
          <w:rFonts w:ascii="Calibri" w:eastAsia="Calibri" w:hAnsi="Calibri" w:cs="Calibri"/>
          <w:lang w:val="en-US"/>
        </w:rPr>
        <w:instrText>ADDIN CSL_CITATION { "citationItems" : [ { "id" : "ITEM-1", "itemData" : { "DOI" : "10.1007/s00134-014-3509-z", "ISSN" : "14321238 03424642", "abstract" : "\u00a9 2014, Springer-Verlag Berlin Heidelberg and ESICM.Methods: Using a large nationwide intensive care unit (ICU) database we identified patients suffering from cardiac arrest following ICU admission (ICU-CA) during the study period (2003\u20132013). ICU-CA was defined as need for cardiopulmonary resuscitation and/or defibrillation (non-arrest cardioversions were excluded) according to the Therapeutic Intervention Scoring System-76. Patients admitted with an admission diagnosis of cardiac arrest were excluded. We determined crude incidence and risk-adjusted hospital mortality (based on a customized severity of illness model) for all ICU-CA patients, and for predefined admission diagnosis subgroups. Temporal trends for the observed period were calculated for crude incidence and risk-adjusted hospital mortality.Purpose: To estimate temporal trends in incidence and hospital mortality after cardiac arrest in Finnish intensive care units.Results: Crude incidence for all ICU-CA patients was 29/1,000 ICU admissions, with the highest incidence 118/1,000 in the non-operative cardiovascular subgroup. Overall hospital mortality for ICU-CA patients was 55.5\u00a0% [95\u00a0% confidence interval (CI) 54\u201357\u00a0%]. Hospital mortality was 53.1\u00a0% (95\u00a0% CI 50.4\u201355.8\u00a0%) for non-operative cardiovascular ICU-CA patients, 32.9\u00a0% (95\u00a0% CI 26.9\u201338.9\u00a0%) for post cardiac surgery ICU-CA patients, and 56.3\u00a0% (95\u00a0% CI 51.2\u201361.3\u00a0%) for neurological/neurosurgical ICU-CA patients. There was a significant reduction in the overall ICU-CA incidence and in the risk-adjusted hospital mortality of ICU-CA and non-cardiac arrest cases (non-CA) over the observed study period (p\u00a0&lt;\u00a00.001).Conclusion: Our data suggest that the incidence of ICU-CA has decreased in Finnish ICUs between 2003 and 2013. Similar reduction in hospital mortality over time was observed for both ICU-CA and non-CA populations.", "author" : [ { "dropping-particle" : "", "family" : "Efendijev", "given" : "I.", "non-dropping-particle" : "", "parse-names" : false, "suffix" : "" }, { "dropping-particle" : "", "family" : "Raj", "given" : "R.", "non-dropping-particle" : "", "parse-names" : false, "suffix" : "" }, { "dropping-particle" : "", "family" : "Reinikainen", "given" : "M.", "non-dropping-particle" : "", "parse-names" : false, "suffix" : "" }, { "dropping-particle" : "", "family" : "Hoppu", "given" : "S.", "non-dropping-particle" : "", "parse-names" : false, "suffix" : "" }, { "dropping-particle" : "", "family" : "Skrifvars", "given" : "M.B.", "non-dropping-particle" : "", "parse-names" : false, "suffix" : "" } ], "container-title" : "Intensive Care Medicine", "id" : "ITEM-1", "issue" : "12", "issued" : { "date-parts" : [ [ "2014" ] ] }, "title" : "Temporal trends in cardiac arrest incidence and outcome in Finnish intensive care units from 2003 to 2013", "type" : "article-journal", "volume" : "40" }, "uris" : [ "http://www.mendeley.com/documents/?uuid=c30cca7c-2783-36cc-b178-3636e1f566dc" ] }, { "id" : "ITEM-2", "itemData" : { "DOI" : "10.1111/j.1399-6576.2012.02669.x", "ISSN" : "00015172", "PMID" : "22384799", "abstract" : "BACKGROUND The Finnish Intensive Care Consortium coordinates a national intensive care benchmarking programme. Clinical information systems (CISs) that collect data automatically are widely used. The aim of this study was to explore whether the severity of illness-adjusted hospital mortality of Finnish intensive care unit (ICU) patients has changed in recent years and whether the changes reflect genuine improvements in the quality of care or are explained by changes in measuring severity of illness. METHODS We retrospectively analysed data collected prospectively to the database of the Consortium. During the years 2001-2008, there were 116,065 admissions to the participating ICUs. We excluded readmissions, cardiac surgery patients, patients under 18 years of age and those discharged from an ICU to another hospital's ICU. The study population comprised 85,547 patients. The Simplified Acute Physiology Score II (SAPS II) was used to measure severity of illness and to calculate standardised mortality ratios (SMRs, the number of observed deaths divided by the number of expected deaths). RESULTS The overall hospital mortality rate was 18.4%. The SAPS II-based SMRs were 0.74 in 2001-2004 and 0.64 in 2005-2008. The severity of illness-adjusted odds of death were 24% lower in 2005-2008 than in 2001-2004. One fifth of this computational difference could be explained by differences in data completeness and the automation of data collection with a CIS. CONCLUSION The use of a CIS and improving data completeness do decrease severity-adjusted mortality rates. However, this explains only one fifth of the improvement in measured outcomes of intensive care in Finland.", "author" : [ { "dropping-particle" : "", "family" : "Reinikainen", "given" : "M.", "non-dropping-particle" : "", "parse-names" : false, "suffix" : "" }, { "dropping-particle" : "", "family" : "Mussalo", "given" : "P.", "non-dropping-particle" : "", "parse-names" : false, "suffix" : "" }, { "dropping-particle" : "", "family" : "Hovilehto", "given" : "S.", "non-dropping-particle" : "", "parse-names" : false, "suffix" : "" }, { "dropping-particle" : "", "family" : "Uusaro", "given" : "A.", "non-dropping-particle" : "", "parse-names" : false, "suffix" : "" }, { "dropping-particle" : "", "family" : "Varpula", "given" : "T.", "non-dropping-particle" : "", "parse-names" : false, "suffix" : "" }, { "dropping-particle" : "", "family" : "Kari", "given" : "A.", "non-dropping-particle" : "", "parse-names" : false, "suffix" : "" }, { "dropping-particle" : "", "family" : "Pettil\u00e4", "given" : "V.", "non-dropping-particle" : "", "parse-names" : false, "suffix" : "" }, { "dropping-particle" : "", "family" : "Finnish Intensive Care Consortium", "given" : "", "non-dropping-particle" : "", "parse-names" : false, "suffix" : "" } ], "container-title" : "Acta Anaesthesiologica Scandinavica", "id" : "ITEM-2", "issue" : "9", "issued" : { "date-parts" : [ [ "2012", "10" ] ] }, "page" : "1114-1122", "title" : "Association of automated data collection and data completeness with outcomes of intensive care. A new customised model for outcome prediction", "type" : "article-journal", "volume" : "56" }, "uris" : [ "http://www.mendeley.com/documents/?uuid=9f11382a-33e4-340e-9426-4dab6fce0628" ] }, { "id" : "ITEM-3", "itemData" : { "abstract" : "Background: Differences in outcomes after traumatic brain injury (TBI) between neurosurgical centers exist, although the reasons for this are not clear. Thus, our aim was to assess the association between the annual volume of TBI patients and mortality in neurosurgical intensive care units (NICUs). Methods: We collected data on all patients treated in the five Finnish university hospitals to examine all patients with TBI treated in NICUs in Finland from 2009 to 2012. We used a random effect logistic regression model to adjust for important prognostic factors to assess the independent effect of ICU volume on 6-month mortality. Subgroup analyses were performed for patients with severe TBI, moderate-to-severe TBI, and those who were undergoing mechanical ventilation or intracranial pressure monitoring. Results: Altogether 2,328 TBI patients were treated during the study period in five NICUs. The annual TBI patient volume ranged from 61 to 206 patients between the NICUs. Univariate analysis, showed no association between the NICUs\u2019 annual TBI patient volume and 6-month mortality (p = 0.063). The random effect model showed no independent association between the NICUs\u2019 annual TBI patient volume and 6-month mortality (OR = 1.000, 95% CI = 0.996\u20131.004, p = 0.876). None of the pre-defined subgroup analyses indicated any association between NICU volume and patient mortality (p &gt; 0.05 for all). Discussion and Conclusion: We did not find any association between annual TBI patient volume and 6-month mortality in NICUs. These findings should be interpreted taking into account that we only included NICUs, which by international standards all treated high volumes of TBI patients, and that we were not able to study the effect of NICU volume on neurological outcome.", "author" : [ { "dropping-particle" : "", "family" : "Raj", "given" : "Rahul", "non-dropping-particle" : "", "parse-names" : false, "suffix" : "" }, { "dropping-particle" : "", "family" : "Bendel", "given" : "Stepani", "non-dropping-particle" : "", "parse-names" : false, "suffix" : "" }, { "dropping-particle" : "", "family" : "Reinikainen", "given" : "Matti", "non-dropping-particle" : "", "parse-names" : false, "suffix" : "" }, { "dropping-particle" : "", "family" : "Hoppu", "given" : "Sanna", "non-dropping-particle" : "", "parse-names" : false, "suffix" : "" }, { "dropping-particle" : "", "family" : "Luoto", "given" : "Teemu", "non-dropping-particle" : "", "parse-names" : false, "suffix" : "" }, { "dropping-particle" : "", "family" : "Ala-Kokko", "given" : "Tero", "non-dropping-particle" : "", "parse-names" : false, "suffix" : "" }, { "dropping-particle" : "", "family" : "Tetri", "given" : "Sami", "non-dropping-particle" : "", "parse-names" : false, "suffix" : "" }, { "dropping-particle" : "", "family" : "Laitio", "given" : "Ruut", "non-dropping-particle" : "", "parse-names" : false, "suffix" : "" }, { "dropping-particle" : "", "family" : "Koivisto", "given" : "Timo", "non-dropping-particle" : "", "parse-names" : false, "suffix" : "" }, { "dropping-particle" : "", "family" : "Rinne", "given" : "Jaakko", "non-dropping-particle" : "", "parse-names" : false, "suffix" : "" }, { "dropping-particle" : "", "family" : "Kivisaari", "given" : "Riku", "non-dropping-particle" : "", "parse-names" : false, "suffix" : "" }, { "dropping-particle" : "", "family" : "Siironen", "given" : "Jari", "non-dropping-particle" : "", "parse-names" : false, "suffix" : "" }, { "dropping-particle" : "", "family" : "Skrifvars", "given" : "Markus B.", "non-dropping-particle" : "", "parse-names" : false, "suffix" : "" } ], "container-title" : "Scandinavian Journal of Trauma, Resuscitation", "id" : "ITEM-3", "issue" : "133", "issued" : { "date-parts" : [ [ "2016" ] ] }, "title" : "Traumatic brain injury patient volume and mortality in neurosurgical intensive care units: a Finnish nationwide study", "type" : "article-journal", "volume" : "24" }, "uris" : [ "http://www.mendeley.com/documents/?uuid=083874b5-df28-4801-be56-b013956258d7" ] } ], "mendeley" : { "formattedCitation" : "(7\u20139)", "plainTextFormattedCitation" : "(7\u20139)", "previouslyFormattedCitation" : "(7\u20139)" }, "properties" : { "noteIndex" : 0 }, "schema" : "https://github.com/citation-style-language/schema/raw/master/csl-citation.json" }</w:instrText>
      </w:r>
      <w:r w:rsidR="00BD4AC2" w:rsidRPr="002D686B">
        <w:rPr>
          <w:rFonts w:ascii="Calibri" w:eastAsia="Calibri" w:hAnsi="Calibri" w:cs="Calibri"/>
          <w:lang w:val="en-US"/>
        </w:rPr>
        <w:fldChar w:fldCharType="separate"/>
      </w:r>
      <w:r w:rsidR="00395A1E" w:rsidRPr="00395A1E">
        <w:rPr>
          <w:rFonts w:ascii="Calibri" w:eastAsia="Calibri" w:hAnsi="Calibri" w:cs="Calibri"/>
          <w:noProof/>
          <w:lang w:val="en-US"/>
        </w:rPr>
        <w:t>(7–9)</w:t>
      </w:r>
      <w:r w:rsidR="00BD4AC2" w:rsidRPr="002D686B">
        <w:rPr>
          <w:rFonts w:ascii="Calibri" w:eastAsia="Calibri" w:hAnsi="Calibri" w:cs="Calibri"/>
          <w:lang w:val="en-US"/>
        </w:rPr>
        <w:fldChar w:fldCharType="end"/>
      </w:r>
      <w:r w:rsidR="00BD4AC2" w:rsidRPr="002D686B">
        <w:rPr>
          <w:rFonts w:ascii="Calibri" w:eastAsia="Calibri" w:hAnsi="Calibri" w:cs="Calibri"/>
          <w:lang w:val="en-US"/>
        </w:rPr>
        <w:t xml:space="preserve">. </w:t>
      </w:r>
      <w:r w:rsidR="00AD1F20" w:rsidRPr="00E77C03">
        <w:rPr>
          <w:rFonts w:ascii="Calibri" w:eastAsia="Calibri" w:hAnsi="Calibri" w:cs="Calibri"/>
          <w:b/>
          <w:lang w:val="en-US"/>
        </w:rPr>
        <w:t xml:space="preserve">In Finland, </w:t>
      </w:r>
      <w:r w:rsidR="00727B5D">
        <w:rPr>
          <w:rFonts w:ascii="Calibri" w:eastAsia="Calibri" w:hAnsi="Calibri" w:cs="Calibri"/>
          <w:b/>
          <w:lang w:val="en-US"/>
        </w:rPr>
        <w:t xml:space="preserve">all </w:t>
      </w:r>
      <w:r w:rsidR="00AD1F20" w:rsidRPr="00AD1F20">
        <w:rPr>
          <w:rFonts w:ascii="Calibri" w:eastAsia="Calibri" w:hAnsi="Calibri" w:cs="Calibri"/>
          <w:b/>
          <w:lang w:val="en-US"/>
        </w:rPr>
        <w:t>specialized</w:t>
      </w:r>
      <w:r w:rsidR="00AD1F20">
        <w:rPr>
          <w:rFonts w:ascii="Calibri" w:eastAsia="Calibri" w:hAnsi="Calibri" w:cs="Calibri"/>
          <w:b/>
          <w:lang w:val="en-US"/>
        </w:rPr>
        <w:t xml:space="preserve"> tertiary intensive care of TBI patients is centralized to five </w:t>
      </w:r>
      <w:r w:rsidR="00415E97">
        <w:rPr>
          <w:rFonts w:ascii="Calibri" w:eastAsia="Calibri" w:hAnsi="Calibri" w:cs="Calibri"/>
          <w:b/>
          <w:lang w:val="en-US"/>
        </w:rPr>
        <w:t>tertiary ICUs</w:t>
      </w:r>
      <w:r w:rsidR="00AD1F20">
        <w:rPr>
          <w:rFonts w:ascii="Calibri" w:eastAsia="Calibri" w:hAnsi="Calibri" w:cs="Calibri"/>
          <w:b/>
          <w:lang w:val="en-US"/>
        </w:rPr>
        <w:t xml:space="preserve">. </w:t>
      </w:r>
      <w:r w:rsidR="00EA5671" w:rsidRPr="00E77C03">
        <w:rPr>
          <w:rFonts w:ascii="Calibri" w:eastAsia="Calibri" w:hAnsi="Calibri" w:cs="Calibri"/>
          <w:b/>
          <w:lang w:val="en-US"/>
        </w:rPr>
        <w:t xml:space="preserve">Four of these </w:t>
      </w:r>
      <w:r w:rsidR="00415E97">
        <w:rPr>
          <w:rFonts w:ascii="Calibri" w:eastAsia="Calibri" w:hAnsi="Calibri" w:cs="Calibri"/>
          <w:b/>
          <w:lang w:val="en-US"/>
        </w:rPr>
        <w:t xml:space="preserve">ICUs </w:t>
      </w:r>
      <w:r w:rsidR="00AD1F20">
        <w:rPr>
          <w:rFonts w:ascii="Calibri" w:eastAsia="Calibri" w:hAnsi="Calibri" w:cs="Calibri"/>
          <w:b/>
          <w:lang w:val="en-US"/>
        </w:rPr>
        <w:t xml:space="preserve">participate in the FICC. </w:t>
      </w:r>
      <w:r w:rsidR="001A5529" w:rsidRPr="00727B5D">
        <w:rPr>
          <w:rFonts w:ascii="Calibri" w:eastAsia="Calibri" w:hAnsi="Calibri" w:cs="Calibri"/>
          <w:b/>
          <w:lang w:val="en-US"/>
        </w:rPr>
        <w:t>From these four tertiary ICUs</w:t>
      </w:r>
      <w:r w:rsidR="001A5529">
        <w:rPr>
          <w:rFonts w:ascii="Calibri" w:eastAsia="Calibri" w:hAnsi="Calibri" w:cs="Calibri"/>
          <w:lang w:val="en-US"/>
        </w:rPr>
        <w:t>, w</w:t>
      </w:r>
      <w:r w:rsidR="3A08D2CA" w:rsidRPr="002D686B">
        <w:rPr>
          <w:rFonts w:ascii="Calibri" w:eastAsia="Calibri" w:hAnsi="Calibri" w:cs="Calibri"/>
          <w:lang w:val="en-US"/>
        </w:rPr>
        <w:t>e included all adult TBI patients (age ≥18 years) admitted from January 1, 2003</w:t>
      </w:r>
      <w:r w:rsidR="00AD33A2">
        <w:rPr>
          <w:rFonts w:ascii="Calibri" w:eastAsia="Calibri" w:hAnsi="Calibri" w:cs="Calibri"/>
          <w:lang w:val="en-US"/>
        </w:rPr>
        <w:t>–</w:t>
      </w:r>
      <w:r w:rsidR="3A08D2CA" w:rsidRPr="002D686B">
        <w:rPr>
          <w:rFonts w:ascii="Calibri" w:eastAsia="Calibri" w:hAnsi="Calibri" w:cs="Calibri"/>
          <w:lang w:val="en-US"/>
        </w:rPr>
        <w:t>December 31, 2013 (re-admission</w:t>
      </w:r>
      <w:r w:rsidR="00A352FA" w:rsidRPr="002D686B">
        <w:rPr>
          <w:rFonts w:ascii="Calibri" w:eastAsia="Calibri" w:hAnsi="Calibri" w:cs="Calibri"/>
          <w:lang w:val="en-US"/>
        </w:rPr>
        <w:t>s</w:t>
      </w:r>
      <w:r w:rsidR="3A08D2CA" w:rsidRPr="002D686B">
        <w:rPr>
          <w:rFonts w:ascii="Calibri" w:eastAsia="Calibri" w:hAnsi="Calibri" w:cs="Calibri"/>
          <w:lang w:val="en-US"/>
        </w:rPr>
        <w:t xml:space="preserve"> excluded). </w:t>
      </w:r>
      <w:r w:rsidR="00A524A4">
        <w:rPr>
          <w:rFonts w:ascii="Calibri" w:eastAsia="Calibri" w:hAnsi="Calibri" w:cs="Calibri"/>
          <w:lang w:val="en-US"/>
        </w:rPr>
        <w:t xml:space="preserve">Figure 1 shows a flow chart of included and excluded patients. </w:t>
      </w:r>
      <w:r w:rsidR="3A08D2CA" w:rsidRPr="002D686B">
        <w:rPr>
          <w:rFonts w:ascii="Calibri" w:eastAsia="Calibri" w:hAnsi="Calibri" w:cs="Calibri"/>
          <w:lang w:val="en-US"/>
        </w:rPr>
        <w:t xml:space="preserve"> </w:t>
      </w:r>
    </w:p>
    <w:p w14:paraId="0C7ECBD4" w14:textId="28558F3D" w:rsidR="00623F1E" w:rsidRPr="00C80A8E" w:rsidRDefault="00C40003" w:rsidP="00C2509C">
      <w:pPr>
        <w:pStyle w:val="Heading2"/>
        <w:rPr>
          <w:b/>
          <w:lang w:val="en-US"/>
        </w:rPr>
      </w:pPr>
      <w:r w:rsidRPr="00C80A8E">
        <w:rPr>
          <w:b/>
          <w:lang w:val="en-US"/>
        </w:rPr>
        <w:lastRenderedPageBreak/>
        <w:t>outcome</w:t>
      </w:r>
      <w:r w:rsidR="00A524A4">
        <w:rPr>
          <w:b/>
          <w:lang w:val="en-US"/>
        </w:rPr>
        <w:t xml:space="preserve"> variables</w:t>
      </w:r>
    </w:p>
    <w:p w14:paraId="1854A550" w14:textId="0A842F1B" w:rsidR="005C11CD" w:rsidRPr="007027D4" w:rsidRDefault="00623F1E" w:rsidP="00A55A48">
      <w:pPr>
        <w:spacing w:line="480" w:lineRule="auto"/>
        <w:rPr>
          <w:rFonts w:ascii="Calibri" w:eastAsia="Calibri" w:hAnsi="Calibri" w:cs="Calibri"/>
          <w:lang w:val="en-US"/>
        </w:rPr>
      </w:pPr>
      <w:r w:rsidRPr="002D686B">
        <w:rPr>
          <w:rFonts w:ascii="Calibri" w:eastAsia="Calibri" w:hAnsi="Calibri" w:cs="Calibri"/>
          <w:lang w:val="en-US"/>
        </w:rPr>
        <w:t xml:space="preserve">We used one-year mortality as the primary outcome of interest. Data on </w:t>
      </w:r>
      <w:r w:rsidR="002063BA" w:rsidRPr="002D686B">
        <w:rPr>
          <w:rFonts w:ascii="Calibri" w:eastAsia="Calibri" w:hAnsi="Calibri" w:cs="Calibri"/>
          <w:lang w:val="en-US"/>
        </w:rPr>
        <w:t xml:space="preserve">the </w:t>
      </w:r>
      <w:r w:rsidRPr="002D686B">
        <w:rPr>
          <w:rFonts w:ascii="Calibri" w:eastAsia="Calibri" w:hAnsi="Calibri" w:cs="Calibri"/>
          <w:lang w:val="en-US"/>
        </w:rPr>
        <w:t>date of death w</w:t>
      </w:r>
      <w:r w:rsidR="00AE58BF">
        <w:rPr>
          <w:rFonts w:ascii="Calibri" w:eastAsia="Calibri" w:hAnsi="Calibri" w:cs="Calibri"/>
          <w:lang w:val="en-US"/>
        </w:rPr>
        <w:t>ere</w:t>
      </w:r>
      <w:r w:rsidRPr="002D686B">
        <w:rPr>
          <w:rFonts w:ascii="Calibri" w:eastAsia="Calibri" w:hAnsi="Calibri" w:cs="Calibri"/>
          <w:lang w:val="en-US"/>
        </w:rPr>
        <w:t xml:space="preserve"> obtained through the Finnish population register (available for all patients) and the archive of death certificates. As a secondary outcome of interest, we used a surrogate variable of permanent disability</w:t>
      </w:r>
      <w:r w:rsidR="00EA58F1">
        <w:rPr>
          <w:rFonts w:ascii="Calibri" w:eastAsia="Calibri" w:hAnsi="Calibri" w:cs="Calibri"/>
          <w:lang w:val="en-US"/>
        </w:rPr>
        <w:t xml:space="preserve">, defined as if the patient was granted a permanent disability allowance of disability pension by the SII. </w:t>
      </w:r>
      <w:r w:rsidR="00B3567E" w:rsidRPr="00C2509C">
        <w:rPr>
          <w:rFonts w:ascii="Calibri" w:eastAsia="Calibri" w:hAnsi="Calibri" w:cs="Calibri"/>
          <w:lang w:val="en-US"/>
        </w:rPr>
        <w:t xml:space="preserve">The </w:t>
      </w:r>
      <w:r w:rsidR="003E5724">
        <w:rPr>
          <w:rFonts w:ascii="Calibri" w:eastAsia="Calibri" w:hAnsi="Calibri" w:cs="Calibri"/>
          <w:lang w:val="en-US"/>
        </w:rPr>
        <w:t>SII</w:t>
      </w:r>
      <w:r w:rsidR="00B3567E" w:rsidRPr="00C2509C">
        <w:rPr>
          <w:rFonts w:ascii="Calibri" w:eastAsia="Calibri" w:hAnsi="Calibri" w:cs="Calibri"/>
          <w:lang w:val="en-US"/>
        </w:rPr>
        <w:t xml:space="preserve"> is a Finnish government agency funded by tax</w:t>
      </w:r>
      <w:r w:rsidR="00B3567E">
        <w:rPr>
          <w:rFonts w:ascii="Calibri" w:eastAsia="Calibri" w:hAnsi="Calibri" w:cs="Calibri"/>
          <w:lang w:val="en-US"/>
        </w:rPr>
        <w:t xml:space="preserve"> </w:t>
      </w:r>
      <w:r w:rsidR="00B3567E" w:rsidRPr="00C2509C">
        <w:rPr>
          <w:rFonts w:ascii="Calibri" w:eastAsia="Calibri" w:hAnsi="Calibri" w:cs="Calibri"/>
          <w:lang w:val="en-US"/>
        </w:rPr>
        <w:t>money, insurance payments</w:t>
      </w:r>
      <w:r w:rsidR="00B3567E">
        <w:rPr>
          <w:rFonts w:ascii="Calibri" w:eastAsia="Calibri" w:hAnsi="Calibri" w:cs="Calibri"/>
          <w:lang w:val="en-US"/>
        </w:rPr>
        <w:t>,</w:t>
      </w:r>
      <w:r w:rsidR="00B3567E" w:rsidRPr="00C2509C">
        <w:rPr>
          <w:rFonts w:ascii="Calibri" w:eastAsia="Calibri" w:hAnsi="Calibri" w:cs="Calibri"/>
          <w:lang w:val="en-US"/>
        </w:rPr>
        <w:t xml:space="preserve"> and municipal</w:t>
      </w:r>
      <w:r w:rsidR="00B3567E">
        <w:rPr>
          <w:rFonts w:ascii="Calibri" w:eastAsia="Calibri" w:hAnsi="Calibri" w:cs="Calibri"/>
          <w:lang w:val="en-US"/>
        </w:rPr>
        <w:t>ities that</w:t>
      </w:r>
      <w:r w:rsidR="00B3567E" w:rsidRPr="00C2509C">
        <w:rPr>
          <w:rFonts w:ascii="Calibri" w:eastAsia="Calibri" w:hAnsi="Calibri" w:cs="Calibri"/>
          <w:lang w:val="en-US"/>
        </w:rPr>
        <w:t xml:space="preserve"> provid</w:t>
      </w:r>
      <w:r w:rsidR="00B3567E">
        <w:rPr>
          <w:rFonts w:ascii="Calibri" w:eastAsia="Calibri" w:hAnsi="Calibri" w:cs="Calibri"/>
          <w:lang w:val="en-US"/>
        </w:rPr>
        <w:t xml:space="preserve">e </w:t>
      </w:r>
      <w:r w:rsidR="00B3567E" w:rsidRPr="00C2509C">
        <w:rPr>
          <w:rFonts w:ascii="Calibri" w:eastAsia="Calibri" w:hAnsi="Calibri" w:cs="Calibri"/>
          <w:lang w:val="en-US"/>
        </w:rPr>
        <w:t>all socia</w:t>
      </w:r>
      <w:r w:rsidR="00B3567E">
        <w:rPr>
          <w:rFonts w:ascii="Calibri" w:eastAsia="Calibri" w:hAnsi="Calibri" w:cs="Calibri"/>
          <w:lang w:val="en-US"/>
        </w:rPr>
        <w:t xml:space="preserve">l security payments in Finland. </w:t>
      </w:r>
      <w:r w:rsidRPr="002D686B">
        <w:rPr>
          <w:rFonts w:ascii="Calibri" w:eastAsia="Calibri" w:hAnsi="Calibri" w:cs="Calibri"/>
          <w:lang w:val="en-US"/>
        </w:rPr>
        <w:t xml:space="preserve">The SII mandates </w:t>
      </w:r>
      <w:r w:rsidR="00A55A48">
        <w:rPr>
          <w:rFonts w:ascii="Calibri" w:eastAsia="Calibri" w:hAnsi="Calibri" w:cs="Calibri"/>
          <w:b/>
          <w:lang w:val="en-US"/>
        </w:rPr>
        <w:lastRenderedPageBreak/>
        <w:t xml:space="preserve">one to be unable to </w:t>
      </w:r>
      <w:r w:rsidR="00AD1F20">
        <w:rPr>
          <w:rFonts w:ascii="Calibri" w:eastAsia="Calibri" w:hAnsi="Calibri" w:cs="Calibri"/>
          <w:b/>
          <w:lang w:val="en-US"/>
        </w:rPr>
        <w:t xml:space="preserve">independently </w:t>
      </w:r>
      <w:r w:rsidR="00A55A48">
        <w:rPr>
          <w:rFonts w:ascii="Calibri" w:eastAsia="Calibri" w:hAnsi="Calibri" w:cs="Calibri"/>
          <w:b/>
          <w:lang w:val="en-US"/>
        </w:rPr>
        <w:t>carry out daily activities (e.g. self-hygiene, basic housekeeping, take care of things outside the home) or to be unable to return to work due to sustained injuries, for a minimum of one consecutive year (following the injury), in order</w:t>
      </w:r>
      <w:r w:rsidRPr="002D686B">
        <w:rPr>
          <w:rFonts w:ascii="Calibri" w:eastAsia="Calibri" w:hAnsi="Calibri" w:cs="Calibri"/>
          <w:lang w:val="en-US"/>
        </w:rPr>
        <w:t xml:space="preserve"> </w:t>
      </w:r>
      <w:r w:rsidR="00F232D8" w:rsidRPr="00E77C03">
        <w:rPr>
          <w:rFonts w:ascii="Calibri" w:eastAsia="Calibri" w:hAnsi="Calibri" w:cs="Calibri"/>
          <w:b/>
          <w:lang w:val="en-US"/>
        </w:rPr>
        <w:t>to</w:t>
      </w:r>
      <w:r w:rsidRPr="00E77C03">
        <w:rPr>
          <w:rFonts w:ascii="Calibri" w:eastAsia="Calibri" w:hAnsi="Calibri" w:cs="Calibri"/>
          <w:b/>
          <w:lang w:val="en-US"/>
        </w:rPr>
        <w:t xml:space="preserve"> grant a permanent disability allowance</w:t>
      </w:r>
      <w:r w:rsidR="00EA58F1">
        <w:rPr>
          <w:rFonts w:ascii="Calibri" w:eastAsia="Calibri" w:hAnsi="Calibri" w:cs="Calibri"/>
          <w:b/>
          <w:lang w:val="en-US"/>
        </w:rPr>
        <w:t xml:space="preserve"> or pension</w:t>
      </w:r>
      <w:r w:rsidRPr="002D686B">
        <w:rPr>
          <w:rFonts w:ascii="Calibri" w:eastAsia="Calibri" w:hAnsi="Calibri" w:cs="Calibri"/>
          <w:lang w:val="en-US"/>
        </w:rPr>
        <w:t>. Thus, we defined all patients</w:t>
      </w:r>
      <w:r w:rsidR="00AE58BF">
        <w:rPr>
          <w:rFonts w:ascii="Calibri" w:eastAsia="Calibri" w:hAnsi="Calibri" w:cs="Calibri"/>
          <w:lang w:val="en-US"/>
        </w:rPr>
        <w:t xml:space="preserve"> who were</w:t>
      </w:r>
      <w:r w:rsidRPr="002D686B">
        <w:rPr>
          <w:rFonts w:ascii="Calibri" w:eastAsia="Calibri" w:hAnsi="Calibri" w:cs="Calibri"/>
          <w:lang w:val="en-US"/>
        </w:rPr>
        <w:t xml:space="preserve"> granted permanent disability allowance</w:t>
      </w:r>
      <w:r w:rsidR="00EA58F1">
        <w:rPr>
          <w:rFonts w:ascii="Calibri" w:eastAsia="Calibri" w:hAnsi="Calibri" w:cs="Calibri"/>
          <w:lang w:val="en-US"/>
        </w:rPr>
        <w:t xml:space="preserve"> or permanent disability pension</w:t>
      </w:r>
      <w:r w:rsidRPr="002D686B">
        <w:rPr>
          <w:rFonts w:ascii="Calibri" w:eastAsia="Calibri" w:hAnsi="Calibri" w:cs="Calibri"/>
          <w:lang w:val="en-US"/>
        </w:rPr>
        <w:t xml:space="preserve"> from the SII as being permanently disabled</w:t>
      </w:r>
      <w:r w:rsidR="00A502FE" w:rsidRPr="00E77C03">
        <w:rPr>
          <w:rFonts w:ascii="Calibri" w:eastAsia="Calibri" w:hAnsi="Calibri" w:cs="Calibri"/>
          <w:lang w:val="en-US"/>
        </w:rPr>
        <w:t>.</w:t>
      </w:r>
      <w:r w:rsidR="00A502FE">
        <w:rPr>
          <w:rFonts w:ascii="Calibri" w:eastAsia="Calibri" w:hAnsi="Calibri" w:cs="Calibri"/>
          <w:lang w:val="en-US"/>
        </w:rPr>
        <w:t xml:space="preserve"> </w:t>
      </w:r>
      <w:r w:rsidRPr="002D686B">
        <w:rPr>
          <w:rFonts w:ascii="Calibri" w:eastAsia="Calibri" w:hAnsi="Calibri" w:cs="Calibri"/>
          <w:lang w:val="en-US"/>
        </w:rPr>
        <w:t>The SII</w:t>
      </w:r>
      <w:r w:rsidR="00EE18DF">
        <w:rPr>
          <w:rFonts w:ascii="Calibri" w:eastAsia="Calibri" w:hAnsi="Calibri" w:cs="Calibri"/>
          <w:lang w:val="en-US"/>
        </w:rPr>
        <w:t>’</w:t>
      </w:r>
      <w:r w:rsidRPr="002D686B">
        <w:rPr>
          <w:rFonts w:ascii="Calibri" w:eastAsia="Calibri" w:hAnsi="Calibri" w:cs="Calibri"/>
          <w:lang w:val="en-US"/>
        </w:rPr>
        <w:t xml:space="preserve">s criteria for granting permanent disability allowances did not change during the study period. We also </w:t>
      </w:r>
      <w:r w:rsidR="00EE18DF">
        <w:rPr>
          <w:rFonts w:ascii="Calibri" w:eastAsia="Calibri" w:hAnsi="Calibri" w:cs="Calibri"/>
          <w:lang w:val="en-US"/>
        </w:rPr>
        <w:t>investigated</w:t>
      </w:r>
      <w:r w:rsidRPr="002D686B">
        <w:rPr>
          <w:rFonts w:ascii="Calibri" w:eastAsia="Calibri" w:hAnsi="Calibri" w:cs="Calibri"/>
          <w:lang w:val="en-US"/>
        </w:rPr>
        <w:t xml:space="preserve"> hospital mortality, which </w:t>
      </w:r>
      <w:r w:rsidR="00EE18DF">
        <w:rPr>
          <w:rFonts w:ascii="Calibri" w:eastAsia="Calibri" w:hAnsi="Calibri" w:cs="Calibri"/>
          <w:lang w:val="en-US"/>
        </w:rPr>
        <w:t xml:space="preserve">we </w:t>
      </w:r>
      <w:r w:rsidRPr="002D686B">
        <w:rPr>
          <w:rFonts w:ascii="Calibri" w:eastAsia="Calibri" w:hAnsi="Calibri" w:cs="Calibri"/>
          <w:lang w:val="en-US"/>
        </w:rPr>
        <w:t>retrieved directly from the FICC database.</w:t>
      </w:r>
      <w:r w:rsidR="00A524A4">
        <w:rPr>
          <w:rFonts w:ascii="Calibri" w:eastAsia="Calibri" w:hAnsi="Calibri" w:cs="Calibri"/>
          <w:lang w:val="en-US"/>
        </w:rPr>
        <w:t xml:space="preserve"> The Therapeutic Intervention Scoring System (TISS) 76 was</w:t>
      </w:r>
      <w:r w:rsidR="00A524A4" w:rsidRPr="002D686B">
        <w:rPr>
          <w:rFonts w:ascii="Calibri" w:eastAsia="Calibri" w:hAnsi="Calibri" w:cs="Calibri"/>
          <w:lang w:val="en-US"/>
        </w:rPr>
        <w:t xml:space="preserve"> used as a marker of ICU </w:t>
      </w:r>
      <w:r w:rsidR="00A524A4" w:rsidRPr="002D686B">
        <w:rPr>
          <w:rFonts w:ascii="Calibri" w:eastAsia="Calibri" w:hAnsi="Calibri" w:cs="Calibri"/>
          <w:lang w:val="en-US"/>
        </w:rPr>
        <w:lastRenderedPageBreak/>
        <w:t xml:space="preserve">treatment intensity. The TISS-76 includes a set of 76 selected therapies used in intensive care and was developed to </w:t>
      </w:r>
      <w:r w:rsidR="00A524A4">
        <w:rPr>
          <w:rFonts w:ascii="Calibri" w:eastAsia="Calibri" w:hAnsi="Calibri" w:cs="Calibri"/>
          <w:lang w:val="en-US"/>
        </w:rPr>
        <w:t xml:space="preserve">quantify the intensity of care required by critically ill patients </w:t>
      </w:r>
      <w:r w:rsidR="00A524A4">
        <w:rPr>
          <w:rFonts w:ascii="Calibri" w:eastAsia="Calibri" w:hAnsi="Calibri" w:cs="Calibri"/>
          <w:lang w:val="en-US"/>
        </w:rPr>
        <w:fldChar w:fldCharType="begin" w:fldLock="1"/>
      </w:r>
      <w:r w:rsidR="00B83FF2">
        <w:rPr>
          <w:rFonts w:ascii="Calibri" w:eastAsia="Calibri" w:hAnsi="Calibri" w:cs="Calibri"/>
          <w:lang w:val="en-US"/>
        </w:rPr>
        <w:instrText>ADDIN CSL_CITATION { "citationItems" : [ { "id" : "ITEM-1", "itemData" : { "DOI" : "10.1097/00003246-198301000-00001", "ISBN" : "0090-3493 (Print)", "ISSN" : "0090-3493", "PMID" : "6848305", "abstract" : "The Therapeutic Intervention Scoring System (TISS) introduced in 1974 has become a widely accepted method of classifying critically ill patients. In response to requests to update the system because of recent innovations in critical care, some items have been deleted, some have been added, and certain point scores have been adjusted. Explanations of items within the system and guidelines for the user are included. A comparison of the new 1983 system to the old 1974 system in 100 consecutive patients reveals no difference in total point scores. We hope this updated explanation will ease the task of assessing use of intensive care services.", "author" : [ { "dropping-particle" : "", "family" : "Keene", "given" : "A R", "non-dropping-particle" : "", "parse-names" : false, "suffix" : "" }, { "dropping-particle" : "", "family" : "Cullen", "given" : "D J", "non-dropping-particle" : "", "parse-names" : false, "suffix" : "" } ], "container-title" : "Crit Care Med", "id" : "ITEM-1", "issue" : "1", "issued" : { "date-parts" : [ [ "1983" ] ] }, "page" : "1-3", "title" : "Therapeutic Intervention Scoring System: update 1983", "type" : "article-journal", "volume" : "11" }, "uris" : [ "http://www.mendeley.com/documents/?uuid=49c5387f-2e64-45ef-8cde-c386d976310d" ] }, { "id" : "ITEM-2", "itemData" : { "ISSN" : "0090-3493", "PMID" : "4832281", "author" : [ { "dropping-particle" : "", "family" : "Cullen", "given" : "D J", "non-dropping-particle" : "", "parse-names" : false, "suffix" : "" }, { "dropping-particle" : "", "family" : "Civetta", "given" : "J M", "non-dropping-particle" : "", "parse-names" : false, "suffix" : "" }, { "dropping-particle" : "", "family" : "Briggs", "given" : "B A", "non-dropping-particle" : "", "parse-names" : false, "suffix" : "" }, { "dropping-particle" : "", "family" : "Ferrara", "given" : "L C", "non-dropping-particle" : "", "parse-names" : false, "suffix" : "" } ], "container-title" : "Critical care medicine", "id" : "ITEM-2", "issue" : "2", "issued" : { "date-parts" : [ [ "1974" ] ] }, "page" : "57-60", "title" : "Therapeutic intervention scoring system: a method for quantitative comparison of patient care.", "type" : "article-journal", "volume" : "2" }, "uris" : [ "http://www.mendeley.com/documents/?uuid=62ec0640-4222-3671-9c63-edab1cdebcd9" ] } ], "mendeley" : { "formattedCitation" : "(10, 11)", "plainTextFormattedCitation" : "(10, 11)", "previouslyFormattedCitation" : "(10, 11)" }, "properties" : { "noteIndex" : 0 }, "schema" : "https://github.com/citation-style-language/schema/raw/master/csl-citation.json" }</w:instrText>
      </w:r>
      <w:r w:rsidR="00A524A4">
        <w:rPr>
          <w:rFonts w:ascii="Calibri" w:eastAsia="Calibri" w:hAnsi="Calibri" w:cs="Calibri"/>
          <w:lang w:val="en-US"/>
        </w:rPr>
        <w:fldChar w:fldCharType="separate"/>
      </w:r>
      <w:r w:rsidR="00395A1E" w:rsidRPr="00395A1E">
        <w:rPr>
          <w:rFonts w:ascii="Calibri" w:eastAsia="Calibri" w:hAnsi="Calibri" w:cs="Calibri"/>
          <w:noProof/>
          <w:lang w:val="en-US"/>
        </w:rPr>
        <w:t>(10, 11)</w:t>
      </w:r>
      <w:r w:rsidR="00A524A4">
        <w:rPr>
          <w:rFonts w:ascii="Calibri" w:eastAsia="Calibri" w:hAnsi="Calibri" w:cs="Calibri"/>
          <w:lang w:val="en-US"/>
        </w:rPr>
        <w:fldChar w:fldCharType="end"/>
      </w:r>
      <w:r w:rsidR="00A524A4">
        <w:rPr>
          <w:rFonts w:ascii="Calibri" w:eastAsia="Calibri" w:hAnsi="Calibri" w:cs="Calibri"/>
          <w:lang w:val="en-US"/>
        </w:rPr>
        <w:t>.</w:t>
      </w:r>
      <w:r w:rsidR="00A524A4" w:rsidRPr="002D686B">
        <w:rPr>
          <w:rFonts w:ascii="Calibri" w:eastAsia="Calibri" w:hAnsi="Calibri" w:cs="Calibri"/>
          <w:lang w:val="en-US"/>
        </w:rPr>
        <w:t xml:space="preserve"> </w:t>
      </w:r>
      <w:r w:rsidR="000C66EC" w:rsidRPr="00E77C03">
        <w:rPr>
          <w:rFonts w:ascii="Calibri" w:eastAsia="Calibri" w:hAnsi="Calibri" w:cs="Calibri"/>
          <w:b/>
          <w:lang w:val="en-US"/>
        </w:rPr>
        <w:t>The TISS-76</w:t>
      </w:r>
      <w:r w:rsidR="007027D4">
        <w:rPr>
          <w:rFonts w:ascii="Calibri" w:eastAsia="Calibri" w:hAnsi="Calibri" w:cs="Calibri"/>
          <w:b/>
          <w:lang w:val="en-US"/>
        </w:rPr>
        <w:t xml:space="preserve"> variables</w:t>
      </w:r>
      <w:r w:rsidR="007027D4" w:rsidRPr="007027D4">
        <w:rPr>
          <w:rFonts w:ascii="Calibri" w:eastAsia="Calibri" w:hAnsi="Calibri" w:cs="Calibri"/>
          <w:b/>
          <w:lang w:val="en-US"/>
        </w:rPr>
        <w:t xml:space="preserve"> are</w:t>
      </w:r>
      <w:r w:rsidR="000C66EC" w:rsidRPr="00E77C03">
        <w:rPr>
          <w:rFonts w:ascii="Calibri" w:eastAsia="Calibri" w:hAnsi="Calibri" w:cs="Calibri"/>
          <w:b/>
          <w:lang w:val="en-US"/>
        </w:rPr>
        <w:t xml:space="preserve"> </w:t>
      </w:r>
      <w:r w:rsidR="007027D4">
        <w:rPr>
          <w:rFonts w:ascii="Calibri" w:eastAsia="Calibri" w:hAnsi="Calibri" w:cs="Calibri"/>
          <w:b/>
          <w:lang w:val="en-US"/>
        </w:rPr>
        <w:t>entered to the FICC database,</w:t>
      </w:r>
      <w:r w:rsidR="000C66EC">
        <w:rPr>
          <w:rFonts w:ascii="Calibri" w:eastAsia="Calibri" w:hAnsi="Calibri" w:cs="Calibri"/>
          <w:b/>
          <w:lang w:val="en-US"/>
        </w:rPr>
        <w:t xml:space="preserve"> as part of standard clinical practice</w:t>
      </w:r>
      <w:r w:rsidR="000C66EC" w:rsidRPr="00E77C03">
        <w:rPr>
          <w:rFonts w:ascii="Calibri" w:eastAsia="Calibri" w:hAnsi="Calibri" w:cs="Calibri"/>
          <w:b/>
          <w:lang w:val="en-US"/>
        </w:rPr>
        <w:t>.</w:t>
      </w:r>
      <w:r w:rsidR="000C66EC">
        <w:rPr>
          <w:rFonts w:ascii="Calibri" w:eastAsia="Calibri" w:hAnsi="Calibri" w:cs="Calibri"/>
          <w:lang w:val="en-US"/>
        </w:rPr>
        <w:t xml:space="preserve"> </w:t>
      </w:r>
    </w:p>
    <w:p w14:paraId="3E929541" w14:textId="45E1A5A7" w:rsidR="00572340" w:rsidRPr="00C80A8E" w:rsidRDefault="00C40003" w:rsidP="000F3B33">
      <w:pPr>
        <w:pStyle w:val="Heading2"/>
        <w:rPr>
          <w:b/>
          <w:lang w:val="en-US"/>
        </w:rPr>
      </w:pPr>
      <w:r w:rsidRPr="00C80A8E">
        <w:rPr>
          <w:b/>
          <w:lang w:val="en-US"/>
        </w:rPr>
        <w:t>cost data</w:t>
      </w:r>
    </w:p>
    <w:p w14:paraId="44FB954A" w14:textId="317E0B91" w:rsidR="00525BB2" w:rsidRPr="002D686B" w:rsidRDefault="00D23270" w:rsidP="002D686B">
      <w:pPr>
        <w:spacing w:line="480" w:lineRule="auto"/>
        <w:rPr>
          <w:rFonts w:ascii="Calibri" w:eastAsia="Calibri" w:hAnsi="Calibri" w:cs="Calibri"/>
          <w:lang w:val="en-US"/>
        </w:rPr>
      </w:pPr>
      <w:r w:rsidRPr="002D686B">
        <w:rPr>
          <w:rFonts w:ascii="Calibri" w:eastAsia="Calibri" w:hAnsi="Calibri" w:cs="Calibri"/>
          <w:lang w:val="en-US"/>
        </w:rPr>
        <w:t>We obtained all direct costs for the first year following TBI, including index hospitalization</w:t>
      </w:r>
      <w:r w:rsidR="002D7EA2">
        <w:rPr>
          <w:rFonts w:ascii="Calibri" w:eastAsia="Calibri" w:hAnsi="Calibri" w:cs="Calibri"/>
          <w:lang w:val="en-US"/>
        </w:rPr>
        <w:t xml:space="preserve"> costs</w:t>
      </w:r>
      <w:r w:rsidRPr="002D686B">
        <w:rPr>
          <w:rFonts w:ascii="Calibri" w:eastAsia="Calibri" w:hAnsi="Calibri" w:cs="Calibri"/>
          <w:lang w:val="en-US"/>
        </w:rPr>
        <w:t>, rehabilitation hospital</w:t>
      </w:r>
      <w:r w:rsidR="002D7EA2">
        <w:rPr>
          <w:rFonts w:ascii="Calibri" w:eastAsia="Calibri" w:hAnsi="Calibri" w:cs="Calibri"/>
          <w:lang w:val="en-US"/>
        </w:rPr>
        <w:t xml:space="preserve"> costs,</w:t>
      </w:r>
      <w:r w:rsidRPr="002D686B">
        <w:rPr>
          <w:rFonts w:ascii="Calibri" w:eastAsia="Calibri" w:hAnsi="Calibri" w:cs="Calibri"/>
          <w:lang w:val="en-US"/>
        </w:rPr>
        <w:t xml:space="preserve"> and social security</w:t>
      </w:r>
      <w:r w:rsidR="002D7EA2">
        <w:rPr>
          <w:rFonts w:ascii="Calibri" w:eastAsia="Calibri" w:hAnsi="Calibri" w:cs="Calibri"/>
          <w:lang w:val="en-US"/>
        </w:rPr>
        <w:t xml:space="preserve"> </w:t>
      </w:r>
      <w:r w:rsidRPr="002D686B">
        <w:rPr>
          <w:rFonts w:ascii="Calibri" w:eastAsia="Calibri" w:hAnsi="Calibri" w:cs="Calibri"/>
          <w:lang w:val="en-US"/>
        </w:rPr>
        <w:t>costs</w:t>
      </w:r>
      <w:r w:rsidR="00623F1E" w:rsidRPr="002D686B">
        <w:rPr>
          <w:rFonts w:ascii="Calibri" w:eastAsia="Calibri" w:hAnsi="Calibri" w:cs="Calibri"/>
          <w:lang w:val="en-US"/>
        </w:rPr>
        <w:t xml:space="preserve">. </w:t>
      </w:r>
      <w:r w:rsidR="317200CE" w:rsidRPr="002D686B">
        <w:rPr>
          <w:rFonts w:ascii="Calibri" w:eastAsia="Calibri" w:hAnsi="Calibri" w:cs="Calibri"/>
          <w:lang w:val="en-US"/>
        </w:rPr>
        <w:t xml:space="preserve">We obtained direct cost data regarding the </w:t>
      </w:r>
      <w:r w:rsidR="317200CE" w:rsidRPr="002D686B">
        <w:rPr>
          <w:rFonts w:ascii="Calibri" w:eastAsia="Calibri" w:hAnsi="Calibri" w:cs="Calibri"/>
          <w:lang w:val="en-US"/>
        </w:rPr>
        <w:lastRenderedPageBreak/>
        <w:t>patients</w:t>
      </w:r>
      <w:r w:rsidR="002D7EA2">
        <w:rPr>
          <w:rFonts w:ascii="Calibri" w:eastAsia="Calibri" w:hAnsi="Calibri" w:cs="Calibri"/>
          <w:lang w:val="en-US"/>
        </w:rPr>
        <w:t>’</w:t>
      </w:r>
      <w:r w:rsidR="317200CE" w:rsidRPr="002D686B">
        <w:rPr>
          <w:rFonts w:ascii="Calibri" w:eastAsia="Calibri" w:hAnsi="Calibri" w:cs="Calibri"/>
          <w:lang w:val="en-US"/>
        </w:rPr>
        <w:t xml:space="preserve"> </w:t>
      </w:r>
      <w:r w:rsidR="004210E3" w:rsidRPr="002D686B">
        <w:rPr>
          <w:rFonts w:ascii="Calibri" w:eastAsia="Calibri" w:hAnsi="Calibri" w:cs="Calibri"/>
          <w:lang w:val="en-US"/>
        </w:rPr>
        <w:t xml:space="preserve">index hospitalization directly </w:t>
      </w:r>
      <w:r w:rsidR="317200CE" w:rsidRPr="002D686B">
        <w:rPr>
          <w:rFonts w:ascii="Calibri" w:eastAsia="Calibri" w:hAnsi="Calibri" w:cs="Calibri"/>
          <w:lang w:val="en-US"/>
        </w:rPr>
        <w:t>from the</w:t>
      </w:r>
      <w:r w:rsidR="004210E3" w:rsidRPr="002D686B">
        <w:rPr>
          <w:rFonts w:ascii="Calibri" w:eastAsia="Calibri" w:hAnsi="Calibri" w:cs="Calibri"/>
          <w:lang w:val="en-US"/>
        </w:rPr>
        <w:t xml:space="preserve"> university</w:t>
      </w:r>
      <w:r w:rsidR="317200CE" w:rsidRPr="002D686B">
        <w:rPr>
          <w:rFonts w:ascii="Calibri" w:eastAsia="Calibri" w:hAnsi="Calibri" w:cs="Calibri"/>
          <w:lang w:val="en-US"/>
        </w:rPr>
        <w:t xml:space="preserve"> hospitals</w:t>
      </w:r>
      <w:r w:rsidR="002D7EA2">
        <w:rPr>
          <w:rFonts w:ascii="Calibri" w:eastAsia="Calibri" w:hAnsi="Calibri" w:cs="Calibri"/>
          <w:lang w:val="en-US"/>
        </w:rPr>
        <w:t>’</w:t>
      </w:r>
      <w:r w:rsidR="317200CE" w:rsidRPr="002D686B">
        <w:rPr>
          <w:rFonts w:ascii="Calibri" w:eastAsia="Calibri" w:hAnsi="Calibri" w:cs="Calibri"/>
          <w:lang w:val="en-US"/>
        </w:rPr>
        <w:t xml:space="preserve"> </w:t>
      </w:r>
      <w:r w:rsidR="002E236E" w:rsidRPr="002D686B">
        <w:rPr>
          <w:rFonts w:ascii="Calibri" w:eastAsia="Calibri" w:hAnsi="Calibri" w:cs="Calibri"/>
          <w:lang w:val="en-US"/>
        </w:rPr>
        <w:t xml:space="preserve">invoicing </w:t>
      </w:r>
      <w:r w:rsidR="317200CE" w:rsidRPr="002D686B">
        <w:rPr>
          <w:rFonts w:ascii="Calibri" w:eastAsia="Calibri" w:hAnsi="Calibri" w:cs="Calibri"/>
          <w:lang w:val="en-US"/>
        </w:rPr>
        <w:t>departments</w:t>
      </w:r>
      <w:r w:rsidR="002E236E" w:rsidRPr="002D686B">
        <w:rPr>
          <w:rFonts w:ascii="Calibri" w:eastAsia="Calibri" w:hAnsi="Calibri" w:cs="Calibri"/>
          <w:lang w:val="en-US"/>
        </w:rPr>
        <w:t xml:space="preserve"> (</w:t>
      </w:r>
      <w:r w:rsidR="007E00E4" w:rsidRPr="002D686B">
        <w:rPr>
          <w:rFonts w:ascii="Calibri" w:eastAsia="Calibri" w:hAnsi="Calibri" w:cs="Calibri"/>
          <w:lang w:val="en-US"/>
        </w:rPr>
        <w:t>referred to as</w:t>
      </w:r>
      <w:r w:rsidR="002E236E" w:rsidRPr="002D686B">
        <w:rPr>
          <w:rFonts w:ascii="Calibri" w:eastAsia="Calibri" w:hAnsi="Calibri" w:cs="Calibri"/>
          <w:lang w:val="en-US"/>
        </w:rPr>
        <w:t xml:space="preserve"> </w:t>
      </w:r>
      <w:r w:rsidR="007E00E4" w:rsidRPr="002D686B">
        <w:rPr>
          <w:rFonts w:ascii="Calibri" w:eastAsia="Calibri" w:hAnsi="Calibri" w:cs="Calibri"/>
          <w:lang w:val="en-US"/>
        </w:rPr>
        <w:t>“</w:t>
      </w:r>
      <w:r w:rsidR="002E236E" w:rsidRPr="002D686B">
        <w:rPr>
          <w:rFonts w:ascii="Calibri" w:eastAsia="Calibri" w:hAnsi="Calibri" w:cs="Calibri"/>
          <w:lang w:val="en-US"/>
        </w:rPr>
        <w:t>university hospital costs</w:t>
      </w:r>
      <w:r w:rsidR="007E00E4" w:rsidRPr="002D686B">
        <w:rPr>
          <w:rFonts w:ascii="Calibri" w:eastAsia="Calibri" w:hAnsi="Calibri" w:cs="Calibri"/>
          <w:lang w:val="en-US"/>
        </w:rPr>
        <w:t>”</w:t>
      </w:r>
      <w:r w:rsidR="002E236E" w:rsidRPr="002D686B">
        <w:rPr>
          <w:rFonts w:ascii="Calibri" w:eastAsia="Calibri" w:hAnsi="Calibri" w:cs="Calibri"/>
          <w:lang w:val="en-US"/>
        </w:rPr>
        <w:t>)</w:t>
      </w:r>
      <w:r w:rsidR="317200CE" w:rsidRPr="002D686B">
        <w:rPr>
          <w:rFonts w:ascii="Calibri" w:eastAsia="Calibri" w:hAnsi="Calibri" w:cs="Calibri"/>
          <w:lang w:val="en-US"/>
        </w:rPr>
        <w:t>. Th</w:t>
      </w:r>
      <w:r w:rsidR="005E0C32" w:rsidRPr="002D686B">
        <w:rPr>
          <w:rFonts w:ascii="Calibri" w:eastAsia="Calibri" w:hAnsi="Calibri" w:cs="Calibri"/>
          <w:lang w:val="en-US"/>
        </w:rPr>
        <w:t>ese</w:t>
      </w:r>
      <w:r w:rsidR="317200CE" w:rsidRPr="002D686B">
        <w:rPr>
          <w:rFonts w:ascii="Calibri" w:eastAsia="Calibri" w:hAnsi="Calibri" w:cs="Calibri"/>
          <w:lang w:val="en-US"/>
        </w:rPr>
        <w:t xml:space="preserve"> include costs for the whole treatment period, including all </w:t>
      </w:r>
      <w:r w:rsidR="002D7EA2">
        <w:rPr>
          <w:rFonts w:ascii="Calibri" w:eastAsia="Calibri" w:hAnsi="Calibri" w:cs="Calibri"/>
          <w:lang w:val="en-US"/>
        </w:rPr>
        <w:t>of the incurred</w:t>
      </w:r>
      <w:r w:rsidR="002D7EA2" w:rsidRPr="002D686B">
        <w:rPr>
          <w:rFonts w:ascii="Calibri" w:eastAsia="Calibri" w:hAnsi="Calibri" w:cs="Calibri"/>
          <w:lang w:val="en-US"/>
        </w:rPr>
        <w:t xml:space="preserve"> </w:t>
      </w:r>
      <w:r w:rsidR="317200CE" w:rsidRPr="002D686B">
        <w:rPr>
          <w:rFonts w:ascii="Calibri" w:eastAsia="Calibri" w:hAnsi="Calibri" w:cs="Calibri"/>
          <w:lang w:val="en-US"/>
        </w:rPr>
        <w:t xml:space="preserve">expenses (e.g., </w:t>
      </w:r>
      <w:r w:rsidR="007027D4" w:rsidRPr="00E77C03">
        <w:rPr>
          <w:rFonts w:ascii="Calibri" w:eastAsia="Calibri" w:hAnsi="Calibri" w:cs="Calibri"/>
          <w:b/>
          <w:lang w:val="en-US"/>
        </w:rPr>
        <w:t>personnel costs</w:t>
      </w:r>
      <w:r w:rsidR="007027D4">
        <w:rPr>
          <w:rFonts w:ascii="Calibri" w:eastAsia="Calibri" w:hAnsi="Calibri" w:cs="Calibri"/>
          <w:lang w:val="en-US"/>
        </w:rPr>
        <w:t xml:space="preserve">, </w:t>
      </w:r>
      <w:r w:rsidR="00EA723E" w:rsidRPr="002D686B">
        <w:rPr>
          <w:rFonts w:ascii="Calibri" w:eastAsia="Calibri" w:hAnsi="Calibri" w:cs="Calibri"/>
          <w:lang w:val="en-US"/>
        </w:rPr>
        <w:t>surgery</w:t>
      </w:r>
      <w:r w:rsidR="317200CE" w:rsidRPr="002D686B">
        <w:rPr>
          <w:rFonts w:ascii="Calibri" w:eastAsia="Calibri" w:hAnsi="Calibri" w:cs="Calibri"/>
          <w:lang w:val="en-US"/>
        </w:rPr>
        <w:t>, ICU stay, laboratory costs, radiological costs</w:t>
      </w:r>
      <w:r w:rsidR="002D7EA2">
        <w:rPr>
          <w:rFonts w:ascii="Calibri" w:eastAsia="Calibri" w:hAnsi="Calibri" w:cs="Calibri"/>
          <w:lang w:val="en-US"/>
        </w:rPr>
        <w:t>,</w:t>
      </w:r>
      <w:r w:rsidR="317200CE" w:rsidRPr="002D686B">
        <w:rPr>
          <w:rFonts w:ascii="Calibri" w:eastAsia="Calibri" w:hAnsi="Calibri" w:cs="Calibri"/>
          <w:lang w:val="en-US"/>
        </w:rPr>
        <w:t xml:space="preserve"> and ward stay). </w:t>
      </w:r>
      <w:r w:rsidR="002E236E" w:rsidRPr="002D686B">
        <w:rPr>
          <w:rFonts w:ascii="Calibri" w:eastAsia="Calibri" w:hAnsi="Calibri" w:cs="Calibri"/>
          <w:lang w:val="en-US"/>
        </w:rPr>
        <w:t xml:space="preserve">We </w:t>
      </w:r>
      <w:r w:rsidR="002D7EA2">
        <w:rPr>
          <w:rFonts w:ascii="Calibri" w:eastAsia="Calibri" w:hAnsi="Calibri" w:cs="Calibri"/>
          <w:lang w:val="en-US"/>
        </w:rPr>
        <w:t>found</w:t>
      </w:r>
      <w:r w:rsidR="002D7EA2" w:rsidRPr="002D686B">
        <w:rPr>
          <w:rFonts w:ascii="Calibri" w:eastAsia="Calibri" w:hAnsi="Calibri" w:cs="Calibri"/>
          <w:lang w:val="en-US"/>
        </w:rPr>
        <w:t xml:space="preserve"> </w:t>
      </w:r>
      <w:r w:rsidR="002E236E" w:rsidRPr="002D686B">
        <w:rPr>
          <w:rFonts w:ascii="Calibri" w:eastAsia="Calibri" w:hAnsi="Calibri" w:cs="Calibri"/>
          <w:lang w:val="en-US"/>
        </w:rPr>
        <w:t>the rehabilitation unit costs</w:t>
      </w:r>
      <w:r w:rsidR="005C11CD" w:rsidRPr="002D686B">
        <w:rPr>
          <w:rFonts w:ascii="Calibri" w:eastAsia="Calibri" w:hAnsi="Calibri" w:cs="Calibri"/>
          <w:lang w:val="en-US"/>
        </w:rPr>
        <w:t xml:space="preserve"> </w:t>
      </w:r>
      <w:r w:rsidR="00623F1E" w:rsidRPr="002D686B">
        <w:rPr>
          <w:rFonts w:ascii="Calibri" w:eastAsia="Calibri" w:hAnsi="Calibri" w:cs="Calibri"/>
          <w:lang w:val="en-US"/>
        </w:rPr>
        <w:t xml:space="preserve">(referred to as “rehabilitation unit costs”) </w:t>
      </w:r>
      <w:r w:rsidR="005C11CD" w:rsidRPr="002D686B">
        <w:rPr>
          <w:rFonts w:ascii="Calibri" w:eastAsia="Calibri" w:hAnsi="Calibri" w:cs="Calibri"/>
          <w:lang w:val="en-US"/>
        </w:rPr>
        <w:t>by calculating the length of stay in the</w:t>
      </w:r>
      <w:r w:rsidR="00032FDF" w:rsidRPr="002D686B">
        <w:rPr>
          <w:rFonts w:ascii="Calibri" w:eastAsia="Calibri" w:hAnsi="Calibri" w:cs="Calibri"/>
          <w:lang w:val="en-US"/>
        </w:rPr>
        <w:t xml:space="preserve"> rehabilitation unit</w:t>
      </w:r>
      <w:r w:rsidR="005C11CD" w:rsidRPr="002D686B">
        <w:rPr>
          <w:rFonts w:ascii="Calibri" w:eastAsia="Calibri" w:hAnsi="Calibri" w:cs="Calibri"/>
          <w:lang w:val="en-US"/>
        </w:rPr>
        <w:t xml:space="preserve"> multiplied by the average price of one ward day in the designated level of care unit </w:t>
      </w:r>
      <w:r w:rsidR="004210E3" w:rsidRPr="002D686B">
        <w:rPr>
          <w:rFonts w:ascii="Calibri" w:eastAsia="Calibri" w:hAnsi="Calibri" w:cs="Calibri"/>
          <w:lang w:val="en-US"/>
        </w:rPr>
        <w:t>a</w:t>
      </w:r>
      <w:r w:rsidR="005C11CD" w:rsidRPr="002D686B">
        <w:rPr>
          <w:rFonts w:ascii="Calibri" w:eastAsia="Calibri" w:hAnsi="Calibri" w:cs="Calibri"/>
          <w:lang w:val="en-US"/>
        </w:rPr>
        <w:t>ccording to the report from the Finnish National Institute for Health and Welfare</w:t>
      </w:r>
      <w:r w:rsidR="005C1B80">
        <w:rPr>
          <w:rFonts w:ascii="Calibri" w:eastAsia="Calibri" w:hAnsi="Calibri" w:cs="Calibri"/>
          <w:lang w:val="en-US"/>
        </w:rPr>
        <w:t xml:space="preserve"> </w:t>
      </w:r>
      <w:r w:rsidR="005C11CD" w:rsidRPr="00C2509C">
        <w:rPr>
          <w:lang w:val="en-US"/>
        </w:rPr>
        <w:fldChar w:fldCharType="begin" w:fldLock="1"/>
      </w:r>
      <w:r w:rsidR="00B83FF2">
        <w:rPr>
          <w:rFonts w:ascii="Calibri" w:hAnsi="Calibri"/>
          <w:lang w:val="en-US"/>
        </w:rPr>
        <w:instrText>ADDIN CSL_CITATION { "citationItems" : [ { "id" : "ITEM-1", "itemData" : { "abstract" : "Terveyden-ja sosiaalihuollon yksikk\u00f6kustannukset Suomessa vuonna 2011 ISBN 978-952-302-078-8 Terveyden-ja hyvinvoinnin laitos (THL) on nyt ensimm\u00e4ist\u00e4 kertaa koonnut terveys-ja sosiaalipalveluiden yksikk\u00f6kustannukset samaan raporttiin. T\u00e4ss\u00e4 raportissa esitell\u00e4\u00e4n yleisimpien terveys-ja sosiaalipalveluiden yksikk\u00f6kustannuksia Suomessa vuonna 2011. Lis\u00e4ksi raportissa esitell\u00e4\u00e4n sosiaali-ja terveydenhuoltoon liittyvi\u00e4 yleisimpi\u00e4 tulonsiirtoja ja opastetaan l\u00e4\u00e4kkeiden, hoitotarvikkeiden ja apuv\u00e4lineiden kustannusten sek\u00e4 matka-ja aikakustannusten ja tuotannonmenetysten laskennassa. Raportti on tarkoitettu kaikille niille, jotka tekev\u00e4t Suomen terveyden-ja sosiaalihuoltoa koskevaa taloudellista arviointia tai jotka muuten tarvitsevat tietoa suomalaisten terveys-ja sosiaalipalveluiden yksikk\u00f6kustannuksista. 3 | 2014 3 | 2014", "author" : [ { "dropping-particle" : "", "family" : "Kapiainen", "given" : "Satu", "non-dropping-particle" : "", "parse-names" : false, "suffix" : "" }, { "dropping-particle" : "", "family" : "V\u00e4is\u00e4nen", "given" : "Antti", "non-dropping-particle" : "", "parse-names" : false, "suffix" : "" }, { "dropping-particle" : "", "family" : "Haula", "given" : "Taru", "non-dropping-particle" : "", "parse-names" : false, "suffix" : "" }, { "dropping-particle" : "", "family" : "Raportti", "given" : "Raportti", "non-dropping-particle" : "", "parse-names" : false, "suffix" : "" } ], "id" : "ITEM-1", "issued" : { "date-parts" : [ [ "2014" ] ] }, "title" : "Terveyden-ja sosiaalihuollon yksikk\u00f6kustannukset Suomessa vuonna 2011", "type" : "report" }, "uris" : [ "http://www.mendeley.com/documents/?uuid=fcd6d403-c387-30f8-afbb-7ea2e4844315" ] } ], "mendeley" : { "formattedCitation" : "(12)", "plainTextFormattedCitation" : "(12)", "previouslyFormattedCitation" : "(12)" }, "properties" : { "noteIndex" : 0 }, "schema" : "https://github.com/citation-style-language/schema/raw/master/csl-citation.json" }</w:instrText>
      </w:r>
      <w:r w:rsidR="005C11CD" w:rsidRPr="00C2509C">
        <w:rPr>
          <w:rFonts w:ascii="Calibri" w:hAnsi="Calibri"/>
          <w:lang w:val="en-US"/>
        </w:rPr>
        <w:fldChar w:fldCharType="separate"/>
      </w:r>
      <w:r w:rsidR="00395A1E" w:rsidRPr="00395A1E">
        <w:rPr>
          <w:rFonts w:ascii="Calibri" w:eastAsia="Calibri" w:hAnsi="Calibri" w:cs="Calibri"/>
          <w:noProof/>
          <w:lang w:val="en-US"/>
        </w:rPr>
        <w:t>(12)</w:t>
      </w:r>
      <w:r w:rsidR="005C11CD" w:rsidRPr="00C2509C">
        <w:rPr>
          <w:lang w:val="en-US"/>
        </w:rPr>
        <w:fldChar w:fldCharType="end"/>
      </w:r>
      <w:r w:rsidR="005C1B80">
        <w:rPr>
          <w:lang w:val="en-US"/>
        </w:rPr>
        <w:t>.</w:t>
      </w:r>
      <w:r w:rsidR="005C11CD" w:rsidRPr="002D686B">
        <w:rPr>
          <w:rFonts w:ascii="Calibri" w:eastAsia="Calibri" w:hAnsi="Calibri" w:cs="Calibri"/>
          <w:lang w:val="en-US"/>
        </w:rPr>
        <w:t xml:space="preserve"> </w:t>
      </w:r>
      <w:r w:rsidR="00623F1E" w:rsidRPr="002D686B">
        <w:rPr>
          <w:rFonts w:ascii="Calibri" w:eastAsia="Calibri" w:hAnsi="Calibri" w:cs="Calibri"/>
          <w:lang w:val="en-US"/>
        </w:rPr>
        <w:t>We obtained social security costs, in</w:t>
      </w:r>
      <w:r w:rsidR="00623F1E" w:rsidRPr="002D686B">
        <w:rPr>
          <w:rFonts w:ascii="Calibri" w:eastAsia="Calibri" w:hAnsi="Calibri" w:cs="Calibri"/>
          <w:lang w:val="en-US"/>
        </w:rPr>
        <w:lastRenderedPageBreak/>
        <w:t>cluding disability allowances, sickness allowances, private physician and physiotherapist expenses, prescription drug expenses</w:t>
      </w:r>
      <w:r w:rsidR="003D4AF9">
        <w:rPr>
          <w:rFonts w:ascii="Calibri" w:eastAsia="Calibri" w:hAnsi="Calibri" w:cs="Calibri"/>
          <w:lang w:val="en-US"/>
        </w:rPr>
        <w:t>,</w:t>
      </w:r>
      <w:r w:rsidR="00623F1E" w:rsidRPr="002D686B">
        <w:rPr>
          <w:rFonts w:ascii="Calibri" w:eastAsia="Calibri" w:hAnsi="Calibri" w:cs="Calibri"/>
          <w:lang w:val="en-US"/>
        </w:rPr>
        <w:t xml:space="preserve"> and medical travel costs directly from the </w:t>
      </w:r>
      <w:r w:rsidR="00F232D8" w:rsidRPr="002D686B">
        <w:rPr>
          <w:rFonts w:ascii="Calibri" w:eastAsia="Calibri" w:hAnsi="Calibri" w:cs="Calibri"/>
          <w:lang w:val="en-US"/>
        </w:rPr>
        <w:t>SII</w:t>
      </w:r>
      <w:r w:rsidR="00623F1E" w:rsidRPr="002D686B">
        <w:rPr>
          <w:rFonts w:ascii="Calibri" w:eastAsia="Calibri" w:hAnsi="Calibri" w:cs="Calibri"/>
          <w:lang w:val="en-US"/>
        </w:rPr>
        <w:t xml:space="preserve"> (referred to as “social security costs”). </w:t>
      </w:r>
      <w:r w:rsidR="003D4AF9">
        <w:rPr>
          <w:rFonts w:ascii="Calibri" w:eastAsia="Calibri" w:hAnsi="Calibri" w:cs="Calibri"/>
          <w:lang w:val="en-US"/>
        </w:rPr>
        <w:t xml:space="preserve">We included all </w:t>
      </w:r>
      <w:r w:rsidR="317200CE" w:rsidRPr="002D686B">
        <w:rPr>
          <w:rFonts w:ascii="Calibri" w:eastAsia="Calibri" w:hAnsi="Calibri" w:cs="Calibri"/>
          <w:lang w:val="en-US"/>
        </w:rPr>
        <w:t xml:space="preserve">reimbursements granted </w:t>
      </w:r>
      <w:r w:rsidR="003D4AF9">
        <w:rPr>
          <w:rFonts w:ascii="Calibri" w:eastAsia="Calibri" w:hAnsi="Calibri" w:cs="Calibri"/>
          <w:lang w:val="en-US"/>
        </w:rPr>
        <w:t>for a period of up to</w:t>
      </w:r>
      <w:r w:rsidR="317200CE" w:rsidRPr="002D686B">
        <w:rPr>
          <w:rFonts w:ascii="Calibri" w:eastAsia="Calibri" w:hAnsi="Calibri" w:cs="Calibri"/>
          <w:lang w:val="en-US"/>
        </w:rPr>
        <w:t xml:space="preserve"> one</w:t>
      </w:r>
      <w:r w:rsidR="003D4AF9">
        <w:rPr>
          <w:rFonts w:ascii="Calibri" w:eastAsia="Calibri" w:hAnsi="Calibri" w:cs="Calibri"/>
          <w:lang w:val="en-US"/>
        </w:rPr>
        <w:t xml:space="preserve"> </w:t>
      </w:r>
      <w:r w:rsidR="317200CE" w:rsidRPr="002D686B">
        <w:rPr>
          <w:rFonts w:ascii="Calibri" w:eastAsia="Calibri" w:hAnsi="Calibri" w:cs="Calibri"/>
          <w:lang w:val="en-US"/>
        </w:rPr>
        <w:t xml:space="preserve">year after the </w:t>
      </w:r>
      <w:r w:rsidR="008E4097" w:rsidRPr="002D686B">
        <w:rPr>
          <w:rFonts w:ascii="Calibri" w:eastAsia="Calibri" w:hAnsi="Calibri" w:cs="Calibri"/>
          <w:lang w:val="en-US"/>
        </w:rPr>
        <w:t>TBI</w:t>
      </w:r>
      <w:r w:rsidR="317200CE" w:rsidRPr="002D686B">
        <w:rPr>
          <w:rFonts w:ascii="Calibri" w:eastAsia="Calibri" w:hAnsi="Calibri" w:cs="Calibri"/>
          <w:lang w:val="en-US"/>
        </w:rPr>
        <w:t xml:space="preserve">. </w:t>
      </w:r>
      <w:r w:rsidR="00DA1620" w:rsidRPr="002D686B">
        <w:rPr>
          <w:rFonts w:ascii="Calibri" w:eastAsia="Calibri" w:hAnsi="Calibri" w:cs="Calibri"/>
          <w:lang w:val="en-US"/>
        </w:rPr>
        <w:t xml:space="preserve">The </w:t>
      </w:r>
      <w:r w:rsidR="003B2857" w:rsidRPr="002D686B">
        <w:rPr>
          <w:rFonts w:ascii="Calibri" w:eastAsia="Calibri" w:hAnsi="Calibri" w:cs="Calibri"/>
          <w:lang w:val="en-US"/>
        </w:rPr>
        <w:t xml:space="preserve">total </w:t>
      </w:r>
      <w:r w:rsidR="00DA1620" w:rsidRPr="002D686B">
        <w:rPr>
          <w:rFonts w:ascii="Calibri" w:eastAsia="Calibri" w:hAnsi="Calibri" w:cs="Calibri"/>
          <w:lang w:val="en-US"/>
        </w:rPr>
        <w:t>one-year</w:t>
      </w:r>
      <w:r w:rsidR="003378B5">
        <w:rPr>
          <w:rFonts w:ascii="Calibri" w:eastAsia="Calibri" w:hAnsi="Calibri" w:cs="Calibri"/>
          <w:lang w:val="en-US"/>
        </w:rPr>
        <w:t xml:space="preserve"> healthcare</w:t>
      </w:r>
      <w:r w:rsidR="00DA1620" w:rsidRPr="002D686B">
        <w:rPr>
          <w:rFonts w:ascii="Calibri" w:eastAsia="Calibri" w:hAnsi="Calibri" w:cs="Calibri"/>
          <w:lang w:val="en-US"/>
        </w:rPr>
        <w:t xml:space="preserve"> cost </w:t>
      </w:r>
      <w:r w:rsidR="003B2857" w:rsidRPr="002D686B">
        <w:rPr>
          <w:rFonts w:ascii="Calibri" w:eastAsia="Calibri" w:hAnsi="Calibri" w:cs="Calibri"/>
          <w:lang w:val="en-US"/>
        </w:rPr>
        <w:t xml:space="preserve">was </w:t>
      </w:r>
      <w:r w:rsidR="00DA1620" w:rsidRPr="002D686B">
        <w:rPr>
          <w:rFonts w:ascii="Calibri" w:eastAsia="Calibri" w:hAnsi="Calibri" w:cs="Calibri"/>
          <w:lang w:val="en-US"/>
        </w:rPr>
        <w:t xml:space="preserve">calculated as the sum of the </w:t>
      </w:r>
      <w:r w:rsidR="00483F38" w:rsidRPr="002D686B">
        <w:rPr>
          <w:rFonts w:ascii="Calibri" w:eastAsia="Calibri" w:hAnsi="Calibri" w:cs="Calibri"/>
          <w:lang w:val="en-US"/>
        </w:rPr>
        <w:t>university hospital</w:t>
      </w:r>
      <w:r w:rsidR="003D4AF9">
        <w:rPr>
          <w:rFonts w:ascii="Calibri" w:eastAsia="Calibri" w:hAnsi="Calibri" w:cs="Calibri"/>
          <w:lang w:val="en-US"/>
        </w:rPr>
        <w:t xml:space="preserve"> costs</w:t>
      </w:r>
      <w:r w:rsidR="00483F38" w:rsidRPr="002D686B">
        <w:rPr>
          <w:rFonts w:ascii="Calibri" w:eastAsia="Calibri" w:hAnsi="Calibri" w:cs="Calibri"/>
          <w:lang w:val="en-US"/>
        </w:rPr>
        <w:t>, rehabilitation unit</w:t>
      </w:r>
      <w:r w:rsidR="003D4AF9">
        <w:rPr>
          <w:rFonts w:ascii="Calibri" w:eastAsia="Calibri" w:hAnsi="Calibri" w:cs="Calibri"/>
          <w:lang w:val="en-US"/>
        </w:rPr>
        <w:t xml:space="preserve"> costs,</w:t>
      </w:r>
      <w:r w:rsidR="00483F38" w:rsidRPr="002D686B">
        <w:rPr>
          <w:rFonts w:ascii="Calibri" w:eastAsia="Calibri" w:hAnsi="Calibri" w:cs="Calibri"/>
          <w:lang w:val="en-US"/>
        </w:rPr>
        <w:t xml:space="preserve"> and social security</w:t>
      </w:r>
      <w:r w:rsidR="003D4AF9">
        <w:rPr>
          <w:rFonts w:ascii="Calibri" w:eastAsia="Calibri" w:hAnsi="Calibri" w:cs="Calibri"/>
          <w:lang w:val="en-US"/>
        </w:rPr>
        <w:t xml:space="preserve"> costs.</w:t>
      </w:r>
    </w:p>
    <w:p w14:paraId="10CA65FB" w14:textId="42FE1D20" w:rsidR="00525BB2" w:rsidRPr="00C2509C" w:rsidRDefault="00525BB2" w:rsidP="00234557">
      <w:pPr>
        <w:spacing w:line="480" w:lineRule="auto"/>
        <w:rPr>
          <w:rFonts w:ascii="Calibri" w:eastAsia="Calibri" w:hAnsi="Calibri" w:cs="Calibri"/>
          <w:color w:val="000000" w:themeColor="text1"/>
          <w:lang w:val="en-US"/>
        </w:rPr>
      </w:pPr>
      <w:r w:rsidRPr="002D686B">
        <w:rPr>
          <w:rFonts w:ascii="Calibri" w:eastAsia="Calibri" w:hAnsi="Calibri" w:cs="Calibri"/>
          <w:color w:val="000000" w:themeColor="text1"/>
          <w:lang w:val="en-US"/>
        </w:rPr>
        <w:t>To evaluate cost-effectiveness</w:t>
      </w:r>
      <w:r w:rsidR="00F232D8" w:rsidRPr="002D686B">
        <w:rPr>
          <w:rFonts w:ascii="Calibri" w:eastAsia="Calibri" w:hAnsi="Calibri" w:cs="Calibri"/>
          <w:color w:val="000000" w:themeColor="text1"/>
          <w:lang w:val="en-US"/>
        </w:rPr>
        <w:t>,</w:t>
      </w:r>
      <w:r w:rsidRPr="002D686B">
        <w:rPr>
          <w:rFonts w:ascii="Calibri" w:eastAsia="Calibri" w:hAnsi="Calibri" w:cs="Calibri"/>
          <w:color w:val="000000" w:themeColor="text1"/>
          <w:lang w:val="en-US"/>
        </w:rPr>
        <w:t xml:space="preserve"> we calculated the </w:t>
      </w:r>
      <w:r w:rsidRPr="00C2509C">
        <w:rPr>
          <w:rFonts w:ascii="Calibri" w:eastAsia="Calibri" w:hAnsi="Calibri" w:cs="Calibri"/>
          <w:color w:val="000000" w:themeColor="text1"/>
          <w:lang w:val="en-US"/>
        </w:rPr>
        <w:t>effective cost per survivor (ECPS) and effective cost per independent survivor (ECPIS), which is defined as</w:t>
      </w:r>
      <w:r w:rsidR="003D4AF9">
        <w:rPr>
          <w:rFonts w:ascii="Calibri" w:eastAsia="Calibri" w:hAnsi="Calibri" w:cs="Calibri"/>
          <w:color w:val="000000" w:themeColor="text1"/>
          <w:lang w:val="en-US"/>
        </w:rPr>
        <w:t xml:space="preserve"> the</w:t>
      </w:r>
      <w:r w:rsidRPr="00C2509C">
        <w:rPr>
          <w:rFonts w:ascii="Calibri" w:eastAsia="Calibri" w:hAnsi="Calibri" w:cs="Calibri"/>
          <w:color w:val="000000" w:themeColor="text1"/>
          <w:lang w:val="en-US"/>
        </w:rPr>
        <w:t xml:space="preserve"> cost for all patients divided by </w:t>
      </w:r>
      <w:r w:rsidR="003D4AF9">
        <w:rPr>
          <w:rFonts w:ascii="Calibri" w:eastAsia="Calibri" w:hAnsi="Calibri" w:cs="Calibri"/>
          <w:color w:val="000000" w:themeColor="text1"/>
          <w:lang w:val="en-US"/>
        </w:rPr>
        <w:t xml:space="preserve">the </w:t>
      </w:r>
      <w:r w:rsidRPr="00C2509C">
        <w:rPr>
          <w:rFonts w:ascii="Calibri" w:eastAsia="Calibri" w:hAnsi="Calibri" w:cs="Calibri"/>
          <w:color w:val="000000" w:themeColor="text1"/>
          <w:lang w:val="en-US"/>
        </w:rPr>
        <w:lastRenderedPageBreak/>
        <w:t>number of (independent) survivors</w:t>
      </w:r>
      <w:r w:rsidR="005C1B80">
        <w:rPr>
          <w:rFonts w:ascii="Calibri" w:eastAsia="Calibri" w:hAnsi="Calibri" w:cs="Calibri"/>
          <w:color w:val="000000" w:themeColor="text1"/>
          <w:lang w:val="en-US"/>
        </w:rPr>
        <w:t xml:space="preserve"> </w:t>
      </w:r>
      <w:r w:rsidRPr="00C2509C">
        <w:rPr>
          <w:lang w:val="en-US"/>
        </w:rPr>
        <w:fldChar w:fldCharType="begin" w:fldLock="1"/>
      </w:r>
      <w:r w:rsidR="00B83FF2">
        <w:rPr>
          <w:rFonts w:ascii="Calibri" w:hAnsi="Calibri"/>
          <w:color w:val="000000" w:themeColor="text1"/>
          <w:lang w:val="en-US"/>
        </w:rPr>
        <w:instrText>ADDIN CSL_CITATION { "citationItems" : [ { "id" : "ITEM-1", "itemData" : { "ISSN" : "0098-7484", "PMID" : "3210284", "abstract" : "To evaluate the effects of reorganizing physician resources in a medical intensive care unit (MICU), we studied the impact of these changes in patients with septic shock. Patients were compared during two consecutive 12-month periods: (1) an interval in which faculty without critical care medicine (CCM) training supervised the MICU (before CCM, n = 100) and (2) following staffing with physicians formally trained in CCM (after CCM, n = 112). Acute Physiology and Chronic Health Evaluation scores were utilized to compare severity of illness and were similar for each group (29 +/- 11 before CCM vs 28 +/- 10 after CCM). However, mortality was significantly lower during the post-CCM interval (74% vs 57%, respectively). There was no significant difference in the frequency of use of mechanical ventilation (83% vs 87%), although pulmonary artery catheters (48% vs 64%) and arterial catheters (24% vs 73%) were employed more frequently after CCM. The number of subspecialty consultations and MICU and hospital length of stay were similar for both intervals. We conclude that the implementation of dedicated staffing by CCM physicians in a university hospital MICU was associated with a favorable impact on patients with septic shock.", "author" : [ { "dropping-particle" : "", "family" : "Reynolds", "given" : "H N", "non-dropping-particle" : "", "parse-names" : false, "suffix" : "" }, { "dropping-particle" : "", "family" : "Haupt", "given" : "M T", "non-dropping-particle" : "", "parse-names" : false, "suffix" : "" }, { "dropping-particle" : "", "family" : "Thill-Baharozian", "given" : "M C", "non-dropping-particle" : "", "parse-names" : false, "suffix" : "" }, { "dropping-particle" : "", "family" : "Carlson", "given" : "R W", "non-dropping-particle" : "", "parse-names" : false, "suffix" : "" } ], "container-title" : "JAMA", "id" : "ITEM-1", "issue" : "23", "issued" : { "date-parts" : [ [ "1988", "12", "16" ] ] }, "note" : "NULL", "page" : "3446-50", "title" : "Impact of critical care physician staffing on patients with septic shock in a university hospital medical intensive care unit.", "type" : "article-journal", "volume" : "260" }, "uris" : [ "http://www.mendeley.com/documents/?uuid=674201ae-ace8-305e-9590-27d2ea7513cb" ] } ], "mendeley" : { "formattedCitation" : "(13)", "plainTextFormattedCitation" : "(13)", "previouslyFormattedCitation" : "(13)" }, "properties" : { "noteIndex" : 0 }, "schema" : "https://github.com/citation-style-language/schema/raw/master/csl-citation.json" }</w:instrText>
      </w:r>
      <w:r w:rsidRPr="00C2509C">
        <w:rPr>
          <w:rFonts w:ascii="Calibri" w:hAnsi="Calibri"/>
          <w:color w:val="000000" w:themeColor="text1"/>
          <w:lang w:val="en-US"/>
        </w:rPr>
        <w:fldChar w:fldCharType="separate"/>
      </w:r>
      <w:r w:rsidR="00395A1E" w:rsidRPr="00395A1E">
        <w:rPr>
          <w:rFonts w:ascii="Calibri" w:eastAsia="Calibri" w:hAnsi="Calibri" w:cs="Calibri"/>
          <w:noProof/>
          <w:color w:val="000000" w:themeColor="text1"/>
          <w:lang w:val="en-US"/>
        </w:rPr>
        <w:t>(13)</w:t>
      </w:r>
      <w:r w:rsidRPr="00C2509C">
        <w:rPr>
          <w:lang w:val="en-US"/>
        </w:rPr>
        <w:fldChar w:fldCharType="end"/>
      </w:r>
      <w:r w:rsidR="005C1B80">
        <w:rPr>
          <w:lang w:val="en-US"/>
        </w:rPr>
        <w:t>.</w:t>
      </w:r>
      <w:r w:rsidRPr="00C2509C">
        <w:rPr>
          <w:rFonts w:ascii="Calibri" w:eastAsia="Calibri" w:hAnsi="Calibri" w:cs="Calibri"/>
          <w:color w:val="000000" w:themeColor="text1"/>
          <w:lang w:val="en-US"/>
        </w:rPr>
        <w:t xml:space="preserve"> The ECPS and ECPIS were calculated for all patients and </w:t>
      </w:r>
      <w:r w:rsidR="003D4AF9">
        <w:rPr>
          <w:rFonts w:ascii="Calibri" w:eastAsia="Calibri" w:hAnsi="Calibri" w:cs="Calibri"/>
          <w:color w:val="000000" w:themeColor="text1"/>
          <w:lang w:val="en-US"/>
        </w:rPr>
        <w:t>for</w:t>
      </w:r>
      <w:r w:rsidRPr="00C2509C">
        <w:rPr>
          <w:rFonts w:ascii="Calibri" w:eastAsia="Calibri" w:hAnsi="Calibri" w:cs="Calibri"/>
          <w:color w:val="000000" w:themeColor="text1"/>
          <w:lang w:val="en-US"/>
        </w:rPr>
        <w:t xml:space="preserve"> the pre-defined subgroups (see “</w:t>
      </w:r>
      <w:r w:rsidR="00191D4E">
        <w:rPr>
          <w:rFonts w:ascii="Calibri" w:eastAsia="Calibri" w:hAnsi="Calibri" w:cs="Calibri"/>
          <w:color w:val="000000" w:themeColor="text1"/>
          <w:lang w:val="en-US"/>
        </w:rPr>
        <w:t>subgroup</w:t>
      </w:r>
      <w:r w:rsidR="00191D4E" w:rsidRPr="00C2509C">
        <w:rPr>
          <w:rFonts w:ascii="Calibri" w:eastAsia="Calibri" w:hAnsi="Calibri" w:cs="Calibri"/>
          <w:color w:val="000000" w:themeColor="text1"/>
          <w:lang w:val="en-US"/>
        </w:rPr>
        <w:t xml:space="preserve"> </w:t>
      </w:r>
      <w:r w:rsidRPr="00C2509C">
        <w:rPr>
          <w:rFonts w:ascii="Calibri" w:eastAsia="Calibri" w:hAnsi="Calibri" w:cs="Calibri"/>
          <w:color w:val="000000" w:themeColor="text1"/>
          <w:lang w:val="en-US"/>
        </w:rPr>
        <w:t xml:space="preserve">analyses”).  </w:t>
      </w:r>
    </w:p>
    <w:p w14:paraId="54BC5B09" w14:textId="7C64808F" w:rsidR="00074BE4" w:rsidRPr="00C2509C" w:rsidRDefault="00483F38" w:rsidP="00234557">
      <w:pPr>
        <w:spacing w:line="480" w:lineRule="auto"/>
        <w:rPr>
          <w:rFonts w:ascii="Calibri" w:eastAsia="Calibri" w:hAnsi="Calibri" w:cs="Calibri"/>
          <w:sz w:val="18"/>
          <w:lang w:val="en-US"/>
        </w:rPr>
      </w:pPr>
      <w:r w:rsidRPr="002D686B">
        <w:rPr>
          <w:rFonts w:ascii="Calibri" w:eastAsia="Calibri" w:hAnsi="Calibri" w:cs="Calibri"/>
          <w:lang w:val="en-US"/>
        </w:rPr>
        <w:t xml:space="preserve">We adjusted </w:t>
      </w:r>
      <w:r w:rsidR="003B2857" w:rsidRPr="002D686B">
        <w:rPr>
          <w:rFonts w:ascii="Calibri" w:eastAsia="Calibri" w:hAnsi="Calibri" w:cs="Calibri"/>
          <w:lang w:val="en-US"/>
        </w:rPr>
        <w:t xml:space="preserve">all costs </w:t>
      </w:r>
      <w:r w:rsidR="00455B48">
        <w:rPr>
          <w:rFonts w:ascii="Calibri" w:eastAsia="Calibri" w:hAnsi="Calibri" w:cs="Calibri"/>
          <w:lang w:val="en-US"/>
        </w:rPr>
        <w:t>according to the</w:t>
      </w:r>
      <w:r w:rsidRPr="002D686B">
        <w:rPr>
          <w:rFonts w:ascii="Calibri" w:eastAsia="Calibri" w:hAnsi="Calibri" w:cs="Calibri"/>
          <w:lang w:val="en-US"/>
        </w:rPr>
        <w:t xml:space="preserve"> </w:t>
      </w:r>
      <w:r w:rsidR="003C14F3">
        <w:rPr>
          <w:rFonts w:ascii="Calibri" w:eastAsia="Calibri" w:hAnsi="Calibri" w:cs="Calibri"/>
          <w:lang w:val="en-US"/>
        </w:rPr>
        <w:t>c</w:t>
      </w:r>
      <w:r w:rsidR="003C14F3" w:rsidRPr="002D686B">
        <w:rPr>
          <w:rFonts w:ascii="Calibri" w:eastAsia="Calibri" w:hAnsi="Calibri" w:cs="Calibri"/>
          <w:lang w:val="en-US"/>
        </w:rPr>
        <w:t xml:space="preserve">onsumer </w:t>
      </w:r>
      <w:r w:rsidR="003C14F3">
        <w:rPr>
          <w:rFonts w:ascii="Calibri" w:eastAsia="Calibri" w:hAnsi="Calibri" w:cs="Calibri"/>
          <w:lang w:val="en-US"/>
        </w:rPr>
        <w:t>p</w:t>
      </w:r>
      <w:r w:rsidRPr="002D686B">
        <w:rPr>
          <w:rFonts w:ascii="Calibri" w:eastAsia="Calibri" w:hAnsi="Calibri" w:cs="Calibri"/>
          <w:lang w:val="en-US"/>
        </w:rPr>
        <w:t xml:space="preserve">rice </w:t>
      </w:r>
      <w:r w:rsidR="003C14F3">
        <w:rPr>
          <w:rFonts w:ascii="Calibri" w:eastAsia="Calibri" w:hAnsi="Calibri" w:cs="Calibri"/>
          <w:lang w:val="en-US"/>
        </w:rPr>
        <w:t>i</w:t>
      </w:r>
      <w:r w:rsidRPr="002D686B">
        <w:rPr>
          <w:rFonts w:ascii="Calibri" w:eastAsia="Calibri" w:hAnsi="Calibri" w:cs="Calibri"/>
          <w:lang w:val="en-US"/>
        </w:rPr>
        <w:t>ndex (CPI) in Finland</w:t>
      </w:r>
      <w:r w:rsidR="00234557" w:rsidRPr="002D686B">
        <w:rPr>
          <w:rFonts w:ascii="Calibri" w:eastAsia="Calibri" w:hAnsi="Calibri" w:cs="Calibri"/>
          <w:lang w:val="en-US"/>
        </w:rPr>
        <w:t xml:space="preserve"> to 2013 euros</w:t>
      </w:r>
      <w:r w:rsidR="005C1B80">
        <w:rPr>
          <w:rFonts w:ascii="Calibri" w:eastAsia="Calibri" w:hAnsi="Calibri" w:cs="Calibri"/>
          <w:lang w:val="en-US"/>
        </w:rPr>
        <w:t xml:space="preserve"> </w:t>
      </w:r>
      <w:r w:rsidR="009062DF" w:rsidRPr="00C2509C">
        <w:rPr>
          <w:lang w:val="en-US"/>
        </w:rPr>
        <w:fldChar w:fldCharType="begin" w:fldLock="1"/>
      </w:r>
      <w:r w:rsidR="00B83FF2">
        <w:rPr>
          <w:rFonts w:ascii="Calibri" w:hAnsi="Calibri"/>
          <w:lang w:val="en-US"/>
        </w:rPr>
        <w:instrText>ADDIN CSL_CITATION { "citationItems" : [ { "id" : "ITEM-1", "itemData" : { "URL" : "http://www.stat.fi/til/khi/2014/07/khi_2014_07_2014-08-14_tau_004_en.html", "accessed" : { "date-parts" : [ [ "2017", "2", "15" ] ] }, "author" : [ { "dropping-particle" : "", "family" : "Official Statistics of Finland (OSF)", "given" : "", "non-dropping-particle" : "", "parse-names" : false, "suffix" : "" } ], "container-title" : "2014", "id" : "ITEM-1", "issued" : { "date-parts" : [ [ "0" ] ] }, "title" : "Consumer price index [e-publication]", "type" : "webpage" }, "uris" : [ "http://www.mendeley.com/documents/?uuid=ad8a648f-ae40-33bc-ac9b-da8c0d55ee37" ] } ], "mendeley" : { "formattedCitation" : "(14)", "plainTextFormattedCitation" : "(14)", "previouslyFormattedCitation" : "(14)" }, "properties" : { "noteIndex" : 0 }, "schema" : "https://github.com/citation-style-language/schema/raw/master/csl-citation.json" }</w:instrText>
      </w:r>
      <w:r w:rsidR="009062DF" w:rsidRPr="00C2509C">
        <w:rPr>
          <w:rFonts w:ascii="Calibri" w:hAnsi="Calibri"/>
          <w:lang w:val="en-US"/>
        </w:rPr>
        <w:fldChar w:fldCharType="separate"/>
      </w:r>
      <w:r w:rsidR="00395A1E" w:rsidRPr="00395A1E">
        <w:rPr>
          <w:rFonts w:ascii="Calibri" w:eastAsia="Calibri" w:hAnsi="Calibri" w:cs="Calibri"/>
          <w:noProof/>
          <w:lang w:val="en-US"/>
        </w:rPr>
        <w:t>(14)</w:t>
      </w:r>
      <w:r w:rsidR="009062DF" w:rsidRPr="00C2509C">
        <w:rPr>
          <w:lang w:val="en-US"/>
        </w:rPr>
        <w:fldChar w:fldCharType="end"/>
      </w:r>
      <w:r w:rsidR="005C1B80">
        <w:rPr>
          <w:lang w:val="en-US"/>
        </w:rPr>
        <w:t>.</w:t>
      </w:r>
      <w:r w:rsidR="009062DF" w:rsidRPr="002D686B">
        <w:rPr>
          <w:rFonts w:ascii="Calibri" w:eastAsia="Calibri" w:hAnsi="Calibri" w:cs="Calibri"/>
          <w:lang w:val="en-US"/>
        </w:rPr>
        <w:t xml:space="preserve"> </w:t>
      </w:r>
      <w:r w:rsidR="00084526" w:rsidRPr="002D686B">
        <w:rPr>
          <w:rFonts w:ascii="Calibri" w:eastAsia="Calibri" w:hAnsi="Calibri" w:cs="Calibri"/>
          <w:lang w:val="en-US"/>
        </w:rPr>
        <w:t>The CPI adjusted costs were calculated as</w:t>
      </w:r>
      <w:r w:rsidR="009062DF" w:rsidRPr="002D686B">
        <w:rPr>
          <w:rFonts w:ascii="Calibri" w:eastAsia="Calibri" w:hAnsi="Calibri" w:cs="Calibri"/>
          <w:lang w:val="en-US"/>
        </w:rPr>
        <w:t xml:space="preserve"> follow</w:t>
      </w:r>
      <w:r w:rsidR="00D210F3">
        <w:rPr>
          <w:rFonts w:ascii="Calibri" w:eastAsia="Calibri" w:hAnsi="Calibri" w:cs="Calibri"/>
          <w:lang w:val="en-US"/>
        </w:rPr>
        <w:t>s</w:t>
      </w:r>
      <w:r w:rsidR="00084526" w:rsidRPr="002D686B">
        <w:rPr>
          <w:rFonts w:ascii="Calibri" w:eastAsia="Calibri" w:hAnsi="Calibri" w:cs="Calibri"/>
          <w:lang w:val="en-US"/>
        </w:rPr>
        <w:t xml:space="preserve">: </w:t>
      </w:r>
    </w:p>
    <w:p w14:paraId="09A43FD0" w14:textId="15704AB0" w:rsidR="00623F1E" w:rsidRPr="002D686B" w:rsidRDefault="00F232D8" w:rsidP="00D94BBD">
      <w:pPr>
        <w:spacing w:line="480" w:lineRule="auto"/>
        <w:rPr>
          <w:rFonts w:ascii="Calibri" w:eastAsia="Calibri" w:hAnsi="Calibri" w:cs="Calibri"/>
          <w:lang w:val="en-US"/>
        </w:rPr>
      </w:pPr>
      <m:oMathPara>
        <m:oMath>
          <m:r>
            <w:rPr>
              <w:rFonts w:ascii="Cambria Math" w:eastAsia="Calibri" w:hAnsi="Cambria Math" w:cs="Calibri"/>
              <w:lang w:val="en-US"/>
            </w:rPr>
            <m:t>CPI adjusted cost= Cost*</m:t>
          </m:r>
          <m:f>
            <m:fPr>
              <m:ctrlPr>
                <w:rPr>
                  <w:rFonts w:ascii="Cambria Math" w:eastAsia="Calibri" w:hAnsi="Cambria Math" w:cs="Calibri"/>
                  <w:i/>
                  <w:lang w:val="en-US"/>
                </w:rPr>
              </m:ctrlPr>
            </m:fPr>
            <m:num>
              <m:r>
                <w:rPr>
                  <w:rFonts w:ascii="Cambria Math" w:eastAsia="Calibri" w:hAnsi="Cambria Math" w:cs="Calibri"/>
                  <w:lang w:val="en-US"/>
                </w:rPr>
                <m:t>CPI in 2013</m:t>
              </m:r>
            </m:num>
            <m:den>
              <m:r>
                <w:rPr>
                  <w:rFonts w:ascii="Cambria Math" w:eastAsia="Calibri" w:hAnsi="Cambria Math" w:cs="Calibri"/>
                  <w:lang w:val="en-US"/>
                </w:rPr>
                <m:t>Admission year CPI</m:t>
              </m:r>
            </m:den>
          </m:f>
        </m:oMath>
      </m:oMathPara>
    </w:p>
    <w:p w14:paraId="1E073321" w14:textId="77777777" w:rsidR="00A11575" w:rsidRDefault="00A11575" w:rsidP="00A11575">
      <w:pPr>
        <w:rPr>
          <w:lang w:val="en-US"/>
        </w:rPr>
      </w:pPr>
    </w:p>
    <w:p w14:paraId="73645AB5" w14:textId="4B634F7E" w:rsidR="00AD79F8" w:rsidRPr="00AD79F8" w:rsidRDefault="00A11575" w:rsidP="00B224E2">
      <w:pPr>
        <w:spacing w:line="480" w:lineRule="auto"/>
        <w:rPr>
          <w:color w:val="000000" w:themeColor="text1"/>
          <w:lang w:val="en-US"/>
        </w:rPr>
      </w:pPr>
      <w:r w:rsidRPr="005375EA">
        <w:rPr>
          <w:color w:val="000000" w:themeColor="text1"/>
          <w:lang w:val="en-US"/>
        </w:rPr>
        <w:t xml:space="preserve">All </w:t>
      </w:r>
      <w:r w:rsidR="00B224E2" w:rsidRPr="005375EA">
        <w:rPr>
          <w:color w:val="000000" w:themeColor="text1"/>
          <w:lang w:val="en-US"/>
        </w:rPr>
        <w:t>CPI adjusted costs</w:t>
      </w:r>
      <w:r w:rsidRPr="005375EA">
        <w:rPr>
          <w:color w:val="000000" w:themeColor="text1"/>
          <w:lang w:val="en-US"/>
        </w:rPr>
        <w:t xml:space="preserve"> were then converted to 2013 U.S. dollars (USD) </w:t>
      </w:r>
      <w:r w:rsidR="00B224E2" w:rsidRPr="005375EA">
        <w:rPr>
          <w:color w:val="000000" w:themeColor="text1"/>
          <w:lang w:val="en-US"/>
        </w:rPr>
        <w:t>using the Purchasing Power Parities (PPP) (2013 PPP [Finnish national currency unit in 2013 / USD in 2013] = 0.905]</w:t>
      </w:r>
      <w:r w:rsidR="005C1B80">
        <w:rPr>
          <w:color w:val="000000" w:themeColor="text1"/>
          <w:lang w:val="en-US"/>
        </w:rPr>
        <w:t xml:space="preserve"> </w:t>
      </w:r>
      <w:r w:rsidR="00E96540" w:rsidRPr="005375EA">
        <w:rPr>
          <w:color w:val="000000" w:themeColor="text1"/>
          <w:lang w:val="en-US"/>
        </w:rPr>
        <w:fldChar w:fldCharType="begin" w:fldLock="1"/>
      </w:r>
      <w:r w:rsidR="00B83FF2">
        <w:rPr>
          <w:color w:val="000000" w:themeColor="text1"/>
          <w:lang w:val="en-US"/>
        </w:rPr>
        <w:instrText>ADDIN CSL_CITATION { "citationItems" : [ { "id" : "ITEM-1", "itemData" : { "id" : "ITEM-1", "issued" : { "date-parts" : [ [ "0" ] ] }, "publisher-place" : "Paris, France", "title" : "Organisation for Economic Co-operation and Development (OECD): Purchasing Power Parities (PPP)", "type" : "report" }, "uris" : [ "http://www.mendeley.com/documents/?uuid=802e0dd7-e3eb-46fc-aca2-c1d07df11642" ] } ], "mendeley" : { "formattedCitation" : "(15)", "plainTextFormattedCitation" : "(15)", "previouslyFormattedCitation" : "(15)" }, "properties" : { "noteIndex" : 0 }, "schema" : "https://github.com/citation-style-language/schema/raw/master/csl-citation.json" }</w:instrText>
      </w:r>
      <w:r w:rsidR="00E96540" w:rsidRPr="005375EA">
        <w:rPr>
          <w:color w:val="000000" w:themeColor="text1"/>
          <w:lang w:val="en-US"/>
        </w:rPr>
        <w:fldChar w:fldCharType="separate"/>
      </w:r>
      <w:r w:rsidR="00395A1E" w:rsidRPr="00395A1E">
        <w:rPr>
          <w:noProof/>
          <w:color w:val="000000" w:themeColor="text1"/>
          <w:lang w:val="en-US"/>
        </w:rPr>
        <w:t>(15)</w:t>
      </w:r>
      <w:r w:rsidR="00E96540" w:rsidRPr="005375EA">
        <w:rPr>
          <w:color w:val="000000" w:themeColor="text1"/>
          <w:lang w:val="en-US"/>
        </w:rPr>
        <w:fldChar w:fldCharType="end"/>
      </w:r>
      <w:r w:rsidR="005C1B80">
        <w:rPr>
          <w:color w:val="000000" w:themeColor="text1"/>
          <w:lang w:val="en-US"/>
        </w:rPr>
        <w:t>.</w:t>
      </w:r>
      <w:r w:rsidR="00B224E2" w:rsidRPr="005375EA">
        <w:rPr>
          <w:color w:val="000000" w:themeColor="text1"/>
          <w:lang w:val="en-US"/>
        </w:rPr>
        <w:t xml:space="preserve"> </w:t>
      </w:r>
    </w:p>
    <w:p w14:paraId="0310A7A2" w14:textId="2452824F" w:rsidR="00572340" w:rsidRPr="00C80A8E" w:rsidRDefault="00C40003" w:rsidP="000F3B33">
      <w:pPr>
        <w:pStyle w:val="Heading2"/>
        <w:rPr>
          <w:b/>
          <w:lang w:val="en-US"/>
        </w:rPr>
      </w:pPr>
      <w:r w:rsidRPr="00C80A8E">
        <w:rPr>
          <w:rFonts w:eastAsia="Calibri" w:cs="Calibri"/>
          <w:b/>
          <w:lang w:val="en-US"/>
        </w:rPr>
        <w:lastRenderedPageBreak/>
        <w:t>statistical methods</w:t>
      </w:r>
    </w:p>
    <w:p w14:paraId="2F404CA5" w14:textId="37D7A051" w:rsidR="00E173B0" w:rsidRDefault="00D210F3" w:rsidP="00D94BBD">
      <w:pPr>
        <w:spacing w:line="480" w:lineRule="auto"/>
        <w:rPr>
          <w:rFonts w:ascii="Calibri" w:eastAsia="Calibri" w:hAnsi="Calibri" w:cs="Calibri"/>
          <w:lang w:val="en-US"/>
        </w:rPr>
      </w:pPr>
      <w:r>
        <w:rPr>
          <w:rFonts w:ascii="Calibri" w:eastAsia="Calibri" w:hAnsi="Calibri" w:cs="Calibri"/>
          <w:lang w:val="en-US"/>
        </w:rPr>
        <w:t xml:space="preserve">We used </w:t>
      </w:r>
      <w:r w:rsidR="00B16B79" w:rsidRPr="002D686B">
        <w:rPr>
          <w:rFonts w:ascii="Calibri" w:eastAsia="Calibri" w:hAnsi="Calibri" w:cs="Calibri"/>
          <w:lang w:val="en-US"/>
        </w:rPr>
        <w:t xml:space="preserve">SPSS Statistics </w:t>
      </w:r>
      <w:r w:rsidR="006211BA" w:rsidRPr="002D686B">
        <w:rPr>
          <w:rFonts w:ascii="Calibri" w:eastAsia="Calibri" w:hAnsi="Calibri" w:cs="Calibri"/>
          <w:lang w:val="en-US"/>
        </w:rPr>
        <w:t xml:space="preserve">24.0 </w:t>
      </w:r>
      <w:r w:rsidR="00B16B79" w:rsidRPr="002D686B">
        <w:rPr>
          <w:rFonts w:ascii="Calibri" w:eastAsia="Calibri" w:hAnsi="Calibri" w:cs="Calibri"/>
          <w:lang w:val="en-US"/>
        </w:rPr>
        <w:t xml:space="preserve">for </w:t>
      </w:r>
      <w:r w:rsidR="001A7565" w:rsidRPr="002D686B">
        <w:rPr>
          <w:rFonts w:ascii="Calibri" w:eastAsia="Calibri" w:hAnsi="Calibri" w:cs="Calibri"/>
          <w:lang w:val="en-US"/>
        </w:rPr>
        <w:t>mac</w:t>
      </w:r>
      <w:r w:rsidR="00E41BD2">
        <w:rPr>
          <w:rFonts w:ascii="Calibri" w:eastAsia="Calibri" w:hAnsi="Calibri" w:cs="Calibri"/>
          <w:lang w:val="en-US"/>
        </w:rPr>
        <w:t xml:space="preserve"> </w:t>
      </w:r>
      <w:r w:rsidR="001A7565" w:rsidRPr="002D686B">
        <w:rPr>
          <w:rFonts w:ascii="Calibri" w:eastAsia="Calibri" w:hAnsi="Calibri" w:cs="Calibri"/>
          <w:lang w:val="en-US"/>
        </w:rPr>
        <w:t>OS</w:t>
      </w:r>
      <w:r w:rsidR="00B16B79" w:rsidRPr="002D686B">
        <w:rPr>
          <w:rFonts w:ascii="Calibri" w:eastAsia="Calibri" w:hAnsi="Calibri" w:cs="Calibri"/>
          <w:lang w:val="en-US"/>
        </w:rPr>
        <w:t xml:space="preserve"> (</w:t>
      </w:r>
      <w:r w:rsidR="317200CE" w:rsidRPr="002D686B">
        <w:rPr>
          <w:rFonts w:ascii="Calibri" w:eastAsia="Calibri" w:hAnsi="Calibri" w:cs="Calibri"/>
          <w:lang w:val="en-US"/>
        </w:rPr>
        <w:t>Armonk, NY: IBM Corp</w:t>
      </w:r>
      <w:r w:rsidR="00B16B79" w:rsidRPr="002D686B">
        <w:rPr>
          <w:rFonts w:ascii="Calibri" w:eastAsia="Calibri" w:hAnsi="Calibri" w:cs="Calibri"/>
          <w:lang w:val="en-US"/>
        </w:rPr>
        <w:t>)</w:t>
      </w:r>
      <w:r w:rsidR="317200CE" w:rsidRPr="002D686B">
        <w:rPr>
          <w:rFonts w:ascii="Calibri" w:eastAsia="Calibri" w:hAnsi="Calibri" w:cs="Calibri"/>
          <w:lang w:val="en-US"/>
        </w:rPr>
        <w:t xml:space="preserve"> and </w:t>
      </w:r>
      <w:r w:rsidR="00B16B79" w:rsidRPr="002D686B">
        <w:rPr>
          <w:rFonts w:ascii="Calibri" w:eastAsia="Calibri" w:hAnsi="Calibri" w:cs="Calibri"/>
          <w:lang w:val="en-US"/>
        </w:rPr>
        <w:t xml:space="preserve">Stata Statistical Software </w:t>
      </w:r>
      <w:r w:rsidR="00DA3EE6" w:rsidRPr="002D686B">
        <w:rPr>
          <w:rFonts w:ascii="Calibri" w:eastAsia="Calibri" w:hAnsi="Calibri" w:cs="Calibri"/>
          <w:lang w:val="en-US"/>
        </w:rPr>
        <w:t>for mac</w:t>
      </w:r>
      <w:r w:rsidR="00E41BD2">
        <w:rPr>
          <w:rFonts w:ascii="Calibri" w:eastAsia="Calibri" w:hAnsi="Calibri" w:cs="Calibri"/>
          <w:lang w:val="en-US"/>
        </w:rPr>
        <w:t xml:space="preserve"> </w:t>
      </w:r>
      <w:r w:rsidR="00DA3EE6" w:rsidRPr="002D686B">
        <w:rPr>
          <w:rFonts w:ascii="Calibri" w:eastAsia="Calibri" w:hAnsi="Calibri" w:cs="Calibri"/>
          <w:lang w:val="en-US"/>
        </w:rPr>
        <w:t xml:space="preserve">OS </w:t>
      </w:r>
      <w:r w:rsidR="00B16B79" w:rsidRPr="002D686B">
        <w:rPr>
          <w:rFonts w:ascii="Calibri" w:eastAsia="Calibri" w:hAnsi="Calibri" w:cs="Calibri"/>
          <w:lang w:val="en-US"/>
        </w:rPr>
        <w:t>(</w:t>
      </w:r>
      <w:r w:rsidR="317200CE" w:rsidRPr="002D686B">
        <w:rPr>
          <w:rFonts w:ascii="Calibri" w:eastAsia="Calibri" w:hAnsi="Calibri" w:cs="Calibri"/>
          <w:lang w:val="en-US"/>
        </w:rPr>
        <w:t>College Station, TX: StataCorp LP</w:t>
      </w:r>
      <w:r w:rsidR="00B16B79" w:rsidRPr="002D686B">
        <w:rPr>
          <w:rFonts w:ascii="Calibri" w:eastAsia="Calibri" w:hAnsi="Calibri" w:cs="Calibri"/>
          <w:lang w:val="en-US"/>
        </w:rPr>
        <w:t>)</w:t>
      </w:r>
      <w:r w:rsidR="317200CE" w:rsidRPr="002D686B">
        <w:rPr>
          <w:rFonts w:ascii="Calibri" w:eastAsia="Calibri" w:hAnsi="Calibri" w:cs="Calibri"/>
          <w:lang w:val="en-US"/>
        </w:rPr>
        <w:t xml:space="preserve"> for the statistical analyses. </w:t>
      </w:r>
    </w:p>
    <w:p w14:paraId="171D3DDD" w14:textId="77777777" w:rsidR="00DF4406" w:rsidRPr="002D686B" w:rsidRDefault="00DF4406" w:rsidP="00D94BBD">
      <w:pPr>
        <w:spacing w:line="480" w:lineRule="auto"/>
        <w:rPr>
          <w:rFonts w:ascii="Calibri" w:hAnsi="Calibri"/>
          <w:b/>
          <w:lang w:val="en-US"/>
        </w:rPr>
      </w:pPr>
    </w:p>
    <w:p w14:paraId="2EA16AD9" w14:textId="015FEF66" w:rsidR="00EA6183" w:rsidRPr="00E77C03" w:rsidRDefault="00965435" w:rsidP="002063BA">
      <w:pPr>
        <w:spacing w:line="480" w:lineRule="auto"/>
        <w:rPr>
          <w:rFonts w:ascii="Calibri" w:eastAsia="Calibri" w:hAnsi="Calibri" w:cs="Calibri"/>
          <w:lang w:val="en-US"/>
        </w:rPr>
      </w:pPr>
      <w:r w:rsidRPr="002D686B">
        <w:rPr>
          <w:rFonts w:ascii="Calibri" w:eastAsia="Calibri" w:hAnsi="Calibri" w:cs="Calibri"/>
          <w:lang w:val="en-US"/>
        </w:rPr>
        <w:t>To adjust for case-mix over the years</w:t>
      </w:r>
      <w:r w:rsidR="009C3F68">
        <w:rPr>
          <w:rFonts w:ascii="Calibri" w:eastAsia="Calibri" w:hAnsi="Calibri" w:cs="Calibri"/>
          <w:lang w:val="en-US"/>
        </w:rPr>
        <w:t>,</w:t>
      </w:r>
      <w:r w:rsidRPr="002D686B">
        <w:rPr>
          <w:rFonts w:ascii="Calibri" w:eastAsia="Calibri" w:hAnsi="Calibri" w:cs="Calibri"/>
          <w:lang w:val="en-US"/>
        </w:rPr>
        <w:t xml:space="preserve"> we created a severity of illness model </w:t>
      </w:r>
      <w:r w:rsidR="009C3F68">
        <w:rPr>
          <w:rFonts w:ascii="Calibri" w:eastAsia="Calibri" w:hAnsi="Calibri" w:cs="Calibri"/>
          <w:lang w:val="en-US"/>
        </w:rPr>
        <w:t xml:space="preserve">that included </w:t>
      </w:r>
      <w:r w:rsidR="317200CE" w:rsidRPr="002D686B">
        <w:rPr>
          <w:rFonts w:ascii="Calibri" w:eastAsia="Calibri" w:hAnsi="Calibri" w:cs="Calibri"/>
          <w:lang w:val="en-US"/>
        </w:rPr>
        <w:t>age, gender, GCS score</w:t>
      </w:r>
      <w:r w:rsidR="00F75E9B">
        <w:rPr>
          <w:rFonts w:ascii="Calibri" w:eastAsia="Calibri" w:hAnsi="Calibri" w:cs="Calibri"/>
          <w:lang w:val="en-US"/>
        </w:rPr>
        <w:t xml:space="preserve">, </w:t>
      </w:r>
      <w:r w:rsidR="317200CE" w:rsidRPr="002D686B">
        <w:rPr>
          <w:rFonts w:ascii="Calibri" w:eastAsia="Calibri" w:hAnsi="Calibri" w:cs="Calibri"/>
          <w:lang w:val="en-US"/>
        </w:rPr>
        <w:t>chronic comorbidity</w:t>
      </w:r>
      <w:r w:rsidR="00B60668" w:rsidRPr="002D686B">
        <w:rPr>
          <w:rFonts w:ascii="Calibri" w:eastAsia="Calibri" w:hAnsi="Calibri" w:cs="Calibri"/>
          <w:lang w:val="en-US"/>
        </w:rPr>
        <w:t xml:space="preserve">, </w:t>
      </w:r>
      <w:r w:rsidR="317200CE" w:rsidRPr="002D686B">
        <w:rPr>
          <w:rFonts w:ascii="Calibri" w:eastAsia="Calibri" w:hAnsi="Calibri" w:cs="Calibri"/>
          <w:lang w:val="en-US"/>
        </w:rPr>
        <w:t>WHO/ECOG classification</w:t>
      </w:r>
      <w:r w:rsidR="00E52742">
        <w:rPr>
          <w:rFonts w:ascii="Calibri" w:eastAsia="Calibri" w:hAnsi="Calibri" w:cs="Calibri"/>
          <w:lang w:val="en-US"/>
        </w:rPr>
        <w:t xml:space="preserve"> (</w:t>
      </w:r>
      <w:r w:rsidR="00E52742" w:rsidRPr="00E52742">
        <w:rPr>
          <w:rFonts w:ascii="Calibri" w:eastAsia="Calibri" w:hAnsi="Calibri" w:cs="Calibri"/>
          <w:lang w:val="en-US"/>
        </w:rPr>
        <w:t>World Health Organiza</w:t>
      </w:r>
      <w:r w:rsidR="00E52742" w:rsidRPr="00E52742">
        <w:rPr>
          <w:rFonts w:ascii="Calibri" w:eastAsia="Calibri" w:hAnsi="Calibri" w:cs="Calibri"/>
          <w:lang w:val="en-US"/>
        </w:rPr>
        <w:lastRenderedPageBreak/>
        <w:t>tion/Eastern Cooperative Oncology Group</w:t>
      </w:r>
      <w:r w:rsidR="00E52742">
        <w:rPr>
          <w:rFonts w:ascii="Calibri" w:eastAsia="Calibri" w:hAnsi="Calibri" w:cs="Calibri"/>
          <w:lang w:val="en-US"/>
        </w:rPr>
        <w:t>)</w:t>
      </w:r>
      <w:r w:rsidR="317200CE" w:rsidRPr="002D686B">
        <w:rPr>
          <w:rFonts w:ascii="Calibri" w:eastAsia="Calibri" w:hAnsi="Calibri" w:cs="Calibri"/>
          <w:lang w:val="en-US"/>
        </w:rPr>
        <w:t>, Marshall CT classification</w:t>
      </w:r>
      <w:r w:rsidR="009C3F68">
        <w:rPr>
          <w:rFonts w:ascii="Calibri" w:eastAsia="Calibri" w:hAnsi="Calibri" w:cs="Calibri"/>
          <w:lang w:val="en-US"/>
        </w:rPr>
        <w:t>,</w:t>
      </w:r>
      <w:r w:rsidR="00DA3EE6" w:rsidRPr="002D686B">
        <w:rPr>
          <w:rFonts w:ascii="Calibri" w:eastAsia="Calibri" w:hAnsi="Calibri" w:cs="Calibri"/>
          <w:lang w:val="en-US"/>
        </w:rPr>
        <w:t xml:space="preserve"> and</w:t>
      </w:r>
      <w:r w:rsidR="317200CE" w:rsidRPr="002D686B">
        <w:rPr>
          <w:rFonts w:ascii="Calibri" w:eastAsia="Calibri" w:hAnsi="Calibri" w:cs="Calibri"/>
          <w:lang w:val="en-US"/>
        </w:rPr>
        <w:t xml:space="preserve"> SAPS </w:t>
      </w:r>
      <w:r w:rsidR="00EC7D04" w:rsidRPr="002D686B">
        <w:rPr>
          <w:rFonts w:ascii="Calibri" w:eastAsia="Calibri" w:hAnsi="Calibri" w:cs="Calibri"/>
          <w:lang w:val="en-US"/>
        </w:rPr>
        <w:t>II</w:t>
      </w:r>
      <w:r w:rsidR="317200CE" w:rsidRPr="002D686B">
        <w:rPr>
          <w:rFonts w:ascii="Calibri" w:eastAsia="Calibri" w:hAnsi="Calibri" w:cs="Calibri"/>
          <w:lang w:val="en-US"/>
        </w:rPr>
        <w:t xml:space="preserve"> total score </w:t>
      </w:r>
      <w:r w:rsidR="00DA3EE6" w:rsidRPr="002D686B">
        <w:rPr>
          <w:rFonts w:ascii="Calibri" w:eastAsia="Calibri" w:hAnsi="Calibri" w:cs="Calibri"/>
          <w:lang w:val="en-US"/>
        </w:rPr>
        <w:t>(</w:t>
      </w:r>
      <w:r w:rsidR="00933F0B">
        <w:rPr>
          <w:rFonts w:ascii="Calibri" w:eastAsia="Calibri" w:hAnsi="Calibri" w:cs="Calibri"/>
          <w:lang w:val="en-US"/>
        </w:rPr>
        <w:t>excluding</w:t>
      </w:r>
      <w:r w:rsidR="317200CE" w:rsidRPr="002D686B">
        <w:rPr>
          <w:rFonts w:ascii="Calibri" w:eastAsia="Calibri" w:hAnsi="Calibri" w:cs="Calibri"/>
          <w:lang w:val="en-US"/>
        </w:rPr>
        <w:t xml:space="preserve"> age, GCS score</w:t>
      </w:r>
      <w:r w:rsidR="009C3F68">
        <w:rPr>
          <w:rFonts w:ascii="Calibri" w:eastAsia="Calibri" w:hAnsi="Calibri" w:cs="Calibri"/>
          <w:lang w:val="en-US"/>
        </w:rPr>
        <w:t>,</w:t>
      </w:r>
      <w:r w:rsidR="317200CE" w:rsidRPr="002D686B">
        <w:rPr>
          <w:rFonts w:ascii="Calibri" w:eastAsia="Calibri" w:hAnsi="Calibri" w:cs="Calibri"/>
          <w:lang w:val="en-US"/>
        </w:rPr>
        <w:t xml:space="preserve"> and chronic comorbidity</w:t>
      </w:r>
      <w:r w:rsidR="00DA3EE6" w:rsidRPr="002D686B">
        <w:rPr>
          <w:rFonts w:ascii="Calibri" w:eastAsia="Calibri" w:hAnsi="Calibri" w:cs="Calibri"/>
          <w:lang w:val="en-US"/>
        </w:rPr>
        <w:t>)</w:t>
      </w:r>
      <w:r w:rsidR="317200CE" w:rsidRPr="002D686B">
        <w:rPr>
          <w:rFonts w:ascii="Calibri" w:eastAsia="Calibri" w:hAnsi="Calibri" w:cs="Calibri"/>
          <w:lang w:val="en-US"/>
        </w:rPr>
        <w:t xml:space="preserve">. </w:t>
      </w:r>
      <w:r w:rsidR="00F75E9B" w:rsidRPr="00E77C03">
        <w:rPr>
          <w:rFonts w:ascii="Calibri" w:eastAsia="Calibri" w:hAnsi="Calibri" w:cs="Calibri"/>
          <w:b/>
          <w:lang w:val="en-US"/>
        </w:rPr>
        <w:t xml:space="preserve">The GCS score is defined as the worst measured GCS score during the first ICU day in accordance to the APACHE II definition </w:t>
      </w:r>
      <w:r w:rsidR="00F75E9B">
        <w:rPr>
          <w:rFonts w:ascii="Calibri" w:eastAsia="Calibri" w:hAnsi="Calibri" w:cs="Calibri"/>
          <w:lang w:val="en-US"/>
        </w:rPr>
        <w:fldChar w:fldCharType="begin" w:fldLock="1"/>
      </w:r>
      <w:r w:rsidR="00B83FF2">
        <w:rPr>
          <w:rFonts w:ascii="Calibri" w:eastAsia="Calibri" w:hAnsi="Calibri" w:cs="Calibri"/>
          <w:lang w:val="en-US"/>
        </w:rPr>
        <w:instrText>ADDIN CSL_CITATION { "citationItems" : [ { "id" : "ITEM-1", "itemData" : { "DOI" : "10.1097/00003465-198603000-00013", "ISBN" : "0090-3493", "ISSN" : "0090-3493", "PMID" : "3928249", "abstract" : "This paper presents the form and validation results of APACHE II, a severity of disease classification system. APACHE II uses a point score based upon initial values of 12 routine physiologic measurements, age, and previous health status to provide a general measure of severity of disease. An increasing score (range 0 to 71) was closely correlated with the subsequent risk of hospital death for 5815 intensive care admissions from 13 hospitals. This relationship was also found for many common diseases.When APACHE II scores are combined with an accurate description of disease, they can prognostically stratify acutely ill patients and assist investigators comparing the success of new or differing forms of therapy. This scoring index can be used to evaluate the use of hospital resources and compare the efficacy of intensive care in different hospitals or over time. (C) Williams &amp; Wilkins 1985. All Rights Reserved.", "author" : [ { "dropping-particle" : "", "family" : "Knaus", "given" : "William A.", "non-dropping-particle" : "", "parse-names" : false, "suffix" : "" }, { "dropping-particle" : "", "family" : "Draper", "given" : "Elizabeth A.", "non-dropping-particle" : "", "parse-names" : false, "suffix" : "" }, { "dropping-particle" : "", "family" : "Wagner", "given" : "Douglas P.", "non-dropping-particle" : "", "parse-names" : false, "suffix" : "" }, { "dropping-particle" : "", "family" : "Zimmerman", "given" : "Jack E.", "non-dropping-particle" : "", "parse-names" : false, "suffix" : "" } ], "container-title" : "Critical Care Medicine", "id" : "ITEM-1", "issue" : "10", "issued" : { "date-parts" : [ [ "1985" ] ] }, "page" : "818-829", "title" : "APACHE II: A severity of disease classification system", "type" : "article-journal", "volume" : "13" }, "uris" : [ "http://www.mendeley.com/documents/?uuid=2faa7392-875a-4b92-a221-ce21700469f5" ] } ], "mendeley" : { "formattedCitation" : "(16)", "plainTextFormattedCitation" : "(16)", "previouslyFormattedCitation" : "(16)" }, "properties" : { "noteIndex" : 10 }, "schema" : "https://github.com/citation-style-language/schema/raw/master/csl-citation.json" }</w:instrText>
      </w:r>
      <w:r w:rsidR="00F75E9B">
        <w:rPr>
          <w:rFonts w:ascii="Calibri" w:eastAsia="Calibri" w:hAnsi="Calibri" w:cs="Calibri"/>
          <w:lang w:val="en-US"/>
        </w:rPr>
        <w:fldChar w:fldCharType="separate"/>
      </w:r>
      <w:r w:rsidR="00395A1E" w:rsidRPr="00395A1E">
        <w:rPr>
          <w:rFonts w:ascii="Calibri" w:eastAsia="Calibri" w:hAnsi="Calibri" w:cs="Calibri"/>
          <w:noProof/>
          <w:lang w:val="en-US"/>
        </w:rPr>
        <w:t>(16)</w:t>
      </w:r>
      <w:r w:rsidR="00F75E9B">
        <w:rPr>
          <w:rFonts w:ascii="Calibri" w:eastAsia="Calibri" w:hAnsi="Calibri" w:cs="Calibri"/>
          <w:lang w:val="en-US"/>
        </w:rPr>
        <w:fldChar w:fldCharType="end"/>
      </w:r>
      <w:r w:rsidR="00F75E9B">
        <w:rPr>
          <w:rFonts w:ascii="Calibri" w:eastAsia="Calibri" w:hAnsi="Calibri" w:cs="Calibri"/>
          <w:lang w:val="en-US"/>
        </w:rPr>
        <w:t xml:space="preserve">. </w:t>
      </w:r>
      <w:r w:rsidR="00A73F0E" w:rsidRPr="00E77C03">
        <w:rPr>
          <w:rFonts w:ascii="Calibri" w:eastAsia="Calibri" w:hAnsi="Calibri" w:cs="Calibri"/>
          <w:b/>
          <w:lang w:val="en-US"/>
        </w:rPr>
        <w:t>The last reliable GCS was used for intubated and/or sedated patients</w:t>
      </w:r>
      <w:r w:rsidR="00A73F0E">
        <w:rPr>
          <w:rFonts w:ascii="Calibri" w:eastAsia="Calibri" w:hAnsi="Calibri" w:cs="Calibri"/>
          <w:lang w:val="en-US"/>
        </w:rPr>
        <w:t xml:space="preserve"> </w:t>
      </w:r>
      <w:r w:rsidR="00A73F0E">
        <w:rPr>
          <w:rFonts w:ascii="Calibri" w:eastAsia="Calibri" w:hAnsi="Calibri" w:cs="Calibri"/>
          <w:lang w:val="en-US"/>
        </w:rPr>
        <w:fldChar w:fldCharType="begin" w:fldLock="1"/>
      </w:r>
      <w:r w:rsidR="00B83FF2">
        <w:rPr>
          <w:rFonts w:ascii="Calibri" w:eastAsia="Calibri" w:hAnsi="Calibri" w:cs="Calibri"/>
          <w:lang w:val="en-US"/>
        </w:rPr>
        <w:instrText>ADDIN CSL_CITATION { "citationItems" : [ { "id" : "ITEM-1", "itemData" : { "abstract" : "Background: Differences in outcomes after traumatic brain injury (TBI) between neurosurgical centers exist, although the reasons for this are not clear. Thus, our aim was to assess the association between the annual volume of TBI patients and mortality in neurosurgical intensive care units (NICUs). Methods: We collected data on all patients treated in the five Finnish university hospitals to examine all patients with TBI treated in NICUs in Finland from 2009 to 2012. We used a random effect logistic regression model to adjust for important prognostic factors to assess the independent effect of ICU volume on 6-month mortality. Subgroup analyses were performed for patients with severe TBI, moderate-to-severe TBI, and those who were undergoing mechanical ventilation or intracranial pressure monitoring. Results: Altogether 2,328 TBI patients were treated during the study period in five NICUs. The annual TBI patient volume ranged from 61 to 206 patients between the NICUs. Univariate analysis, showed no association between the NICUs\u2019 annual TBI patient volume and 6-month mortality (p = 0.063). The random effect model showed no independent association between the NICUs\u2019 annual TBI patient volume and 6-month mortality (OR = 1.000, 95% CI = 0.996\u20131.004, p = 0.876). None of the pre-defined subgroup analyses indicated any association between NICU volume and patient mortality (p &gt; 0.05 for all). Discussion and Conclusion: We did not find any association between annual TBI patient volume and 6-month mortality in NICUs. These findings should be interpreted taking into account that we only included NICUs, which by international standards all treated high volumes of TBI patients, and that we were not able to study the effect of NICU volume on neurological outcome.", "author" : [ { "dropping-particle" : "", "family" : "Raj", "given" : "Rahul", "non-dropping-particle" : "", "parse-names" : false, "suffix" : "" }, { "dropping-particle" : "", "family" : "Bendel", "given" : "Stepani", "non-dropping-particle" : "", "parse-names" : false, "suffix" : "" }, { "dropping-particle" : "", "family" : "Reinikainen", "given" : "Matti", "non-dropping-particle" : "", "parse-names" : false, "suffix" : "" }, { "dropping-particle" : "", "family" : "Hoppu", "given" : "Sanna", "non-dropping-particle" : "", "parse-names" : false, "suffix" : "" }, { "dropping-particle" : "", "family" : "Luoto", "given" : "Teemu", "non-dropping-particle" : "", "parse-names" : false, "suffix" : "" }, { "dropping-particle" : "", "family" : "Ala-Kokko", "given" : "Tero", "non-dropping-particle" : "", "parse-names" : false, "suffix" : "" }, { "dropping-particle" : "", "family" : "Tetri", "given" : "Sami", "non-dropping-particle" : "", "parse-names" : false, "suffix" : "" }, { "dropping-particle" : "", "family" : "Laitio", "given" : "Ruut", "non-dropping-particle" : "", "parse-names" : false, "suffix" : "" }, { "dropping-particle" : "", "family" : "Koivisto", "given" : "Timo", "non-dropping-particle" : "", "parse-names" : false, "suffix" : "" }, { "dropping-particle" : "", "family" : "Rinne", "given" : "Jaakko", "non-dropping-particle" : "", "parse-names" : false, "suffix" : "" }, { "dropping-particle" : "", "family" : "Kivisaari", "given" : "Riku", "non-dropping-particle" : "", "parse-names" : false, "suffix" : "" }, { "dropping-particle" : "", "family" : "Siironen", "given" : "Jari", "non-dropping-particle" : "", "parse-names" : false, "suffix" : "" }, { "dropping-particle" : "", "family" : "Skrifvars", "given" : "Markus B.", "non-dropping-particle" : "", "parse-names" : false, "suffix" : "" } ], "container-title" : "Scandinavian Journal of Trauma, Resuscitation", "id" : "ITEM-1", "issue" : "133", "issued" : { "date-parts" : [ [ "2016" ] ] }, "title" : "Traumatic brain injury patient volume and mortality in neurosurgical intensive care units: a Finnish nationwide study", "type" : "article-journal", "volume" : "24" }, "uris" : [ "http://www.mendeley.com/documents/?uuid=083874b5-df28-4801-be56-b013956258d7" ] } ], "mendeley" : { "formattedCitation" : "(7)", "plainTextFormattedCitation" : "(7)", "previouslyFormattedCitation" : "(7)" }, "properties" : { "noteIndex" : 10 }, "schema" : "https://github.com/citation-style-language/schema/raw/master/csl-citation.json" }</w:instrText>
      </w:r>
      <w:r w:rsidR="00A73F0E">
        <w:rPr>
          <w:rFonts w:ascii="Calibri" w:eastAsia="Calibri" w:hAnsi="Calibri" w:cs="Calibri"/>
          <w:lang w:val="en-US"/>
        </w:rPr>
        <w:fldChar w:fldCharType="separate"/>
      </w:r>
      <w:r w:rsidR="00395A1E" w:rsidRPr="00395A1E">
        <w:rPr>
          <w:rFonts w:ascii="Calibri" w:eastAsia="Calibri" w:hAnsi="Calibri" w:cs="Calibri"/>
          <w:noProof/>
          <w:lang w:val="en-US"/>
        </w:rPr>
        <w:t>(7)</w:t>
      </w:r>
      <w:r w:rsidR="00A73F0E">
        <w:rPr>
          <w:rFonts w:ascii="Calibri" w:eastAsia="Calibri" w:hAnsi="Calibri" w:cs="Calibri"/>
          <w:lang w:val="en-US"/>
        </w:rPr>
        <w:fldChar w:fldCharType="end"/>
      </w:r>
      <w:r w:rsidR="00A73F0E">
        <w:rPr>
          <w:rFonts w:ascii="Calibri" w:eastAsia="Calibri" w:hAnsi="Calibri" w:cs="Calibri"/>
          <w:lang w:val="en-US"/>
        </w:rPr>
        <w:t xml:space="preserve">. </w:t>
      </w:r>
      <w:r w:rsidR="317200CE" w:rsidRPr="002D686B">
        <w:rPr>
          <w:rFonts w:ascii="Calibri" w:eastAsia="Calibri" w:hAnsi="Calibri" w:cs="Calibri"/>
          <w:lang w:val="en-US"/>
        </w:rPr>
        <w:t>The area under receiver operator curve (AUC) was 0.86 (95% CI 0.85</w:t>
      </w:r>
      <w:r w:rsidR="0015028B">
        <w:rPr>
          <w:rFonts w:ascii="Calibri" w:eastAsia="Calibri" w:hAnsi="Calibri" w:cs="Calibri"/>
          <w:lang w:val="en-US"/>
        </w:rPr>
        <w:t>–</w:t>
      </w:r>
      <w:r w:rsidR="317200CE" w:rsidRPr="002D686B">
        <w:rPr>
          <w:rFonts w:ascii="Calibri" w:eastAsia="Calibri" w:hAnsi="Calibri" w:cs="Calibri"/>
          <w:lang w:val="en-US"/>
        </w:rPr>
        <w:t>0.87) for one-year mortality prediction, indicating excellent discriminative power</w:t>
      </w:r>
      <w:r w:rsidR="00933F0B">
        <w:rPr>
          <w:rFonts w:ascii="Calibri" w:eastAsia="Calibri" w:hAnsi="Calibri" w:cs="Calibri"/>
          <w:lang w:val="en-US"/>
        </w:rPr>
        <w:t xml:space="preserve">, </w:t>
      </w:r>
      <w:r w:rsidR="317200CE" w:rsidRPr="002D686B">
        <w:rPr>
          <w:rFonts w:ascii="Calibri" w:eastAsia="Calibri" w:hAnsi="Calibri" w:cs="Calibri"/>
          <w:lang w:val="en-US"/>
        </w:rPr>
        <w:t>and 0.67 (95% CI 0.66</w:t>
      </w:r>
      <w:r w:rsidR="0015028B">
        <w:rPr>
          <w:rFonts w:ascii="Calibri" w:eastAsia="Calibri" w:hAnsi="Calibri" w:cs="Calibri"/>
          <w:lang w:val="en-US"/>
        </w:rPr>
        <w:t>–</w:t>
      </w:r>
      <w:r w:rsidR="317200CE" w:rsidRPr="002D686B">
        <w:rPr>
          <w:rFonts w:ascii="Calibri" w:eastAsia="Calibri" w:hAnsi="Calibri" w:cs="Calibri"/>
          <w:lang w:val="en-US"/>
        </w:rPr>
        <w:t xml:space="preserve">0.69) for permanent disability prediction, indicating satisfactory discriminative power. </w:t>
      </w:r>
      <w:r w:rsidR="002063BA" w:rsidRPr="002D686B">
        <w:rPr>
          <w:rFonts w:ascii="Calibri" w:eastAsia="Calibri" w:hAnsi="Calibri" w:cs="Calibri"/>
          <w:lang w:val="en-US"/>
        </w:rPr>
        <w:t xml:space="preserve">Temporal trends in </w:t>
      </w:r>
      <w:r w:rsidR="00DE47AA" w:rsidRPr="002D686B">
        <w:rPr>
          <w:rFonts w:ascii="Calibri" w:eastAsia="Calibri" w:hAnsi="Calibri" w:cs="Calibri"/>
          <w:lang w:val="en-US"/>
        </w:rPr>
        <w:t xml:space="preserve">costs and treatment intensity </w:t>
      </w:r>
      <w:r w:rsidR="002063BA" w:rsidRPr="002D686B">
        <w:rPr>
          <w:rFonts w:ascii="Calibri" w:eastAsia="Calibri" w:hAnsi="Calibri" w:cs="Calibri"/>
          <w:lang w:val="en-US"/>
        </w:rPr>
        <w:t xml:space="preserve">were </w:t>
      </w:r>
      <w:r w:rsidR="002063BA" w:rsidRPr="002D686B">
        <w:rPr>
          <w:rFonts w:ascii="Calibri" w:eastAsia="Calibri" w:hAnsi="Calibri" w:cs="Calibri"/>
          <w:lang w:val="en-US"/>
        </w:rPr>
        <w:lastRenderedPageBreak/>
        <w:t xml:space="preserve">evaluated using </w:t>
      </w:r>
      <w:r w:rsidR="00DE47AA" w:rsidRPr="002D686B">
        <w:rPr>
          <w:rFonts w:ascii="Calibri" w:eastAsia="Calibri" w:hAnsi="Calibri" w:cs="Calibri"/>
          <w:lang w:val="en-US"/>
        </w:rPr>
        <w:t>linear regression</w:t>
      </w:r>
      <w:r w:rsidR="002A6033">
        <w:rPr>
          <w:rFonts w:ascii="Calibri" w:eastAsia="Calibri" w:hAnsi="Calibri" w:cs="Calibri"/>
          <w:lang w:val="en-US"/>
        </w:rPr>
        <w:t xml:space="preserve"> and t</w:t>
      </w:r>
      <w:r w:rsidR="00DE47AA" w:rsidRPr="002D686B">
        <w:rPr>
          <w:rFonts w:ascii="Calibri" w:eastAsia="Calibri" w:hAnsi="Calibri" w:cs="Calibri"/>
          <w:lang w:val="en-US"/>
        </w:rPr>
        <w:t>emporal trends in one-year mortality and permanent disability</w:t>
      </w:r>
      <w:r w:rsidR="002063BA" w:rsidRPr="002D686B">
        <w:rPr>
          <w:rFonts w:ascii="Calibri" w:eastAsia="Calibri" w:hAnsi="Calibri" w:cs="Calibri"/>
          <w:lang w:val="en-US"/>
        </w:rPr>
        <w:t xml:space="preserve"> were evaluated </w:t>
      </w:r>
      <w:r w:rsidR="00D0554C">
        <w:rPr>
          <w:rFonts w:ascii="Calibri" w:eastAsia="Calibri" w:hAnsi="Calibri" w:cs="Calibri"/>
          <w:lang w:val="en-US"/>
        </w:rPr>
        <w:t xml:space="preserve">using </w:t>
      </w:r>
      <w:r w:rsidR="002063BA" w:rsidRPr="002D686B">
        <w:rPr>
          <w:rFonts w:ascii="Calibri" w:eastAsia="Calibri" w:hAnsi="Calibri" w:cs="Calibri"/>
          <w:lang w:val="en-US"/>
        </w:rPr>
        <w:t>l</w:t>
      </w:r>
      <w:r w:rsidR="00DE47AA" w:rsidRPr="002D686B">
        <w:rPr>
          <w:rFonts w:ascii="Calibri" w:eastAsia="Calibri" w:hAnsi="Calibri" w:cs="Calibri"/>
          <w:lang w:val="en-US"/>
        </w:rPr>
        <w:t xml:space="preserve">ogistic regression, </w:t>
      </w:r>
      <w:r w:rsidR="002A6033">
        <w:rPr>
          <w:rFonts w:ascii="Calibri" w:eastAsia="Calibri" w:hAnsi="Calibri" w:cs="Calibri"/>
          <w:lang w:val="en-US"/>
        </w:rPr>
        <w:t xml:space="preserve">all models </w:t>
      </w:r>
      <w:r w:rsidR="00DE47AA" w:rsidRPr="002D686B">
        <w:rPr>
          <w:rFonts w:ascii="Calibri" w:eastAsia="Calibri" w:hAnsi="Calibri" w:cs="Calibri"/>
          <w:lang w:val="en-US"/>
        </w:rPr>
        <w:t xml:space="preserve">adjusting </w:t>
      </w:r>
      <w:r w:rsidRPr="002D686B">
        <w:rPr>
          <w:rFonts w:ascii="Calibri" w:eastAsia="Calibri" w:hAnsi="Calibri" w:cs="Calibri"/>
          <w:lang w:val="en-US"/>
        </w:rPr>
        <w:t>for the severity of illness model</w:t>
      </w:r>
      <w:r w:rsidR="00D0554C">
        <w:rPr>
          <w:rFonts w:ascii="Calibri" w:eastAsia="Calibri" w:hAnsi="Calibri" w:cs="Calibri"/>
          <w:lang w:val="en-US"/>
        </w:rPr>
        <w:t xml:space="preserve"> and</w:t>
      </w:r>
      <w:r w:rsidR="00DE47AA" w:rsidRPr="002D686B">
        <w:rPr>
          <w:rFonts w:ascii="Calibri" w:eastAsia="Calibri" w:hAnsi="Calibri" w:cs="Calibri"/>
          <w:lang w:val="en-US"/>
        </w:rPr>
        <w:t xml:space="preserve"> using year of admission as a continuous variable</w:t>
      </w:r>
      <w:r w:rsidR="005C1B80">
        <w:rPr>
          <w:rFonts w:ascii="Calibri" w:eastAsia="Calibri" w:hAnsi="Calibri" w:cs="Calibri"/>
          <w:lang w:val="en-US"/>
        </w:rPr>
        <w:t xml:space="preserve"> </w:t>
      </w:r>
      <w:r w:rsidR="00DE47AA" w:rsidRPr="00C2509C">
        <w:rPr>
          <w:lang w:val="en-US"/>
        </w:rPr>
        <w:fldChar w:fldCharType="begin" w:fldLock="1"/>
      </w:r>
      <w:r w:rsidR="00B83FF2">
        <w:rPr>
          <w:rFonts w:ascii="Calibri" w:hAnsi="Calibri"/>
          <w:lang w:val="en-US"/>
        </w:rPr>
        <w:instrText>ADDIN CSL_CITATION { "citationItems" : [ { "id" : "ITEM-1", "itemData" : { "DOI" : "10.1007/s00134-014-3509-z", "ISSN" : "14321238 03424642", "abstract" : "\u00a9 2014, Springer-Verlag Berlin Heidelberg and ESICM.Methods: Using a large nationwide intensive care unit (ICU) database we identified patients suffering from cardiac arrest following ICU admission (ICU-CA) during the study period (2003\u20132013). ICU-CA was defined as need for cardiopulmonary resuscitation and/or defibrillation (non-arrest cardioversions were excluded) according to the Therapeutic Intervention Scoring System-76. Patients admitted with an admission diagnosis of cardiac arrest were excluded. We determined crude incidence and risk-adjusted hospital mortality (based on a customized severity of illness model) for all ICU-CA patients, and for predefined admission diagnosis subgroups. Temporal trends for the observed period were calculated for crude incidence and risk-adjusted hospital mortality.Purpose: To estimate temporal trends in incidence and hospital mortality after cardiac arrest in Finnish intensive care units.Results: Crude incidence for all ICU-CA patients was 29/1,000 ICU admissions, with the highest incidence 118/1,000 in the non-operative cardiovascular subgroup. Overall hospital mortality for ICU-CA patients was 55.5\u00a0% [95\u00a0% confidence interval (CI) 54\u201357\u00a0%]. Hospital mortality was 53.1\u00a0% (95\u00a0% CI 50.4\u201355.8\u00a0%) for non-operative cardiovascular ICU-CA patients, 32.9\u00a0% (95\u00a0% CI 26.9\u201338.9\u00a0%) for post cardiac surgery ICU-CA patients, and 56.3\u00a0% (95\u00a0% CI 51.2\u201361.3\u00a0%) for neurological/neurosurgical ICU-CA patients. There was a significant reduction in the overall ICU-CA incidence and in the risk-adjusted hospital mortality of ICU-CA and non-cardiac arrest cases (non-CA) over the observed study period (p\u00a0&lt;\u00a00.001).Conclusion: Our data suggest that the incidence of ICU-CA has decreased in Finnish ICUs between 2003 and 2013. Similar reduction in hospital mortality over time was observed for both ICU-CA and non-CA populations.", "author" : [ { "dropping-particle" : "", "family" : "Efendijev", "given" : "I.", "non-dropping-particle" : "", "parse-names" : false, "suffix" : "" }, { "dropping-particle" : "", "family" : "Raj", "given" : "R.", "non-dropping-particle" : "", "parse-names" : false, "suffix" : "" }, { "dropping-particle" : "", "family" : "Reinikainen", "given" : "M.", "non-dropping-particle" : "", "parse-names" : false, "suffix" : "" }, { "dropping-particle" : "", "family" : "Hoppu", "given" : "S.", "non-dropping-particle" : "", "parse-names" : false, "suffix" : "" }, { "dropping-particle" : "", "family" : "Skrifvars", "given" : "M.B.", "non-dropping-particle" : "", "parse-names" : false, "suffix" : "" } ], "container-title" : "Intensive Care Medicine", "id" : "ITEM-1", "issue" : "12", "issued" : { "date-parts" : [ [ "2014" ] ] }, "title" : "Temporal trends in cardiac arrest incidence and outcome in Finnish intensive care units from 2003 to 2013", "type" : "article-journal", "volume" : "40" }, "uris" : [ "http://www.mendeley.com/documents/?uuid=c30cca7c-2783-36cc-b178-3636e1f566dc" ] } ], "mendeley" : { "formattedCitation" : "(8)", "plainTextFormattedCitation" : "(8)", "previouslyFormattedCitation" : "(8)" }, "properties" : { "noteIndex" : 0 }, "schema" : "https://github.com/citation-style-language/schema/raw/master/csl-citation.json" }</w:instrText>
      </w:r>
      <w:r w:rsidR="00DE47AA" w:rsidRPr="00C2509C">
        <w:rPr>
          <w:rFonts w:ascii="Calibri" w:hAnsi="Calibri"/>
          <w:lang w:val="en-US"/>
        </w:rPr>
        <w:fldChar w:fldCharType="separate"/>
      </w:r>
      <w:r w:rsidR="00395A1E" w:rsidRPr="00395A1E">
        <w:rPr>
          <w:rFonts w:ascii="Calibri" w:eastAsia="Calibri" w:hAnsi="Calibri" w:cs="Calibri"/>
          <w:noProof/>
          <w:lang w:val="en-US"/>
        </w:rPr>
        <w:t>(8)</w:t>
      </w:r>
      <w:r w:rsidR="00DE47AA" w:rsidRPr="00C2509C">
        <w:rPr>
          <w:lang w:val="en-US"/>
        </w:rPr>
        <w:fldChar w:fldCharType="end"/>
      </w:r>
      <w:r w:rsidR="005C1B80">
        <w:rPr>
          <w:lang w:val="en-US"/>
        </w:rPr>
        <w:t>.</w:t>
      </w:r>
      <w:r w:rsidR="001B25EB" w:rsidRPr="00C2509C">
        <w:rPr>
          <w:lang w:val="en-US"/>
        </w:rPr>
        <w:t xml:space="preserve"> </w:t>
      </w:r>
    </w:p>
    <w:p w14:paraId="45308C0B" w14:textId="28C7504F" w:rsidR="00AB4BDA" w:rsidRPr="002D686B" w:rsidRDefault="00EA6183" w:rsidP="317200CE">
      <w:pPr>
        <w:spacing w:line="480" w:lineRule="auto"/>
        <w:rPr>
          <w:rFonts w:ascii="Calibri" w:eastAsia="Calibri" w:hAnsi="Calibri" w:cs="Calibri"/>
          <w:lang w:val="en-US"/>
        </w:rPr>
      </w:pPr>
      <w:r w:rsidRPr="002D686B">
        <w:rPr>
          <w:rFonts w:ascii="Calibri" w:eastAsia="Calibri" w:hAnsi="Calibri" w:cs="Calibri"/>
          <w:lang w:val="en-US"/>
        </w:rPr>
        <w:t xml:space="preserve">Adjusted rates of one-year mortality and permanent disability </w:t>
      </w:r>
      <w:r w:rsidR="003B274A">
        <w:rPr>
          <w:rFonts w:ascii="Calibri" w:eastAsia="Calibri" w:hAnsi="Calibri" w:cs="Calibri"/>
          <w:lang w:val="en-US"/>
        </w:rPr>
        <w:t>were</w:t>
      </w:r>
      <w:r w:rsidRPr="002D686B">
        <w:rPr>
          <w:rFonts w:ascii="Calibri" w:eastAsia="Calibri" w:hAnsi="Calibri" w:cs="Calibri"/>
          <w:lang w:val="en-US"/>
        </w:rPr>
        <w:t xml:space="preserve"> reported as</w:t>
      </w:r>
      <w:r w:rsidR="00D93874" w:rsidRPr="002D686B">
        <w:rPr>
          <w:rFonts w:ascii="Calibri" w:eastAsia="Calibri" w:hAnsi="Calibri" w:cs="Calibri"/>
          <w:lang w:val="en-US"/>
        </w:rPr>
        <w:t xml:space="preserve"> </w:t>
      </w:r>
      <w:r w:rsidR="0008114C">
        <w:rPr>
          <w:rFonts w:ascii="Calibri" w:eastAsia="Calibri" w:hAnsi="Calibri" w:cs="Calibri"/>
          <w:lang w:val="en-US"/>
        </w:rPr>
        <w:t>odds ratios (</w:t>
      </w:r>
      <w:r w:rsidR="000001AE">
        <w:rPr>
          <w:rFonts w:ascii="Calibri" w:eastAsia="Calibri" w:hAnsi="Calibri" w:cs="Calibri"/>
          <w:lang w:val="en-US"/>
        </w:rPr>
        <w:t>ORs</w:t>
      </w:r>
      <w:r w:rsidR="0008114C">
        <w:rPr>
          <w:rFonts w:ascii="Calibri" w:eastAsia="Calibri" w:hAnsi="Calibri" w:cs="Calibri"/>
          <w:lang w:val="en-US"/>
        </w:rPr>
        <w:t>)</w:t>
      </w:r>
      <w:r w:rsidR="000001AE">
        <w:rPr>
          <w:rFonts w:ascii="Calibri" w:eastAsia="Calibri" w:hAnsi="Calibri" w:cs="Calibri"/>
          <w:lang w:val="en-US"/>
        </w:rPr>
        <w:t>,</w:t>
      </w:r>
      <w:r w:rsidRPr="002D686B">
        <w:rPr>
          <w:rFonts w:ascii="Calibri" w:eastAsia="Calibri" w:hAnsi="Calibri" w:cs="Calibri"/>
          <w:lang w:val="en-US"/>
        </w:rPr>
        <w:t xml:space="preserve"> risk-adjusted mortality (RAMR)</w:t>
      </w:r>
      <w:r w:rsidR="000001AE">
        <w:rPr>
          <w:rFonts w:ascii="Calibri" w:eastAsia="Calibri" w:hAnsi="Calibri" w:cs="Calibri"/>
          <w:lang w:val="en-US"/>
        </w:rPr>
        <w:t>,</w:t>
      </w:r>
      <w:r w:rsidRPr="002D686B">
        <w:rPr>
          <w:rFonts w:ascii="Calibri" w:eastAsia="Calibri" w:hAnsi="Calibri" w:cs="Calibri"/>
          <w:lang w:val="en-US"/>
        </w:rPr>
        <w:t xml:space="preserve"> and risk-adjusted disability (RADR) rates. The RAMR and RADR </w:t>
      </w:r>
      <w:r w:rsidR="003B274A">
        <w:rPr>
          <w:rFonts w:ascii="Calibri" w:eastAsia="Calibri" w:hAnsi="Calibri" w:cs="Calibri"/>
          <w:lang w:val="en-US"/>
        </w:rPr>
        <w:t xml:space="preserve">were </w:t>
      </w:r>
      <w:r w:rsidRPr="002D686B">
        <w:rPr>
          <w:rFonts w:ascii="Calibri" w:eastAsia="Calibri" w:hAnsi="Calibri" w:cs="Calibri"/>
          <w:lang w:val="en-US"/>
        </w:rPr>
        <w:t xml:space="preserve">calculated as the ratio between </w:t>
      </w:r>
      <w:r w:rsidR="000001AE">
        <w:rPr>
          <w:rFonts w:ascii="Calibri" w:eastAsia="Calibri" w:hAnsi="Calibri" w:cs="Calibri"/>
          <w:lang w:val="en-US"/>
        </w:rPr>
        <w:t xml:space="preserve">the </w:t>
      </w:r>
      <w:r w:rsidRPr="002D686B">
        <w:rPr>
          <w:rFonts w:ascii="Calibri" w:eastAsia="Calibri" w:hAnsi="Calibri" w:cs="Calibri"/>
          <w:lang w:val="en-US"/>
        </w:rPr>
        <w:t xml:space="preserve">observed and predicted outcome multiplied by the overall outcome rate in the specific patient group. The RAMR and RADR </w:t>
      </w:r>
      <w:r w:rsidR="00876C42" w:rsidRPr="002D686B">
        <w:rPr>
          <w:rFonts w:ascii="Calibri" w:eastAsia="Calibri" w:hAnsi="Calibri" w:cs="Calibri"/>
          <w:lang w:val="en-US"/>
        </w:rPr>
        <w:t>represent</w:t>
      </w:r>
      <w:r w:rsidR="00B77F51">
        <w:rPr>
          <w:rFonts w:ascii="Calibri" w:eastAsia="Calibri" w:hAnsi="Calibri" w:cs="Calibri"/>
          <w:lang w:val="en-US"/>
        </w:rPr>
        <w:t>ed</w:t>
      </w:r>
      <w:r w:rsidR="00876C42" w:rsidRPr="002D686B">
        <w:rPr>
          <w:rFonts w:ascii="Calibri" w:eastAsia="Calibri" w:hAnsi="Calibri" w:cs="Calibri"/>
          <w:lang w:val="en-US"/>
        </w:rPr>
        <w:t xml:space="preserve"> the estimated outcome rate if the patient case-mix </w:t>
      </w:r>
      <w:r w:rsidR="003B274A" w:rsidRPr="002D686B">
        <w:rPr>
          <w:rFonts w:ascii="Calibri" w:eastAsia="Calibri" w:hAnsi="Calibri" w:cs="Calibri"/>
          <w:lang w:val="en-US"/>
        </w:rPr>
        <w:t>w</w:t>
      </w:r>
      <w:r w:rsidR="003B274A">
        <w:rPr>
          <w:rFonts w:ascii="Calibri" w:eastAsia="Calibri" w:hAnsi="Calibri" w:cs="Calibri"/>
          <w:lang w:val="en-US"/>
        </w:rPr>
        <w:t>as</w:t>
      </w:r>
      <w:r w:rsidR="003B274A" w:rsidRPr="002D686B">
        <w:rPr>
          <w:rFonts w:ascii="Calibri" w:eastAsia="Calibri" w:hAnsi="Calibri" w:cs="Calibri"/>
          <w:lang w:val="en-US"/>
        </w:rPr>
        <w:t xml:space="preserve"> </w:t>
      </w:r>
      <w:r w:rsidR="004D2BD0" w:rsidRPr="002D686B">
        <w:rPr>
          <w:rFonts w:ascii="Calibri" w:eastAsia="Calibri" w:hAnsi="Calibri" w:cs="Calibri"/>
          <w:lang w:val="en-US"/>
        </w:rPr>
        <w:t xml:space="preserve">constant </w:t>
      </w:r>
      <w:r w:rsidR="00876C42" w:rsidRPr="002D686B">
        <w:rPr>
          <w:rFonts w:ascii="Calibri" w:eastAsia="Calibri" w:hAnsi="Calibri" w:cs="Calibri"/>
          <w:lang w:val="en-US"/>
        </w:rPr>
        <w:t>for each year</w:t>
      </w:r>
      <w:r w:rsidR="005C1B80">
        <w:rPr>
          <w:rFonts w:ascii="Calibri" w:eastAsia="Calibri" w:hAnsi="Calibri" w:cs="Calibri"/>
          <w:lang w:val="en-US"/>
        </w:rPr>
        <w:t xml:space="preserve"> </w:t>
      </w:r>
      <w:r w:rsidR="00C352E8" w:rsidRPr="00C2509C">
        <w:rPr>
          <w:lang w:val="en-US"/>
        </w:rPr>
        <w:fldChar w:fldCharType="begin" w:fldLock="1"/>
      </w:r>
      <w:r w:rsidR="00B83FF2">
        <w:rPr>
          <w:rFonts w:ascii="Calibri" w:hAnsi="Calibri"/>
          <w:lang w:val="en-US"/>
        </w:rPr>
        <w:instrText>ADDIN CSL_CITATION { "citationItems" : [ { "id" : "ITEM-1", "itemData" : { "DOI" : "10.1007/s00134-014-3509-z", "ISSN" : "14321238 03424642", "abstract" : "\u00a9 2014, Springer-Verlag Berlin Heidelberg and ESICM.Methods: Using a large nationwide intensive care unit (ICU) database we identified patients suffering from cardiac arrest following ICU admission (ICU-CA) during the study period (2003\u20132013). ICU-CA was defined as need for cardiopulmonary resuscitation and/or defibrillation (non-arrest cardioversions were excluded) according to the Therapeutic Intervention Scoring System-76. Patients admitted with an admission diagnosis of cardiac arrest were excluded. We determined crude incidence and risk-adjusted hospital mortality (based on a customized severity of illness model) for all ICU-CA patients, and for predefined admission diagnosis subgroups. Temporal trends for the observed period were calculated for crude incidence and risk-adjusted hospital mortality.Purpose: To estimate temporal trends in incidence and hospital mortality after cardiac arrest in Finnish intensive care units.Results: Crude incidence for all ICU-CA patients was 29/1,000 ICU admissions, with the highest incidence 118/1,000 in the non-operative cardiovascular subgroup. Overall hospital mortality for ICU-CA patients was 55.5\u00a0% [95\u00a0% confidence interval (CI) 54\u201357\u00a0%]. Hospital mortality was 53.1\u00a0% (95\u00a0% CI 50.4\u201355.8\u00a0%) for non-operative cardiovascular ICU-CA patients, 32.9\u00a0% (95\u00a0% CI 26.9\u201338.9\u00a0%) for post cardiac surgery ICU-CA patients, and 56.3\u00a0% (95\u00a0% CI 51.2\u201361.3\u00a0%) for neurological/neurosurgical ICU-CA patients. There was a significant reduction in the overall ICU-CA incidence and in the risk-adjusted hospital mortality of ICU-CA and non-cardiac arrest cases (non-CA) over the observed study period (p\u00a0&lt;\u00a00.001).Conclusion: Our data suggest that the incidence of ICU-CA has decreased in Finnish ICUs between 2003 and 2013. Similar reduction in hospital mortality over time was observed for both ICU-CA and non-CA populations.", "author" : [ { "dropping-particle" : "", "family" : "Efendijev", "given" : "I.", "non-dropping-particle" : "", "parse-names" : false, "suffix" : "" }, { "dropping-particle" : "", "family" : "Raj", "given" : "R.", "non-dropping-particle" : "", "parse-names" : false, "suffix" : "" }, { "dropping-particle" : "", "family" : "Reinikainen", "given" : "M.", "non-dropping-particle" : "", "parse-names" : false, "suffix" : "" }, { "dropping-particle" : "", "family" : "Hoppu", "given" : "S.", "non-dropping-particle" : "", "parse-names" : false, "suffix" : "" }, { "dropping-particle" : "", "family" : "Skrifvars", "given" : "M.B.", "non-dropping-particle" : "", "parse-names" : false, "suffix" : "" } ], "container-title" : "Intensive Care Medicine", "id" : "ITEM-1", "issue" : "12", "issued" : { "date-parts" : [ [ "2014" ] ] }, "title" : "Temporal trends in cardiac arrest incidence and outcome in Finnish intensive care units from 2003 to 2013", "type" : "article-journal", "volume" : "40" }, "uris" : [ "http://www.mendeley.com/documents/?uuid=c30cca7c-2783-36cc-b178-3636e1f566dc" ] } ], "mendeley" : { "formattedCitation" : "(8)", "plainTextFormattedCitation" : "(8)", "previouslyFormattedCitation" : "(8)" }, "properties" : { "noteIndex" : 0 }, "schema" : "https://github.com/citation-style-language/schema/raw/master/csl-citation.json" }</w:instrText>
      </w:r>
      <w:r w:rsidR="00C352E8" w:rsidRPr="00C2509C">
        <w:rPr>
          <w:rFonts w:ascii="Calibri" w:hAnsi="Calibri"/>
          <w:lang w:val="en-US"/>
        </w:rPr>
        <w:fldChar w:fldCharType="separate"/>
      </w:r>
      <w:r w:rsidR="00395A1E" w:rsidRPr="00395A1E">
        <w:rPr>
          <w:rFonts w:ascii="Calibri" w:eastAsia="Calibri" w:hAnsi="Calibri" w:cs="Calibri"/>
          <w:noProof/>
          <w:lang w:val="en-US"/>
        </w:rPr>
        <w:t>(8)</w:t>
      </w:r>
      <w:r w:rsidR="00C352E8" w:rsidRPr="00C2509C">
        <w:rPr>
          <w:lang w:val="en-US"/>
        </w:rPr>
        <w:fldChar w:fldCharType="end"/>
      </w:r>
      <w:r w:rsidR="005C1B80">
        <w:rPr>
          <w:lang w:val="en-US"/>
        </w:rPr>
        <w:t>.</w:t>
      </w:r>
      <w:r w:rsidR="00876C42" w:rsidRPr="002D686B">
        <w:rPr>
          <w:rFonts w:ascii="Calibri" w:eastAsia="Calibri" w:hAnsi="Calibri" w:cs="Calibri"/>
          <w:lang w:val="en-US"/>
        </w:rPr>
        <w:t xml:space="preserve"> </w:t>
      </w:r>
    </w:p>
    <w:p w14:paraId="799AA362" w14:textId="644EB130" w:rsidR="00623F1E" w:rsidRPr="002D686B" w:rsidRDefault="000E1D33" w:rsidP="00D94BBD">
      <w:pPr>
        <w:spacing w:line="480" w:lineRule="auto"/>
        <w:rPr>
          <w:rFonts w:ascii="Calibri" w:hAnsi="Calibri"/>
          <w:lang w:val="en-US"/>
        </w:rPr>
      </w:pPr>
      <w:r w:rsidRPr="002D686B">
        <w:rPr>
          <w:rFonts w:ascii="Calibri" w:eastAsia="Calibri" w:hAnsi="Calibri" w:cs="Calibri"/>
          <w:lang w:val="en-US"/>
        </w:rPr>
        <w:lastRenderedPageBreak/>
        <w:t xml:space="preserve">The study was done in accordance </w:t>
      </w:r>
      <w:r w:rsidR="00B77F51">
        <w:rPr>
          <w:rFonts w:ascii="Calibri" w:eastAsia="Calibri" w:hAnsi="Calibri" w:cs="Calibri"/>
          <w:lang w:val="en-US"/>
        </w:rPr>
        <w:t>with</w:t>
      </w:r>
      <w:r w:rsidRPr="002D686B">
        <w:rPr>
          <w:rFonts w:ascii="Calibri" w:eastAsia="Calibri" w:hAnsi="Calibri" w:cs="Calibri"/>
          <w:lang w:val="en-US"/>
        </w:rPr>
        <w:t xml:space="preserve"> the </w:t>
      </w:r>
      <w:r w:rsidR="009811EA" w:rsidRPr="002D686B">
        <w:rPr>
          <w:rFonts w:ascii="Calibri" w:eastAsia="Calibri" w:hAnsi="Calibri" w:cs="Calibri"/>
          <w:lang w:val="en-US"/>
        </w:rPr>
        <w:t>STrengthening the Reporting of OBservational studies in Epidemiology (STROBE) guidelines (</w:t>
      </w:r>
      <w:r w:rsidR="001D6F4A" w:rsidRPr="001D6F4A">
        <w:rPr>
          <w:bCs/>
          <w:lang w:val="en-US"/>
        </w:rPr>
        <w:t>Supplemental</w:t>
      </w:r>
      <w:r w:rsidR="001D6F4A">
        <w:rPr>
          <w:b/>
          <w:bCs/>
          <w:lang w:val="en-US"/>
        </w:rPr>
        <w:t xml:space="preserve"> </w:t>
      </w:r>
      <w:r w:rsidR="00550529">
        <w:rPr>
          <w:rFonts w:ascii="Calibri" w:eastAsia="Calibri" w:hAnsi="Calibri" w:cs="Calibri"/>
          <w:lang w:val="en-US"/>
        </w:rPr>
        <w:t xml:space="preserve">Methods </w:t>
      </w:r>
      <w:r w:rsidR="00DF4406">
        <w:rPr>
          <w:rFonts w:ascii="Calibri" w:eastAsia="Calibri" w:hAnsi="Calibri" w:cs="Calibri"/>
          <w:lang w:val="en-US"/>
        </w:rPr>
        <w:t>1</w:t>
      </w:r>
      <w:r w:rsidR="009811EA" w:rsidRPr="002D686B">
        <w:rPr>
          <w:rFonts w:ascii="Calibri" w:eastAsia="Calibri" w:hAnsi="Calibri" w:cs="Calibri"/>
          <w:lang w:val="en-US"/>
        </w:rPr>
        <w:t>).</w:t>
      </w:r>
    </w:p>
    <w:p w14:paraId="10D2C2BC" w14:textId="39F07B45" w:rsidR="008131D5" w:rsidRPr="00C80A8E" w:rsidRDefault="0096585D" w:rsidP="00C2509C">
      <w:pPr>
        <w:pStyle w:val="Heading2"/>
        <w:rPr>
          <w:b/>
          <w:lang w:val="en-US"/>
        </w:rPr>
      </w:pPr>
      <w:r w:rsidRPr="00195A64">
        <w:rPr>
          <w:rFonts w:ascii="Calibri" w:hAnsi="Calibri"/>
          <w:b/>
          <w:lang w:val="en-US"/>
        </w:rPr>
        <w:t>Subgroup</w:t>
      </w:r>
      <w:r w:rsidR="0009750F" w:rsidRPr="00C80A8E">
        <w:rPr>
          <w:rFonts w:ascii="Calibri" w:hAnsi="Calibri"/>
          <w:b/>
          <w:lang w:val="en-US"/>
        </w:rPr>
        <w:t xml:space="preserve"> </w:t>
      </w:r>
      <w:r w:rsidR="00C40003" w:rsidRPr="00C80A8E">
        <w:rPr>
          <w:rFonts w:ascii="Calibri" w:hAnsi="Calibri"/>
          <w:b/>
          <w:lang w:val="en-US"/>
        </w:rPr>
        <w:t>analyses</w:t>
      </w:r>
    </w:p>
    <w:p w14:paraId="2042E98C" w14:textId="5791BBAD" w:rsidR="00CF2833" w:rsidRPr="0033096D" w:rsidRDefault="00CF2833" w:rsidP="002A6033">
      <w:pPr>
        <w:spacing w:line="480" w:lineRule="auto"/>
        <w:rPr>
          <w:rFonts w:ascii="Calibri" w:eastAsia="Calibri" w:hAnsi="Calibri" w:cs="Calibri"/>
          <w:b/>
          <w:lang w:val="en-US"/>
        </w:rPr>
      </w:pPr>
      <w:r w:rsidRPr="00E77C03">
        <w:rPr>
          <w:rFonts w:ascii="Calibri" w:eastAsia="Calibri" w:hAnsi="Calibri" w:cs="Calibri"/>
          <w:b/>
          <w:lang w:val="en-US"/>
        </w:rPr>
        <w:t xml:space="preserve">We divided the patients into </w:t>
      </w:r>
      <w:r w:rsidR="002A6033">
        <w:rPr>
          <w:rFonts w:ascii="Calibri" w:eastAsia="Calibri" w:hAnsi="Calibri" w:cs="Calibri"/>
          <w:b/>
          <w:lang w:val="en-US"/>
        </w:rPr>
        <w:t>predefined clinically relevant</w:t>
      </w:r>
      <w:r w:rsidRPr="00E77C03">
        <w:rPr>
          <w:rFonts w:ascii="Calibri" w:eastAsia="Calibri" w:hAnsi="Calibri" w:cs="Calibri"/>
          <w:b/>
          <w:lang w:val="en-US"/>
        </w:rPr>
        <w:t xml:space="preserve"> subgroups </w:t>
      </w:r>
      <w:r w:rsidR="002A6033">
        <w:rPr>
          <w:rFonts w:ascii="Calibri" w:eastAsia="Calibri" w:hAnsi="Calibri" w:cs="Calibri"/>
          <w:b/>
          <w:lang w:val="en-US"/>
        </w:rPr>
        <w:t>according to GCS score and age. The GCS subgroups were 3-8 (severe TBI), 9-12 (moderate TBI) and 13-15 (complicated mild TBI). The age subgroups were 18-40 years (young), 41-64 years (middle-aged) and ≥65 years (old).</w:t>
      </w:r>
      <w:r w:rsidR="00191D4E">
        <w:rPr>
          <w:rFonts w:ascii="Calibri" w:eastAsia="Calibri" w:hAnsi="Calibri" w:cs="Calibri"/>
          <w:b/>
          <w:lang w:val="en-US"/>
        </w:rPr>
        <w:t xml:space="preserve"> The ECPS and ECPIS were calculated </w:t>
      </w:r>
      <w:r w:rsidR="002A6033">
        <w:rPr>
          <w:rFonts w:ascii="Calibri" w:eastAsia="Calibri" w:hAnsi="Calibri" w:cs="Calibri"/>
          <w:b/>
          <w:lang w:val="en-US"/>
        </w:rPr>
        <w:t xml:space="preserve">separately in all six subgroups. </w:t>
      </w:r>
    </w:p>
    <w:p w14:paraId="6F6DA820" w14:textId="77777777" w:rsidR="00B30B22" w:rsidRPr="002D686B" w:rsidRDefault="00B30B22" w:rsidP="00D94BBD">
      <w:pPr>
        <w:spacing w:line="480" w:lineRule="auto"/>
        <w:rPr>
          <w:rFonts w:ascii="Calibri" w:hAnsi="Calibri"/>
          <w:b/>
          <w:lang w:val="en-US"/>
        </w:rPr>
      </w:pPr>
      <w:r w:rsidRPr="002D686B">
        <w:rPr>
          <w:rFonts w:ascii="Calibri" w:hAnsi="Calibri"/>
          <w:b/>
          <w:lang w:val="en-US"/>
        </w:rPr>
        <w:lastRenderedPageBreak/>
        <w:br w:type="page"/>
      </w:r>
    </w:p>
    <w:p w14:paraId="4F69BEFB" w14:textId="4ABBE52F" w:rsidR="009D5B1A" w:rsidRPr="00C80A8E" w:rsidRDefault="317200CE" w:rsidP="005910EA">
      <w:pPr>
        <w:pStyle w:val="Heading1"/>
        <w:spacing w:line="480" w:lineRule="auto"/>
        <w:rPr>
          <w:b/>
          <w:lang w:val="en-US"/>
        </w:rPr>
      </w:pPr>
      <w:r w:rsidRPr="00C80A8E">
        <w:rPr>
          <w:b/>
          <w:lang w:val="en-US"/>
        </w:rPr>
        <w:lastRenderedPageBreak/>
        <w:t>RESULTS</w:t>
      </w:r>
    </w:p>
    <w:p w14:paraId="04E145EE" w14:textId="26B0AE9A" w:rsidR="0017236F" w:rsidRPr="00C2509C" w:rsidRDefault="317200CE" w:rsidP="00D94BBD">
      <w:pPr>
        <w:spacing w:line="480" w:lineRule="auto"/>
        <w:rPr>
          <w:lang w:val="en-US"/>
        </w:rPr>
      </w:pPr>
      <w:r w:rsidRPr="00C2509C">
        <w:rPr>
          <w:lang w:val="en-US"/>
        </w:rPr>
        <w:t xml:space="preserve">The study population </w:t>
      </w:r>
      <w:r w:rsidR="008F0FFB" w:rsidRPr="00C2509C">
        <w:rPr>
          <w:lang w:val="en-US"/>
        </w:rPr>
        <w:t xml:space="preserve">consisted </w:t>
      </w:r>
      <w:r w:rsidRPr="00C2509C">
        <w:rPr>
          <w:lang w:val="en-US"/>
        </w:rPr>
        <w:t xml:space="preserve">of 3,051 </w:t>
      </w:r>
      <w:r w:rsidR="00D20F9D" w:rsidRPr="00C2509C">
        <w:rPr>
          <w:lang w:val="en-US"/>
        </w:rPr>
        <w:t xml:space="preserve">patients </w:t>
      </w:r>
      <w:r w:rsidRPr="00C2509C">
        <w:rPr>
          <w:lang w:val="en-US"/>
        </w:rPr>
        <w:t>(</w:t>
      </w:r>
      <w:r w:rsidR="00452B1F" w:rsidRPr="00C2509C">
        <w:rPr>
          <w:lang w:val="en-US"/>
        </w:rPr>
        <w:t>Fig</w:t>
      </w:r>
      <w:r w:rsidR="0008114C">
        <w:rPr>
          <w:lang w:val="en-US"/>
        </w:rPr>
        <w:t>ure</w:t>
      </w:r>
      <w:r w:rsidR="00452B1F" w:rsidRPr="00C2509C">
        <w:rPr>
          <w:lang w:val="en-US"/>
        </w:rPr>
        <w:t xml:space="preserve"> 1</w:t>
      </w:r>
      <w:r w:rsidRPr="00C2509C">
        <w:rPr>
          <w:lang w:val="en-US"/>
        </w:rPr>
        <w:t xml:space="preserve">). </w:t>
      </w:r>
      <w:r w:rsidR="00480C61">
        <w:rPr>
          <w:lang w:val="en-US"/>
        </w:rPr>
        <w:t>The b</w:t>
      </w:r>
      <w:r w:rsidRPr="00C2509C">
        <w:rPr>
          <w:lang w:val="en-US"/>
        </w:rPr>
        <w:t>aseline characteristics are presented in Table 1.</w:t>
      </w:r>
      <w:r w:rsidR="00231F3D" w:rsidRPr="00C2509C">
        <w:rPr>
          <w:lang w:val="en-US"/>
        </w:rPr>
        <w:t xml:space="preserve"> </w:t>
      </w:r>
      <w:r w:rsidR="00970FE5" w:rsidRPr="00C2509C">
        <w:rPr>
          <w:lang w:val="en-US"/>
        </w:rPr>
        <w:t xml:space="preserve">Forty-seven percent </w:t>
      </w:r>
      <w:r w:rsidRPr="00C2509C">
        <w:rPr>
          <w:lang w:val="en-US"/>
        </w:rPr>
        <w:t xml:space="preserve">were classified </w:t>
      </w:r>
      <w:r w:rsidR="0087335D" w:rsidRPr="00C2509C">
        <w:rPr>
          <w:lang w:val="en-US"/>
        </w:rPr>
        <w:t>as</w:t>
      </w:r>
      <w:r w:rsidRPr="00C2509C">
        <w:rPr>
          <w:lang w:val="en-US"/>
        </w:rPr>
        <w:t xml:space="preserve"> severe TBI (GCS 3</w:t>
      </w:r>
      <w:r w:rsidR="00480C61">
        <w:rPr>
          <w:rFonts w:ascii="Calibri" w:eastAsia="Calibri" w:hAnsi="Calibri" w:cs="Calibri"/>
          <w:lang w:val="en-US"/>
        </w:rPr>
        <w:t>–</w:t>
      </w:r>
      <w:r w:rsidRPr="00C2509C">
        <w:rPr>
          <w:lang w:val="en-US"/>
        </w:rPr>
        <w:t xml:space="preserve">8), 20% </w:t>
      </w:r>
      <w:r w:rsidR="0087335D" w:rsidRPr="00C2509C">
        <w:rPr>
          <w:lang w:val="en-US"/>
        </w:rPr>
        <w:t>as</w:t>
      </w:r>
      <w:r w:rsidRPr="00C2509C">
        <w:rPr>
          <w:lang w:val="en-US"/>
        </w:rPr>
        <w:t xml:space="preserve"> moderate TBI (GCS 9</w:t>
      </w:r>
      <w:r w:rsidR="00480C61">
        <w:rPr>
          <w:rFonts w:ascii="Calibri" w:eastAsia="Calibri" w:hAnsi="Calibri" w:cs="Calibri"/>
          <w:lang w:val="en-US"/>
        </w:rPr>
        <w:t>–</w:t>
      </w:r>
      <w:r w:rsidRPr="00C2509C">
        <w:rPr>
          <w:lang w:val="en-US"/>
        </w:rPr>
        <w:t>12)</w:t>
      </w:r>
      <w:r w:rsidR="00480C61">
        <w:rPr>
          <w:lang w:val="en-US"/>
        </w:rPr>
        <w:t>,</w:t>
      </w:r>
      <w:r w:rsidRPr="00C2509C">
        <w:rPr>
          <w:lang w:val="en-US"/>
        </w:rPr>
        <w:t xml:space="preserve"> and 33% </w:t>
      </w:r>
      <w:r w:rsidR="0087335D" w:rsidRPr="00C2509C">
        <w:rPr>
          <w:lang w:val="en-US"/>
        </w:rPr>
        <w:t>as</w:t>
      </w:r>
      <w:r w:rsidRPr="00C2509C">
        <w:rPr>
          <w:lang w:val="en-US"/>
        </w:rPr>
        <w:t xml:space="preserve"> </w:t>
      </w:r>
      <w:r w:rsidR="001C149B" w:rsidRPr="0058750C">
        <w:rPr>
          <w:b/>
          <w:lang w:val="en-US"/>
        </w:rPr>
        <w:t>complicated</w:t>
      </w:r>
      <w:r w:rsidR="001C149B" w:rsidRPr="00C2509C">
        <w:rPr>
          <w:lang w:val="en-US"/>
        </w:rPr>
        <w:t xml:space="preserve"> </w:t>
      </w:r>
      <w:r w:rsidRPr="00C2509C">
        <w:rPr>
          <w:lang w:val="en-US"/>
        </w:rPr>
        <w:t>mild</w:t>
      </w:r>
      <w:r w:rsidR="001C149B">
        <w:rPr>
          <w:lang w:val="en-US"/>
        </w:rPr>
        <w:t xml:space="preserve"> </w:t>
      </w:r>
      <w:r w:rsidRPr="00C2509C">
        <w:rPr>
          <w:lang w:val="en-US"/>
        </w:rPr>
        <w:t>TBI (GCS 13</w:t>
      </w:r>
      <w:r w:rsidR="00480C61">
        <w:rPr>
          <w:rFonts w:ascii="Calibri" w:eastAsia="Calibri" w:hAnsi="Calibri" w:cs="Calibri"/>
          <w:lang w:val="en-US"/>
        </w:rPr>
        <w:t>–</w:t>
      </w:r>
      <w:r w:rsidR="0008114C">
        <w:rPr>
          <w:lang w:val="en-US"/>
        </w:rPr>
        <w:t>15)</w:t>
      </w:r>
      <w:r w:rsidRPr="00C2509C">
        <w:rPr>
          <w:lang w:val="en-US"/>
        </w:rPr>
        <w:t xml:space="preserve">. </w:t>
      </w:r>
      <w:r w:rsidR="004228C4" w:rsidRPr="00C2509C">
        <w:rPr>
          <w:lang w:val="en-US"/>
        </w:rPr>
        <w:t>Twenty-four percent were classified as young, 47% as middle-aged</w:t>
      </w:r>
      <w:r w:rsidR="004228C4">
        <w:rPr>
          <w:lang w:val="en-US"/>
        </w:rPr>
        <w:t>,</w:t>
      </w:r>
      <w:r w:rsidR="004228C4" w:rsidRPr="00C2509C">
        <w:rPr>
          <w:lang w:val="en-US"/>
        </w:rPr>
        <w:t xml:space="preserve"> and 29% as old. </w:t>
      </w:r>
      <w:r w:rsidR="0008361D" w:rsidRPr="00C2509C">
        <w:rPr>
          <w:lang w:val="en-US"/>
        </w:rPr>
        <w:t>P</w:t>
      </w:r>
      <w:r w:rsidR="00E95C6E" w:rsidRPr="00C2509C">
        <w:rPr>
          <w:lang w:val="en-US"/>
        </w:rPr>
        <w:t xml:space="preserve">atients </w:t>
      </w:r>
      <w:r w:rsidRPr="00C2509C">
        <w:rPr>
          <w:lang w:val="en-US"/>
        </w:rPr>
        <w:t xml:space="preserve">with </w:t>
      </w:r>
      <w:r w:rsidR="001C149B" w:rsidRPr="00E1489D">
        <w:rPr>
          <w:b/>
          <w:lang w:val="en-US"/>
        </w:rPr>
        <w:t>complicated</w:t>
      </w:r>
      <w:r w:rsidR="001C149B" w:rsidRPr="00C2509C">
        <w:rPr>
          <w:lang w:val="en-US"/>
        </w:rPr>
        <w:t xml:space="preserve"> </w:t>
      </w:r>
      <w:r w:rsidR="00970FE5" w:rsidRPr="00C2509C">
        <w:rPr>
          <w:lang w:val="en-US"/>
        </w:rPr>
        <w:t>mild</w:t>
      </w:r>
      <w:r w:rsidR="001C149B">
        <w:rPr>
          <w:lang w:val="en-US"/>
        </w:rPr>
        <w:t xml:space="preserve"> </w:t>
      </w:r>
      <w:r w:rsidR="00970FE5" w:rsidRPr="00C2509C">
        <w:rPr>
          <w:lang w:val="en-US"/>
        </w:rPr>
        <w:t>TBI</w:t>
      </w:r>
      <w:r w:rsidRPr="00C2509C">
        <w:rPr>
          <w:lang w:val="en-US"/>
        </w:rPr>
        <w:t xml:space="preserve"> were somewhat younger</w:t>
      </w:r>
      <w:r w:rsidR="00BD4AC2" w:rsidRPr="00C2509C">
        <w:rPr>
          <w:lang w:val="en-US"/>
        </w:rPr>
        <w:t xml:space="preserve"> </w:t>
      </w:r>
      <w:r w:rsidRPr="00C2509C">
        <w:rPr>
          <w:lang w:val="en-US"/>
        </w:rPr>
        <w:t xml:space="preserve">than </w:t>
      </w:r>
      <w:r w:rsidR="00E95C6E" w:rsidRPr="00C2509C">
        <w:rPr>
          <w:lang w:val="en-US"/>
        </w:rPr>
        <w:t xml:space="preserve">patients </w:t>
      </w:r>
      <w:r w:rsidRPr="00C2509C">
        <w:rPr>
          <w:lang w:val="en-US"/>
        </w:rPr>
        <w:t xml:space="preserve">with </w:t>
      </w:r>
      <w:r w:rsidR="00970FE5" w:rsidRPr="00C2509C">
        <w:rPr>
          <w:lang w:val="en-US"/>
        </w:rPr>
        <w:t>moderate or severe TBI</w:t>
      </w:r>
      <w:r w:rsidRPr="00C2509C">
        <w:rPr>
          <w:lang w:val="en-US"/>
        </w:rPr>
        <w:t xml:space="preserve"> (</w:t>
      </w:r>
      <w:r w:rsidR="001D6F4A" w:rsidRPr="001D6F4A">
        <w:rPr>
          <w:bCs/>
          <w:lang w:val="en-US"/>
        </w:rPr>
        <w:t>Supplemental</w:t>
      </w:r>
      <w:r w:rsidR="001D6F4A">
        <w:rPr>
          <w:b/>
          <w:bCs/>
          <w:lang w:val="en-US"/>
        </w:rPr>
        <w:t xml:space="preserve"> </w:t>
      </w:r>
      <w:r w:rsidR="00550529">
        <w:rPr>
          <w:lang w:val="en-US"/>
        </w:rPr>
        <w:t>Table 1</w:t>
      </w:r>
      <w:r w:rsidRPr="00C2509C">
        <w:rPr>
          <w:lang w:val="en-US"/>
        </w:rPr>
        <w:t xml:space="preserve">). </w:t>
      </w:r>
    </w:p>
    <w:p w14:paraId="005D791C" w14:textId="3754432B" w:rsidR="0008114C" w:rsidRDefault="317200CE" w:rsidP="00D94BBD">
      <w:pPr>
        <w:spacing w:line="480" w:lineRule="auto"/>
        <w:rPr>
          <w:lang w:val="en-US"/>
        </w:rPr>
      </w:pPr>
      <w:r w:rsidRPr="00C2509C">
        <w:rPr>
          <w:lang w:val="en-US"/>
        </w:rPr>
        <w:lastRenderedPageBreak/>
        <w:t xml:space="preserve">The number of </w:t>
      </w:r>
      <w:r w:rsidR="001D4A3B" w:rsidRPr="00C2509C">
        <w:rPr>
          <w:lang w:val="en-US"/>
        </w:rPr>
        <w:t>ICU</w:t>
      </w:r>
      <w:r w:rsidR="00D20F9D" w:rsidRPr="00C2509C">
        <w:rPr>
          <w:lang w:val="en-US"/>
        </w:rPr>
        <w:t>-</w:t>
      </w:r>
      <w:r w:rsidRPr="00C2509C">
        <w:rPr>
          <w:lang w:val="en-US"/>
        </w:rPr>
        <w:t>admitted TBI patients increased from 151 in 2003 to 326 in 2013</w:t>
      </w:r>
      <w:r w:rsidR="002016F6" w:rsidRPr="00C2509C">
        <w:rPr>
          <w:lang w:val="en-US"/>
        </w:rPr>
        <w:t xml:space="preserve">. </w:t>
      </w:r>
      <w:r w:rsidRPr="00C2509C">
        <w:rPr>
          <w:lang w:val="en-US"/>
        </w:rPr>
        <w:t xml:space="preserve">In comparison to all ICU admissions </w:t>
      </w:r>
      <w:r w:rsidR="0008114C">
        <w:rPr>
          <w:lang w:val="en-US"/>
        </w:rPr>
        <w:t>during</w:t>
      </w:r>
      <w:r w:rsidRPr="00C2509C">
        <w:rPr>
          <w:lang w:val="en-US"/>
        </w:rPr>
        <w:t xml:space="preserve"> 2003</w:t>
      </w:r>
      <w:r w:rsidR="00C3731D">
        <w:rPr>
          <w:rFonts w:ascii="Calibri" w:eastAsia="Calibri" w:hAnsi="Calibri" w:cs="Calibri"/>
          <w:lang w:val="en-US"/>
        </w:rPr>
        <w:t>–</w:t>
      </w:r>
      <w:r w:rsidRPr="00C2509C">
        <w:rPr>
          <w:lang w:val="en-US"/>
        </w:rPr>
        <w:t>2013, the relative</w:t>
      </w:r>
      <w:r w:rsidR="00776E49" w:rsidRPr="00C2509C">
        <w:rPr>
          <w:lang w:val="en-US"/>
        </w:rPr>
        <w:t xml:space="preserve"> proportion</w:t>
      </w:r>
      <w:r w:rsidRPr="00C2509C">
        <w:rPr>
          <w:lang w:val="en-US"/>
        </w:rPr>
        <w:t xml:space="preserve"> of TBI admissions increased from approximately 1% per year to approximately 2% per year (</w:t>
      </w:r>
      <w:r w:rsidR="001D6F4A" w:rsidRPr="001D6F4A">
        <w:rPr>
          <w:bCs/>
          <w:lang w:val="en-US"/>
        </w:rPr>
        <w:t>Supplemental</w:t>
      </w:r>
      <w:r w:rsidR="001D6F4A">
        <w:rPr>
          <w:b/>
          <w:bCs/>
          <w:lang w:val="en-US"/>
        </w:rPr>
        <w:t xml:space="preserve"> </w:t>
      </w:r>
      <w:r w:rsidR="00550529">
        <w:rPr>
          <w:lang w:val="en-US"/>
        </w:rPr>
        <w:t>Table 2</w:t>
      </w:r>
      <w:r w:rsidRPr="00C2509C">
        <w:rPr>
          <w:lang w:val="en-US"/>
        </w:rPr>
        <w:t>).</w:t>
      </w:r>
      <w:r w:rsidR="00E47847" w:rsidRPr="00C2509C">
        <w:rPr>
          <w:lang w:val="en-US"/>
        </w:rPr>
        <w:t xml:space="preserve"> </w:t>
      </w:r>
      <w:r w:rsidR="007B5D37" w:rsidRPr="00C2509C">
        <w:rPr>
          <w:lang w:val="en-US"/>
        </w:rPr>
        <w:t xml:space="preserve">The major change was a higher proportion of </w:t>
      </w:r>
      <w:r w:rsidR="0008114C">
        <w:rPr>
          <w:lang w:val="en-US"/>
        </w:rPr>
        <w:t>less severely injured TBIs (higher GCS, lower SAPS II).</w:t>
      </w:r>
      <w:r w:rsidR="008F0F94">
        <w:rPr>
          <w:lang w:val="en-US"/>
        </w:rPr>
        <w:t xml:space="preserve"> </w:t>
      </w:r>
      <w:r w:rsidR="008F0F94" w:rsidRPr="00B66964">
        <w:rPr>
          <w:b/>
          <w:lang w:val="en-US"/>
        </w:rPr>
        <w:t>There were no changes in restriction of withdrawal of intensive care during the study period (range 6-11%, p=461).</w:t>
      </w:r>
      <w:r w:rsidR="008F0F94">
        <w:rPr>
          <w:lang w:val="en-US"/>
        </w:rPr>
        <w:t xml:space="preserve"> </w:t>
      </w:r>
    </w:p>
    <w:p w14:paraId="299CECD2" w14:textId="16897BF4" w:rsidR="00B01539" w:rsidRPr="00C2509C" w:rsidRDefault="0008114C" w:rsidP="00D94BBD">
      <w:pPr>
        <w:spacing w:line="480" w:lineRule="auto"/>
        <w:rPr>
          <w:lang w:val="en-US"/>
        </w:rPr>
      </w:pPr>
      <w:r>
        <w:rPr>
          <w:lang w:val="en-US"/>
        </w:rPr>
        <w:lastRenderedPageBreak/>
        <w:t>U</w:t>
      </w:r>
      <w:r w:rsidR="317200CE" w:rsidRPr="00C2509C">
        <w:rPr>
          <w:lang w:val="en-US"/>
        </w:rPr>
        <w:t xml:space="preserve">nadjusted hospital </w:t>
      </w:r>
      <w:r w:rsidR="00467BA1" w:rsidRPr="00C2509C">
        <w:rPr>
          <w:lang w:val="en-US"/>
        </w:rPr>
        <w:t xml:space="preserve">mortality </w:t>
      </w:r>
      <w:r w:rsidR="317200CE" w:rsidRPr="00C2509C">
        <w:rPr>
          <w:lang w:val="en-US"/>
        </w:rPr>
        <w:t xml:space="preserve">was </w:t>
      </w:r>
      <w:r w:rsidR="00467BA1" w:rsidRPr="00C2509C">
        <w:rPr>
          <w:lang w:val="en-US"/>
        </w:rPr>
        <w:t>12</w:t>
      </w:r>
      <w:r w:rsidR="317200CE" w:rsidRPr="00C2509C">
        <w:rPr>
          <w:lang w:val="en-US"/>
        </w:rPr>
        <w:t xml:space="preserve">% and unadjusted one-year </w:t>
      </w:r>
      <w:r w:rsidR="001754E2">
        <w:rPr>
          <w:lang w:val="en-US"/>
        </w:rPr>
        <w:t xml:space="preserve">mortality </w:t>
      </w:r>
      <w:r w:rsidR="00736E56">
        <w:rPr>
          <w:lang w:val="en-US"/>
        </w:rPr>
        <w:t>was</w:t>
      </w:r>
      <w:r w:rsidR="317200CE" w:rsidRPr="00C2509C">
        <w:rPr>
          <w:lang w:val="en-US"/>
        </w:rPr>
        <w:t xml:space="preserve"> </w:t>
      </w:r>
      <w:r w:rsidR="00467BA1" w:rsidRPr="00C2509C">
        <w:rPr>
          <w:lang w:val="en-US"/>
        </w:rPr>
        <w:t>24</w:t>
      </w:r>
      <w:r w:rsidR="317200CE" w:rsidRPr="00C2509C">
        <w:rPr>
          <w:lang w:val="en-US"/>
        </w:rPr>
        <w:t>% (</w:t>
      </w:r>
      <w:r w:rsidR="001D6F4A" w:rsidRPr="001D6F4A">
        <w:rPr>
          <w:bCs/>
          <w:lang w:val="en-US"/>
        </w:rPr>
        <w:t>Supplemental</w:t>
      </w:r>
      <w:r w:rsidR="001D6F4A">
        <w:rPr>
          <w:b/>
          <w:bCs/>
          <w:lang w:val="en-US"/>
        </w:rPr>
        <w:t xml:space="preserve"> </w:t>
      </w:r>
      <w:r w:rsidR="00550529">
        <w:rPr>
          <w:lang w:val="en-US"/>
        </w:rPr>
        <w:t>Table 3</w:t>
      </w:r>
      <w:r w:rsidR="00035C3F">
        <w:rPr>
          <w:lang w:val="en-US"/>
        </w:rPr>
        <w:t xml:space="preserve"> for outcomes in the subgroups</w:t>
      </w:r>
      <w:r w:rsidR="317200CE" w:rsidRPr="00C2509C">
        <w:rPr>
          <w:lang w:val="en-US"/>
        </w:rPr>
        <w:t xml:space="preserve">). Permanent disability in one-year survivors was 37%. </w:t>
      </w:r>
    </w:p>
    <w:p w14:paraId="75CFD35F" w14:textId="2280D928" w:rsidR="00572340" w:rsidRPr="0010525B" w:rsidRDefault="317200CE" w:rsidP="000F3B33">
      <w:pPr>
        <w:pStyle w:val="Heading2"/>
        <w:rPr>
          <w:b/>
          <w:lang w:val="en-US"/>
        </w:rPr>
      </w:pPr>
      <w:r w:rsidRPr="0010525B">
        <w:rPr>
          <w:b/>
          <w:lang w:val="en-US"/>
        </w:rPr>
        <w:t>Temporal trends in health</w:t>
      </w:r>
      <w:r w:rsidR="00E80125" w:rsidRPr="0010525B">
        <w:rPr>
          <w:b/>
          <w:lang w:val="en-US"/>
        </w:rPr>
        <w:t xml:space="preserve"> </w:t>
      </w:r>
      <w:r w:rsidRPr="0010525B">
        <w:rPr>
          <w:b/>
          <w:lang w:val="en-US"/>
        </w:rPr>
        <w:t>care costs</w:t>
      </w:r>
    </w:p>
    <w:p w14:paraId="544353B3" w14:textId="643A23FF" w:rsidR="005C45D2" w:rsidRDefault="005C45D2" w:rsidP="007C1225">
      <w:pPr>
        <w:spacing w:line="480" w:lineRule="auto"/>
        <w:rPr>
          <w:rFonts w:ascii="Calibri" w:eastAsia="Calibri" w:hAnsi="Calibri" w:cs="Calibri"/>
          <w:color w:val="000000" w:themeColor="text1"/>
          <w:lang w:val="en-US"/>
        </w:rPr>
      </w:pPr>
      <w:r w:rsidRPr="00E77C03">
        <w:rPr>
          <w:rFonts w:ascii="Calibri" w:eastAsia="Calibri" w:hAnsi="Calibri" w:cs="Calibri"/>
          <w:b/>
          <w:color w:val="000000" w:themeColor="text1"/>
          <w:lang w:val="en-US"/>
        </w:rPr>
        <w:t>Mean one-year healthcare</w:t>
      </w:r>
      <w:r w:rsidR="00C40003" w:rsidRPr="002D686B">
        <w:rPr>
          <w:rFonts w:ascii="Calibri" w:eastAsia="Calibri" w:hAnsi="Calibri" w:cs="Calibri"/>
          <w:color w:val="000000" w:themeColor="text1"/>
          <w:lang w:val="en-US"/>
        </w:rPr>
        <w:t xml:space="preserve"> </w:t>
      </w:r>
      <w:r w:rsidR="00502040" w:rsidRPr="002D686B">
        <w:rPr>
          <w:rFonts w:ascii="Calibri" w:eastAsia="Calibri" w:hAnsi="Calibri" w:cs="Calibri"/>
          <w:color w:val="000000" w:themeColor="text1"/>
          <w:lang w:val="en-US"/>
        </w:rPr>
        <w:t>cost</w:t>
      </w:r>
      <w:r w:rsidR="00AC2050" w:rsidRPr="002D686B">
        <w:rPr>
          <w:rFonts w:ascii="Calibri" w:eastAsia="Calibri" w:hAnsi="Calibri" w:cs="Calibri"/>
          <w:color w:val="000000" w:themeColor="text1"/>
          <w:lang w:val="en-US"/>
        </w:rPr>
        <w:t xml:space="preserve"> per patient</w:t>
      </w:r>
      <w:r w:rsidR="00D36AC8">
        <w:rPr>
          <w:rFonts w:ascii="Calibri" w:eastAsia="Calibri" w:hAnsi="Calibri" w:cs="Calibri"/>
          <w:color w:val="000000" w:themeColor="text1"/>
          <w:lang w:val="en-US"/>
        </w:rPr>
        <w:t xml:space="preserve"> was $39,809</w:t>
      </w:r>
      <w:r w:rsidR="00502040" w:rsidRPr="002D686B">
        <w:rPr>
          <w:rFonts w:ascii="Calibri" w:eastAsia="Calibri" w:hAnsi="Calibri" w:cs="Calibri"/>
          <w:color w:val="000000" w:themeColor="text1"/>
          <w:lang w:val="en-US"/>
        </w:rPr>
        <w:t xml:space="preserve"> (95% CI</w:t>
      </w:r>
      <w:r w:rsidR="000269A8" w:rsidRPr="002D686B">
        <w:rPr>
          <w:rFonts w:ascii="Calibri" w:eastAsia="Calibri" w:hAnsi="Calibri" w:cs="Calibri"/>
          <w:color w:val="000000" w:themeColor="text1"/>
          <w:lang w:val="en-US"/>
        </w:rPr>
        <w:t xml:space="preserve"> </w:t>
      </w:r>
      <w:r w:rsidR="0085618D">
        <w:rPr>
          <w:rFonts w:ascii="Calibri" w:eastAsia="Calibri" w:hAnsi="Calibri" w:cs="Calibri"/>
          <w:lang w:val="en-US"/>
        </w:rPr>
        <w:t>$38,144</w:t>
      </w:r>
      <w:r w:rsidR="0085618D">
        <w:rPr>
          <w:rFonts w:ascii="Calibri" w:eastAsia="Calibri" w:hAnsi="Calibri" w:cs="Calibri"/>
          <w:lang w:val="en-US"/>
        </w:rPr>
        <w:softHyphen/>
        <w:t>–$41,473</w:t>
      </w:r>
      <w:r w:rsidR="00502040" w:rsidRPr="002D686B">
        <w:rPr>
          <w:rFonts w:ascii="Calibri" w:eastAsia="Calibri" w:hAnsi="Calibri" w:cs="Calibri"/>
          <w:color w:val="000000" w:themeColor="text1"/>
          <w:lang w:val="en-US"/>
        </w:rPr>
        <w:t>). University hospital costs constituted 4</w:t>
      </w:r>
      <w:r w:rsidR="00A338CD" w:rsidRPr="002D686B">
        <w:rPr>
          <w:rFonts w:ascii="Calibri" w:eastAsia="Calibri" w:hAnsi="Calibri" w:cs="Calibri"/>
          <w:color w:val="000000" w:themeColor="text1"/>
          <w:lang w:val="en-US"/>
        </w:rPr>
        <w:t>4</w:t>
      </w:r>
      <w:r w:rsidR="00502040" w:rsidRPr="002D686B">
        <w:rPr>
          <w:rFonts w:ascii="Calibri" w:eastAsia="Calibri" w:hAnsi="Calibri" w:cs="Calibri"/>
          <w:color w:val="000000" w:themeColor="text1"/>
          <w:lang w:val="en-US"/>
        </w:rPr>
        <w:t>%</w:t>
      </w:r>
      <w:r w:rsidR="003A3123" w:rsidRPr="002D686B">
        <w:rPr>
          <w:rFonts w:ascii="Calibri" w:eastAsia="Calibri" w:hAnsi="Calibri" w:cs="Calibri"/>
          <w:color w:val="000000" w:themeColor="text1"/>
          <w:lang w:val="en-US"/>
        </w:rPr>
        <w:t>,</w:t>
      </w:r>
      <w:r w:rsidR="00BA04E8" w:rsidRPr="002D686B">
        <w:rPr>
          <w:rFonts w:ascii="Calibri" w:eastAsia="Calibri" w:hAnsi="Calibri" w:cs="Calibri"/>
          <w:color w:val="000000" w:themeColor="text1"/>
          <w:lang w:val="en-US"/>
        </w:rPr>
        <w:t xml:space="preserve"> r</w:t>
      </w:r>
      <w:r w:rsidR="00502040" w:rsidRPr="002D686B">
        <w:rPr>
          <w:rFonts w:ascii="Calibri" w:eastAsia="Calibri" w:hAnsi="Calibri" w:cs="Calibri"/>
          <w:color w:val="000000" w:themeColor="text1"/>
          <w:lang w:val="en-US"/>
        </w:rPr>
        <w:t xml:space="preserve">ehabilitation unit costs </w:t>
      </w:r>
      <w:r w:rsidR="00E80125">
        <w:rPr>
          <w:rFonts w:ascii="Calibri" w:eastAsia="Calibri" w:hAnsi="Calibri" w:cs="Calibri"/>
          <w:color w:val="000000" w:themeColor="text1"/>
          <w:lang w:val="en-US"/>
        </w:rPr>
        <w:t xml:space="preserve">were </w:t>
      </w:r>
      <w:r w:rsidR="00A338CD" w:rsidRPr="002D686B">
        <w:rPr>
          <w:rFonts w:ascii="Calibri" w:eastAsia="Calibri" w:hAnsi="Calibri" w:cs="Calibri"/>
          <w:color w:val="000000" w:themeColor="text1"/>
          <w:lang w:val="en-US"/>
        </w:rPr>
        <w:t>42</w:t>
      </w:r>
      <w:r w:rsidR="00502040" w:rsidRPr="002D686B">
        <w:rPr>
          <w:rFonts w:ascii="Calibri" w:eastAsia="Calibri" w:hAnsi="Calibri" w:cs="Calibri"/>
          <w:color w:val="000000" w:themeColor="text1"/>
          <w:lang w:val="en-US"/>
        </w:rPr>
        <w:t>%</w:t>
      </w:r>
      <w:r w:rsidR="00E80125">
        <w:rPr>
          <w:rFonts w:ascii="Calibri" w:eastAsia="Calibri" w:hAnsi="Calibri" w:cs="Calibri"/>
          <w:color w:val="000000" w:themeColor="text1"/>
          <w:lang w:val="en-US"/>
        </w:rPr>
        <w:t>,</w:t>
      </w:r>
      <w:r w:rsidR="00502040" w:rsidRPr="002D686B">
        <w:rPr>
          <w:rFonts w:ascii="Calibri" w:eastAsia="Calibri" w:hAnsi="Calibri" w:cs="Calibri"/>
          <w:color w:val="000000" w:themeColor="text1"/>
          <w:lang w:val="en-US"/>
        </w:rPr>
        <w:t xml:space="preserve"> and social security costs</w:t>
      </w:r>
      <w:r w:rsidR="00E80125">
        <w:rPr>
          <w:rFonts w:ascii="Calibri" w:eastAsia="Calibri" w:hAnsi="Calibri" w:cs="Calibri"/>
          <w:color w:val="000000" w:themeColor="text1"/>
          <w:lang w:val="en-US"/>
        </w:rPr>
        <w:t xml:space="preserve"> </w:t>
      </w:r>
      <w:r w:rsidR="00835383">
        <w:rPr>
          <w:rFonts w:ascii="Calibri" w:eastAsia="Calibri" w:hAnsi="Calibri" w:cs="Calibri"/>
          <w:color w:val="000000" w:themeColor="text1"/>
          <w:lang w:val="en-US"/>
        </w:rPr>
        <w:t>represented</w:t>
      </w:r>
      <w:r w:rsidR="00AC2050" w:rsidRPr="002D686B">
        <w:rPr>
          <w:rFonts w:ascii="Calibri" w:eastAsia="Calibri" w:hAnsi="Calibri" w:cs="Calibri"/>
          <w:color w:val="000000" w:themeColor="text1"/>
          <w:lang w:val="en-US"/>
        </w:rPr>
        <w:t xml:space="preserve"> </w:t>
      </w:r>
      <w:r w:rsidR="00502040" w:rsidRPr="002D686B">
        <w:rPr>
          <w:rFonts w:ascii="Calibri" w:eastAsia="Calibri" w:hAnsi="Calibri" w:cs="Calibri"/>
          <w:color w:val="000000" w:themeColor="text1"/>
          <w:lang w:val="en-US"/>
        </w:rPr>
        <w:t>1</w:t>
      </w:r>
      <w:r w:rsidR="00A338CD" w:rsidRPr="002D686B">
        <w:rPr>
          <w:rFonts w:ascii="Calibri" w:eastAsia="Calibri" w:hAnsi="Calibri" w:cs="Calibri"/>
          <w:color w:val="000000" w:themeColor="text1"/>
          <w:lang w:val="en-US"/>
        </w:rPr>
        <w:t>4</w:t>
      </w:r>
      <w:r w:rsidR="00502040" w:rsidRPr="002D686B">
        <w:rPr>
          <w:rFonts w:ascii="Calibri" w:eastAsia="Calibri" w:hAnsi="Calibri" w:cs="Calibri"/>
          <w:color w:val="000000" w:themeColor="text1"/>
          <w:lang w:val="en-US"/>
        </w:rPr>
        <w:t xml:space="preserve">% </w:t>
      </w:r>
      <w:r w:rsidR="00137A04" w:rsidRPr="002D686B">
        <w:rPr>
          <w:rFonts w:ascii="Calibri" w:eastAsia="Calibri" w:hAnsi="Calibri" w:cs="Calibri"/>
          <w:color w:val="000000" w:themeColor="text1"/>
          <w:lang w:val="en-US"/>
        </w:rPr>
        <w:t xml:space="preserve">of </w:t>
      </w:r>
      <w:r w:rsidR="00AC2050" w:rsidRPr="002D686B">
        <w:rPr>
          <w:rFonts w:ascii="Calibri" w:eastAsia="Calibri" w:hAnsi="Calibri" w:cs="Calibri"/>
          <w:color w:val="000000" w:themeColor="text1"/>
          <w:lang w:val="en-US"/>
        </w:rPr>
        <w:t xml:space="preserve">the </w:t>
      </w:r>
      <w:r w:rsidRPr="00E77C03">
        <w:rPr>
          <w:rFonts w:ascii="Calibri" w:eastAsia="Calibri" w:hAnsi="Calibri" w:cs="Calibri"/>
          <w:b/>
          <w:color w:val="000000" w:themeColor="text1"/>
          <w:lang w:val="en-US"/>
        </w:rPr>
        <w:t>one-year healthcare costs</w:t>
      </w:r>
      <w:r w:rsidR="00BD4AC2" w:rsidRPr="002D686B">
        <w:rPr>
          <w:rFonts w:ascii="Calibri" w:eastAsia="Calibri" w:hAnsi="Calibri" w:cs="Calibri"/>
          <w:color w:val="000000" w:themeColor="text1"/>
          <w:lang w:val="en-US"/>
        </w:rPr>
        <w:t xml:space="preserve"> (</w:t>
      </w:r>
      <w:r w:rsidR="00006B51">
        <w:rPr>
          <w:rFonts w:ascii="Calibri" w:eastAsia="Calibri" w:hAnsi="Calibri" w:cs="Calibri"/>
          <w:color w:val="000000" w:themeColor="text1"/>
          <w:lang w:val="en-US"/>
        </w:rPr>
        <w:t xml:space="preserve">Supplemental </w:t>
      </w:r>
      <w:r w:rsidR="00BD4AC2" w:rsidRPr="00C2509C">
        <w:rPr>
          <w:rFonts w:ascii="Calibri" w:eastAsia="Calibri" w:hAnsi="Calibri" w:cs="Calibri"/>
          <w:lang w:val="en-US"/>
        </w:rPr>
        <w:t>Fig</w:t>
      </w:r>
      <w:r w:rsidR="0008114C">
        <w:rPr>
          <w:rFonts w:ascii="Calibri" w:eastAsia="Calibri" w:hAnsi="Calibri" w:cs="Calibri"/>
          <w:lang w:val="en-US"/>
        </w:rPr>
        <w:t>ure</w:t>
      </w:r>
      <w:r w:rsidR="00BD4AC2" w:rsidRPr="00C2509C">
        <w:rPr>
          <w:rFonts w:ascii="Calibri" w:eastAsia="Calibri" w:hAnsi="Calibri" w:cs="Calibri"/>
          <w:lang w:val="en-US"/>
        </w:rPr>
        <w:t xml:space="preserve"> </w:t>
      </w:r>
      <w:r w:rsidR="00006B51">
        <w:rPr>
          <w:rFonts w:ascii="Calibri" w:eastAsia="Calibri" w:hAnsi="Calibri" w:cs="Calibri"/>
          <w:lang w:val="en-US"/>
        </w:rPr>
        <w:t>1</w:t>
      </w:r>
      <w:r w:rsidR="00BD4AC2" w:rsidRPr="002D686B">
        <w:rPr>
          <w:rFonts w:ascii="Calibri" w:eastAsia="Calibri" w:hAnsi="Calibri" w:cs="Calibri"/>
          <w:color w:val="000000" w:themeColor="text1"/>
          <w:lang w:val="en-US"/>
        </w:rPr>
        <w:t>)</w:t>
      </w:r>
      <w:r w:rsidR="00502040" w:rsidRPr="002D686B">
        <w:rPr>
          <w:rFonts w:ascii="Calibri" w:eastAsia="Calibri" w:hAnsi="Calibri" w:cs="Calibri"/>
          <w:color w:val="000000" w:themeColor="text1"/>
          <w:lang w:val="en-US"/>
        </w:rPr>
        <w:t xml:space="preserve">. </w:t>
      </w:r>
    </w:p>
    <w:p w14:paraId="54767806" w14:textId="544B7E99" w:rsidR="005C45D2" w:rsidRDefault="005C45D2" w:rsidP="007C1225">
      <w:pPr>
        <w:spacing w:line="480" w:lineRule="auto"/>
        <w:rPr>
          <w:rFonts w:ascii="Calibri" w:eastAsia="Calibri" w:hAnsi="Calibri" w:cs="Calibri"/>
          <w:color w:val="000000" w:themeColor="text1"/>
          <w:lang w:val="en-US"/>
        </w:rPr>
      </w:pPr>
      <w:r w:rsidRPr="00E77C03">
        <w:rPr>
          <w:rFonts w:ascii="Calibri" w:eastAsia="Calibri" w:hAnsi="Calibri" w:cs="Calibri"/>
          <w:b/>
          <w:color w:val="000000" w:themeColor="text1"/>
          <w:lang w:val="en-US"/>
        </w:rPr>
        <w:lastRenderedPageBreak/>
        <w:t>Including all</w:t>
      </w:r>
      <w:r>
        <w:rPr>
          <w:rFonts w:ascii="Calibri" w:eastAsia="Calibri" w:hAnsi="Calibri" w:cs="Calibri"/>
          <w:color w:val="000000" w:themeColor="text1"/>
          <w:lang w:val="en-US"/>
        </w:rPr>
        <w:t xml:space="preserve"> </w:t>
      </w:r>
      <w:r w:rsidRPr="00E77C03">
        <w:rPr>
          <w:rFonts w:ascii="Calibri" w:eastAsia="Calibri" w:hAnsi="Calibri" w:cs="Calibri"/>
          <w:b/>
          <w:color w:val="000000" w:themeColor="text1"/>
          <w:lang w:val="en-US"/>
        </w:rPr>
        <w:t>patients</w:t>
      </w:r>
      <w:r>
        <w:rPr>
          <w:rFonts w:ascii="Calibri" w:eastAsia="Calibri" w:hAnsi="Calibri" w:cs="Calibri"/>
          <w:color w:val="000000" w:themeColor="text1"/>
          <w:lang w:val="en-US"/>
        </w:rPr>
        <w:t xml:space="preserve">, </w:t>
      </w:r>
      <w:r w:rsidR="003A3123" w:rsidRPr="002D686B">
        <w:rPr>
          <w:rFonts w:ascii="Calibri" w:eastAsia="Calibri" w:hAnsi="Calibri" w:cs="Calibri"/>
          <w:color w:val="000000" w:themeColor="text1"/>
          <w:lang w:val="en-US"/>
        </w:rPr>
        <w:t xml:space="preserve">case-mix </w:t>
      </w:r>
      <w:r w:rsidR="00035C3F">
        <w:rPr>
          <w:rFonts w:ascii="Calibri" w:eastAsia="Calibri" w:hAnsi="Calibri" w:cs="Calibri"/>
          <w:color w:val="000000" w:themeColor="text1"/>
          <w:lang w:val="en-US"/>
        </w:rPr>
        <w:t>adjusted</w:t>
      </w:r>
      <w:r>
        <w:rPr>
          <w:rFonts w:ascii="Calibri" w:eastAsia="Calibri" w:hAnsi="Calibri" w:cs="Calibri"/>
          <w:color w:val="000000" w:themeColor="text1"/>
          <w:lang w:val="en-US"/>
        </w:rPr>
        <w:t xml:space="preserve"> one-year </w:t>
      </w:r>
      <w:r w:rsidRPr="00E77C03">
        <w:rPr>
          <w:rFonts w:ascii="Calibri" w:eastAsia="Calibri" w:hAnsi="Calibri" w:cs="Calibri"/>
          <w:b/>
          <w:color w:val="000000" w:themeColor="text1"/>
          <w:lang w:val="en-US"/>
        </w:rPr>
        <w:t>healthcare</w:t>
      </w:r>
      <w:r w:rsidRPr="002D686B">
        <w:rPr>
          <w:rFonts w:ascii="Calibri" w:eastAsia="Calibri" w:hAnsi="Calibri" w:cs="Calibri"/>
          <w:color w:val="000000" w:themeColor="text1"/>
          <w:lang w:val="en-US"/>
        </w:rPr>
        <w:t xml:space="preserve"> </w:t>
      </w:r>
      <w:r w:rsidR="003A3123" w:rsidRPr="002D686B">
        <w:rPr>
          <w:rFonts w:ascii="Calibri" w:eastAsia="Calibri" w:hAnsi="Calibri" w:cs="Calibri"/>
          <w:color w:val="000000" w:themeColor="text1"/>
          <w:lang w:val="en-US"/>
        </w:rPr>
        <w:t>costs decreased</w:t>
      </w:r>
      <w:r w:rsidR="00B20DDA" w:rsidRPr="002D686B">
        <w:rPr>
          <w:rFonts w:ascii="Calibri" w:eastAsia="Calibri" w:hAnsi="Calibri" w:cs="Calibri"/>
          <w:color w:val="000000" w:themeColor="text1"/>
          <w:lang w:val="en-US"/>
        </w:rPr>
        <w:t xml:space="preserve"> </w:t>
      </w:r>
      <w:r w:rsidR="317200CE" w:rsidRPr="002D686B">
        <w:rPr>
          <w:rFonts w:ascii="Calibri" w:eastAsia="Calibri" w:hAnsi="Calibri" w:cs="Calibri"/>
          <w:color w:val="000000" w:themeColor="text1"/>
          <w:lang w:val="en-US"/>
        </w:rPr>
        <w:t xml:space="preserve">by </w:t>
      </w:r>
      <w:r w:rsidR="00D87D4C" w:rsidRPr="002D686B">
        <w:rPr>
          <w:rFonts w:ascii="Calibri" w:eastAsia="Calibri" w:hAnsi="Calibri" w:cs="Calibri"/>
          <w:color w:val="000000" w:themeColor="text1"/>
          <w:lang w:val="en-US"/>
        </w:rPr>
        <w:t xml:space="preserve">a mean of </w:t>
      </w:r>
      <w:r w:rsidR="0085618D">
        <w:rPr>
          <w:rFonts w:ascii="Calibri" w:eastAsia="Calibri" w:hAnsi="Calibri" w:cs="Calibri"/>
          <w:lang w:val="en-US"/>
        </w:rPr>
        <w:t xml:space="preserve">$740 </w:t>
      </w:r>
      <w:r w:rsidR="0085618D" w:rsidRPr="002D686B">
        <w:rPr>
          <w:rFonts w:ascii="Calibri" w:eastAsia="Calibri" w:hAnsi="Calibri" w:cs="Calibri"/>
          <w:lang w:val="en-US"/>
        </w:rPr>
        <w:t xml:space="preserve">(95% CI </w:t>
      </w:r>
      <w:r w:rsidR="0085618D">
        <w:rPr>
          <w:rFonts w:ascii="Calibri" w:eastAsia="Calibri" w:hAnsi="Calibri" w:cs="Calibri"/>
          <w:lang w:val="en-US"/>
        </w:rPr>
        <w:t>$</w:t>
      </w:r>
      <w:r w:rsidR="0085618D" w:rsidRPr="002D686B">
        <w:rPr>
          <w:rFonts w:ascii="Calibri" w:eastAsia="Calibri" w:hAnsi="Calibri" w:cs="Calibri"/>
          <w:lang w:val="en-US"/>
        </w:rPr>
        <w:t>1,</w:t>
      </w:r>
      <w:r w:rsidR="0085618D">
        <w:rPr>
          <w:rFonts w:ascii="Calibri" w:eastAsia="Calibri" w:hAnsi="Calibri" w:cs="Calibri"/>
          <w:lang w:val="en-US"/>
        </w:rPr>
        <w:t>294–$187</w:t>
      </w:r>
      <w:r w:rsidR="0085618D" w:rsidRPr="002D686B">
        <w:rPr>
          <w:rFonts w:ascii="Calibri" w:eastAsia="Calibri" w:hAnsi="Calibri" w:cs="Calibri"/>
          <w:lang w:val="en-US"/>
        </w:rPr>
        <w:t>)</w:t>
      </w:r>
      <w:r w:rsidR="00171DF2">
        <w:rPr>
          <w:rFonts w:ascii="Calibri" w:eastAsia="Calibri" w:hAnsi="Calibri" w:cs="Calibri"/>
          <w:lang w:val="en-US"/>
        </w:rPr>
        <w:t xml:space="preserve"> per year</w:t>
      </w:r>
      <w:r>
        <w:rPr>
          <w:rFonts w:ascii="Calibri" w:eastAsia="Calibri" w:hAnsi="Calibri" w:cs="Calibri"/>
          <w:color w:val="000000" w:themeColor="text1"/>
          <w:lang w:val="en-US"/>
        </w:rPr>
        <w:t>;</w:t>
      </w:r>
      <w:r w:rsidR="00BD4AC2" w:rsidRPr="002D686B">
        <w:rPr>
          <w:rFonts w:ascii="Calibri" w:eastAsia="Calibri" w:hAnsi="Calibri" w:cs="Calibri"/>
          <w:color w:val="000000" w:themeColor="text1"/>
          <w:lang w:val="en-US"/>
        </w:rPr>
        <w:t xml:space="preserve"> </w:t>
      </w:r>
      <w:r>
        <w:rPr>
          <w:rFonts w:ascii="Calibri" w:eastAsia="Calibri" w:hAnsi="Calibri" w:cs="Calibri"/>
          <w:color w:val="000000" w:themeColor="text1"/>
          <w:lang w:val="en-US"/>
        </w:rPr>
        <w:t>u</w:t>
      </w:r>
      <w:r w:rsidRPr="002D686B">
        <w:rPr>
          <w:rFonts w:ascii="Calibri" w:eastAsia="Calibri" w:hAnsi="Calibri" w:cs="Calibri"/>
          <w:color w:val="000000" w:themeColor="text1"/>
          <w:lang w:val="en-US"/>
        </w:rPr>
        <w:t xml:space="preserve">niversity hospital costs increased by a mean of </w:t>
      </w:r>
      <w:r>
        <w:rPr>
          <w:rFonts w:ascii="Calibri" w:eastAsia="Calibri" w:hAnsi="Calibri" w:cs="Calibri"/>
          <w:color w:val="000000" w:themeColor="text1"/>
          <w:lang w:val="en-US"/>
        </w:rPr>
        <w:t>$290</w:t>
      </w:r>
      <w:r w:rsidRPr="002D686B">
        <w:rPr>
          <w:rFonts w:ascii="Calibri" w:eastAsia="Calibri" w:hAnsi="Calibri" w:cs="Calibri"/>
          <w:color w:val="000000" w:themeColor="text1"/>
          <w:lang w:val="en-US"/>
        </w:rPr>
        <w:t xml:space="preserve"> (95% CI </w:t>
      </w:r>
      <w:r>
        <w:rPr>
          <w:rFonts w:ascii="Calibri" w:eastAsia="Calibri" w:hAnsi="Calibri" w:cs="Calibri"/>
          <w:color w:val="000000" w:themeColor="text1"/>
          <w:lang w:val="en-US"/>
        </w:rPr>
        <w:t>$28</w:t>
      </w:r>
      <w:r>
        <w:rPr>
          <w:rFonts w:ascii="Calibri" w:eastAsia="Calibri" w:hAnsi="Calibri" w:cs="Calibri"/>
          <w:lang w:val="en-US"/>
        </w:rPr>
        <w:t>–$550</w:t>
      </w:r>
      <w:r w:rsidRPr="002D686B">
        <w:rPr>
          <w:rFonts w:ascii="Calibri" w:eastAsia="Calibri" w:hAnsi="Calibri" w:cs="Calibri"/>
          <w:color w:val="000000" w:themeColor="text1"/>
          <w:lang w:val="en-US"/>
        </w:rPr>
        <w:t>) per year</w:t>
      </w:r>
      <w:r>
        <w:rPr>
          <w:rFonts w:ascii="Calibri" w:eastAsia="Calibri" w:hAnsi="Calibri" w:cs="Calibri"/>
          <w:color w:val="000000" w:themeColor="text1"/>
          <w:lang w:val="en-US"/>
        </w:rPr>
        <w:t>;</w:t>
      </w:r>
      <w:r w:rsidRPr="002D686B">
        <w:rPr>
          <w:rFonts w:ascii="Calibri" w:eastAsia="Calibri" w:hAnsi="Calibri" w:cs="Calibri"/>
          <w:color w:val="000000" w:themeColor="text1"/>
          <w:lang w:val="en-US"/>
        </w:rPr>
        <w:t xml:space="preserve"> </w:t>
      </w:r>
      <w:r>
        <w:rPr>
          <w:rFonts w:ascii="Calibri" w:eastAsia="Calibri" w:hAnsi="Calibri" w:cs="Calibri"/>
          <w:color w:val="000000" w:themeColor="text1"/>
          <w:lang w:val="en-US"/>
        </w:rPr>
        <w:t>r</w:t>
      </w:r>
      <w:r w:rsidRPr="002D686B">
        <w:rPr>
          <w:rFonts w:ascii="Calibri" w:eastAsia="Calibri" w:hAnsi="Calibri" w:cs="Calibri"/>
          <w:color w:val="000000" w:themeColor="text1"/>
          <w:lang w:val="en-US"/>
        </w:rPr>
        <w:t xml:space="preserve">ehabilitation unit costs decreased by a mean of </w:t>
      </w:r>
      <w:r>
        <w:rPr>
          <w:rFonts w:ascii="Calibri" w:eastAsia="Calibri" w:hAnsi="Calibri" w:cs="Calibri"/>
          <w:color w:val="000000" w:themeColor="text1"/>
          <w:lang w:val="en-US"/>
        </w:rPr>
        <w:t>$1,107 (95% CI $</w:t>
      </w:r>
      <w:r w:rsidRPr="002D686B">
        <w:rPr>
          <w:rFonts w:ascii="Calibri" w:eastAsia="Calibri" w:hAnsi="Calibri" w:cs="Calibri"/>
          <w:color w:val="000000" w:themeColor="text1"/>
          <w:lang w:val="en-US"/>
        </w:rPr>
        <w:t>1,</w:t>
      </w:r>
      <w:r>
        <w:rPr>
          <w:rFonts w:ascii="Calibri" w:eastAsia="Calibri" w:hAnsi="Calibri" w:cs="Calibri"/>
          <w:color w:val="000000" w:themeColor="text1"/>
          <w:lang w:val="en-US"/>
        </w:rPr>
        <w:t>492</w:t>
      </w:r>
      <w:r>
        <w:rPr>
          <w:rFonts w:ascii="Calibri" w:eastAsia="Calibri" w:hAnsi="Calibri" w:cs="Calibri"/>
          <w:lang w:val="en-US"/>
        </w:rPr>
        <w:t>–$723</w:t>
      </w:r>
      <w:r>
        <w:rPr>
          <w:rFonts w:ascii="Calibri" w:eastAsia="Calibri" w:hAnsi="Calibri" w:cs="Calibri"/>
          <w:color w:val="000000" w:themeColor="text1"/>
          <w:lang w:val="en-US"/>
        </w:rPr>
        <w:t>) per year; s</w:t>
      </w:r>
      <w:r w:rsidRPr="002D686B">
        <w:rPr>
          <w:rFonts w:ascii="Calibri" w:eastAsia="Calibri" w:hAnsi="Calibri" w:cs="Calibri"/>
          <w:color w:val="000000" w:themeColor="text1"/>
          <w:lang w:val="en-US"/>
        </w:rPr>
        <w:t xml:space="preserve">ocial security costs did not significantly change during the study period. </w:t>
      </w:r>
    </w:p>
    <w:p w14:paraId="496206E7" w14:textId="0E31D364" w:rsidR="005C45D2" w:rsidRPr="00E77C03" w:rsidRDefault="005C45D2" w:rsidP="007C1225">
      <w:pPr>
        <w:spacing w:line="480" w:lineRule="auto"/>
        <w:rPr>
          <w:rFonts w:ascii="Calibri" w:eastAsia="Calibri" w:hAnsi="Calibri" w:cs="Calibri"/>
          <w:b/>
          <w:color w:val="000000" w:themeColor="text1"/>
          <w:lang w:val="en-US"/>
        </w:rPr>
      </w:pPr>
      <w:r w:rsidRPr="00E77C03">
        <w:rPr>
          <w:rFonts w:ascii="Calibri" w:eastAsia="Calibri" w:hAnsi="Calibri" w:cs="Calibri"/>
          <w:b/>
          <w:color w:val="000000" w:themeColor="text1"/>
          <w:lang w:val="en-US"/>
        </w:rPr>
        <w:t>In subgroup analysis</w:t>
      </w:r>
      <w:r w:rsidR="00035C3F">
        <w:rPr>
          <w:rFonts w:ascii="Calibri" w:eastAsia="Calibri" w:hAnsi="Calibri" w:cs="Calibri"/>
          <w:b/>
          <w:color w:val="000000" w:themeColor="text1"/>
          <w:lang w:val="en-US"/>
        </w:rPr>
        <w:t>,</w:t>
      </w:r>
      <w:r w:rsidRPr="00E77C03">
        <w:rPr>
          <w:rFonts w:ascii="Calibri" w:eastAsia="Calibri" w:hAnsi="Calibri" w:cs="Calibri"/>
          <w:b/>
          <w:color w:val="000000" w:themeColor="text1"/>
          <w:lang w:val="en-US"/>
        </w:rPr>
        <w:t xml:space="preserve"> healthcare costs decreased only in patients with complicated mild TBI</w:t>
      </w:r>
      <w:r w:rsidRPr="002B28B6">
        <w:rPr>
          <w:rFonts w:ascii="Calibri" w:eastAsia="Calibri" w:hAnsi="Calibri" w:cs="Calibri"/>
          <w:b/>
          <w:color w:val="000000" w:themeColor="text1"/>
          <w:lang w:val="en-US"/>
        </w:rPr>
        <w:t xml:space="preserve"> and in old TBI patients (Table 2). </w:t>
      </w:r>
      <w:r w:rsidR="00AE7433" w:rsidRPr="00E77C03">
        <w:rPr>
          <w:rFonts w:ascii="Calibri" w:eastAsia="Calibri" w:hAnsi="Calibri" w:cs="Calibri"/>
          <w:b/>
          <w:color w:val="000000" w:themeColor="text1"/>
          <w:lang w:val="en-US"/>
        </w:rPr>
        <w:t xml:space="preserve">In the complicated mild TBI group the </w:t>
      </w:r>
      <w:r w:rsidR="00035C3F">
        <w:rPr>
          <w:rFonts w:ascii="Calibri" w:eastAsia="Calibri" w:hAnsi="Calibri" w:cs="Calibri"/>
          <w:b/>
          <w:color w:val="000000" w:themeColor="text1"/>
          <w:lang w:val="en-US"/>
        </w:rPr>
        <w:t xml:space="preserve">cost </w:t>
      </w:r>
      <w:r w:rsidR="00AE7433" w:rsidRPr="00E77C03">
        <w:rPr>
          <w:rFonts w:ascii="Calibri" w:eastAsia="Calibri" w:hAnsi="Calibri" w:cs="Calibri"/>
          <w:b/>
          <w:color w:val="000000" w:themeColor="text1"/>
          <w:lang w:val="en-US"/>
        </w:rPr>
        <w:t xml:space="preserve">reduction was due to lower rehabilitation costs (mean annual reduction $890). In the old age group, the </w:t>
      </w:r>
      <w:r w:rsidR="00035C3F">
        <w:rPr>
          <w:rFonts w:ascii="Calibri" w:eastAsia="Calibri" w:hAnsi="Calibri" w:cs="Calibri"/>
          <w:b/>
          <w:color w:val="000000" w:themeColor="text1"/>
          <w:lang w:val="en-US"/>
        </w:rPr>
        <w:t xml:space="preserve">cost </w:t>
      </w:r>
      <w:r w:rsidR="00AE7433" w:rsidRPr="00E77C03">
        <w:rPr>
          <w:rFonts w:ascii="Calibri" w:eastAsia="Calibri" w:hAnsi="Calibri" w:cs="Calibri"/>
          <w:b/>
          <w:color w:val="000000" w:themeColor="text1"/>
          <w:lang w:val="en-US"/>
        </w:rPr>
        <w:t>re</w:t>
      </w:r>
      <w:r w:rsidR="00AE7433" w:rsidRPr="00E77C03">
        <w:rPr>
          <w:rFonts w:ascii="Calibri" w:eastAsia="Calibri" w:hAnsi="Calibri" w:cs="Calibri"/>
          <w:b/>
          <w:color w:val="000000" w:themeColor="text1"/>
          <w:lang w:val="en-US"/>
        </w:rPr>
        <w:lastRenderedPageBreak/>
        <w:t xml:space="preserve">duction was due to lower rehabilitation costs (mean annual reduction $2,154), although university hospital costs increased </w:t>
      </w:r>
      <w:r w:rsidR="00035C3F">
        <w:rPr>
          <w:rFonts w:ascii="Calibri" w:eastAsia="Calibri" w:hAnsi="Calibri" w:cs="Calibri"/>
          <w:b/>
          <w:color w:val="000000" w:themeColor="text1"/>
          <w:lang w:val="en-US"/>
        </w:rPr>
        <w:t xml:space="preserve">slightly </w:t>
      </w:r>
      <w:r w:rsidR="00AE7433" w:rsidRPr="00E77C03">
        <w:rPr>
          <w:rFonts w:ascii="Calibri" w:eastAsia="Calibri" w:hAnsi="Calibri" w:cs="Calibri"/>
          <w:b/>
          <w:color w:val="000000" w:themeColor="text1"/>
          <w:lang w:val="en-US"/>
        </w:rPr>
        <w:t xml:space="preserve">(mean annual increase $658). </w:t>
      </w:r>
      <w:r w:rsidR="00895EF9" w:rsidRPr="00E77C03">
        <w:rPr>
          <w:rFonts w:ascii="Calibri" w:eastAsia="Calibri" w:hAnsi="Calibri" w:cs="Calibri"/>
          <w:b/>
          <w:color w:val="000000" w:themeColor="text1"/>
          <w:lang w:val="en-US"/>
        </w:rPr>
        <w:t xml:space="preserve">In patients with severe and moderate TBI, university hospital costs increased (mean annual increase $1,056 and $576, respectively), rehabilitation costs decreased (mean annual decrease $1,046 and $400, respectively) and social security costs increased (mean annual increase $210 and $316, respectively). University hospital costs did not significantly change in the young- and middle-aged subgroups. </w:t>
      </w:r>
    </w:p>
    <w:p w14:paraId="0EB8813F" w14:textId="7F571F44" w:rsidR="002C4A09" w:rsidRPr="00C2509C" w:rsidRDefault="004E1954" w:rsidP="00D94BBD">
      <w:pPr>
        <w:spacing w:line="480" w:lineRule="auto"/>
        <w:rPr>
          <w:rFonts w:ascii="Calibri" w:eastAsia="Calibri" w:hAnsi="Calibri" w:cs="Calibri"/>
          <w:color w:val="000000" w:themeColor="text1"/>
          <w:lang w:val="en-US"/>
        </w:rPr>
      </w:pPr>
      <w:r w:rsidRPr="002D686B">
        <w:rPr>
          <w:rFonts w:ascii="Calibri" w:eastAsia="Calibri" w:hAnsi="Calibri" w:cs="Calibri"/>
          <w:color w:val="000000" w:themeColor="text1"/>
          <w:lang w:val="en-US"/>
        </w:rPr>
        <w:lastRenderedPageBreak/>
        <w:t xml:space="preserve">The </w:t>
      </w:r>
      <w:r w:rsidR="00D42745">
        <w:rPr>
          <w:rFonts w:ascii="Calibri" w:eastAsia="Calibri" w:hAnsi="Calibri" w:cs="Calibri"/>
          <w:color w:val="000000" w:themeColor="text1"/>
          <w:lang w:val="en-US"/>
        </w:rPr>
        <w:t xml:space="preserve">sum </w:t>
      </w:r>
      <w:r w:rsidR="00035C3F">
        <w:rPr>
          <w:rFonts w:ascii="Calibri" w:eastAsia="Calibri" w:hAnsi="Calibri" w:cs="Calibri"/>
          <w:color w:val="000000" w:themeColor="text1"/>
          <w:lang w:val="en-US"/>
        </w:rPr>
        <w:t xml:space="preserve">of </w:t>
      </w:r>
      <w:r w:rsidR="00D42745">
        <w:rPr>
          <w:rFonts w:ascii="Calibri" w:eastAsia="Calibri" w:hAnsi="Calibri" w:cs="Calibri"/>
          <w:color w:val="000000" w:themeColor="text1"/>
          <w:lang w:val="en-US"/>
        </w:rPr>
        <w:t>total</w:t>
      </w:r>
      <w:r w:rsidR="00035C3F">
        <w:rPr>
          <w:rFonts w:ascii="Calibri" w:eastAsia="Calibri" w:hAnsi="Calibri" w:cs="Calibri"/>
          <w:color w:val="000000" w:themeColor="text1"/>
          <w:lang w:val="en-US"/>
        </w:rPr>
        <w:t xml:space="preserve"> healthcare costs</w:t>
      </w:r>
      <w:r w:rsidR="00D42745">
        <w:rPr>
          <w:rFonts w:ascii="Calibri" w:eastAsia="Calibri" w:hAnsi="Calibri" w:cs="Calibri"/>
          <w:color w:val="000000" w:themeColor="text1"/>
          <w:lang w:val="en-US"/>
        </w:rPr>
        <w:t xml:space="preserve"> </w:t>
      </w:r>
      <w:r w:rsidR="00035C3F">
        <w:rPr>
          <w:rFonts w:ascii="Calibri" w:eastAsia="Calibri" w:hAnsi="Calibri" w:cs="Calibri"/>
          <w:color w:val="000000" w:themeColor="text1"/>
          <w:lang w:val="en-US"/>
        </w:rPr>
        <w:t>for</w:t>
      </w:r>
      <w:r w:rsidRPr="002D686B">
        <w:rPr>
          <w:rFonts w:ascii="Calibri" w:eastAsia="Calibri" w:hAnsi="Calibri" w:cs="Calibri"/>
          <w:color w:val="000000" w:themeColor="text1"/>
          <w:lang w:val="en-US"/>
        </w:rPr>
        <w:t xml:space="preserve"> all 3,051 patients was </w:t>
      </w:r>
      <w:r w:rsidR="00171DF2">
        <w:rPr>
          <w:rFonts w:ascii="Calibri" w:eastAsia="Calibri" w:hAnsi="Calibri" w:cs="Calibri"/>
          <w:color w:val="000000" w:themeColor="text1"/>
          <w:lang w:val="en-US"/>
        </w:rPr>
        <w:t>$121.5</w:t>
      </w:r>
      <w:r w:rsidR="00AB4BDA" w:rsidRPr="002D686B">
        <w:rPr>
          <w:rFonts w:ascii="Calibri" w:eastAsia="Calibri" w:hAnsi="Calibri" w:cs="Calibri"/>
          <w:color w:val="000000" w:themeColor="text1"/>
          <w:lang w:val="en-US"/>
        </w:rPr>
        <w:t xml:space="preserve"> million</w:t>
      </w:r>
      <w:r w:rsidR="00375CE2">
        <w:rPr>
          <w:rFonts w:ascii="Calibri" w:eastAsia="Calibri" w:hAnsi="Calibri" w:cs="Calibri"/>
          <w:color w:val="000000" w:themeColor="text1"/>
          <w:lang w:val="en-US"/>
        </w:rPr>
        <w:t>s</w:t>
      </w:r>
      <w:r w:rsidR="00AB4BDA" w:rsidRPr="002D686B">
        <w:rPr>
          <w:rFonts w:ascii="Calibri" w:eastAsia="Calibri" w:hAnsi="Calibri" w:cs="Calibri"/>
          <w:color w:val="000000" w:themeColor="text1"/>
          <w:lang w:val="en-US"/>
        </w:rPr>
        <w:t xml:space="preserve"> (</w:t>
      </w:r>
      <w:r w:rsidR="00A1593A" w:rsidRPr="002D686B">
        <w:rPr>
          <w:rFonts w:ascii="Calibri" w:eastAsia="Calibri" w:hAnsi="Calibri" w:cs="Calibri"/>
          <w:color w:val="000000" w:themeColor="text1"/>
          <w:lang w:val="en-US"/>
        </w:rPr>
        <w:t>mean</w:t>
      </w:r>
      <w:r w:rsidR="00D42745">
        <w:rPr>
          <w:rFonts w:ascii="Calibri" w:eastAsia="Calibri" w:hAnsi="Calibri" w:cs="Calibri"/>
          <w:color w:val="000000" w:themeColor="text1"/>
          <w:lang w:val="en-US"/>
        </w:rPr>
        <w:t>:</w:t>
      </w:r>
      <w:r w:rsidR="00A1593A" w:rsidRPr="002D686B">
        <w:rPr>
          <w:rFonts w:ascii="Calibri" w:eastAsia="Calibri" w:hAnsi="Calibri" w:cs="Calibri"/>
          <w:color w:val="000000" w:themeColor="text1"/>
          <w:lang w:val="en-US"/>
        </w:rPr>
        <w:t xml:space="preserve"> </w:t>
      </w:r>
      <w:r w:rsidR="00171DF2">
        <w:rPr>
          <w:rFonts w:ascii="Calibri" w:eastAsia="Calibri" w:hAnsi="Calibri" w:cs="Calibri"/>
          <w:color w:val="000000" w:themeColor="text1"/>
          <w:lang w:val="en-US"/>
        </w:rPr>
        <w:t>$11.0</w:t>
      </w:r>
      <w:r w:rsidR="00AB4BDA" w:rsidRPr="002D686B">
        <w:rPr>
          <w:rFonts w:ascii="Calibri" w:eastAsia="Calibri" w:hAnsi="Calibri" w:cs="Calibri"/>
          <w:color w:val="000000" w:themeColor="text1"/>
          <w:lang w:val="en-US"/>
        </w:rPr>
        <w:t xml:space="preserve"> million</w:t>
      </w:r>
      <w:r w:rsidR="00375CE2">
        <w:rPr>
          <w:rFonts w:ascii="Calibri" w:eastAsia="Calibri" w:hAnsi="Calibri" w:cs="Calibri"/>
          <w:color w:val="000000" w:themeColor="text1"/>
          <w:lang w:val="en-US"/>
        </w:rPr>
        <w:t>s</w:t>
      </w:r>
      <w:r w:rsidR="00AB4BDA" w:rsidRPr="002D686B">
        <w:rPr>
          <w:rFonts w:ascii="Calibri" w:eastAsia="Calibri" w:hAnsi="Calibri" w:cs="Calibri"/>
          <w:color w:val="000000" w:themeColor="text1"/>
          <w:lang w:val="en-US"/>
        </w:rPr>
        <w:t xml:space="preserve"> per year</w:t>
      </w:r>
      <w:r w:rsidR="002C4A09" w:rsidRPr="002D686B">
        <w:rPr>
          <w:rFonts w:ascii="Calibri" w:eastAsia="Calibri" w:hAnsi="Calibri" w:cs="Calibri"/>
          <w:color w:val="000000" w:themeColor="text1"/>
          <w:lang w:val="en-US"/>
        </w:rPr>
        <w:t>)</w:t>
      </w:r>
      <w:r w:rsidR="0008114C">
        <w:rPr>
          <w:rFonts w:ascii="Calibri" w:eastAsia="Calibri" w:hAnsi="Calibri" w:cs="Calibri"/>
          <w:color w:val="000000" w:themeColor="text1"/>
          <w:lang w:val="en-US"/>
        </w:rPr>
        <w:t xml:space="preserve"> (</w:t>
      </w:r>
      <w:r w:rsidR="0008114C" w:rsidRPr="001D6F4A">
        <w:rPr>
          <w:bCs/>
          <w:lang w:val="en-US"/>
        </w:rPr>
        <w:t>Supplemental</w:t>
      </w:r>
      <w:r w:rsidR="0008114C">
        <w:rPr>
          <w:b/>
          <w:bCs/>
          <w:lang w:val="en-US"/>
        </w:rPr>
        <w:t xml:space="preserve"> </w:t>
      </w:r>
      <w:r w:rsidR="0008114C">
        <w:rPr>
          <w:rFonts w:ascii="Calibri" w:eastAsia="Calibri" w:hAnsi="Calibri" w:cs="Calibri"/>
          <w:lang w:val="en-US"/>
        </w:rPr>
        <w:t xml:space="preserve">Figure </w:t>
      </w:r>
      <w:r w:rsidR="00006B51">
        <w:rPr>
          <w:rFonts w:ascii="Calibri" w:eastAsia="Calibri" w:hAnsi="Calibri" w:cs="Calibri"/>
          <w:lang w:val="en-US"/>
        </w:rPr>
        <w:t>2</w:t>
      </w:r>
      <w:r w:rsidR="0008114C">
        <w:rPr>
          <w:rFonts w:ascii="Calibri" w:eastAsia="Calibri" w:hAnsi="Calibri" w:cs="Calibri"/>
          <w:color w:val="000000" w:themeColor="text1"/>
          <w:lang w:val="en-US"/>
        </w:rPr>
        <w:t>)</w:t>
      </w:r>
      <w:r w:rsidR="00AB4BDA" w:rsidRPr="002D686B">
        <w:rPr>
          <w:rFonts w:ascii="Calibri" w:eastAsia="Calibri" w:hAnsi="Calibri" w:cs="Calibri"/>
          <w:color w:val="000000" w:themeColor="text1"/>
          <w:lang w:val="en-US"/>
        </w:rPr>
        <w:t>. In 200</w:t>
      </w:r>
      <w:r w:rsidR="00171DF2">
        <w:rPr>
          <w:rFonts w:ascii="Calibri" w:eastAsia="Calibri" w:hAnsi="Calibri" w:cs="Calibri"/>
          <w:color w:val="000000" w:themeColor="text1"/>
          <w:lang w:val="en-US"/>
        </w:rPr>
        <w:t>3, the sum of all costs was $7.1</w:t>
      </w:r>
      <w:r w:rsidR="00AB4BDA" w:rsidRPr="002D686B">
        <w:rPr>
          <w:rFonts w:ascii="Calibri" w:eastAsia="Calibri" w:hAnsi="Calibri" w:cs="Calibri"/>
          <w:color w:val="000000" w:themeColor="text1"/>
          <w:lang w:val="en-US"/>
        </w:rPr>
        <w:t xml:space="preserve"> million</w:t>
      </w:r>
      <w:r w:rsidR="00D42745">
        <w:rPr>
          <w:rFonts w:ascii="Calibri" w:eastAsia="Calibri" w:hAnsi="Calibri" w:cs="Calibri"/>
          <w:color w:val="000000" w:themeColor="text1"/>
          <w:lang w:val="en-US"/>
        </w:rPr>
        <w:t>,</w:t>
      </w:r>
      <w:r w:rsidR="00AB4BDA" w:rsidRPr="002D686B">
        <w:rPr>
          <w:rFonts w:ascii="Calibri" w:eastAsia="Calibri" w:hAnsi="Calibri" w:cs="Calibri"/>
          <w:color w:val="000000" w:themeColor="text1"/>
          <w:lang w:val="en-US"/>
        </w:rPr>
        <w:t xml:space="preserve"> and i</w:t>
      </w:r>
      <w:r w:rsidR="00171DF2">
        <w:rPr>
          <w:rFonts w:ascii="Calibri" w:eastAsia="Calibri" w:hAnsi="Calibri" w:cs="Calibri"/>
          <w:color w:val="000000" w:themeColor="text1"/>
          <w:lang w:val="en-US"/>
        </w:rPr>
        <w:t>n 2013, the sum increased to $10</w:t>
      </w:r>
      <w:r w:rsidR="00AF55A9">
        <w:rPr>
          <w:rFonts w:ascii="Calibri" w:eastAsia="Calibri" w:hAnsi="Calibri" w:cs="Calibri"/>
          <w:color w:val="000000" w:themeColor="text1"/>
          <w:lang w:val="en-US"/>
        </w:rPr>
        <w:t>.</w:t>
      </w:r>
      <w:r w:rsidR="00171DF2">
        <w:rPr>
          <w:rFonts w:ascii="Calibri" w:eastAsia="Calibri" w:hAnsi="Calibri" w:cs="Calibri"/>
          <w:color w:val="000000" w:themeColor="text1"/>
          <w:lang w:val="en-US"/>
        </w:rPr>
        <w:t>8</w:t>
      </w:r>
      <w:r w:rsidR="00AB4BDA" w:rsidRPr="002D686B">
        <w:rPr>
          <w:rFonts w:ascii="Calibri" w:eastAsia="Calibri" w:hAnsi="Calibri" w:cs="Calibri"/>
          <w:color w:val="000000" w:themeColor="text1"/>
          <w:lang w:val="en-US"/>
        </w:rPr>
        <w:t xml:space="preserve"> million</w:t>
      </w:r>
      <w:r w:rsidR="00375CE2">
        <w:rPr>
          <w:rFonts w:ascii="Calibri" w:eastAsia="Calibri" w:hAnsi="Calibri" w:cs="Calibri"/>
          <w:color w:val="000000" w:themeColor="text1"/>
          <w:lang w:val="en-US"/>
        </w:rPr>
        <w:t>s</w:t>
      </w:r>
      <w:r w:rsidR="00AE7433">
        <w:rPr>
          <w:rFonts w:ascii="Calibri" w:eastAsia="Calibri" w:hAnsi="Calibri" w:cs="Calibri"/>
          <w:color w:val="000000" w:themeColor="text1"/>
          <w:lang w:val="en-US"/>
        </w:rPr>
        <w:t>.</w:t>
      </w:r>
    </w:p>
    <w:p w14:paraId="5DA9D236" w14:textId="257BBA35" w:rsidR="00572340" w:rsidRPr="0010525B" w:rsidRDefault="317200CE" w:rsidP="00FE33B9">
      <w:pPr>
        <w:pStyle w:val="Heading2"/>
        <w:rPr>
          <w:b/>
          <w:lang w:val="en-US"/>
        </w:rPr>
      </w:pPr>
      <w:r w:rsidRPr="0010525B">
        <w:rPr>
          <w:b/>
          <w:lang w:val="en-US"/>
        </w:rPr>
        <w:t>Temporal trends in outcome</w:t>
      </w:r>
    </w:p>
    <w:p w14:paraId="4E57F35A" w14:textId="6D9534E0" w:rsidR="002B28B6" w:rsidRDefault="317200CE" w:rsidP="00D94BBD">
      <w:pPr>
        <w:spacing w:line="480" w:lineRule="auto"/>
        <w:rPr>
          <w:lang w:val="en-US"/>
        </w:rPr>
      </w:pPr>
      <w:r w:rsidRPr="00C2509C">
        <w:rPr>
          <w:lang w:val="en-US"/>
        </w:rPr>
        <w:t>Overall</w:t>
      </w:r>
      <w:r w:rsidR="00DC5A76" w:rsidRPr="002D686B">
        <w:rPr>
          <w:lang w:val="en-US"/>
        </w:rPr>
        <w:t>,</w:t>
      </w:r>
      <w:r w:rsidRPr="00C2509C">
        <w:rPr>
          <w:lang w:val="en-US"/>
        </w:rPr>
        <w:t xml:space="preserve"> one-year RAMR was 25% (95% CI 18%</w:t>
      </w:r>
      <w:r w:rsidR="00417B93">
        <w:rPr>
          <w:rFonts w:ascii="Calibri" w:eastAsia="Calibri" w:hAnsi="Calibri" w:cs="Calibri"/>
          <w:lang w:val="en-US"/>
        </w:rPr>
        <w:t>–</w:t>
      </w:r>
      <w:r w:rsidRPr="00C2509C">
        <w:rPr>
          <w:lang w:val="en-US"/>
        </w:rPr>
        <w:t>28%) and did not significantly change during the study period (p=0.14) (</w:t>
      </w:r>
      <w:r w:rsidR="00550529">
        <w:rPr>
          <w:lang w:val="en-US"/>
        </w:rPr>
        <w:t xml:space="preserve">Figure </w:t>
      </w:r>
      <w:r w:rsidR="00006B51">
        <w:rPr>
          <w:lang w:val="en-US"/>
        </w:rPr>
        <w:t>2</w:t>
      </w:r>
      <w:r w:rsidRPr="00C2509C">
        <w:rPr>
          <w:lang w:val="en-US"/>
        </w:rPr>
        <w:t xml:space="preserve">). Nor did the one-year RAMR change in any of the pre-defined study groups (Table </w:t>
      </w:r>
      <w:r w:rsidR="00035C3F">
        <w:rPr>
          <w:lang w:val="en-US"/>
        </w:rPr>
        <w:t>3</w:t>
      </w:r>
      <w:r w:rsidRPr="00C2509C">
        <w:rPr>
          <w:lang w:val="en-US"/>
        </w:rPr>
        <w:t>).</w:t>
      </w:r>
    </w:p>
    <w:p w14:paraId="10EAA204" w14:textId="6034D67F" w:rsidR="00566A6D" w:rsidRPr="00C2509C" w:rsidRDefault="002B28B6" w:rsidP="00D94BBD">
      <w:pPr>
        <w:spacing w:line="480" w:lineRule="auto"/>
        <w:rPr>
          <w:lang w:val="en-US"/>
        </w:rPr>
      </w:pPr>
      <w:r>
        <w:rPr>
          <w:lang w:val="en-US"/>
        </w:rPr>
        <w:lastRenderedPageBreak/>
        <w:t>RADR decreased significantly during the study period from 37% (95% CI 29-45%) in 2003 to 19% (</w:t>
      </w:r>
      <w:r w:rsidR="00006B51">
        <w:rPr>
          <w:lang w:val="en-US"/>
        </w:rPr>
        <w:t>95% CI 16-25%) in 2013 (Figure 2</w:t>
      </w:r>
      <w:r>
        <w:rPr>
          <w:lang w:val="en-US"/>
        </w:rPr>
        <w:t xml:space="preserve">). Case-mix adjusted risk for permanent disability decreased in all subgroups (Table 3). </w:t>
      </w:r>
    </w:p>
    <w:p w14:paraId="372902B9" w14:textId="3E1A3F8A" w:rsidR="00022792" w:rsidRPr="0010525B" w:rsidRDefault="00022792" w:rsidP="00022792">
      <w:pPr>
        <w:pStyle w:val="Heading2"/>
        <w:rPr>
          <w:b/>
          <w:lang w:val="en-US"/>
        </w:rPr>
      </w:pPr>
      <w:r w:rsidRPr="0010525B">
        <w:rPr>
          <w:b/>
          <w:lang w:val="en-US"/>
        </w:rPr>
        <w:t>Temporal trends in treatment intensity</w:t>
      </w:r>
    </w:p>
    <w:p w14:paraId="75C2F1CF" w14:textId="72B41BA5" w:rsidR="00C55598" w:rsidRPr="00C2509C" w:rsidRDefault="00022792" w:rsidP="00D94BBD">
      <w:pPr>
        <w:spacing w:line="480" w:lineRule="auto"/>
        <w:rPr>
          <w:lang w:val="en-US"/>
        </w:rPr>
      </w:pPr>
      <w:r w:rsidRPr="00C2509C">
        <w:rPr>
          <w:lang w:val="en-US"/>
        </w:rPr>
        <w:t xml:space="preserve">Case-mix adjusted treatment intensity decreased significantly during the study period by a mean of 0.21 of the mean daily TISS-76 (p&lt;0.001). Treatment intensity decreased significantly </w:t>
      </w:r>
      <w:r w:rsidR="00035C3F">
        <w:rPr>
          <w:lang w:val="en-US"/>
        </w:rPr>
        <w:t xml:space="preserve">only </w:t>
      </w:r>
      <w:r w:rsidRPr="00C2509C">
        <w:rPr>
          <w:lang w:val="en-US"/>
        </w:rPr>
        <w:t xml:space="preserve">in </w:t>
      </w:r>
      <w:r w:rsidRPr="00C2509C">
        <w:rPr>
          <w:lang w:val="en-US"/>
        </w:rPr>
        <w:lastRenderedPageBreak/>
        <w:t>the young, middle-aged</w:t>
      </w:r>
      <w:r>
        <w:rPr>
          <w:lang w:val="en-US"/>
        </w:rPr>
        <w:t>,</w:t>
      </w:r>
      <w:r w:rsidRPr="00C2509C">
        <w:rPr>
          <w:lang w:val="en-US"/>
        </w:rPr>
        <w:t xml:space="preserve"> and </w:t>
      </w:r>
      <w:r w:rsidRPr="00942745">
        <w:rPr>
          <w:b/>
          <w:lang w:val="en-US"/>
        </w:rPr>
        <w:t>complicated</w:t>
      </w:r>
      <w:r>
        <w:rPr>
          <w:lang w:val="en-US"/>
        </w:rPr>
        <w:t xml:space="preserve"> </w:t>
      </w:r>
      <w:r w:rsidRPr="00C2509C">
        <w:rPr>
          <w:lang w:val="en-US"/>
        </w:rPr>
        <w:t>mild TBI subgroups (Table 2). Treatment intensity did not significantly increase in any subgroup.</w:t>
      </w:r>
    </w:p>
    <w:p w14:paraId="4CAB2B52" w14:textId="70E5A1CC" w:rsidR="00572340" w:rsidRPr="0010525B" w:rsidRDefault="00BB5426" w:rsidP="00FE33B9">
      <w:pPr>
        <w:pStyle w:val="Heading2"/>
        <w:rPr>
          <w:b/>
          <w:lang w:val="en-US"/>
        </w:rPr>
      </w:pPr>
      <w:r w:rsidRPr="0010525B">
        <w:rPr>
          <w:b/>
          <w:lang w:val="en-US"/>
        </w:rPr>
        <w:t>C</w:t>
      </w:r>
      <w:r w:rsidR="00AB62A3" w:rsidRPr="0010525B">
        <w:rPr>
          <w:b/>
          <w:lang w:val="en-US"/>
        </w:rPr>
        <w:t>ost-effectiveness</w:t>
      </w:r>
      <w:r w:rsidRPr="0010525B">
        <w:rPr>
          <w:b/>
          <w:lang w:val="en-US"/>
        </w:rPr>
        <w:t xml:space="preserve"> </w:t>
      </w:r>
    </w:p>
    <w:p w14:paraId="08FA8295" w14:textId="51BE8056" w:rsidR="00C05F33" w:rsidRPr="002D686B" w:rsidRDefault="00682D96" w:rsidP="00D94BBD">
      <w:pPr>
        <w:spacing w:line="480" w:lineRule="auto"/>
        <w:rPr>
          <w:lang w:val="en-US"/>
        </w:rPr>
      </w:pPr>
      <w:r w:rsidRPr="00C2509C">
        <w:rPr>
          <w:lang w:val="en-US"/>
        </w:rPr>
        <w:t>The overall</w:t>
      </w:r>
      <w:r w:rsidR="00BD71B4">
        <w:rPr>
          <w:rFonts w:ascii="Calibri" w:eastAsia="Calibri" w:hAnsi="Calibri" w:cs="Calibri"/>
          <w:lang w:val="en-US"/>
        </w:rPr>
        <w:t xml:space="preserve"> ECPS was $52</w:t>
      </w:r>
      <w:r w:rsidR="00002A01" w:rsidRPr="002D686B">
        <w:rPr>
          <w:rFonts w:ascii="Calibri" w:eastAsia="Calibri" w:hAnsi="Calibri" w:cs="Calibri"/>
          <w:lang w:val="en-US"/>
        </w:rPr>
        <w:t>,</w:t>
      </w:r>
      <w:r w:rsidR="00BD71B4">
        <w:rPr>
          <w:rFonts w:ascii="Calibri" w:eastAsia="Calibri" w:hAnsi="Calibri" w:cs="Calibri"/>
          <w:lang w:val="en-US"/>
        </w:rPr>
        <w:t>716</w:t>
      </w:r>
      <w:r w:rsidR="000A0D55">
        <w:rPr>
          <w:rFonts w:ascii="Calibri" w:eastAsia="Calibri" w:hAnsi="Calibri" w:cs="Calibri"/>
          <w:lang w:val="en-US"/>
        </w:rPr>
        <w:t>,</w:t>
      </w:r>
      <w:r w:rsidR="00002A01" w:rsidRPr="002D686B">
        <w:rPr>
          <w:rFonts w:ascii="Calibri" w:eastAsia="Calibri" w:hAnsi="Calibri" w:cs="Calibri"/>
          <w:lang w:val="en-US"/>
        </w:rPr>
        <w:t xml:space="preserve"> and the</w:t>
      </w:r>
      <w:r w:rsidRPr="002D686B">
        <w:rPr>
          <w:rFonts w:ascii="Calibri" w:eastAsia="Calibri" w:hAnsi="Calibri" w:cs="Calibri"/>
          <w:lang w:val="en-US"/>
        </w:rPr>
        <w:t xml:space="preserve"> overall</w:t>
      </w:r>
      <w:r w:rsidR="00BD71B4">
        <w:rPr>
          <w:rFonts w:ascii="Calibri" w:eastAsia="Calibri" w:hAnsi="Calibri" w:cs="Calibri"/>
          <w:lang w:val="en-US"/>
        </w:rPr>
        <w:t xml:space="preserve"> ECPIS was $83,533</w:t>
      </w:r>
      <w:r w:rsidR="00002A01" w:rsidRPr="002D686B">
        <w:rPr>
          <w:rFonts w:ascii="Calibri" w:eastAsia="Calibri" w:hAnsi="Calibri" w:cs="Calibri"/>
          <w:lang w:val="en-US"/>
        </w:rPr>
        <w:t>. The ECPS and ECPIS w</w:t>
      </w:r>
      <w:r w:rsidR="000A0D55">
        <w:rPr>
          <w:rFonts w:ascii="Calibri" w:eastAsia="Calibri" w:hAnsi="Calibri" w:cs="Calibri"/>
          <w:lang w:val="en-US"/>
        </w:rPr>
        <w:t>ere</w:t>
      </w:r>
      <w:r w:rsidR="00002A01" w:rsidRPr="002D686B">
        <w:rPr>
          <w:rFonts w:ascii="Calibri" w:eastAsia="Calibri" w:hAnsi="Calibri" w:cs="Calibri"/>
          <w:lang w:val="en-US"/>
        </w:rPr>
        <w:t xml:space="preserve"> systematically higher in </w:t>
      </w:r>
      <w:r w:rsidRPr="002D686B">
        <w:rPr>
          <w:rFonts w:ascii="Calibri" w:eastAsia="Calibri" w:hAnsi="Calibri" w:cs="Calibri"/>
          <w:lang w:val="en-US"/>
        </w:rPr>
        <w:t xml:space="preserve">older patients </w:t>
      </w:r>
      <w:r w:rsidR="00002A01" w:rsidRPr="002D686B">
        <w:rPr>
          <w:rFonts w:ascii="Calibri" w:eastAsia="Calibri" w:hAnsi="Calibri" w:cs="Calibri"/>
          <w:lang w:val="en-US"/>
        </w:rPr>
        <w:t xml:space="preserve">and in </w:t>
      </w:r>
      <w:r w:rsidRPr="002D686B">
        <w:rPr>
          <w:rFonts w:ascii="Calibri" w:eastAsia="Calibri" w:hAnsi="Calibri" w:cs="Calibri"/>
          <w:lang w:val="en-US"/>
        </w:rPr>
        <w:t>patients with</w:t>
      </w:r>
      <w:r w:rsidR="00AC2050" w:rsidRPr="002D686B">
        <w:rPr>
          <w:rFonts w:ascii="Calibri" w:eastAsia="Calibri" w:hAnsi="Calibri" w:cs="Calibri"/>
          <w:lang w:val="en-US"/>
        </w:rPr>
        <w:t xml:space="preserve"> lower</w:t>
      </w:r>
      <w:r w:rsidR="00002A01" w:rsidRPr="002D686B">
        <w:rPr>
          <w:rFonts w:ascii="Calibri" w:eastAsia="Calibri" w:hAnsi="Calibri" w:cs="Calibri"/>
          <w:lang w:val="en-US"/>
        </w:rPr>
        <w:t xml:space="preserve"> GCS </w:t>
      </w:r>
      <w:r w:rsidRPr="002D686B">
        <w:rPr>
          <w:rFonts w:ascii="Calibri" w:eastAsia="Calibri" w:hAnsi="Calibri" w:cs="Calibri"/>
          <w:lang w:val="en-US"/>
        </w:rPr>
        <w:t>scores</w:t>
      </w:r>
      <w:r w:rsidR="00002A01" w:rsidRPr="002D686B">
        <w:rPr>
          <w:rFonts w:ascii="Calibri" w:eastAsia="Calibri" w:hAnsi="Calibri" w:cs="Calibri"/>
          <w:lang w:val="en-US"/>
        </w:rPr>
        <w:t xml:space="preserve"> (</w:t>
      </w:r>
      <w:r w:rsidR="001D6F4A" w:rsidRPr="001D6F4A">
        <w:rPr>
          <w:bCs/>
          <w:lang w:val="en-US"/>
        </w:rPr>
        <w:t>Supplemental</w:t>
      </w:r>
      <w:r w:rsidR="001D6F4A">
        <w:rPr>
          <w:b/>
          <w:bCs/>
          <w:lang w:val="en-US"/>
        </w:rPr>
        <w:t xml:space="preserve"> </w:t>
      </w:r>
      <w:r w:rsidR="00002A01" w:rsidRPr="002D686B">
        <w:rPr>
          <w:rFonts w:ascii="Calibri" w:eastAsia="Calibri" w:hAnsi="Calibri" w:cs="Calibri"/>
          <w:lang w:val="en-US"/>
        </w:rPr>
        <w:t>Fig</w:t>
      </w:r>
      <w:r w:rsidR="008F3AC3">
        <w:rPr>
          <w:rFonts w:ascii="Calibri" w:eastAsia="Calibri" w:hAnsi="Calibri" w:cs="Calibri"/>
          <w:lang w:val="en-US"/>
        </w:rPr>
        <w:t xml:space="preserve">ure </w:t>
      </w:r>
      <w:r w:rsidR="00006B51">
        <w:rPr>
          <w:rFonts w:ascii="Calibri" w:eastAsia="Calibri" w:hAnsi="Calibri" w:cs="Calibri"/>
          <w:lang w:val="en-US"/>
        </w:rPr>
        <w:t>3</w:t>
      </w:r>
      <w:r w:rsidR="00002A01" w:rsidRPr="002D686B">
        <w:rPr>
          <w:rFonts w:ascii="Calibri" w:eastAsia="Calibri" w:hAnsi="Calibri" w:cs="Calibri"/>
          <w:lang w:val="en-US"/>
        </w:rPr>
        <w:t>)</w:t>
      </w:r>
      <w:r w:rsidR="317200CE" w:rsidRPr="002D686B">
        <w:rPr>
          <w:lang w:val="en-US"/>
        </w:rPr>
        <w:t xml:space="preserve">. </w:t>
      </w:r>
      <w:r w:rsidR="00C40003" w:rsidRPr="002D686B">
        <w:rPr>
          <w:lang w:val="en-US"/>
        </w:rPr>
        <w:t>T</w:t>
      </w:r>
      <w:r w:rsidR="317200CE" w:rsidRPr="002D686B">
        <w:rPr>
          <w:lang w:val="en-US"/>
        </w:rPr>
        <w:t xml:space="preserve">he ECPIS was </w:t>
      </w:r>
      <w:r w:rsidR="00EF48A4" w:rsidRPr="00C2509C">
        <w:rPr>
          <w:lang w:val="en-US"/>
        </w:rPr>
        <w:t xml:space="preserve">approximately </w:t>
      </w:r>
      <w:r w:rsidR="317200CE" w:rsidRPr="002D686B">
        <w:rPr>
          <w:lang w:val="en-US"/>
        </w:rPr>
        <w:t>two</w:t>
      </w:r>
      <w:r w:rsidR="000A0D55">
        <w:rPr>
          <w:lang w:val="en-US"/>
        </w:rPr>
        <w:t xml:space="preserve"> </w:t>
      </w:r>
      <w:r w:rsidR="317200CE" w:rsidRPr="002D686B">
        <w:rPr>
          <w:lang w:val="en-US"/>
        </w:rPr>
        <w:t xml:space="preserve">times lower </w:t>
      </w:r>
      <w:r w:rsidR="00803C8F" w:rsidRPr="002D686B">
        <w:rPr>
          <w:lang w:val="en-US"/>
        </w:rPr>
        <w:t>among</w:t>
      </w:r>
      <w:r w:rsidR="317200CE" w:rsidRPr="002D686B">
        <w:rPr>
          <w:lang w:val="en-US"/>
        </w:rPr>
        <w:t xml:space="preserve"> </w:t>
      </w:r>
      <w:r w:rsidR="00B1531E" w:rsidRPr="002D686B">
        <w:rPr>
          <w:lang w:val="en-US"/>
        </w:rPr>
        <w:t>young</w:t>
      </w:r>
      <w:r w:rsidR="317200CE" w:rsidRPr="002D686B">
        <w:rPr>
          <w:lang w:val="en-US"/>
        </w:rPr>
        <w:t xml:space="preserve"> </w:t>
      </w:r>
      <w:r w:rsidR="00803C8F" w:rsidRPr="002D686B">
        <w:rPr>
          <w:lang w:val="en-US"/>
        </w:rPr>
        <w:t>patients</w:t>
      </w:r>
      <w:r w:rsidR="317200CE" w:rsidRPr="002D686B">
        <w:rPr>
          <w:lang w:val="en-US"/>
        </w:rPr>
        <w:t xml:space="preserve"> compared to </w:t>
      </w:r>
      <w:r w:rsidR="00803C8F" w:rsidRPr="002D686B">
        <w:rPr>
          <w:lang w:val="en-US"/>
        </w:rPr>
        <w:t>old patients</w:t>
      </w:r>
      <w:r w:rsidR="00B1531E" w:rsidRPr="002D686B">
        <w:rPr>
          <w:lang w:val="en-US"/>
        </w:rPr>
        <w:t xml:space="preserve"> irrespective of GCS</w:t>
      </w:r>
      <w:r w:rsidR="00EF48A4" w:rsidRPr="00C2509C">
        <w:rPr>
          <w:lang w:val="en-US"/>
        </w:rPr>
        <w:t>.</w:t>
      </w:r>
      <w:r w:rsidR="317200CE" w:rsidRPr="002D686B">
        <w:rPr>
          <w:lang w:val="en-US"/>
        </w:rPr>
        <w:t xml:space="preserve"> </w:t>
      </w:r>
      <w:r w:rsidRPr="002D686B">
        <w:rPr>
          <w:lang w:val="en-US"/>
        </w:rPr>
        <w:t>The difference</w:t>
      </w:r>
      <w:r w:rsidR="00B1531E" w:rsidRPr="002D686B">
        <w:rPr>
          <w:lang w:val="en-US"/>
        </w:rPr>
        <w:t xml:space="preserve"> in ECPIS </w:t>
      </w:r>
      <w:r w:rsidRPr="002D686B">
        <w:rPr>
          <w:lang w:val="en-US"/>
        </w:rPr>
        <w:t>was</w:t>
      </w:r>
      <w:r w:rsidR="00B1531E" w:rsidRPr="002D686B">
        <w:rPr>
          <w:lang w:val="en-US"/>
        </w:rPr>
        <w:t xml:space="preserve"> almost as pronounced between young and </w:t>
      </w:r>
      <w:r w:rsidR="005C3EE2">
        <w:rPr>
          <w:lang w:val="en-US"/>
        </w:rPr>
        <w:t>old</w:t>
      </w:r>
      <w:r w:rsidR="00B1531E" w:rsidRPr="002D686B">
        <w:rPr>
          <w:lang w:val="en-US"/>
        </w:rPr>
        <w:t>-</w:t>
      </w:r>
      <w:r w:rsidR="00B1531E" w:rsidRPr="002D686B">
        <w:rPr>
          <w:lang w:val="en-US"/>
        </w:rPr>
        <w:lastRenderedPageBreak/>
        <w:t xml:space="preserve">aged </w:t>
      </w:r>
      <w:r w:rsidR="00803C8F" w:rsidRPr="002D686B">
        <w:rPr>
          <w:lang w:val="en-US"/>
        </w:rPr>
        <w:t>patients</w:t>
      </w:r>
      <w:r w:rsidR="00B1531E" w:rsidRPr="002D686B">
        <w:rPr>
          <w:lang w:val="en-US"/>
        </w:rPr>
        <w:t xml:space="preserve"> as it was between young and</w:t>
      </w:r>
      <w:r w:rsidR="00803C8F" w:rsidRPr="002D686B">
        <w:rPr>
          <w:lang w:val="en-US"/>
        </w:rPr>
        <w:t xml:space="preserve"> </w:t>
      </w:r>
      <w:r w:rsidR="005C3EE2">
        <w:rPr>
          <w:lang w:val="en-US"/>
        </w:rPr>
        <w:t>middle-aged patients</w:t>
      </w:r>
      <w:r w:rsidR="00B1531E" w:rsidRPr="002D686B">
        <w:rPr>
          <w:lang w:val="en-US"/>
        </w:rPr>
        <w:t xml:space="preserve">, </w:t>
      </w:r>
      <w:r w:rsidR="003D39FC" w:rsidRPr="002D686B">
        <w:rPr>
          <w:lang w:val="en-US"/>
        </w:rPr>
        <w:t xml:space="preserve">except for in </w:t>
      </w:r>
      <w:r w:rsidR="001C149B" w:rsidRPr="00D136DA">
        <w:rPr>
          <w:b/>
          <w:lang w:val="en-US"/>
        </w:rPr>
        <w:t>complicated</w:t>
      </w:r>
      <w:r w:rsidR="001C149B">
        <w:rPr>
          <w:lang w:val="en-US"/>
        </w:rPr>
        <w:t xml:space="preserve"> </w:t>
      </w:r>
      <w:r w:rsidR="003D39FC" w:rsidRPr="002D686B">
        <w:rPr>
          <w:lang w:val="en-US"/>
        </w:rPr>
        <w:t>mild TBIs</w:t>
      </w:r>
      <w:r w:rsidR="00A25844">
        <w:rPr>
          <w:lang w:val="en-US"/>
        </w:rPr>
        <w:t xml:space="preserve">, where </w:t>
      </w:r>
      <w:r w:rsidR="00B1531E" w:rsidRPr="002D686B">
        <w:rPr>
          <w:lang w:val="en-US"/>
        </w:rPr>
        <w:t>middle-aged patients had a notably better ECPS and ECPIS than old patients</w:t>
      </w:r>
      <w:r w:rsidR="00BB5426" w:rsidRPr="002D686B">
        <w:rPr>
          <w:rFonts w:ascii="Calibri" w:eastAsia="Calibri" w:hAnsi="Calibri" w:cs="Calibri"/>
          <w:lang w:val="en-US"/>
        </w:rPr>
        <w:t>.</w:t>
      </w:r>
      <w:r w:rsidRPr="002D686B">
        <w:rPr>
          <w:rFonts w:ascii="Calibri" w:eastAsia="Calibri" w:hAnsi="Calibri" w:cs="Calibri"/>
          <w:lang w:val="en-US"/>
        </w:rPr>
        <w:t xml:space="preserve"> </w:t>
      </w:r>
    </w:p>
    <w:p w14:paraId="51A70F67" w14:textId="23ED16E3" w:rsidR="00B30B22" w:rsidRPr="002D686B" w:rsidRDefault="00225F2D" w:rsidP="00D94BBD">
      <w:pPr>
        <w:spacing w:line="480" w:lineRule="auto"/>
        <w:rPr>
          <w:lang w:val="en-US"/>
        </w:rPr>
      </w:pPr>
      <w:r w:rsidRPr="002D686B">
        <w:rPr>
          <w:lang w:val="en-US"/>
        </w:rPr>
        <w:br w:type="page"/>
      </w:r>
    </w:p>
    <w:p w14:paraId="5CD7B7BA" w14:textId="7E35BE5D" w:rsidR="00B30B22" w:rsidRPr="0010525B" w:rsidRDefault="317200CE" w:rsidP="005910EA">
      <w:pPr>
        <w:pStyle w:val="Heading1"/>
        <w:spacing w:line="480" w:lineRule="auto"/>
        <w:rPr>
          <w:b/>
          <w:lang w:val="en-US"/>
        </w:rPr>
      </w:pPr>
      <w:r w:rsidRPr="0010525B">
        <w:rPr>
          <w:b/>
          <w:lang w:val="en-US"/>
        </w:rPr>
        <w:lastRenderedPageBreak/>
        <w:t>DISCUSSION</w:t>
      </w:r>
    </w:p>
    <w:p w14:paraId="213A72C6" w14:textId="5327033A" w:rsidR="008E7AA1" w:rsidRPr="0010525B" w:rsidRDefault="317200CE" w:rsidP="00C2509C">
      <w:pPr>
        <w:pStyle w:val="Heading2"/>
        <w:rPr>
          <w:b/>
          <w:lang w:val="en-US"/>
        </w:rPr>
      </w:pPr>
      <w:r w:rsidRPr="0010525B">
        <w:rPr>
          <w:b/>
          <w:lang w:val="en-US"/>
        </w:rPr>
        <w:t>Key findings</w:t>
      </w:r>
    </w:p>
    <w:p w14:paraId="0526B451" w14:textId="3E66EF80" w:rsidR="006B2D32" w:rsidRDefault="317200CE" w:rsidP="007C1225">
      <w:pPr>
        <w:spacing w:line="480" w:lineRule="auto"/>
        <w:rPr>
          <w:lang w:val="en-US"/>
        </w:rPr>
      </w:pPr>
      <w:r w:rsidRPr="00C2509C">
        <w:rPr>
          <w:lang w:val="en-US"/>
        </w:rPr>
        <w:t xml:space="preserve">In this comprehensive </w:t>
      </w:r>
      <w:r w:rsidR="002B1AEE">
        <w:rPr>
          <w:lang w:val="en-US"/>
        </w:rPr>
        <w:t>cost</w:t>
      </w:r>
      <w:r w:rsidR="00EA2309">
        <w:rPr>
          <w:lang w:val="en-US"/>
        </w:rPr>
        <w:t>-</w:t>
      </w:r>
      <w:r w:rsidR="002B1AEE">
        <w:rPr>
          <w:lang w:val="en-US"/>
        </w:rPr>
        <w:t xml:space="preserve">effectiveness </w:t>
      </w:r>
      <w:r w:rsidR="003A27B9">
        <w:rPr>
          <w:lang w:val="en-US"/>
        </w:rPr>
        <w:t>study</w:t>
      </w:r>
      <w:r w:rsidR="000A56BD">
        <w:rPr>
          <w:lang w:val="en-US"/>
        </w:rPr>
        <w:t>,</w:t>
      </w:r>
      <w:r w:rsidR="002A6F61">
        <w:rPr>
          <w:lang w:val="en-US"/>
        </w:rPr>
        <w:t xml:space="preserve"> </w:t>
      </w:r>
      <w:r w:rsidR="001B79A2" w:rsidRPr="00E77C03">
        <w:rPr>
          <w:b/>
          <w:lang w:val="en-US"/>
        </w:rPr>
        <w:t>o</w:t>
      </w:r>
      <w:r w:rsidR="00EA2309">
        <w:rPr>
          <w:b/>
          <w:lang w:val="en-US"/>
        </w:rPr>
        <w:t xml:space="preserve">ne-year healthcare costs following ICU admission after significant TBI </w:t>
      </w:r>
      <w:r w:rsidR="00A359B3">
        <w:rPr>
          <w:b/>
          <w:lang w:val="en-US"/>
        </w:rPr>
        <w:t xml:space="preserve">has </w:t>
      </w:r>
      <w:r w:rsidR="00EA2309">
        <w:rPr>
          <w:b/>
          <w:lang w:val="en-US"/>
        </w:rPr>
        <w:t xml:space="preserve">remained largely the same </w:t>
      </w:r>
      <w:r w:rsidR="001B79A2" w:rsidRPr="00E77C03">
        <w:rPr>
          <w:b/>
          <w:lang w:val="en-US"/>
        </w:rPr>
        <w:t>in Finland from 2003 to 2013</w:t>
      </w:r>
      <w:r w:rsidR="006B2D32" w:rsidRPr="00E77C03">
        <w:rPr>
          <w:b/>
          <w:lang w:val="en-US"/>
        </w:rPr>
        <w:t>.</w:t>
      </w:r>
      <w:r w:rsidR="00EA2309">
        <w:rPr>
          <w:b/>
          <w:lang w:val="en-US"/>
        </w:rPr>
        <w:t xml:space="preserve"> A red</w:t>
      </w:r>
      <w:r w:rsidR="00160212">
        <w:rPr>
          <w:b/>
          <w:lang w:val="en-US"/>
        </w:rPr>
        <w:t>uction in healthcare costs was</w:t>
      </w:r>
      <w:r w:rsidR="00EA2309">
        <w:rPr>
          <w:b/>
          <w:lang w:val="en-US"/>
        </w:rPr>
        <w:t xml:space="preserve"> noted in complicated mild and in older TBI patients</w:t>
      </w:r>
      <w:r w:rsidR="000823BE">
        <w:rPr>
          <w:b/>
          <w:lang w:val="en-US"/>
        </w:rPr>
        <w:t>, due to lower rehabilitation costs</w:t>
      </w:r>
      <w:r w:rsidR="00EA2309">
        <w:rPr>
          <w:b/>
          <w:lang w:val="en-US"/>
        </w:rPr>
        <w:t xml:space="preserve">. </w:t>
      </w:r>
      <w:r w:rsidR="000823BE">
        <w:rPr>
          <w:b/>
          <w:lang w:val="en-US"/>
        </w:rPr>
        <w:t>No</w:t>
      </w:r>
      <w:r w:rsidR="001B79A2" w:rsidRPr="00E77C03">
        <w:rPr>
          <w:b/>
          <w:lang w:val="en-US"/>
        </w:rPr>
        <w:t xml:space="preserve"> reduction in </w:t>
      </w:r>
      <w:r w:rsidR="00EA2309">
        <w:rPr>
          <w:b/>
          <w:lang w:val="en-US"/>
        </w:rPr>
        <w:t>healthcare</w:t>
      </w:r>
      <w:r w:rsidR="001B79A2" w:rsidRPr="00E77C03">
        <w:rPr>
          <w:b/>
          <w:lang w:val="en-US"/>
        </w:rPr>
        <w:t xml:space="preserve"> costs </w:t>
      </w:r>
      <w:r w:rsidR="009B2585">
        <w:rPr>
          <w:b/>
          <w:lang w:val="en-US"/>
        </w:rPr>
        <w:t>was</w:t>
      </w:r>
      <w:r w:rsidR="001B79A2" w:rsidRPr="00E77C03">
        <w:rPr>
          <w:b/>
          <w:lang w:val="en-US"/>
        </w:rPr>
        <w:t xml:space="preserve"> not</w:t>
      </w:r>
      <w:r w:rsidR="003B57ED" w:rsidRPr="00E77C03">
        <w:rPr>
          <w:b/>
          <w:lang w:val="en-US"/>
        </w:rPr>
        <w:t xml:space="preserve">ed in patients with moderate and </w:t>
      </w:r>
      <w:r w:rsidR="001B79A2" w:rsidRPr="00E77C03">
        <w:rPr>
          <w:b/>
          <w:lang w:val="en-US"/>
        </w:rPr>
        <w:lastRenderedPageBreak/>
        <w:t>severe TBI</w:t>
      </w:r>
      <w:r w:rsidR="00EA2309">
        <w:rPr>
          <w:b/>
          <w:lang w:val="en-US"/>
        </w:rPr>
        <w:t>, although university hospital costs increased</w:t>
      </w:r>
      <w:r w:rsidR="009B2585">
        <w:rPr>
          <w:b/>
          <w:lang w:val="en-US"/>
        </w:rPr>
        <w:t xml:space="preserve"> in these groups</w:t>
      </w:r>
      <w:r w:rsidR="001B79A2" w:rsidRPr="00E77C03">
        <w:rPr>
          <w:b/>
          <w:lang w:val="en-US"/>
        </w:rPr>
        <w:t>. There was</w:t>
      </w:r>
      <w:r w:rsidR="006B2D32" w:rsidRPr="00E77C03">
        <w:rPr>
          <w:b/>
          <w:lang w:val="en-US"/>
        </w:rPr>
        <w:t xml:space="preserve"> no</w:t>
      </w:r>
      <w:r w:rsidR="001B79A2" w:rsidRPr="00E77C03">
        <w:rPr>
          <w:b/>
          <w:lang w:val="en-US"/>
        </w:rPr>
        <w:t xml:space="preserve"> significant</w:t>
      </w:r>
      <w:r w:rsidR="006B2D32" w:rsidRPr="00E77C03">
        <w:rPr>
          <w:b/>
          <w:lang w:val="en-US"/>
        </w:rPr>
        <w:t xml:space="preserve"> change in adjusted one-year mortality</w:t>
      </w:r>
      <w:r w:rsidR="001B79A2" w:rsidRPr="00E77C03">
        <w:rPr>
          <w:b/>
          <w:lang w:val="en-US"/>
        </w:rPr>
        <w:t xml:space="preserve"> in any of the subgroups. Yet, </w:t>
      </w:r>
      <w:r w:rsidR="006B2D32" w:rsidRPr="00E77C03">
        <w:rPr>
          <w:b/>
          <w:lang w:val="en-US"/>
        </w:rPr>
        <w:t>adjusted risk for permanent disability</w:t>
      </w:r>
      <w:r w:rsidR="001B79A2" w:rsidRPr="00E77C03">
        <w:rPr>
          <w:b/>
          <w:lang w:val="en-US"/>
        </w:rPr>
        <w:t xml:space="preserve"> decreased in all subgroups, </w:t>
      </w:r>
      <w:r w:rsidR="00377262">
        <w:rPr>
          <w:b/>
          <w:lang w:val="en-US"/>
        </w:rPr>
        <w:t xml:space="preserve">suggesting </w:t>
      </w:r>
      <w:r w:rsidR="00DA2F20">
        <w:rPr>
          <w:b/>
          <w:lang w:val="en-US"/>
        </w:rPr>
        <w:t xml:space="preserve">improved </w:t>
      </w:r>
      <w:r w:rsidR="006B2D32" w:rsidRPr="00E77C03">
        <w:rPr>
          <w:b/>
          <w:lang w:val="en-US"/>
        </w:rPr>
        <w:t>cost-effectiveness of TBI care.</w:t>
      </w:r>
      <w:r w:rsidR="006B2D32">
        <w:rPr>
          <w:lang w:val="en-US"/>
        </w:rPr>
        <w:t xml:space="preserve"> </w:t>
      </w:r>
    </w:p>
    <w:p w14:paraId="67EF76DA" w14:textId="52D91198" w:rsidR="009B2585" w:rsidRPr="00E77C03" w:rsidRDefault="009B2585" w:rsidP="00D6010E">
      <w:pPr>
        <w:spacing w:line="480" w:lineRule="auto"/>
        <w:rPr>
          <w:rFonts w:ascii="Calibri" w:eastAsia="Calibri" w:hAnsi="Calibri" w:cs="Calibri"/>
          <w:b/>
          <w:lang w:val="en-US"/>
        </w:rPr>
      </w:pPr>
      <w:r>
        <w:rPr>
          <w:rFonts w:ascii="Calibri" w:eastAsia="Calibri" w:hAnsi="Calibri" w:cs="Calibri"/>
          <w:b/>
          <w:lang w:val="en-US"/>
        </w:rPr>
        <w:t xml:space="preserve">Although university hospital costs increased in some subgroups, it did not affect total healthcare costs, as rehabilitation costs decreased accordingly. Rehabilitation costs was calculated as length of stay in </w:t>
      </w:r>
      <w:r w:rsidRPr="009B2585">
        <w:rPr>
          <w:rFonts w:ascii="Calibri" w:eastAsia="Calibri" w:hAnsi="Calibri" w:cs="Calibri"/>
          <w:b/>
          <w:lang w:val="en-US"/>
        </w:rPr>
        <w:t xml:space="preserve">the rehabilitation unit times a constant price given by the </w:t>
      </w:r>
      <w:r w:rsidRPr="00E77C03">
        <w:rPr>
          <w:rFonts w:ascii="Calibri" w:eastAsia="Calibri" w:hAnsi="Calibri" w:cs="Calibri"/>
          <w:b/>
          <w:lang w:val="en-US"/>
        </w:rPr>
        <w:t>Finnish National Institute for Health and Welfare</w:t>
      </w:r>
      <w:r>
        <w:rPr>
          <w:rFonts w:ascii="Calibri" w:eastAsia="Calibri" w:hAnsi="Calibri" w:cs="Calibri"/>
          <w:lang w:val="en-US"/>
        </w:rPr>
        <w:t xml:space="preserve"> </w:t>
      </w:r>
      <w:r>
        <w:rPr>
          <w:rFonts w:ascii="Calibri" w:eastAsia="Calibri" w:hAnsi="Calibri" w:cs="Calibri"/>
          <w:lang w:val="en-US"/>
        </w:rPr>
        <w:fldChar w:fldCharType="begin" w:fldLock="1"/>
      </w:r>
      <w:r w:rsidR="00B83FF2">
        <w:rPr>
          <w:rFonts w:ascii="Calibri" w:eastAsia="Calibri" w:hAnsi="Calibri" w:cs="Calibri"/>
          <w:lang w:val="en-US"/>
        </w:rPr>
        <w:instrText>ADDIN CSL_CITATION { "citationItems" : [ { "id" : "ITEM-1", "itemData" : { "abstract" : "Terveyden-ja sosiaalihuollon yksikk\u00f6kustannukset Suomessa vuonna 2011 ISBN 978-952-302-078-8 Terveyden-ja hyvinvoinnin laitos (THL) on nyt ensimm\u00e4ist\u00e4 kertaa koonnut terveys-ja sosiaalipalveluiden yksikk\u00f6kustannukset samaan raporttiin. T\u00e4ss\u00e4 raportissa esitell\u00e4\u00e4n yleisimpien terveys-ja sosiaalipalveluiden yksikk\u00f6kustannuksia Suomessa vuonna 2011. Lis\u00e4ksi raportissa esitell\u00e4\u00e4n sosiaali-ja terveydenhuoltoon liittyvi\u00e4 yleisimpi\u00e4 tulonsiirtoja ja opastetaan l\u00e4\u00e4kkeiden, hoitotarvikkeiden ja apuv\u00e4lineiden kustannusten sek\u00e4 matka-ja aikakustannusten ja tuotannonmenetysten laskennassa. Raportti on tarkoitettu kaikille niille, jotka tekev\u00e4t Suomen terveyden-ja sosiaalihuoltoa koskevaa taloudellista arviointia tai jotka muuten tarvitsevat tietoa suomalaisten terveys-ja sosiaalipalveluiden yksikk\u00f6kustannuksista. 3 | 2014 3 | 2014", "author" : [ { "dropping-particle" : "", "family" : "Kapiainen", "given" : "Satu", "non-dropping-particle" : "", "parse-names" : false, "suffix" : "" }, { "dropping-particle" : "", "family" : "V\u00e4is\u00e4nen", "given" : "Antti", "non-dropping-particle" : "", "parse-names" : false, "suffix" : "" }, { "dropping-particle" : "", "family" : "Haula", "given" : "Taru", "non-dropping-particle" : "", "parse-names" : false, "suffix" : "" }, { "dropping-particle" : "", "family" : "Raportti", "given" : "Raportti", "non-dropping-particle" : "", "parse-names" : false, "suffix" : "" } ], "id" : "ITEM-1", "issued" : { "date-parts" : [ [ "2014" ] ] }, "title" : "Terveyden-ja sosiaalihuollon yksikk\u00f6kustannukset Suomessa vuonna 2011", "type" : "report" }, "uris" : [ "http://www.mendeley.com/documents/?uuid=fcd6d403-c387-30f8-afbb-7ea2e4844315" ] } ], "mendeley" : { "formattedCitation" : "(12)", "plainTextFormattedCitation" : "(12)", "previouslyFormattedCitation" : "(12)" }, "properties" : { "noteIndex" : 15 }, "schema" : "https://github.com/citation-style-language/schema/raw/master/csl-citation.json" }</w:instrText>
      </w:r>
      <w:r>
        <w:rPr>
          <w:rFonts w:ascii="Calibri" w:eastAsia="Calibri" w:hAnsi="Calibri" w:cs="Calibri"/>
          <w:lang w:val="en-US"/>
        </w:rPr>
        <w:fldChar w:fldCharType="separate"/>
      </w:r>
      <w:r w:rsidR="00395A1E" w:rsidRPr="00395A1E">
        <w:rPr>
          <w:rFonts w:ascii="Calibri" w:eastAsia="Calibri" w:hAnsi="Calibri" w:cs="Calibri"/>
          <w:noProof/>
          <w:lang w:val="en-US"/>
        </w:rPr>
        <w:t>(12)</w:t>
      </w:r>
      <w:r>
        <w:rPr>
          <w:rFonts w:ascii="Calibri" w:eastAsia="Calibri" w:hAnsi="Calibri" w:cs="Calibri"/>
          <w:lang w:val="en-US"/>
        </w:rPr>
        <w:fldChar w:fldCharType="end"/>
      </w:r>
      <w:r>
        <w:rPr>
          <w:rFonts w:ascii="Calibri" w:eastAsia="Calibri" w:hAnsi="Calibri" w:cs="Calibri"/>
          <w:lang w:val="en-US"/>
        </w:rPr>
        <w:t xml:space="preserve">. </w:t>
      </w:r>
      <w:r>
        <w:rPr>
          <w:rFonts w:ascii="Calibri" w:eastAsia="Calibri" w:hAnsi="Calibri" w:cs="Calibri"/>
          <w:b/>
          <w:lang w:val="en-US"/>
        </w:rPr>
        <w:t xml:space="preserve">Thus, the only possibility of lower rehabilitation </w:t>
      </w:r>
      <w:r>
        <w:rPr>
          <w:rFonts w:ascii="Calibri" w:eastAsia="Calibri" w:hAnsi="Calibri" w:cs="Calibri"/>
          <w:b/>
          <w:lang w:val="en-US"/>
        </w:rPr>
        <w:lastRenderedPageBreak/>
        <w:t xml:space="preserve">costs is </w:t>
      </w:r>
      <w:r w:rsidR="00A568D3">
        <w:rPr>
          <w:rFonts w:ascii="Calibri" w:eastAsia="Calibri" w:hAnsi="Calibri" w:cs="Calibri"/>
          <w:b/>
          <w:lang w:val="en-US"/>
        </w:rPr>
        <w:t>shorter</w:t>
      </w:r>
      <w:r>
        <w:rPr>
          <w:rFonts w:ascii="Calibri" w:eastAsia="Calibri" w:hAnsi="Calibri" w:cs="Calibri"/>
          <w:b/>
          <w:lang w:val="en-US"/>
        </w:rPr>
        <w:t xml:space="preserve"> rehabilitation times or</w:t>
      </w:r>
      <w:r w:rsidR="00A568D3">
        <w:rPr>
          <w:rFonts w:ascii="Calibri" w:eastAsia="Calibri" w:hAnsi="Calibri" w:cs="Calibri"/>
          <w:b/>
          <w:lang w:val="en-US"/>
        </w:rPr>
        <w:t xml:space="preserve"> a transition to </w:t>
      </w:r>
      <w:r>
        <w:rPr>
          <w:rFonts w:ascii="Calibri" w:eastAsia="Calibri" w:hAnsi="Calibri" w:cs="Calibri"/>
          <w:b/>
          <w:lang w:val="en-US"/>
        </w:rPr>
        <w:t>lower level of care rehabilitation</w:t>
      </w:r>
      <w:r w:rsidR="00A568D3">
        <w:rPr>
          <w:rFonts w:ascii="Calibri" w:eastAsia="Calibri" w:hAnsi="Calibri" w:cs="Calibri"/>
          <w:b/>
          <w:lang w:val="en-US"/>
        </w:rPr>
        <w:t xml:space="preserve"> units,</w:t>
      </w:r>
      <w:r>
        <w:rPr>
          <w:rFonts w:ascii="Calibri" w:eastAsia="Calibri" w:hAnsi="Calibri" w:cs="Calibri"/>
          <w:b/>
          <w:lang w:val="en-US"/>
        </w:rPr>
        <w:t xml:space="preserve"> that </w:t>
      </w:r>
      <w:r w:rsidR="00A568D3">
        <w:rPr>
          <w:rFonts w:ascii="Calibri" w:eastAsia="Calibri" w:hAnsi="Calibri" w:cs="Calibri"/>
          <w:b/>
          <w:lang w:val="en-US"/>
        </w:rPr>
        <w:t>are</w:t>
      </w:r>
      <w:r>
        <w:rPr>
          <w:rFonts w:ascii="Calibri" w:eastAsia="Calibri" w:hAnsi="Calibri" w:cs="Calibri"/>
          <w:b/>
          <w:lang w:val="en-US"/>
        </w:rPr>
        <w:t xml:space="preserve"> associated with lower costs. The reduction in rehabilitation costs </w:t>
      </w:r>
      <w:r w:rsidR="00377262">
        <w:rPr>
          <w:rFonts w:ascii="Calibri" w:eastAsia="Calibri" w:hAnsi="Calibri" w:cs="Calibri"/>
          <w:b/>
          <w:lang w:val="en-US"/>
        </w:rPr>
        <w:t>did</w:t>
      </w:r>
      <w:r>
        <w:rPr>
          <w:rFonts w:ascii="Calibri" w:eastAsia="Calibri" w:hAnsi="Calibri" w:cs="Calibri"/>
          <w:b/>
          <w:lang w:val="en-US"/>
        </w:rPr>
        <w:t>, however, not r</w:t>
      </w:r>
      <w:r w:rsidR="00377262">
        <w:rPr>
          <w:rFonts w:ascii="Calibri" w:eastAsia="Calibri" w:hAnsi="Calibri" w:cs="Calibri"/>
          <w:b/>
          <w:lang w:val="en-US"/>
        </w:rPr>
        <w:t>eflect</w:t>
      </w:r>
      <w:r>
        <w:rPr>
          <w:rFonts w:ascii="Calibri" w:eastAsia="Calibri" w:hAnsi="Calibri" w:cs="Calibri"/>
          <w:b/>
          <w:lang w:val="en-US"/>
        </w:rPr>
        <w:t xml:space="preserve"> </w:t>
      </w:r>
      <w:r w:rsidR="00A568D3">
        <w:rPr>
          <w:rFonts w:ascii="Calibri" w:eastAsia="Calibri" w:hAnsi="Calibri" w:cs="Calibri"/>
          <w:b/>
          <w:lang w:val="en-US"/>
        </w:rPr>
        <w:t xml:space="preserve">in worse outcomes as risk of mortality and permanent disability remained the same.  </w:t>
      </w:r>
    </w:p>
    <w:p w14:paraId="359DE108" w14:textId="4AB2A447" w:rsidR="00D6010E" w:rsidRPr="00E77C03" w:rsidRDefault="00DA2F20" w:rsidP="00D6010E">
      <w:pPr>
        <w:spacing w:line="480" w:lineRule="auto"/>
        <w:rPr>
          <w:rFonts w:ascii="Calibri" w:eastAsia="Calibri" w:hAnsi="Calibri" w:cs="Calibri"/>
          <w:b/>
          <w:lang w:val="en-US"/>
        </w:rPr>
      </w:pPr>
      <w:r>
        <w:rPr>
          <w:rFonts w:ascii="Calibri" w:eastAsia="Calibri" w:hAnsi="Calibri" w:cs="Calibri"/>
          <w:b/>
          <w:lang w:val="en-US"/>
        </w:rPr>
        <w:t>Interestingly, changes in treatment intensity did not correlate with university hospital costs</w:t>
      </w:r>
      <w:r w:rsidR="00D6010E" w:rsidRPr="00E77C03">
        <w:rPr>
          <w:rFonts w:ascii="Calibri" w:eastAsia="Calibri" w:hAnsi="Calibri" w:cs="Calibri"/>
          <w:b/>
          <w:lang w:val="en-US"/>
        </w:rPr>
        <w:t>.</w:t>
      </w:r>
      <w:r>
        <w:rPr>
          <w:rFonts w:ascii="Calibri" w:eastAsia="Calibri" w:hAnsi="Calibri" w:cs="Calibri"/>
          <w:b/>
          <w:lang w:val="en-US"/>
        </w:rPr>
        <w:t xml:space="preserve"> University hospital costs remained the same in the </w:t>
      </w:r>
      <w:r w:rsidR="00A568D3">
        <w:rPr>
          <w:rFonts w:ascii="Calibri" w:eastAsia="Calibri" w:hAnsi="Calibri" w:cs="Calibri"/>
          <w:b/>
          <w:lang w:val="en-US"/>
        </w:rPr>
        <w:t>complicated mild</w:t>
      </w:r>
      <w:r w:rsidR="00395A1E">
        <w:rPr>
          <w:rFonts w:ascii="Calibri" w:eastAsia="Calibri" w:hAnsi="Calibri" w:cs="Calibri"/>
          <w:b/>
          <w:lang w:val="en-US"/>
        </w:rPr>
        <w:t xml:space="preserve"> TBI-</w:t>
      </w:r>
      <w:r w:rsidR="00377262">
        <w:rPr>
          <w:rFonts w:ascii="Calibri" w:eastAsia="Calibri" w:hAnsi="Calibri" w:cs="Calibri"/>
          <w:b/>
          <w:lang w:val="en-US"/>
        </w:rPr>
        <w:t>, young</w:t>
      </w:r>
      <w:r w:rsidR="00395A1E">
        <w:rPr>
          <w:rFonts w:ascii="Calibri" w:eastAsia="Calibri" w:hAnsi="Calibri" w:cs="Calibri"/>
          <w:b/>
          <w:lang w:val="en-US"/>
        </w:rPr>
        <w:t>-</w:t>
      </w:r>
      <w:r w:rsidR="00377262">
        <w:rPr>
          <w:rFonts w:ascii="Calibri" w:eastAsia="Calibri" w:hAnsi="Calibri" w:cs="Calibri"/>
          <w:b/>
          <w:lang w:val="en-US"/>
        </w:rPr>
        <w:t xml:space="preserve"> and old-</w:t>
      </w:r>
      <w:r w:rsidR="00A568D3">
        <w:rPr>
          <w:rFonts w:ascii="Calibri" w:eastAsia="Calibri" w:hAnsi="Calibri" w:cs="Calibri"/>
          <w:b/>
          <w:lang w:val="en-US"/>
        </w:rPr>
        <w:t>subgroups</w:t>
      </w:r>
      <w:r w:rsidR="00377262">
        <w:rPr>
          <w:rFonts w:ascii="Calibri" w:eastAsia="Calibri" w:hAnsi="Calibri" w:cs="Calibri"/>
          <w:b/>
          <w:lang w:val="en-US"/>
        </w:rPr>
        <w:t>,</w:t>
      </w:r>
      <w:r w:rsidR="00A568D3">
        <w:rPr>
          <w:rFonts w:ascii="Calibri" w:eastAsia="Calibri" w:hAnsi="Calibri" w:cs="Calibri"/>
          <w:b/>
          <w:lang w:val="en-US"/>
        </w:rPr>
        <w:t xml:space="preserve"> </w:t>
      </w:r>
      <w:r>
        <w:rPr>
          <w:rFonts w:ascii="Calibri" w:eastAsia="Calibri" w:hAnsi="Calibri" w:cs="Calibri"/>
          <w:b/>
          <w:lang w:val="en-US"/>
        </w:rPr>
        <w:t xml:space="preserve">despite a decreased treatment intensity. Conversely, treatment intensity did not change in the severe TBI-, moderate TBI-, and old-subgroups, although these subgroups’ university hospital costs increased. </w:t>
      </w:r>
      <w:r w:rsidR="00E376A4" w:rsidRPr="00E77C03">
        <w:rPr>
          <w:rFonts w:ascii="Calibri" w:eastAsia="Calibri" w:hAnsi="Calibri" w:cs="Calibri"/>
          <w:lang w:val="en-US"/>
        </w:rPr>
        <w:t>Treatment intensity was measured using the</w:t>
      </w:r>
      <w:r w:rsidR="00D6010E" w:rsidRPr="00A502FE">
        <w:rPr>
          <w:rFonts w:ascii="Calibri" w:eastAsia="Calibri" w:hAnsi="Calibri" w:cs="Calibri"/>
          <w:lang w:val="en-US"/>
        </w:rPr>
        <w:t xml:space="preserve"> TISS-76</w:t>
      </w:r>
      <w:r w:rsidR="00395A1E">
        <w:rPr>
          <w:rFonts w:ascii="Calibri" w:eastAsia="Calibri" w:hAnsi="Calibri" w:cs="Calibri"/>
          <w:lang w:val="en-US"/>
        </w:rPr>
        <w:t xml:space="preserve"> </w:t>
      </w:r>
      <w:r w:rsidR="00395A1E">
        <w:rPr>
          <w:rFonts w:ascii="Calibri" w:eastAsia="Calibri" w:hAnsi="Calibri" w:cs="Calibri"/>
          <w:lang w:val="en-US"/>
        </w:rPr>
        <w:fldChar w:fldCharType="begin" w:fldLock="1"/>
      </w:r>
      <w:r w:rsidR="00B83FF2">
        <w:rPr>
          <w:rFonts w:ascii="Calibri" w:eastAsia="Calibri" w:hAnsi="Calibri" w:cs="Calibri"/>
          <w:lang w:val="en-US"/>
        </w:rPr>
        <w:instrText>ADDIN CSL_CITATION { "citationItems" : [ { "id" : "ITEM-1", "itemData" : { "ISSN" : "0090-3493", "PMID" : "4832281", "author" : [ { "dropping-particle" : "", "family" : "Cullen", "given" : "D J", "non-dropping-particle" : "", "parse-names" : false, "suffix" : "" }, { "dropping-particle" : "", "family" : "Civetta", "given" : "J M", "non-dropping-particle" : "", "parse-names" : false, "suffix" : "" }, { "dropping-particle" : "", "family" : "Briggs", "given" : "B A", "non-dropping-particle" : "", "parse-names" : false, "suffix" : "" }, { "dropping-particle" : "", "family" : "Ferrara", "given" : "L C", "non-dropping-particle" : "", "parse-names" : false, "suffix" : "" } ], "container-title" : "Critical care medicine", "id" : "ITEM-1", "issue" : "2", "issued" : { "date-parts" : [ [ "1974" ] ] }, "page" : "57-60", "title" : "Therapeutic intervention scoring system: a method for quantitative comparison of patient care.", "type" : "article-journal", "volume" : "2" }, "uris" : [ "http://www.mendeley.com/documents/?uuid=62ec0640-4222-3671-9c63-edab1cdebcd9" ] } ], "mendeley" : { "formattedCitation" : "(11)", "plainTextFormattedCitation" : "(11)", "previouslyFormattedCitation" : "(11)" }, "properties" : { "noteIndex" : 16 }, "schema" : "https://github.com/citation-style-language/schema/raw/master/csl-citation.json" }</w:instrText>
      </w:r>
      <w:r w:rsidR="00395A1E">
        <w:rPr>
          <w:rFonts w:ascii="Calibri" w:eastAsia="Calibri" w:hAnsi="Calibri" w:cs="Calibri"/>
          <w:lang w:val="en-US"/>
        </w:rPr>
        <w:fldChar w:fldCharType="separate"/>
      </w:r>
      <w:r w:rsidR="00395A1E" w:rsidRPr="00395A1E">
        <w:rPr>
          <w:rFonts w:ascii="Calibri" w:eastAsia="Calibri" w:hAnsi="Calibri" w:cs="Calibri"/>
          <w:noProof/>
          <w:lang w:val="en-US"/>
        </w:rPr>
        <w:t>(11)</w:t>
      </w:r>
      <w:r w:rsidR="00395A1E">
        <w:rPr>
          <w:rFonts w:ascii="Calibri" w:eastAsia="Calibri" w:hAnsi="Calibri" w:cs="Calibri"/>
          <w:lang w:val="en-US"/>
        </w:rPr>
        <w:fldChar w:fldCharType="end"/>
      </w:r>
      <w:r w:rsidR="00395A1E">
        <w:rPr>
          <w:rFonts w:ascii="Calibri" w:eastAsia="Calibri" w:hAnsi="Calibri" w:cs="Calibri"/>
          <w:lang w:val="en-US"/>
        </w:rPr>
        <w:t>.</w:t>
      </w:r>
      <w:r w:rsidR="00E376A4" w:rsidRPr="00E77C03">
        <w:rPr>
          <w:rFonts w:ascii="Calibri" w:eastAsia="Calibri" w:hAnsi="Calibri" w:cs="Calibri"/>
          <w:lang w:val="en-US"/>
        </w:rPr>
        <w:t xml:space="preserve"> The </w:t>
      </w:r>
      <w:r w:rsidR="00E376A4" w:rsidRPr="00E77C03">
        <w:rPr>
          <w:rFonts w:ascii="Calibri" w:eastAsia="Calibri" w:hAnsi="Calibri" w:cs="Calibri"/>
          <w:lang w:val="en-US"/>
        </w:rPr>
        <w:lastRenderedPageBreak/>
        <w:t>TISS-76</w:t>
      </w:r>
      <w:r w:rsidR="00D6010E" w:rsidRPr="00A502FE">
        <w:rPr>
          <w:rFonts w:ascii="Calibri" w:eastAsia="Calibri" w:hAnsi="Calibri" w:cs="Calibri"/>
          <w:lang w:val="en-US"/>
        </w:rPr>
        <w:t xml:space="preserve"> might, however, be considered a suboptimal instrument to evaluate treatment intensity in TBI patients, as it does not include neurointensive specific treatment interventions. Using, for example, the therapy intensity level that was specifically designed to measure treatment intensity in TBI pat</w:t>
      </w:r>
      <w:r w:rsidR="00D6010E" w:rsidRPr="000B658F">
        <w:rPr>
          <w:rFonts w:ascii="Calibri" w:eastAsia="Calibri" w:hAnsi="Calibri" w:cs="Calibri"/>
          <w:lang w:val="en-US"/>
        </w:rPr>
        <w:t xml:space="preserve">ients might have revealed different results </w:t>
      </w:r>
      <w:r w:rsidR="00D6010E" w:rsidRPr="00E77C03">
        <w:rPr>
          <w:rFonts w:ascii="Calibri" w:eastAsia="Calibri" w:hAnsi="Calibri" w:cs="Calibri"/>
          <w:lang w:val="en-US"/>
        </w:rPr>
        <w:fldChar w:fldCharType="begin" w:fldLock="1"/>
      </w:r>
      <w:r w:rsidR="00B83FF2">
        <w:rPr>
          <w:rFonts w:ascii="Calibri" w:eastAsia="Calibri" w:hAnsi="Calibri" w:cs="Calibri"/>
          <w:lang w:val="en-US"/>
        </w:rPr>
        <w:instrText>ADDIN CSL_CITATION { "citationItems" : [ { "id" : "ITEM-1", "itemData" : { "DOI" : "10.1089/neu.2010.1617", "ISSN" : "0897-7151", "PMID" : "21162610", "abstract" : "Collaboration among investigators, centers, countries, and disciplines is essential to advancing the care for traumatic brain injury (TBI). It is thus important that we \"speak the same language.\" Great variability, however, exists in data collection and coding of variables in TBI studies, confounding comparisons between and analysis across different studies. Randomized controlled trials can never address the many uncertainties concerning treatment approaches in TBI. Pooling data from different clinical studies and high-quality observational studies combined with comparative effectiveness research may provide excellent alternatives in a cost-efficient way. Standardization of data collection and coding is essential to this end. Common data elements (CDEs) are presented for demographics and clinical variables applicable across the broad spectrum of TBI. Most recommendations represent a consensus derived from clinical practice. Some recommendations concern novel approaches, for example assessment of the intensity of therapy in severely injured patients. Up to three levels of detail for coding data elements were developed: basic, intermediate, and advanced, with the greatest level of detail attained in the advanced version. More detailed codings can be collapsed into the basic version. Templates were produced to summarize coding formats, explanation of choices, and recommendations for procedures. Endorsement of the recommendations has been obtained from many authoritative organizations. The development of CDEs for TBI should be viewed as a continuing process; as more experience is gained, refinement and amendments will be required. This proposed process of standardization will facilitate comparative effectiveness research and encourage high-quality meta-analysis of individual patient data.", "author" : [ { "dropping-particle" : "", "family" : "Maas", "given" : "Andrew I.R.", "non-dropping-particle" : "", "parse-names" : false, "suffix" : "" }, { "dropping-particle" : "", "family" : "Harrison-Felix", "given" : "Cynthia L.", "non-dropping-particle" : "", "parse-names" : false, "suffix" : "" }, { "dropping-particle" : "", "family" : "Menon", "given" : "David", "non-dropping-particle" : "", "parse-names" : false, "suffix" : "" }, { "dropping-particle" : "", "family" : "Adelson", "given" : "P. David", "non-dropping-particle" : "", "parse-names" : false, "suffix" : "" }, { "dropping-particle" : "", "family" : "Balkin", "given" : "Tom", "non-dropping-particle" : "", "parse-names" : false, "suffix" : "" }, { "dropping-particle" : "", "family" : "Bullock", "given" : "Ross", "non-dropping-particle" : "", "parse-names" : false, "suffix" : "" }, { "dropping-particle" : "", "family" : "Engel", "given" : "Doortje C.", "non-dropping-particle" : "", "parse-names" : false, "suffix" : "" }, { "dropping-particle" : "", "family" : "Gordon", "given" : "Wayne", "non-dropping-particle" : "", "parse-names" : false, "suffix" : "" }, { "dropping-particle" : "", "family" : "Langlois-Orman", "given" : "Jean", "non-dropping-particle" : "", "parse-names" : false, "suffix" : "" }, { "dropping-particle" : "", "family" : "Lew", "given" : "Henry L.", "non-dropping-particle" : "", "parse-names" : false, "suffix" : "" }, { "dropping-particle" : "", "family" : "Robertson", "given" : "Claudia", "non-dropping-particle" : "", "parse-names" : false, "suffix" : "" }, { "dropping-particle" : "", "family" : "Temkin", "given" : "Nancy", "non-dropping-particle" : "", "parse-names" : false, "suffix" : "" }, { "dropping-particle" : "", "family" : "Valadka", "given" : "Alex", "non-dropping-particle" : "", "parse-names" : false, "suffix" : "" }, { "dropping-particle" : "", "family" : "Verfaellie", "given" : "Mieke", "non-dropping-particle" : "", "parse-names" : false, "suffix" : "" }, { "dropping-particle" : "", "family" : "Wainwright", "given" : "Mark", "non-dropping-particle" : "", "parse-names" : false, "suffix" : "" }, { "dropping-particle" : "", "family" : "Wright", "given" : "David W.", "non-dropping-particle" : "", "parse-names" : false, "suffix" : "" }, { "dropping-particle" : "", "family" : "Schwab", "given" : "Karen", "non-dropping-particle" : "", "parse-names" : false, "suffix" : "" } ], "container-title" : "Journal of Neurotrauma", "id" : "ITEM-1", "issue" : "2", "issued" : { "date-parts" : [ [ "2011", "2" ] ] }, "page" : "177-187", "title" : "Standardizing Data Collection in Traumatic Brain Injury", "type" : "article-journal", "volume" : "28" }, "uris" : [ "http://www.mendeley.com/documents/?uuid=de068248-992c-3191-8be4-bb733f5981f3" ] } ], "mendeley" : { "formattedCitation" : "(17)", "plainTextFormattedCitation" : "(17)", "previouslyFormattedCitation" : "(17)" }, "properties" : { "noteIndex" : 0 }, "schema" : "https://github.com/citation-style-language/schema/raw/master/csl-citation.json" }</w:instrText>
      </w:r>
      <w:r w:rsidR="00D6010E" w:rsidRPr="00E77C03">
        <w:rPr>
          <w:rFonts w:ascii="Calibri" w:eastAsia="Calibri" w:hAnsi="Calibri" w:cs="Calibri"/>
          <w:lang w:val="en-US"/>
        </w:rPr>
        <w:fldChar w:fldCharType="separate"/>
      </w:r>
      <w:r w:rsidR="00395A1E" w:rsidRPr="00395A1E">
        <w:rPr>
          <w:rFonts w:ascii="Calibri" w:eastAsia="Calibri" w:hAnsi="Calibri" w:cs="Calibri"/>
          <w:noProof/>
          <w:lang w:val="en-US"/>
        </w:rPr>
        <w:t>(17)</w:t>
      </w:r>
      <w:r w:rsidR="00D6010E" w:rsidRPr="00E77C03">
        <w:rPr>
          <w:rFonts w:ascii="Calibri" w:eastAsia="Calibri" w:hAnsi="Calibri" w:cs="Calibri"/>
          <w:lang w:val="en-US"/>
        </w:rPr>
        <w:fldChar w:fldCharType="end"/>
      </w:r>
      <w:r w:rsidR="00D6010E" w:rsidRPr="00E77C03">
        <w:rPr>
          <w:rFonts w:ascii="Calibri" w:eastAsia="Calibri" w:hAnsi="Calibri" w:cs="Calibri"/>
          <w:lang w:val="en-US"/>
        </w:rPr>
        <w:t xml:space="preserve">. Although we cannot verify this, modern monitoring (e.g., brain tissue oxygen, brain tissue lactate and pyruvate, temperature, and electroencephalography) and imaging (e.g., magnetic resonance imaging [MRI] and CT perfusion imaging) have probably increased, leading to increased costs. The benefits on patient outcome and </w:t>
      </w:r>
      <w:r w:rsidR="00D6010E" w:rsidRPr="00E77C03">
        <w:rPr>
          <w:rFonts w:ascii="Calibri" w:eastAsia="Calibri" w:hAnsi="Calibri" w:cs="Calibri"/>
          <w:lang w:val="en-US"/>
        </w:rPr>
        <w:lastRenderedPageBreak/>
        <w:t>treatment cost-effectiveness of implementing such novel modalities should be addressed in future studies.</w:t>
      </w:r>
    </w:p>
    <w:p w14:paraId="67499AF9" w14:textId="77777777" w:rsidR="00D6010E" w:rsidRPr="00E77C03" w:rsidRDefault="00D6010E" w:rsidP="007C1225">
      <w:pPr>
        <w:spacing w:line="480" w:lineRule="auto"/>
        <w:rPr>
          <w:b/>
          <w:lang w:val="en-US"/>
        </w:rPr>
      </w:pPr>
    </w:p>
    <w:p w14:paraId="02DFD024" w14:textId="75A7BAEE" w:rsidR="004047FC" w:rsidRPr="00C74FE7" w:rsidRDefault="00395A1E" w:rsidP="007C1225">
      <w:pPr>
        <w:spacing w:line="480" w:lineRule="auto"/>
        <w:rPr>
          <w:rFonts w:ascii="Calibri" w:eastAsia="Calibri" w:hAnsi="Calibri" w:cs="Calibri"/>
          <w:lang w:val="en-US"/>
        </w:rPr>
      </w:pPr>
      <w:r w:rsidRPr="00395A1E">
        <w:rPr>
          <w:b/>
          <w:lang w:val="en-US"/>
        </w:rPr>
        <w:t>In Finland</w:t>
      </w:r>
      <w:r>
        <w:rPr>
          <w:lang w:val="en-US"/>
        </w:rPr>
        <w:t>, t</w:t>
      </w:r>
      <w:r w:rsidR="00354492">
        <w:rPr>
          <w:lang w:val="en-US"/>
        </w:rPr>
        <w:t xml:space="preserve">he proportion of patients admitted to tertiary ICUs due to TBI, in comparison with other admission causes, </w:t>
      </w:r>
      <w:r w:rsidR="00354492">
        <w:rPr>
          <w:rFonts w:ascii="Calibri" w:eastAsia="Calibri" w:hAnsi="Calibri" w:cs="Calibri"/>
          <w:lang w:val="en-US"/>
        </w:rPr>
        <w:t xml:space="preserve">have doubled during the last decade. </w:t>
      </w:r>
      <w:r w:rsidR="004047FC" w:rsidRPr="00C2509C">
        <w:rPr>
          <w:rFonts w:ascii="Calibri" w:eastAsia="Calibri" w:hAnsi="Calibri" w:cs="Calibri"/>
          <w:lang w:val="en-US"/>
        </w:rPr>
        <w:t xml:space="preserve">This </w:t>
      </w:r>
      <w:r w:rsidR="00354492">
        <w:rPr>
          <w:rFonts w:ascii="Calibri" w:eastAsia="Calibri" w:hAnsi="Calibri" w:cs="Calibri"/>
          <w:lang w:val="en-US"/>
        </w:rPr>
        <w:t xml:space="preserve">appears </w:t>
      </w:r>
      <w:r w:rsidR="004047FC" w:rsidRPr="00C2509C">
        <w:rPr>
          <w:rFonts w:ascii="Calibri" w:eastAsia="Calibri" w:hAnsi="Calibri" w:cs="Calibri"/>
          <w:lang w:val="en-US"/>
        </w:rPr>
        <w:t>largely</w:t>
      </w:r>
      <w:r w:rsidR="00354492">
        <w:rPr>
          <w:rFonts w:ascii="Calibri" w:eastAsia="Calibri" w:hAnsi="Calibri" w:cs="Calibri"/>
          <w:lang w:val="en-US"/>
        </w:rPr>
        <w:t xml:space="preserve"> caused by</w:t>
      </w:r>
      <w:r w:rsidR="004047FC" w:rsidRPr="00C2509C">
        <w:rPr>
          <w:rFonts w:ascii="Calibri" w:eastAsia="Calibri" w:hAnsi="Calibri" w:cs="Calibri"/>
          <w:lang w:val="en-US"/>
        </w:rPr>
        <w:t xml:space="preserve"> an increas</w:t>
      </w:r>
      <w:r w:rsidR="00354492">
        <w:rPr>
          <w:rFonts w:ascii="Calibri" w:eastAsia="Calibri" w:hAnsi="Calibri" w:cs="Calibri"/>
          <w:lang w:val="en-US"/>
        </w:rPr>
        <w:t>ing</w:t>
      </w:r>
      <w:r w:rsidR="004047FC" w:rsidRPr="00C2509C">
        <w:rPr>
          <w:rFonts w:ascii="Calibri" w:eastAsia="Calibri" w:hAnsi="Calibri" w:cs="Calibri"/>
          <w:lang w:val="en-US"/>
        </w:rPr>
        <w:t xml:space="preserve"> number of </w:t>
      </w:r>
      <w:r w:rsidR="001C149B" w:rsidRPr="008C3CDC">
        <w:rPr>
          <w:rFonts w:ascii="Calibri" w:eastAsia="Calibri" w:hAnsi="Calibri" w:cs="Calibri"/>
          <w:b/>
          <w:lang w:val="en-US"/>
        </w:rPr>
        <w:t>complicated</w:t>
      </w:r>
      <w:r w:rsidR="001C149B">
        <w:rPr>
          <w:rFonts w:ascii="Calibri" w:eastAsia="Calibri" w:hAnsi="Calibri" w:cs="Calibri"/>
          <w:lang w:val="en-US"/>
        </w:rPr>
        <w:t xml:space="preserve"> </w:t>
      </w:r>
      <w:r w:rsidR="004047FC" w:rsidRPr="00C2509C">
        <w:rPr>
          <w:rFonts w:ascii="Calibri" w:eastAsia="Calibri" w:hAnsi="Calibri" w:cs="Calibri"/>
          <w:lang w:val="en-US"/>
        </w:rPr>
        <w:t>mild TBIs being</w:t>
      </w:r>
      <w:r w:rsidR="004047FC">
        <w:rPr>
          <w:rFonts w:ascii="Calibri" w:eastAsia="Calibri" w:hAnsi="Calibri" w:cs="Calibri"/>
          <w:lang w:val="en-US"/>
        </w:rPr>
        <w:t xml:space="preserve"> admitted to</w:t>
      </w:r>
      <w:r w:rsidR="004047FC" w:rsidRPr="00C2509C">
        <w:rPr>
          <w:rFonts w:ascii="Calibri" w:eastAsia="Calibri" w:hAnsi="Calibri" w:cs="Calibri"/>
          <w:lang w:val="en-US"/>
        </w:rPr>
        <w:t xml:space="preserve"> ICU</w:t>
      </w:r>
      <w:r w:rsidR="004047FC">
        <w:rPr>
          <w:rFonts w:ascii="Calibri" w:eastAsia="Calibri" w:hAnsi="Calibri" w:cs="Calibri"/>
          <w:lang w:val="en-US"/>
        </w:rPr>
        <w:t>s</w:t>
      </w:r>
      <w:r w:rsidR="004047FC" w:rsidRPr="00C2509C">
        <w:rPr>
          <w:rFonts w:ascii="Calibri" w:eastAsia="Calibri" w:hAnsi="Calibri" w:cs="Calibri"/>
          <w:lang w:val="en-US"/>
        </w:rPr>
        <w:t xml:space="preserve">, leading to a less severely injured TBI population </w:t>
      </w:r>
      <w:r w:rsidR="004047FC">
        <w:rPr>
          <w:rFonts w:ascii="Calibri" w:eastAsia="Calibri" w:hAnsi="Calibri" w:cs="Calibri"/>
          <w:lang w:val="en-US"/>
        </w:rPr>
        <w:t xml:space="preserve">in </w:t>
      </w:r>
      <w:r w:rsidR="004047FC" w:rsidRPr="00C2509C">
        <w:rPr>
          <w:rFonts w:ascii="Calibri" w:eastAsia="Calibri" w:hAnsi="Calibri" w:cs="Calibri"/>
          <w:lang w:val="en-US"/>
        </w:rPr>
        <w:t>the later years.</w:t>
      </w:r>
      <w:r w:rsidR="00C74FE7">
        <w:rPr>
          <w:rFonts w:ascii="Calibri" w:eastAsia="Calibri" w:hAnsi="Calibri" w:cs="Calibri"/>
          <w:lang w:val="en-US"/>
        </w:rPr>
        <w:t xml:space="preserve"> In addition, more elderly patients are treated in </w:t>
      </w:r>
      <w:r w:rsidR="003C75F2">
        <w:rPr>
          <w:rFonts w:ascii="Calibri" w:eastAsia="Calibri" w:hAnsi="Calibri" w:cs="Calibri"/>
          <w:lang w:val="en-US"/>
        </w:rPr>
        <w:t>tertiary</w:t>
      </w:r>
      <w:r w:rsidR="00C74FE7">
        <w:rPr>
          <w:rFonts w:ascii="Calibri" w:eastAsia="Calibri" w:hAnsi="Calibri" w:cs="Calibri"/>
          <w:lang w:val="en-US"/>
        </w:rPr>
        <w:t xml:space="preserve"> ICUs.</w:t>
      </w:r>
      <w:r w:rsidR="007C1225">
        <w:rPr>
          <w:rFonts w:ascii="Calibri" w:eastAsia="Calibri" w:hAnsi="Calibri" w:cs="Calibri"/>
          <w:lang w:val="en-US"/>
        </w:rPr>
        <w:t xml:space="preserve"> </w:t>
      </w:r>
      <w:r w:rsidR="007C1225">
        <w:rPr>
          <w:lang w:val="en-US"/>
        </w:rPr>
        <w:t>As a result,</w:t>
      </w:r>
      <w:r w:rsidR="008B21E3">
        <w:rPr>
          <w:lang w:val="en-US"/>
        </w:rPr>
        <w:t xml:space="preserve"> the</w:t>
      </w:r>
      <w:r w:rsidR="007C1225">
        <w:rPr>
          <w:lang w:val="en-US"/>
        </w:rPr>
        <w:t xml:space="preserve"> total </w:t>
      </w:r>
      <w:r w:rsidR="008B21E3">
        <w:rPr>
          <w:lang w:val="en-US"/>
        </w:rPr>
        <w:t xml:space="preserve">sum of </w:t>
      </w:r>
      <w:r w:rsidR="007C1225">
        <w:rPr>
          <w:lang w:val="en-US"/>
        </w:rPr>
        <w:t xml:space="preserve">healthcare costs resulting from tertiary ICU care of TBI have </w:t>
      </w:r>
      <w:r w:rsidR="002E0C05">
        <w:rPr>
          <w:lang w:val="en-US"/>
        </w:rPr>
        <w:lastRenderedPageBreak/>
        <w:t>increased significantly.</w:t>
      </w:r>
      <w:r w:rsidR="00C74FE7">
        <w:rPr>
          <w:rFonts w:ascii="Calibri" w:eastAsia="Calibri" w:hAnsi="Calibri" w:cs="Calibri"/>
          <w:lang w:val="en-US"/>
        </w:rPr>
        <w:t xml:space="preserve"> </w:t>
      </w:r>
      <w:r w:rsidR="004047FC" w:rsidRPr="00C2509C">
        <w:rPr>
          <w:rFonts w:ascii="Calibri" w:eastAsia="Calibri" w:hAnsi="Calibri" w:cs="Calibri"/>
          <w:lang w:val="en-US"/>
        </w:rPr>
        <w:t>The</w:t>
      </w:r>
      <w:r w:rsidR="004047FC">
        <w:rPr>
          <w:rFonts w:ascii="Calibri" w:eastAsia="Calibri" w:hAnsi="Calibri" w:cs="Calibri"/>
          <w:lang w:val="en-US"/>
        </w:rPr>
        <w:t xml:space="preserve"> sum of</w:t>
      </w:r>
      <w:r w:rsidR="004047FC" w:rsidRPr="00C2509C">
        <w:rPr>
          <w:rFonts w:ascii="Calibri" w:eastAsia="Calibri" w:hAnsi="Calibri" w:cs="Calibri"/>
          <w:lang w:val="en-US"/>
        </w:rPr>
        <w:t xml:space="preserve"> </w:t>
      </w:r>
      <w:r w:rsidR="004047FC">
        <w:rPr>
          <w:rFonts w:ascii="Calibri" w:eastAsia="Calibri" w:hAnsi="Calibri" w:cs="Calibri"/>
          <w:lang w:val="en-US"/>
        </w:rPr>
        <w:t>one-year healthcare</w:t>
      </w:r>
      <w:r w:rsidR="004047FC" w:rsidRPr="00C2509C">
        <w:rPr>
          <w:rFonts w:ascii="Calibri" w:eastAsia="Calibri" w:hAnsi="Calibri" w:cs="Calibri"/>
          <w:lang w:val="en-US"/>
        </w:rPr>
        <w:t xml:space="preserve"> cost for all</w:t>
      </w:r>
      <w:r w:rsidR="00716FAB">
        <w:rPr>
          <w:rFonts w:ascii="Calibri" w:eastAsia="Calibri" w:hAnsi="Calibri" w:cs="Calibri"/>
          <w:lang w:val="en-US"/>
        </w:rPr>
        <w:t xml:space="preserve"> patients was approximately $122 millions. Of this, $54</w:t>
      </w:r>
      <w:r w:rsidR="004047FC" w:rsidRPr="00C2509C">
        <w:rPr>
          <w:rFonts w:ascii="Calibri" w:eastAsia="Calibri" w:hAnsi="Calibri" w:cs="Calibri"/>
          <w:lang w:val="en-US"/>
        </w:rPr>
        <w:t xml:space="preserve"> million</w:t>
      </w:r>
      <w:r w:rsidR="00716FAB">
        <w:rPr>
          <w:rFonts w:ascii="Calibri" w:eastAsia="Calibri" w:hAnsi="Calibri" w:cs="Calibri"/>
          <w:lang w:val="en-US"/>
        </w:rPr>
        <w:t>s</w:t>
      </w:r>
      <w:r w:rsidR="004047FC" w:rsidRPr="00C2509C">
        <w:rPr>
          <w:rFonts w:ascii="Calibri" w:eastAsia="Calibri" w:hAnsi="Calibri" w:cs="Calibri"/>
          <w:lang w:val="en-US"/>
        </w:rPr>
        <w:t>, or 45% of the overall sum, went to independent survivors. Cost-effectiveness was notably better among young TBI patients irrespective of TBI severity. For example, in young patients with severe TBI</w:t>
      </w:r>
      <w:r w:rsidR="004047FC">
        <w:rPr>
          <w:rFonts w:ascii="Calibri" w:eastAsia="Calibri" w:hAnsi="Calibri" w:cs="Calibri"/>
          <w:lang w:val="en-US"/>
        </w:rPr>
        <w:t>,</w:t>
      </w:r>
      <w:r w:rsidR="004047FC" w:rsidRPr="00C2509C">
        <w:rPr>
          <w:rFonts w:ascii="Calibri" w:eastAsia="Calibri" w:hAnsi="Calibri" w:cs="Calibri"/>
          <w:lang w:val="en-US"/>
        </w:rPr>
        <w:t xml:space="preserve"> this ratio was 53%</w:t>
      </w:r>
      <w:r w:rsidR="004047FC">
        <w:rPr>
          <w:rFonts w:ascii="Calibri" w:eastAsia="Calibri" w:hAnsi="Calibri" w:cs="Calibri"/>
          <w:lang w:val="en-US"/>
        </w:rPr>
        <w:t>,</w:t>
      </w:r>
      <w:r w:rsidR="004047FC" w:rsidRPr="00C2509C">
        <w:rPr>
          <w:rFonts w:ascii="Calibri" w:eastAsia="Calibri" w:hAnsi="Calibri" w:cs="Calibri"/>
          <w:lang w:val="en-US"/>
        </w:rPr>
        <w:t xml:space="preserve"> but</w:t>
      </w:r>
      <w:r w:rsidR="004047FC">
        <w:rPr>
          <w:rFonts w:ascii="Calibri" w:eastAsia="Calibri" w:hAnsi="Calibri" w:cs="Calibri"/>
          <w:lang w:val="en-US"/>
        </w:rPr>
        <w:t xml:space="preserve"> it was</w:t>
      </w:r>
      <w:r w:rsidR="004047FC" w:rsidRPr="00C2509C">
        <w:rPr>
          <w:rFonts w:ascii="Calibri" w:eastAsia="Calibri" w:hAnsi="Calibri" w:cs="Calibri"/>
          <w:lang w:val="en-US"/>
        </w:rPr>
        <w:t xml:space="preserve"> only 31% in old severe TBI patients. Thus, most of </w:t>
      </w:r>
      <w:r w:rsidR="004047FC">
        <w:rPr>
          <w:rFonts w:ascii="Calibri" w:eastAsia="Calibri" w:hAnsi="Calibri" w:cs="Calibri"/>
          <w:lang w:val="en-US"/>
        </w:rPr>
        <w:t xml:space="preserve">the </w:t>
      </w:r>
      <w:r w:rsidR="004047FC" w:rsidRPr="00C2509C">
        <w:rPr>
          <w:rFonts w:ascii="Calibri" w:eastAsia="Calibri" w:hAnsi="Calibri" w:cs="Calibri"/>
          <w:lang w:val="en-US"/>
        </w:rPr>
        <w:t xml:space="preserve">resources </w:t>
      </w:r>
      <w:r w:rsidR="008B21E3">
        <w:rPr>
          <w:rFonts w:ascii="Calibri" w:eastAsia="Calibri" w:hAnsi="Calibri" w:cs="Calibri"/>
          <w:lang w:val="en-US"/>
        </w:rPr>
        <w:t>used</w:t>
      </w:r>
      <w:r w:rsidR="008B21E3" w:rsidRPr="00C2509C">
        <w:rPr>
          <w:rFonts w:ascii="Calibri" w:eastAsia="Calibri" w:hAnsi="Calibri" w:cs="Calibri"/>
          <w:lang w:val="en-US"/>
        </w:rPr>
        <w:t xml:space="preserve"> </w:t>
      </w:r>
      <w:r w:rsidR="004047FC" w:rsidRPr="00C2509C">
        <w:rPr>
          <w:rFonts w:ascii="Calibri" w:eastAsia="Calibri" w:hAnsi="Calibri" w:cs="Calibri"/>
          <w:lang w:val="en-US"/>
        </w:rPr>
        <w:t xml:space="preserve">do not result in a </w:t>
      </w:r>
      <w:r w:rsidR="004047FC" w:rsidRPr="002D686B">
        <w:rPr>
          <w:rFonts w:ascii="Calibri" w:eastAsia="Calibri" w:hAnsi="Calibri" w:cs="Calibri"/>
          <w:lang w:val="en-US"/>
        </w:rPr>
        <w:t>favorable</w:t>
      </w:r>
      <w:r w:rsidR="004047FC" w:rsidRPr="00C2509C">
        <w:rPr>
          <w:rFonts w:ascii="Calibri" w:eastAsia="Calibri" w:hAnsi="Calibri" w:cs="Calibri"/>
          <w:lang w:val="en-US"/>
        </w:rPr>
        <w:t xml:space="preserve"> patient outcome.</w:t>
      </w:r>
      <w:r w:rsidR="00C74FE7">
        <w:rPr>
          <w:rFonts w:ascii="Calibri" w:eastAsia="Calibri" w:hAnsi="Calibri" w:cs="Calibri"/>
          <w:lang w:val="en-US"/>
        </w:rPr>
        <w:t xml:space="preserve"> Given an aging population this will pose </w:t>
      </w:r>
      <w:r w:rsidR="00354492">
        <w:rPr>
          <w:rFonts w:ascii="Calibri" w:eastAsia="Calibri" w:hAnsi="Calibri" w:cs="Calibri"/>
          <w:lang w:val="en-US"/>
        </w:rPr>
        <w:t xml:space="preserve">great </w:t>
      </w:r>
      <w:r w:rsidR="00C74FE7">
        <w:rPr>
          <w:rFonts w:ascii="Calibri" w:eastAsia="Calibri" w:hAnsi="Calibri" w:cs="Calibri"/>
          <w:lang w:val="en-US"/>
        </w:rPr>
        <w:t xml:space="preserve">challenges to the neurosurgical and </w:t>
      </w:r>
      <w:r>
        <w:rPr>
          <w:rFonts w:ascii="Calibri" w:eastAsia="Calibri" w:hAnsi="Calibri" w:cs="Calibri"/>
          <w:lang w:val="en-US"/>
        </w:rPr>
        <w:t>neuro</w:t>
      </w:r>
      <w:r w:rsidR="00C74FE7">
        <w:rPr>
          <w:rFonts w:ascii="Calibri" w:eastAsia="Calibri" w:hAnsi="Calibri" w:cs="Calibri"/>
          <w:lang w:val="en-US"/>
        </w:rPr>
        <w:t>critical care communit</w:t>
      </w:r>
      <w:r w:rsidR="004C0094">
        <w:rPr>
          <w:rFonts w:ascii="Calibri" w:eastAsia="Calibri" w:hAnsi="Calibri" w:cs="Calibri"/>
          <w:lang w:val="en-US"/>
        </w:rPr>
        <w:t xml:space="preserve">ies in the future. </w:t>
      </w:r>
      <w:r w:rsidR="004047FC" w:rsidRPr="00C2509C">
        <w:rPr>
          <w:rFonts w:ascii="Calibri" w:eastAsia="Calibri" w:hAnsi="Calibri" w:cs="Calibri"/>
          <w:lang w:val="en-US"/>
        </w:rPr>
        <w:t xml:space="preserve"> </w:t>
      </w:r>
    </w:p>
    <w:p w14:paraId="7DFE64E9" w14:textId="77777777" w:rsidR="00434D19" w:rsidRPr="0010525B" w:rsidRDefault="00434D19" w:rsidP="00434D19">
      <w:pPr>
        <w:pStyle w:val="Heading2"/>
        <w:rPr>
          <w:b/>
          <w:lang w:val="en-US"/>
        </w:rPr>
      </w:pPr>
      <w:r w:rsidRPr="0010525B">
        <w:rPr>
          <w:b/>
          <w:lang w:val="en-US"/>
        </w:rPr>
        <w:t>Cost comparison with previous TBI studies</w:t>
      </w:r>
    </w:p>
    <w:p w14:paraId="731648D0" w14:textId="71FCD5B1" w:rsidR="00E653BD" w:rsidRPr="00C2509C" w:rsidRDefault="002A5E90" w:rsidP="00E653BD">
      <w:pPr>
        <w:spacing w:line="480" w:lineRule="auto"/>
        <w:rPr>
          <w:lang w:val="en-US"/>
        </w:rPr>
      </w:pPr>
      <w:r>
        <w:rPr>
          <w:lang w:val="en-US"/>
        </w:rPr>
        <w:lastRenderedPageBreak/>
        <w:t xml:space="preserve">Studies looking at overall healthcare costs following ICU admission after TBI are scarce. </w:t>
      </w:r>
      <w:r w:rsidR="00E653BD" w:rsidRPr="00C2509C">
        <w:rPr>
          <w:lang w:val="en-US"/>
        </w:rPr>
        <w:t xml:space="preserve">A study from Canada </w:t>
      </w:r>
      <w:r w:rsidR="00E653BD">
        <w:rPr>
          <w:lang w:val="en-US"/>
        </w:rPr>
        <w:t>estimated</w:t>
      </w:r>
      <w:r w:rsidR="00E653BD" w:rsidRPr="00C2509C">
        <w:rPr>
          <w:lang w:val="en-US"/>
        </w:rPr>
        <w:t xml:space="preserve"> that the mean overall one-year post-admission cost after TBI was $32,132 (expressed in 2007 Canadian dollars</w:t>
      </w:r>
      <w:r w:rsidR="00A16AC6">
        <w:rPr>
          <w:lang w:val="en-US"/>
        </w:rPr>
        <w:t xml:space="preserve">, converts to </w:t>
      </w:r>
      <w:r w:rsidR="00EC0B49">
        <w:rPr>
          <w:lang w:val="en-US"/>
        </w:rPr>
        <w:t>$</w:t>
      </w:r>
      <w:r w:rsidR="00F0714D">
        <w:rPr>
          <w:lang w:val="en-US"/>
        </w:rPr>
        <w:t>43,791</w:t>
      </w:r>
      <w:r w:rsidR="00A16AC6">
        <w:rPr>
          <w:lang w:val="en-US"/>
        </w:rPr>
        <w:t xml:space="preserve"> in 2013 </w:t>
      </w:r>
      <w:r w:rsidR="00EC0B49">
        <w:rPr>
          <w:lang w:val="en-US"/>
        </w:rPr>
        <w:t>USD</w:t>
      </w:r>
      <w:r w:rsidR="00E653BD" w:rsidRPr="00C2509C">
        <w:rPr>
          <w:lang w:val="en-US"/>
        </w:rPr>
        <w:t>)</w:t>
      </w:r>
      <w:r w:rsidR="005C1B80">
        <w:rPr>
          <w:lang w:val="en-US"/>
        </w:rPr>
        <w:t xml:space="preserve"> </w:t>
      </w:r>
      <w:r w:rsidR="00E653BD" w:rsidRPr="00C2509C">
        <w:rPr>
          <w:lang w:val="en-US"/>
        </w:rPr>
        <w:fldChar w:fldCharType="begin" w:fldLock="1"/>
      </w:r>
      <w:r w:rsidR="00B83FF2">
        <w:rPr>
          <w:lang w:val="en-US"/>
        </w:rPr>
        <w:instrText>ADDIN CSL_CITATION { "citationItems" : [ { "id" : "ITEM-1", "itemData" : { "DOI" : "10.1186/1471-2377-12-76", "ISSN" : "1471-2377", "PMID" : "22901094", "abstract" : "BACKGROUND Acquired Brain Injury (ABI) from traumatic and non traumatic causes is a leading cause of disability worldwide yet there is limited research summarizing the health system economic burden associated with ABI. The objective of this study was to determine the direct cost of publicly funded health care services from the initial hospitalization to three years post-injury for individuals with traumatic (TBI) and non-traumatic brain injury (nTBI) in Ontario Canada. METHODS A population-based cohort of patients discharged from acute hospital with an ABI code in any diagnosis position in 2004 through 2007 in Ontario was identified from administrative data. Publicly funded health care utilization was obtained from several Ontario administrative healthcare databases. Patients were stratified according to traumatic and non-traumatic causes of brain injury and whether or not they were discharged to an inpatient rehabilitation center. Health system costs were calculated across a continuum of institutional and community settings for up to three years after initial discharge. The continuum of settings included acute care emergency departments inpatient rehabilitation (IR) complex continuing care home care services and physician visits. All costs were calculated retrospectively assuming the government payer's perspective. RESULTS Direct medical costs in an ABI population are substantial with mean cost in the first year post-injury per TBI and nTBI patient being $32132 and $38018 respectively. Among both TBI and nTBI patients those discharged to IR had significantly higher treatment costs than those not discharged to IR across all institutional and community settings. This tendency remained during the entire three-year follow-up period. Annual medical costs of patients hospitalized with a brain injury in Ontario in the first follow-up year were approximately $120.7 million for TBI and $368.7 million for nTBI. Acute care cost accounted for 46-65% of the total treatment cost in the first year overwhelming all other cost components. CONCLUSIONS The main finding of this study is that direct medical costs in ABI population are substantial and vary considerably by the injury cause. Although most expenses occur in the first follow-up year ABI patients continue to use variety of medical services in the second and third year with emphasis shifting over time from acute care and inpatient rehabilitation towards homecare physician services and long-term institutional care\u2026", "author" : [ { "dropping-particle" : "", "family" : "Chen", "given" : "Amy", "non-dropping-particle" : "", "parse-names" : false, "suffix" : "" }, { "dropping-particle" : "", "family" : "Bushmeneva", "given" : "Ksenia", "non-dropping-particle" : "", "parse-names" : false, "suffix" : "" }, { "dropping-particle" : "", "family" : "Zagorski", "given" : "Brandon", "non-dropping-particle" : "", "parse-names" : false, "suffix" : "" }, { "dropping-particle" : "", "family" : "Colantonio", "given" : "Angela", "non-dropping-particle" : "", "parse-names" : false, "suffix" : "" }, { "dropping-particle" : "", "family" : "Parsons", "given" : "Daria", "non-dropping-particle" : "", "parse-names" : false, "suffix" : "" }, { "dropping-particle" : "", "family" : "Wodchis", "given" : "Walter P", "non-dropping-particle" : "", "parse-names" : false, "suffix" : "" } ], "container-title" : "BMC Neurology", "id" : "ITEM-1", "issue" : "1", "issued" : { "date-parts" : [ [ "2012", "12", "17" ] ] }, "page" : "76", "title" : "Direct cost associated with acquired brain injury in Ontario", "type" : "article-journal", "volume" : "12" }, "uris" : [ "http://www.mendeley.com/documents/?uuid=4785d609-51e2-3fd1-81f2-58e05f8ce560" ] } ], "mendeley" : { "formattedCitation" : "(18)", "plainTextFormattedCitation" : "(18)", "previouslyFormattedCitation" : "(18)" }, "properties" : { "noteIndex" : 0 }, "schema" : "https://github.com/citation-style-language/schema/raw/master/csl-citation.json" }</w:instrText>
      </w:r>
      <w:r w:rsidR="00E653BD" w:rsidRPr="00C2509C">
        <w:rPr>
          <w:lang w:val="en-US"/>
        </w:rPr>
        <w:fldChar w:fldCharType="separate"/>
      </w:r>
      <w:r w:rsidR="00395A1E" w:rsidRPr="00395A1E">
        <w:rPr>
          <w:noProof/>
          <w:lang w:val="en-US"/>
        </w:rPr>
        <w:t>(18)</w:t>
      </w:r>
      <w:r w:rsidR="00E653BD" w:rsidRPr="00C2509C">
        <w:rPr>
          <w:lang w:val="en-US"/>
        </w:rPr>
        <w:fldChar w:fldCharType="end"/>
      </w:r>
      <w:r w:rsidR="005C1B80">
        <w:rPr>
          <w:lang w:val="en-US"/>
        </w:rPr>
        <w:t>.</w:t>
      </w:r>
      <w:r w:rsidR="00E653BD" w:rsidRPr="00C2509C">
        <w:rPr>
          <w:lang w:val="en-US"/>
        </w:rPr>
        <w:t xml:space="preserve"> A study from New Zealand</w:t>
      </w:r>
      <w:r w:rsidR="00E653BD">
        <w:rPr>
          <w:lang w:val="en-US"/>
        </w:rPr>
        <w:t xml:space="preserve"> estimated</w:t>
      </w:r>
      <w:r w:rsidR="00E653BD" w:rsidRPr="00C2509C">
        <w:rPr>
          <w:lang w:val="en-US"/>
        </w:rPr>
        <w:t xml:space="preserve"> that the overall first</w:t>
      </w:r>
      <w:r w:rsidR="00E653BD">
        <w:rPr>
          <w:lang w:val="en-US"/>
        </w:rPr>
        <w:t>-</w:t>
      </w:r>
      <w:r w:rsidR="00E653BD" w:rsidRPr="00276A6B">
        <w:rPr>
          <w:lang w:val="en-US"/>
        </w:rPr>
        <w:t xml:space="preserve">year cost per moderate-to-severe TBI was </w:t>
      </w:r>
      <w:r w:rsidR="00E653BD" w:rsidRPr="00276A6B">
        <w:rPr>
          <w:rFonts w:ascii="Calibri" w:eastAsia="Calibri" w:hAnsi="Calibri" w:cs="Calibri"/>
          <w:color w:val="000000" w:themeColor="text1"/>
          <w:lang w:val="en-US"/>
        </w:rPr>
        <w:t xml:space="preserve">$21,379 (expressed in 2010 </w:t>
      </w:r>
      <w:r w:rsidR="00F0714D">
        <w:rPr>
          <w:rFonts w:ascii="Calibri" w:eastAsia="Calibri" w:hAnsi="Calibri" w:cs="Calibri"/>
          <w:color w:val="000000" w:themeColor="text1"/>
          <w:lang w:val="en-US"/>
        </w:rPr>
        <w:t>USD</w:t>
      </w:r>
      <w:r w:rsidR="00A16AC6">
        <w:rPr>
          <w:rFonts w:ascii="Calibri" w:eastAsia="Calibri" w:hAnsi="Calibri" w:cs="Calibri"/>
          <w:color w:val="000000" w:themeColor="text1"/>
          <w:lang w:val="en-US"/>
        </w:rPr>
        <w:t xml:space="preserve">, </w:t>
      </w:r>
      <w:r w:rsidR="00A16AC6">
        <w:rPr>
          <w:lang w:val="en-US"/>
        </w:rPr>
        <w:t xml:space="preserve">converts to </w:t>
      </w:r>
      <w:r w:rsidR="00F0714D">
        <w:rPr>
          <w:lang w:val="en-US"/>
        </w:rPr>
        <w:t xml:space="preserve">$22,840 </w:t>
      </w:r>
      <w:r w:rsidR="00A16AC6">
        <w:rPr>
          <w:lang w:val="en-US"/>
        </w:rPr>
        <w:t xml:space="preserve">in 2013 </w:t>
      </w:r>
      <w:r w:rsidR="00F0714D">
        <w:rPr>
          <w:lang w:val="en-US"/>
        </w:rPr>
        <w:t>USD</w:t>
      </w:r>
      <w:r w:rsidR="00E653BD" w:rsidRPr="00C2509C">
        <w:rPr>
          <w:rFonts w:ascii="Calibri" w:eastAsia="Calibri" w:hAnsi="Calibri" w:cs="Calibri"/>
          <w:color w:val="000000" w:themeColor="text1"/>
          <w:lang w:val="en-US"/>
        </w:rPr>
        <w:t>)</w:t>
      </w:r>
      <w:r w:rsidR="00E653BD">
        <w:rPr>
          <w:rFonts w:ascii="Calibri" w:eastAsia="Calibri" w:hAnsi="Calibri" w:cs="Calibri"/>
          <w:color w:val="000000" w:themeColor="text1"/>
          <w:lang w:val="en-US"/>
        </w:rPr>
        <w:t>,</w:t>
      </w:r>
      <w:r w:rsidR="00E653BD" w:rsidRPr="00C2509C">
        <w:rPr>
          <w:rFonts w:ascii="Calibri" w:eastAsia="Calibri" w:hAnsi="Calibri" w:cs="Calibri"/>
          <w:color w:val="000000" w:themeColor="text1"/>
          <w:lang w:val="en-US"/>
        </w:rPr>
        <w:t xml:space="preserve"> including both direct and indirect costs</w:t>
      </w:r>
      <w:r w:rsidR="005C1B80">
        <w:rPr>
          <w:rFonts w:ascii="Calibri" w:eastAsia="Calibri" w:hAnsi="Calibri" w:cs="Calibri"/>
          <w:color w:val="000000" w:themeColor="text1"/>
          <w:lang w:val="en-US"/>
        </w:rPr>
        <w:t xml:space="preserve"> </w:t>
      </w:r>
      <w:r w:rsidR="00E653BD" w:rsidRPr="00C2509C">
        <w:rPr>
          <w:lang w:val="en-US"/>
        </w:rPr>
        <w:fldChar w:fldCharType="begin" w:fldLock="1"/>
      </w:r>
      <w:r w:rsidR="00B83FF2">
        <w:rPr>
          <w:rFonts w:ascii="Calibri" w:eastAsia="Calibri" w:hAnsi="Calibri" w:cs="Calibri"/>
          <w:color w:val="000000" w:themeColor="text1"/>
          <w:lang w:val="en-US"/>
        </w:rPr>
        <w:instrText>ADDIN CSL_CITATION { "citationItems" : [ { "id" : "ITEM-1", "itemData" : { "DOI" : "10.1212/WNL.0000000000000933", "ISBN" : "1526-632X (Electronic)\\r0028-3878 (Linking)", "PMID" : "25261503", "abstract" : "OBJECTIVE: We aimed to estimate from a societal perspective the 1-year and lifetime direct and indirect costs of traumatic brain injury (TBI) for New Zealand (NZ) in 2010 projected to 2020. METHODS: An incidence-based cost of illness model was developed using data from the Brain Injury Outcomes New Zealand in the Community Study. Details of TBI-related resource use during the first 12 months after injury were obtained for 725 cases using resource utilization information from participant surveys and medical records. Total costs are presented in US dollars year 2010 value. RESULTS: In 2010, 11,301 first-ever TBI cases were estimated to have occurred in NZ; total first-year cost of all new TBI cases was estimated to be US {$}47.9 million with total prevalence costs of US {$}101.4 million. The average cost per new TBI case during the first 12 months and over a lifetime was US {$}5,922 (95{%} confidence interval [CI] {$}4,777-{$}7,858), varying from US {$}4,636 (95{%} CI {$}3,756-{$}5,561) for mild cases to US {$}36,648 (95{%} CI {$}16,348-{$}65,350) for moderate/severe cases. Because of the unexpectedly large number of mild TBI cases (95{%} of all TBI cases), the total cost of treating these cases is nearly 3 times that of moderate/severe. The total lifetime cost of all TBI survivors in 2010 was US {$}146.5 million and is expected to increase to US {$}177.1 million in 2020. CONCLUSION: The results suggest that there is an urgent need to develop effective interventions to prevent both mild and moderate/severe TBI.", "author" : [ { "dropping-particle" : "", "family" : "Ao", "given" : "Braden", "non-dropping-particle" : "Te", "parse-names" : false, "suffix" : "" }, { "dropping-particle" : "", "family" : "Brown", "given" : "Paul", "non-dropping-particle" : "", "parse-names" : false, "suffix" : "" }, { "dropping-particle" : "", "family" : "Tobias", "given" : "Martin", "non-dropping-particle" : "", "parse-names" : false, "suffix" : "" }, { "dropping-particle" : "", "family" : "Ameratunga", "given" : "Shanthi", "non-dropping-particle" : "", "parse-names" : false, "suffix" : "" }, { "dropping-particle" : "", "family" : "Barker-Collo", "given" : "Suzanne", "non-dropping-particle" : "", "parse-names" : false, "suffix" : "" }, { "dropping-particle" : "", "family" : "Theadom", "given" : "Alice", "non-dropping-particle" : "", "parse-names" : false, "suffix" : "" }, { "dropping-particle" : "", "family" : "McPherson", "given" : "Kathryn", "non-dropping-particle" : "", "parse-names" : false, "suffix" : "" }, { "dropping-particle" : "", "family" : "Starkey", "given" : "Nicola", "non-dropping-particle" : "", "parse-names" : false, "suffix" : "" }, { "dropping-particle" : "", "family" : "Dowell", "given" : "Anthony", "non-dropping-particle" : "", "parse-names" : false, "suffix" : "" }, { "dropping-particle" : "", "family" : "Jones", "given" : "Kelly", "non-dropping-particle" : "", "parse-names" : false, "suffix" : "" }, { "dropping-particle" : "", "family" : "Feigin", "given" : "Valery L", "non-dropping-particle" : "", "parse-names" : false, "suffix" : "" } ], "container-title" : "Neurology", "id" : "ITEM-1", "issue" : "18", "issued" : { "date-parts" : [ [ "2014" ] ] }, "note" : "NULL", "title" : "Cost of traumatic brain injury in New Zealand: evidence from a population-based study.", "type" : "article-journal", "volume" : "83" }, "uris" : [ "http://www.mendeley.com/documents/?uuid=0a7f28c0-579e-364d-a5b4-ba7fa9588195" ] } ], "mendeley" : { "formattedCitation" : "(19)", "plainTextFormattedCitation" : "(19)", "previouslyFormattedCitation" : "(19)" }, "properties" : { "noteIndex" : 0 }, "schema" : "https://github.com/citation-style-language/schema/raw/master/csl-citation.json" }</w:instrText>
      </w:r>
      <w:r w:rsidR="00E653BD" w:rsidRPr="00C2509C">
        <w:rPr>
          <w:rFonts w:ascii="Calibri" w:eastAsia="Calibri" w:hAnsi="Calibri" w:cs="Calibri"/>
          <w:color w:val="000000" w:themeColor="text1"/>
          <w:lang w:val="en-US"/>
        </w:rPr>
        <w:fldChar w:fldCharType="separate"/>
      </w:r>
      <w:r w:rsidR="00395A1E" w:rsidRPr="00395A1E">
        <w:rPr>
          <w:rFonts w:ascii="Calibri" w:eastAsia="Calibri" w:hAnsi="Calibri" w:cs="Calibri"/>
          <w:noProof/>
          <w:color w:val="000000" w:themeColor="text1"/>
          <w:lang w:val="en-US"/>
        </w:rPr>
        <w:t>(19)</w:t>
      </w:r>
      <w:r w:rsidR="00E653BD" w:rsidRPr="00C2509C">
        <w:rPr>
          <w:lang w:val="en-US"/>
        </w:rPr>
        <w:fldChar w:fldCharType="end"/>
      </w:r>
      <w:r w:rsidR="005C1B80">
        <w:rPr>
          <w:lang w:val="en-US"/>
        </w:rPr>
        <w:t>.</w:t>
      </w:r>
      <w:r w:rsidR="00E653BD" w:rsidRPr="00C2509C">
        <w:rPr>
          <w:rFonts w:ascii="Calibri" w:eastAsia="Calibri" w:hAnsi="Calibri" w:cs="Calibri"/>
          <w:color w:val="000000" w:themeColor="text1"/>
          <w:lang w:val="en-US"/>
        </w:rPr>
        <w:t xml:space="preserve"> A study from the U.S. reported total costs up to </w:t>
      </w:r>
      <w:r w:rsidR="00E653BD">
        <w:rPr>
          <w:rFonts w:ascii="Calibri" w:eastAsia="Calibri" w:hAnsi="Calibri" w:cs="Calibri"/>
          <w:color w:val="000000" w:themeColor="text1"/>
          <w:lang w:val="en-US"/>
        </w:rPr>
        <w:t xml:space="preserve">six </w:t>
      </w:r>
      <w:r w:rsidR="00E653BD" w:rsidRPr="00C2509C">
        <w:rPr>
          <w:rFonts w:ascii="Calibri" w:eastAsia="Calibri" w:hAnsi="Calibri" w:cs="Calibri"/>
          <w:color w:val="000000" w:themeColor="text1"/>
          <w:lang w:val="en-US"/>
        </w:rPr>
        <w:t xml:space="preserve">months after admission to be $48,988 (expressed in </w:t>
      </w:r>
      <w:r w:rsidR="00E653BD">
        <w:rPr>
          <w:rFonts w:ascii="Calibri" w:eastAsia="Calibri" w:hAnsi="Calibri" w:cs="Calibri"/>
          <w:color w:val="000000" w:themeColor="text1"/>
          <w:lang w:val="en-US"/>
        </w:rPr>
        <w:t>USD,</w:t>
      </w:r>
      <w:r w:rsidR="00E653BD" w:rsidRPr="00C2509C">
        <w:rPr>
          <w:rFonts w:ascii="Calibri" w:eastAsia="Calibri" w:hAnsi="Calibri" w:cs="Calibri"/>
          <w:color w:val="000000" w:themeColor="text1"/>
          <w:lang w:val="en-US"/>
        </w:rPr>
        <w:t xml:space="preserve"> not specified for which year</w:t>
      </w:r>
      <w:r w:rsidR="004B39B8">
        <w:rPr>
          <w:rFonts w:ascii="Calibri" w:eastAsia="Calibri" w:hAnsi="Calibri" w:cs="Calibri"/>
          <w:color w:val="000000" w:themeColor="text1"/>
          <w:lang w:val="en-US"/>
        </w:rPr>
        <w:t>,</w:t>
      </w:r>
      <w:r w:rsidR="004B39B8" w:rsidRPr="004B39B8">
        <w:rPr>
          <w:rFonts w:ascii="Calibri" w:eastAsia="Calibri" w:hAnsi="Calibri" w:cs="Calibri"/>
          <w:lang w:val="en-US"/>
        </w:rPr>
        <w:t xml:space="preserve"> </w:t>
      </w:r>
      <w:r w:rsidR="004B39B8" w:rsidRPr="00C2509C">
        <w:rPr>
          <w:rFonts w:ascii="Calibri" w:eastAsia="Calibri" w:hAnsi="Calibri" w:cs="Calibri"/>
          <w:lang w:val="en-US"/>
        </w:rPr>
        <w:t xml:space="preserve">study was conducted </w:t>
      </w:r>
      <w:r w:rsidR="004B39B8">
        <w:rPr>
          <w:rFonts w:ascii="Calibri" w:eastAsia="Calibri" w:hAnsi="Calibri" w:cs="Calibri"/>
          <w:lang w:val="en-US"/>
        </w:rPr>
        <w:t>from 2003-2005</w:t>
      </w:r>
      <w:r w:rsidR="00A16AC6">
        <w:rPr>
          <w:rFonts w:ascii="Calibri" w:eastAsia="Calibri" w:hAnsi="Calibri" w:cs="Calibri"/>
          <w:lang w:val="en-US"/>
        </w:rPr>
        <w:t>,</w:t>
      </w:r>
      <w:r w:rsidR="00A16AC6">
        <w:rPr>
          <w:lang w:val="en-US"/>
        </w:rPr>
        <w:t xml:space="preserve"> converts </w:t>
      </w:r>
      <w:r w:rsidR="00A16AC6">
        <w:rPr>
          <w:lang w:val="en-US"/>
        </w:rPr>
        <w:lastRenderedPageBreak/>
        <w:t xml:space="preserve">to </w:t>
      </w:r>
      <w:r w:rsidR="00F0714D">
        <w:rPr>
          <w:lang w:val="en-US"/>
        </w:rPr>
        <w:t xml:space="preserve">$58,434 in </w:t>
      </w:r>
      <w:r w:rsidR="00A16AC6">
        <w:rPr>
          <w:lang w:val="en-US"/>
        </w:rPr>
        <w:t xml:space="preserve">2013 </w:t>
      </w:r>
      <w:r w:rsidR="00F0714D">
        <w:rPr>
          <w:lang w:val="en-US"/>
        </w:rPr>
        <w:t>USD</w:t>
      </w:r>
      <w:r w:rsidR="00E653BD" w:rsidRPr="00C2509C">
        <w:rPr>
          <w:rFonts w:ascii="Calibri" w:eastAsia="Calibri" w:hAnsi="Calibri" w:cs="Calibri"/>
          <w:color w:val="000000" w:themeColor="text1"/>
          <w:lang w:val="en-US"/>
        </w:rPr>
        <w:t>)</w:t>
      </w:r>
      <w:r w:rsidR="005C1B80">
        <w:rPr>
          <w:rFonts w:ascii="Calibri" w:eastAsia="Calibri" w:hAnsi="Calibri" w:cs="Calibri"/>
          <w:color w:val="000000" w:themeColor="text1"/>
          <w:lang w:val="en-US"/>
        </w:rPr>
        <w:t xml:space="preserve"> </w:t>
      </w:r>
      <w:r w:rsidR="00E653BD" w:rsidRPr="00C2509C">
        <w:rPr>
          <w:lang w:val="en-US"/>
        </w:rPr>
        <w:fldChar w:fldCharType="begin" w:fldLock="1"/>
      </w:r>
      <w:r w:rsidR="00B83FF2">
        <w:rPr>
          <w:rFonts w:ascii="Calibri" w:eastAsia="Calibri" w:hAnsi="Calibri" w:cs="Calibri"/>
          <w:color w:val="000000" w:themeColor="text1"/>
          <w:lang w:val="en-US"/>
        </w:rPr>
        <w:instrText>ADDIN CSL_CITATION { "citationItems" : [ { "id" : "ITEM-1", "itemData" : { "DOI" : "10.1097/TA.0b013e318031afe3", "ISSN" : "0022-5282", "PMID" : "17414338", "abstract" : "BACKGROUND Although the prevalence of trauma in the United States is high, data on the economic burden of this public health problem to third-party payors is limited. METHODS Retrospective claims from a large health plan were analyzed for 12,615 adults (age &gt;or=18 years) hospitalized for blunt or penetrating trauma between January 1, 2003 and February 1, 2005. Per patient charges were estimated for resources utilized during a 6-month period before and after initial injury. Continuous health plan enrollment during these periods was required. Three cohorts were examined: isolated traumatic brain injury (TBI); other trauma with TBI (trauma w/TBI); and other trauma without TBI (trauma w/o TBI). Patients were also stratified by Injury Severity Score (ISS) and trauma designation of the admitting hospital. RESULTS Initial hospitalization charges ranged from $32,627 for isolated TBI to $103,667 for trauma w/TBI. Charges for initial hospitalization were highest ($199,443) among patients with the most severe injuries. Overall, initial hospitalization charges were highest among those admitted to Level I trauma centers ($68,626); for trauma w/TBI, however, initial hospitalization charges were highest among those admitted to nontrauma centers ($130,997). Charges incurred during postdischarge medical encounters ranged from $16,361 for isolated TBI to $23,761 for trauma w/TBI. Increased charges for postdischarge encounters compared with the 6-month preinjury period ranged from $6,756 for isolated TBI to $19,771 for trauma w/TBI. CONCLUSIONS The economic burden of blunt and penetrating trauma to third-party payors is high. Efforts to reduce the incidence of trauma may result in substantial economic savings to managed care systems.", "author" : [ { "dropping-particle" : "", "family" : "Davis", "given" : "Keith L.", "non-dropping-particle" : "", "parse-names" : false, "suffix" : "" }, { "dropping-particle" : "V.", "family" : "Joshi", "given" : "Ashish", "non-dropping-particle" : "", "parse-names" : false, "suffix" : "" }, { "dropping-particle" : "", "family" : "Tortella", "given" : "Bartholomew J.", "non-dropping-particle" : "", "parse-names" : false, "suffix" : "" }, { "dropping-particle" : "", "family" : "Candrilli", "given" : "Sean D.", "non-dropping-particle" : "", "parse-names" : false, "suffix" : "" } ], "container-title" : "The Journal of Trauma: Injury, Infection, and Critical Care", "id" : "ITEM-1", "issue" : "3", "issued" : { "date-parts" : [ [ "2007", "3" ] ] }, "note" : "NULL", "page" : "622-630", "title" : "The Direct Economic Burden of Blunt and Penetrating Trauma in a Managed Care Population", "type" : "article-journal", "volume" : "62" }, "uris" : [ "http://www.mendeley.com/documents/?uuid=50787cbf-0951-3b24-a3fb-c85c2f74b376" ] } ], "mendeley" : { "formattedCitation" : "(20)", "plainTextFormattedCitation" : "(20)", "previouslyFormattedCitation" : "(20)" }, "properties" : { "noteIndex" : 0 }, "schema" : "https://github.com/citation-style-language/schema/raw/master/csl-citation.json" }</w:instrText>
      </w:r>
      <w:r w:rsidR="00E653BD" w:rsidRPr="00C2509C">
        <w:rPr>
          <w:rFonts w:ascii="Calibri" w:eastAsia="Calibri" w:hAnsi="Calibri" w:cs="Calibri"/>
          <w:color w:val="000000" w:themeColor="text1"/>
          <w:lang w:val="en-US"/>
        </w:rPr>
        <w:fldChar w:fldCharType="separate"/>
      </w:r>
      <w:r w:rsidR="00395A1E" w:rsidRPr="00395A1E">
        <w:rPr>
          <w:rFonts w:ascii="Calibri" w:eastAsia="Calibri" w:hAnsi="Calibri" w:cs="Calibri"/>
          <w:noProof/>
          <w:color w:val="000000" w:themeColor="text1"/>
          <w:lang w:val="en-US"/>
        </w:rPr>
        <w:t>(20)</w:t>
      </w:r>
      <w:r w:rsidR="00E653BD" w:rsidRPr="00C2509C">
        <w:rPr>
          <w:lang w:val="en-US"/>
        </w:rPr>
        <w:fldChar w:fldCharType="end"/>
      </w:r>
      <w:r w:rsidR="005C1B80">
        <w:rPr>
          <w:lang w:val="en-US"/>
        </w:rPr>
        <w:t>.</w:t>
      </w:r>
      <w:r w:rsidR="00E653BD" w:rsidRPr="00C2509C">
        <w:rPr>
          <w:rFonts w:ascii="Calibri" w:eastAsia="Calibri" w:hAnsi="Calibri" w:cs="Calibri"/>
          <w:color w:val="000000" w:themeColor="text1"/>
          <w:lang w:val="en-US"/>
        </w:rPr>
        <w:t xml:space="preserve"> Another study from the U.S. investigating direct hospital costs associated with TBI found an average price to be $8,189</w:t>
      </w:r>
      <w:r w:rsidR="00E653BD" w:rsidRPr="00E11326">
        <w:rPr>
          <w:rFonts w:ascii="Calibri" w:eastAsia="Calibri" w:hAnsi="Calibri" w:cs="Calibri"/>
          <w:color w:val="000000" w:themeColor="text1"/>
          <w:lang w:val="en-US"/>
        </w:rPr>
        <w:t xml:space="preserve"> </w:t>
      </w:r>
      <w:r w:rsidR="00E653BD" w:rsidRPr="00435662">
        <w:rPr>
          <w:rFonts w:ascii="Calibri" w:eastAsia="Calibri" w:hAnsi="Calibri" w:cs="Calibri"/>
          <w:color w:val="000000" w:themeColor="text1"/>
          <w:lang w:val="en-US"/>
        </w:rPr>
        <w:t>for moderate TBI</w:t>
      </w:r>
      <w:r w:rsidR="00E653BD" w:rsidRPr="00C2509C">
        <w:rPr>
          <w:rFonts w:ascii="Calibri" w:eastAsia="Calibri" w:hAnsi="Calibri" w:cs="Calibri"/>
          <w:color w:val="000000" w:themeColor="text1"/>
          <w:lang w:val="en-US"/>
        </w:rPr>
        <w:t>, $14,603 for serious TBI</w:t>
      </w:r>
      <w:r w:rsidR="00E653BD">
        <w:rPr>
          <w:rFonts w:ascii="Calibri" w:eastAsia="Calibri" w:hAnsi="Calibri" w:cs="Calibri"/>
          <w:color w:val="000000" w:themeColor="text1"/>
          <w:lang w:val="en-US"/>
        </w:rPr>
        <w:t xml:space="preserve">, </w:t>
      </w:r>
      <w:r w:rsidR="00E653BD" w:rsidRPr="00C2509C">
        <w:rPr>
          <w:rFonts w:ascii="Calibri" w:eastAsia="Calibri" w:hAnsi="Calibri" w:cs="Calibri"/>
          <w:color w:val="000000" w:themeColor="text1"/>
          <w:lang w:val="en-US"/>
        </w:rPr>
        <w:t xml:space="preserve">and $33,537 for critical TBI (expressed in 1999 </w:t>
      </w:r>
      <w:r w:rsidR="00E653BD">
        <w:rPr>
          <w:rFonts w:ascii="Calibri" w:eastAsia="Calibri" w:hAnsi="Calibri" w:cs="Calibri"/>
          <w:color w:val="000000" w:themeColor="text1"/>
          <w:lang w:val="en-US"/>
        </w:rPr>
        <w:t>USD</w:t>
      </w:r>
      <w:r w:rsidR="00A16AC6">
        <w:rPr>
          <w:lang w:val="en-US"/>
        </w:rPr>
        <w:t xml:space="preserve">, converts to </w:t>
      </w:r>
      <w:r w:rsidR="00F0714D">
        <w:rPr>
          <w:lang w:val="en-US"/>
        </w:rPr>
        <w:t>$11,451, $20,419 and $46,895</w:t>
      </w:r>
      <w:r w:rsidR="00A16AC6">
        <w:rPr>
          <w:lang w:val="en-US"/>
        </w:rPr>
        <w:t xml:space="preserve"> in 2013 </w:t>
      </w:r>
      <w:r w:rsidR="00F0714D">
        <w:rPr>
          <w:lang w:val="en-US"/>
        </w:rPr>
        <w:t>USD</w:t>
      </w:r>
      <w:r w:rsidR="00A16AC6">
        <w:rPr>
          <w:lang w:val="en-US"/>
        </w:rPr>
        <w:t>, respectively</w:t>
      </w:r>
      <w:r w:rsidR="00E653BD" w:rsidRPr="00C2509C">
        <w:rPr>
          <w:rFonts w:ascii="Calibri" w:eastAsia="Calibri" w:hAnsi="Calibri" w:cs="Calibri"/>
          <w:color w:val="000000" w:themeColor="text1"/>
          <w:lang w:val="en-US"/>
        </w:rPr>
        <w:t>)</w:t>
      </w:r>
      <w:r w:rsidR="005C1B80">
        <w:rPr>
          <w:rFonts w:ascii="Calibri" w:eastAsia="Calibri" w:hAnsi="Calibri" w:cs="Calibri"/>
          <w:color w:val="000000" w:themeColor="text1"/>
          <w:lang w:val="en-US"/>
        </w:rPr>
        <w:t xml:space="preserve"> </w:t>
      </w:r>
      <w:r w:rsidR="00E653BD" w:rsidRPr="00C2509C">
        <w:rPr>
          <w:lang w:val="en-US"/>
        </w:rPr>
        <w:fldChar w:fldCharType="begin" w:fldLock="1"/>
      </w:r>
      <w:r w:rsidR="00B83FF2">
        <w:rPr>
          <w:rFonts w:ascii="Calibri" w:eastAsia="Calibri" w:hAnsi="Calibri" w:cs="Calibri"/>
          <w:color w:val="000000" w:themeColor="text1"/>
          <w:lang w:val="en-US"/>
        </w:rPr>
        <w:instrText>ADDIN CSL_CITATION { "citationItems" : [ { "id" : "ITEM-1", "itemData" : { "DOI" : "10.1097/01.TA.0000025801.33552.71", "ISSN" : "0022-5282", "PMID" : "12478043", "abstract" : "BACKGROUND Although there are nearly a quarter of a million hospitalizations for traumatic brain injury (TBI) in the United States each year, data on the outcomes and costs of TBI treatment in the acute-care setting are limited. METHODS Using a large, geographically diverse, multihospital database, we examined inpatient records for persons aged 16 years or older who were hospitalized for TBI between January 1, 1997, and June 30, 1999. Patients were stratified by TBI severity using an adaptation of the Abbreviated Injury Scale for administrative data (ICD/AIS), as follows: 2 = \"moderate\"; 3 = \"serious\"; 4 = \"severe\"; and 5 = \"critical.\" Patient characteristics, patterns of treatment, and outcomes and costs were examined by injury severity and mechanism of injury. RESULTS Of 8,717 study subjects identified, 12.5% had moderate, 44.8% had serious, 29.6% had severe, and 13.2% had critical TBI. Falls were the most common reported cause of injury (40.8%), followed by motor vehicle crashes (39.3%), blows to the head (11.3%), and gunshot wounds (2.4%). Average length of stay in hospital ranged from 6.7 days for moderate TBI to 17.5 days for critical TBI. The overall rate of death in hospital was relatively low among patients with moderate (1.3%), serious (5.7%), and severe (8.7%) TBIs, but much higher among the most critically injured patients (52.0%). Costs of hospitalization averaged 8,189 dollars for moderate, 14,603 dollars for serious, 16,788 dollars for severe, and 33,537 dollars for critical TBI. Costs also varied by injury type, averaging 20,084 dollars for gunshot wounds, 20,522 dollars for motor vehicle crashes, 15,860 dollars for falls, and 19,949 dollars for blows to the head. CONCLUSION The economic burden of TBI in the acute-care setting is substantial; treatment outcomes and costs vary considerably by TBI severity and mechanism of injury.", "author" : [ { "dropping-particle" : "", "family" : "McGarry", "given" : "Lisa J", "non-dropping-particle" : "", "parse-names" : false, "suffix" : "" }, { "dropping-particle" : "", "family" : "Thompson", "given" : "David", "non-dropping-particle" : "", "parse-names" : false, "suffix" : "" }, { "dropping-particle" : "", "family" : "Millham", "given" : "Frederick H", "non-dropping-particle" : "", "parse-names" : false, "suffix" : "" }, { "dropping-particle" : "", "family" : "Cowell", "given" : "Linda", "non-dropping-particle" : "", "parse-names" : false, "suffix" : "" }, { "dropping-particle" : "", "family" : "Snyder", "given" : "Peter J", "non-dropping-particle" : "", "parse-names" : false, "suffix" : "" }, { "dropping-particle" : "", "family" : "Lenderking", "given" : "William R", "non-dropping-particle" : "", "parse-names" : false, "suffix" : "" }, { "dropping-particle" : "", "family" : "Weinstein", "given" : "Milton C", "non-dropping-particle" : "", "parse-names" : false, "suffix" : "" } ], "container-title" : "The Journal of trauma", "id" : "ITEM-1", "issue" : "6", "issued" : { "date-parts" : [ [ "2002", "12" ] ] }, "note" : "NULL", "page" : "1152-9", "title" : "Outcomes and costs of acute treatment of traumatic brain injury.", "type" : "article-journal", "volume" : "53" }, "uris" : [ "http://www.mendeley.com/documents/?uuid=013eb13f-01f4-30ea-b8b2-dee9bc60525f" ] } ], "mendeley" : { "formattedCitation" : "(21)", "plainTextFormattedCitation" : "(21)", "previouslyFormattedCitation" : "(21)" }, "properties" : { "noteIndex" : 0 }, "schema" : "https://github.com/citation-style-language/schema/raw/master/csl-citation.json" }</w:instrText>
      </w:r>
      <w:r w:rsidR="00E653BD" w:rsidRPr="00C2509C">
        <w:rPr>
          <w:rFonts w:ascii="Calibri" w:eastAsia="Calibri" w:hAnsi="Calibri" w:cs="Calibri"/>
          <w:color w:val="000000" w:themeColor="text1"/>
          <w:lang w:val="en-US"/>
        </w:rPr>
        <w:fldChar w:fldCharType="separate"/>
      </w:r>
      <w:r w:rsidR="00395A1E" w:rsidRPr="00395A1E">
        <w:rPr>
          <w:rFonts w:ascii="Calibri" w:eastAsia="Calibri" w:hAnsi="Calibri" w:cs="Calibri"/>
          <w:noProof/>
          <w:color w:val="000000" w:themeColor="text1"/>
          <w:lang w:val="en-US"/>
        </w:rPr>
        <w:t>(21)</w:t>
      </w:r>
      <w:r w:rsidR="00E653BD" w:rsidRPr="00C2509C">
        <w:rPr>
          <w:lang w:val="en-US"/>
        </w:rPr>
        <w:fldChar w:fldCharType="end"/>
      </w:r>
      <w:r w:rsidR="005C1B80">
        <w:rPr>
          <w:lang w:val="en-US"/>
        </w:rPr>
        <w:t>.</w:t>
      </w:r>
      <w:r w:rsidR="00E653BD" w:rsidRPr="00C2509C">
        <w:rPr>
          <w:rFonts w:ascii="Calibri" w:eastAsia="Calibri" w:hAnsi="Calibri" w:cs="Calibri"/>
          <w:color w:val="000000" w:themeColor="text1"/>
          <w:lang w:val="en-US"/>
        </w:rPr>
        <w:t xml:space="preserve"> A study from England and Wales found that the mean direct hospitalization costs was £15,462 (expressed in 2004 </w:t>
      </w:r>
      <w:r w:rsidR="00E653BD">
        <w:rPr>
          <w:rFonts w:ascii="Calibri" w:eastAsia="Calibri" w:hAnsi="Calibri" w:cs="Calibri"/>
          <w:color w:val="000000" w:themeColor="text1"/>
          <w:lang w:val="en-US"/>
        </w:rPr>
        <w:t>pound sterling</w:t>
      </w:r>
      <w:r w:rsidR="00A16AC6">
        <w:rPr>
          <w:lang w:val="en-US"/>
        </w:rPr>
        <w:t xml:space="preserve">, converts to </w:t>
      </w:r>
      <w:r w:rsidR="00F0714D">
        <w:rPr>
          <w:lang w:val="en-US"/>
        </w:rPr>
        <w:t>$13,119</w:t>
      </w:r>
      <w:r w:rsidR="00A16AC6">
        <w:rPr>
          <w:lang w:val="en-US"/>
        </w:rPr>
        <w:t xml:space="preserve"> in 2013 </w:t>
      </w:r>
      <w:r w:rsidR="00F0714D">
        <w:rPr>
          <w:lang w:val="en-US"/>
        </w:rPr>
        <w:t>USD</w:t>
      </w:r>
      <w:r w:rsidR="002E0C05">
        <w:rPr>
          <w:rFonts w:ascii="Calibri" w:eastAsia="Calibri" w:hAnsi="Calibri" w:cs="Calibri"/>
          <w:color w:val="000000" w:themeColor="text1"/>
          <w:lang w:val="en-US"/>
        </w:rPr>
        <w:t>)</w:t>
      </w:r>
      <w:r w:rsidR="005C1B80">
        <w:rPr>
          <w:rFonts w:ascii="Calibri" w:eastAsia="Calibri" w:hAnsi="Calibri" w:cs="Calibri"/>
          <w:color w:val="000000" w:themeColor="text1"/>
          <w:lang w:val="en-US"/>
        </w:rPr>
        <w:t xml:space="preserve"> </w:t>
      </w:r>
      <w:r w:rsidR="00E653BD" w:rsidRPr="00C2509C">
        <w:rPr>
          <w:lang w:val="en-US"/>
        </w:rPr>
        <w:fldChar w:fldCharType="begin" w:fldLock="1"/>
      </w:r>
      <w:r w:rsidR="00B83FF2">
        <w:rPr>
          <w:rFonts w:ascii="Calibri" w:eastAsia="Calibri" w:hAnsi="Calibri" w:cs="Calibri"/>
          <w:color w:val="000000" w:themeColor="text1"/>
          <w:lang w:val="en-US"/>
        </w:rPr>
        <w:instrText>ADDIN CSL_CITATION { "citationItems" : [ { "id" : "ITEM-1", "itemData" : { "DOI" : "10.1111/j.1365-2044.2007.05432.x", "ISSN" : "00032409", "PMID" : "18412648", "abstract" : "Using data from the Trauma Audit Research Network, we investigated the costs of acute care in patients &gt; or = 18 years of age hospitalised for traumatic brain injury between January 2000 and December 2005 in England and Wales. Traumatic brain injury patients were defined and stratified using the Abbreviated Injury Scale. A total of 6484 traumatic brain injury patients were identified; 22.3% had an Abbreviated Injury Scale score of three, 38.0% of four and 39.7% of five. Median age (IQR) was 42 years (28-59) and 76.7% were men. Primary cause of injury was motor vehicle collisions (42.4%) followed by falls (38.0%). In total 23.7% of the patients died before discharge. Hospitalisation costs averaged 15,462 pounds sterling (SD 16,844 pounds sterling). Costs varied significantly by age, Glasgow Coma Score, Injury Severity Score, coexisting injuries of the thorax, spine and lower limb, hospital mortality, availability of neurosurgical services, and specialty of attendants seen in the Accident and Emergency department.", "author" : [ { "dropping-particle" : "", "family" : "Morris", "given" : "S.", "non-dropping-particle" : "", "parse-names" : false, "suffix" : "" }, { "dropping-particle" : "", "family" : "Ridley", "given" : "S.", "non-dropping-particle" : "", "parse-names" : false, "suffix" : "" }, { "dropping-particle" : "", "family" : "Lecky", "given" : "F. E.", "non-dropping-particle" : "", "parse-names" : false, "suffix" : "" }, { "dropping-particle" : "", "family" : "Munro", "given" : "V.", "non-dropping-particle" : "", "parse-names" : false, "suffix" : "" }, { "dropping-particle" : "", "family" : "Christensen", "given" : "M. C.", "non-dropping-particle" : "", "parse-names" : false, "suffix" : "" } ], "container-title" : "Anaesthesia", "id" : "ITEM-1", "issue" : "5", "issued" : { "date-parts" : [ [ "2008", "5" ] ] }, "note" : "NULL", "page" : "499-508", "title" : "Determinants of hospital costs associated with traumatic brain injury in England and Wales", "type" : "article-journal", "volume" : "63" }, "uris" : [ "http://www.mendeley.com/documents/?uuid=411fb703-72ec-32ab-a983-51af942dd30d" ] } ], "mendeley" : { "formattedCitation" : "(22)", "plainTextFormattedCitation" : "(22)", "previouslyFormattedCitation" : "(22)" }, "properties" : { "noteIndex" : 0 }, "schema" : "https://github.com/citation-style-language/schema/raw/master/csl-citation.json" }</w:instrText>
      </w:r>
      <w:r w:rsidR="00E653BD" w:rsidRPr="00C2509C">
        <w:rPr>
          <w:rFonts w:ascii="Calibri" w:eastAsia="Calibri" w:hAnsi="Calibri" w:cs="Calibri"/>
          <w:color w:val="000000" w:themeColor="text1"/>
          <w:lang w:val="en-US"/>
        </w:rPr>
        <w:fldChar w:fldCharType="separate"/>
      </w:r>
      <w:r w:rsidR="00395A1E" w:rsidRPr="00395A1E">
        <w:rPr>
          <w:rFonts w:ascii="Calibri" w:eastAsia="Calibri" w:hAnsi="Calibri" w:cs="Calibri"/>
          <w:noProof/>
          <w:color w:val="000000" w:themeColor="text1"/>
          <w:lang w:val="en-US"/>
        </w:rPr>
        <w:t>(22)</w:t>
      </w:r>
      <w:r w:rsidR="00E653BD" w:rsidRPr="00C2509C">
        <w:rPr>
          <w:lang w:val="en-US"/>
        </w:rPr>
        <w:fldChar w:fldCharType="end"/>
      </w:r>
      <w:r w:rsidR="005C1B80">
        <w:rPr>
          <w:lang w:val="en-US"/>
        </w:rPr>
        <w:t>.</w:t>
      </w:r>
      <w:r w:rsidR="00E653BD" w:rsidRPr="00C2509C">
        <w:rPr>
          <w:lang w:val="en-US"/>
        </w:rPr>
        <w:t xml:space="preserve"> </w:t>
      </w:r>
      <w:r w:rsidR="00E653BD" w:rsidRPr="00F0714D">
        <w:rPr>
          <w:lang w:val="en-US"/>
        </w:rPr>
        <w:t xml:space="preserve">In comparison to the previous studies, the mean </w:t>
      </w:r>
      <w:r w:rsidR="00395A1E">
        <w:rPr>
          <w:lang w:val="en-US"/>
        </w:rPr>
        <w:t>total healthcare</w:t>
      </w:r>
      <w:r w:rsidR="00E653BD" w:rsidRPr="00F0714D">
        <w:rPr>
          <w:lang w:val="en-US"/>
        </w:rPr>
        <w:t xml:space="preserve"> cost in the present study was </w:t>
      </w:r>
      <w:r w:rsidR="00F0714D" w:rsidRPr="00F0714D">
        <w:rPr>
          <w:rFonts w:ascii="Calibri" w:eastAsia="Calibri" w:hAnsi="Calibri" w:cs="Calibri"/>
          <w:lang w:val="en-US"/>
        </w:rPr>
        <w:t xml:space="preserve">$39,809 </w:t>
      </w:r>
      <w:r w:rsidR="00E653BD" w:rsidRPr="00F0714D">
        <w:rPr>
          <w:lang w:val="en-US"/>
        </w:rPr>
        <w:t xml:space="preserve">(expressed in 2013 </w:t>
      </w:r>
      <w:r w:rsidR="00F0714D" w:rsidRPr="00F0714D">
        <w:rPr>
          <w:lang w:val="en-US"/>
        </w:rPr>
        <w:t>USD</w:t>
      </w:r>
      <w:r w:rsidR="00E653BD" w:rsidRPr="00F0714D">
        <w:rPr>
          <w:lang w:val="en-US"/>
        </w:rPr>
        <w:t>), which is in line with or somewhat higher than the figures</w:t>
      </w:r>
      <w:r w:rsidR="00395A1E">
        <w:rPr>
          <w:lang w:val="en-US"/>
        </w:rPr>
        <w:t xml:space="preserve"> reported in previous studies</w:t>
      </w:r>
      <w:r w:rsidR="00DB54D7">
        <w:rPr>
          <w:lang w:val="en-US"/>
        </w:rPr>
        <w:t xml:space="preserve">. </w:t>
      </w:r>
    </w:p>
    <w:p w14:paraId="50D7317B" w14:textId="7AA19EEE" w:rsidR="00A82EA0" w:rsidRPr="0010525B" w:rsidRDefault="317200CE" w:rsidP="00C2509C">
      <w:pPr>
        <w:pStyle w:val="Heading2"/>
        <w:rPr>
          <w:b/>
          <w:lang w:val="en-US"/>
        </w:rPr>
      </w:pPr>
      <w:r w:rsidRPr="0010525B">
        <w:rPr>
          <w:b/>
          <w:lang w:val="en-US"/>
        </w:rPr>
        <w:lastRenderedPageBreak/>
        <w:t>Cost comparison with other critical care illnesses</w:t>
      </w:r>
    </w:p>
    <w:p w14:paraId="7B77ABA5" w14:textId="354F4D9B" w:rsidR="00F71B27" w:rsidRDefault="001A555B" w:rsidP="00D94BBD">
      <w:pPr>
        <w:spacing w:line="480" w:lineRule="auto"/>
        <w:rPr>
          <w:rFonts w:ascii="Calibri" w:eastAsia="Calibri" w:hAnsi="Calibri" w:cs="Calibri"/>
          <w:lang w:val="en-US"/>
        </w:rPr>
      </w:pPr>
      <w:r w:rsidRPr="00C2509C">
        <w:rPr>
          <w:lang w:val="en-US"/>
        </w:rPr>
        <w:t>Like in TBI,</w:t>
      </w:r>
      <w:r w:rsidR="00A4251F">
        <w:rPr>
          <w:lang w:val="en-US"/>
        </w:rPr>
        <w:t xml:space="preserve"> recent</w:t>
      </w:r>
      <w:r w:rsidRPr="00C2509C">
        <w:rPr>
          <w:lang w:val="en-US"/>
        </w:rPr>
        <w:t xml:space="preserve"> studies reporting </w:t>
      </w:r>
      <w:r w:rsidR="00541ED7" w:rsidRPr="00C2509C">
        <w:rPr>
          <w:lang w:val="en-US"/>
        </w:rPr>
        <w:t xml:space="preserve">overall </w:t>
      </w:r>
      <w:r w:rsidRPr="00C2509C">
        <w:rPr>
          <w:lang w:val="en-US"/>
        </w:rPr>
        <w:t>health</w:t>
      </w:r>
      <w:r w:rsidR="007D3040">
        <w:rPr>
          <w:lang w:val="en-US"/>
        </w:rPr>
        <w:t xml:space="preserve"> </w:t>
      </w:r>
      <w:r w:rsidRPr="00C2509C">
        <w:rPr>
          <w:lang w:val="en-US"/>
        </w:rPr>
        <w:t>care costs in ICU</w:t>
      </w:r>
      <w:r w:rsidR="003C7281" w:rsidRPr="00C2509C">
        <w:rPr>
          <w:lang w:val="en-US"/>
        </w:rPr>
        <w:t>-</w:t>
      </w:r>
      <w:r w:rsidRPr="00C2509C">
        <w:rPr>
          <w:lang w:val="en-US"/>
        </w:rPr>
        <w:t xml:space="preserve">treated patients are </w:t>
      </w:r>
      <w:r w:rsidR="00276A6B">
        <w:rPr>
          <w:lang w:val="en-US"/>
        </w:rPr>
        <w:t>scarce</w:t>
      </w:r>
      <w:r w:rsidRPr="00C2509C">
        <w:rPr>
          <w:lang w:val="en-US"/>
        </w:rPr>
        <w:t>.</w:t>
      </w:r>
      <w:r w:rsidR="004808BE" w:rsidRPr="002D686B">
        <w:rPr>
          <w:lang w:val="en-US"/>
        </w:rPr>
        <w:t xml:space="preserve"> </w:t>
      </w:r>
      <w:r w:rsidR="004808BE" w:rsidRPr="00491418">
        <w:rPr>
          <w:lang w:val="en-US"/>
        </w:rPr>
        <w:t>In patients treated for acute renal failure, the mean cost for one</w:t>
      </w:r>
      <w:r w:rsidR="007D3040" w:rsidRPr="00491418">
        <w:rPr>
          <w:lang w:val="en-US"/>
        </w:rPr>
        <w:t xml:space="preserve"> six</w:t>
      </w:r>
      <w:r w:rsidR="004808BE" w:rsidRPr="00491418">
        <w:rPr>
          <w:lang w:val="en-US"/>
        </w:rPr>
        <w:t xml:space="preserve">-month survivor was approximately </w:t>
      </w:r>
      <w:r w:rsidR="00A9303F" w:rsidRPr="00491418">
        <w:rPr>
          <w:rFonts w:ascii="Calibri" w:eastAsia="Calibri" w:hAnsi="Calibri" w:cs="Calibri"/>
          <w:lang w:val="en-US"/>
        </w:rPr>
        <w:t xml:space="preserve">$80,026 (expressed in 1993 </w:t>
      </w:r>
      <w:r w:rsidR="007D3040" w:rsidRPr="00491418">
        <w:rPr>
          <w:rFonts w:ascii="Calibri" w:eastAsia="Calibri" w:hAnsi="Calibri" w:cs="Calibri"/>
          <w:lang w:val="en-US"/>
        </w:rPr>
        <w:t>USD</w:t>
      </w:r>
      <w:r w:rsidR="00A16AC6" w:rsidRPr="00491418">
        <w:rPr>
          <w:lang w:val="en-US"/>
        </w:rPr>
        <w:t xml:space="preserve">, converts to </w:t>
      </w:r>
      <w:r w:rsidR="00491418" w:rsidRPr="00491418">
        <w:rPr>
          <w:lang w:val="en-US"/>
        </w:rPr>
        <w:t>$129,015</w:t>
      </w:r>
      <w:r w:rsidR="00A16AC6" w:rsidRPr="00491418">
        <w:rPr>
          <w:lang w:val="en-US"/>
        </w:rPr>
        <w:t xml:space="preserve"> in 2013 </w:t>
      </w:r>
      <w:r w:rsidR="00491418" w:rsidRPr="00491418">
        <w:rPr>
          <w:lang w:val="en-US"/>
        </w:rPr>
        <w:t>USD</w:t>
      </w:r>
      <w:r w:rsidR="00A9303F" w:rsidRPr="00491418">
        <w:rPr>
          <w:rFonts w:ascii="Calibri" w:eastAsia="Calibri" w:hAnsi="Calibri" w:cs="Calibri"/>
          <w:lang w:val="en-US"/>
        </w:rPr>
        <w:t>)</w:t>
      </w:r>
      <w:r w:rsidR="005C1B80">
        <w:rPr>
          <w:rFonts w:ascii="Calibri" w:eastAsia="Calibri" w:hAnsi="Calibri" w:cs="Calibri"/>
          <w:lang w:val="en-US"/>
        </w:rPr>
        <w:t xml:space="preserve"> </w:t>
      </w:r>
      <w:r w:rsidR="004808BE" w:rsidRPr="00491418">
        <w:rPr>
          <w:lang w:val="en-US"/>
        </w:rPr>
        <w:fldChar w:fldCharType="begin" w:fldLock="1"/>
      </w:r>
      <w:r w:rsidR="00B83FF2">
        <w:rPr>
          <w:rFonts w:ascii="Calibri" w:hAnsi="Calibri"/>
          <w:lang w:val="en-US"/>
        </w:rPr>
        <w:instrText>ADDIN CSL_CITATION { "citationItems" : [ { "id" : "ITEM-1", "itemData" : { "DOI" : "10.1007/s001340000726", "ISSN" : "0342-4642", "author" : [ { "dropping-particle" : "", "family" : "Korkeila", "given" : "Maarit", "non-dropping-particle" : "", "parse-names" : false, "suffix" : "" }, { "dropping-particle" : "", "family" : "Ruokonen", "given" : "Esko", "non-dropping-particle" : "", "parse-names" : false, "suffix" : "" }, { "dropping-particle" : "", "family" : "Takala", "given" : "Jukka", "non-dropping-particle" : "", "parse-names" : false, "suffix" : "" } ], "container-title" : "Intensive Care Medicine", "id" : "ITEM-1", "issue" : "12", "issued" : { "date-parts" : [ [ "2000", "12", "17" ] ] }, "note" : "NULL", "page" : "1824-1831", "publisher" : "Springer-Verlag", "title" : "Costs of care, long-term prognosis and quality of life in patients requiring renal replacement therapy during intensive care", "type" : "article-journal", "volume" : "26" }, "uris" : [ "http://www.mendeley.com/documents/?uuid=eba9a8ce-e21c-360a-a442-65c905817b5b" ] } ], "mendeley" : { "formattedCitation" : "(23)", "plainTextFormattedCitation" : "(23)", "previouslyFormattedCitation" : "(23)" }, "properties" : { "noteIndex" : 0 }, "schema" : "https://github.com/citation-style-language/schema/raw/master/csl-citation.json" }</w:instrText>
      </w:r>
      <w:r w:rsidR="004808BE" w:rsidRPr="00491418">
        <w:rPr>
          <w:rFonts w:ascii="Calibri" w:hAnsi="Calibri"/>
          <w:lang w:val="en-US"/>
        </w:rPr>
        <w:fldChar w:fldCharType="separate"/>
      </w:r>
      <w:r w:rsidR="00395A1E" w:rsidRPr="00395A1E">
        <w:rPr>
          <w:rFonts w:ascii="Calibri" w:eastAsia="Calibri" w:hAnsi="Calibri" w:cs="Calibri"/>
          <w:noProof/>
          <w:lang w:val="en-US"/>
        </w:rPr>
        <w:t>(23)</w:t>
      </w:r>
      <w:r w:rsidR="004808BE" w:rsidRPr="00491418">
        <w:rPr>
          <w:lang w:val="en-US"/>
        </w:rPr>
        <w:fldChar w:fldCharType="end"/>
      </w:r>
      <w:r w:rsidR="005C1B80">
        <w:rPr>
          <w:lang w:val="en-US"/>
        </w:rPr>
        <w:t>.</w:t>
      </w:r>
      <w:r w:rsidR="004808BE" w:rsidRPr="00491418">
        <w:rPr>
          <w:rFonts w:ascii="Calibri" w:eastAsia="Calibri" w:hAnsi="Calibri" w:cs="Calibri"/>
          <w:lang w:val="en-US"/>
        </w:rPr>
        <w:t xml:space="preserve"> </w:t>
      </w:r>
      <w:r w:rsidR="004808BE" w:rsidRPr="00C2509C">
        <w:rPr>
          <w:rFonts w:ascii="Calibri" w:eastAsia="Calibri" w:hAnsi="Calibri" w:cs="Calibri"/>
          <w:lang w:val="en-US"/>
        </w:rPr>
        <w:t xml:space="preserve">Another study showed that the median </w:t>
      </w:r>
      <w:r w:rsidR="00541ED7" w:rsidRPr="00C2509C">
        <w:rPr>
          <w:rFonts w:ascii="Calibri" w:eastAsia="Calibri" w:hAnsi="Calibri" w:cs="Calibri"/>
          <w:lang w:val="en-US"/>
        </w:rPr>
        <w:t xml:space="preserve">overall </w:t>
      </w:r>
      <w:r w:rsidR="004808BE" w:rsidRPr="00C2509C">
        <w:rPr>
          <w:rFonts w:ascii="Calibri" w:eastAsia="Calibri" w:hAnsi="Calibri" w:cs="Calibri"/>
          <w:lang w:val="en-US"/>
        </w:rPr>
        <w:t xml:space="preserve">five-year cost per acute renal failure hospital survivor </w:t>
      </w:r>
      <w:r w:rsidR="007D3040">
        <w:rPr>
          <w:rFonts w:ascii="Calibri" w:eastAsia="Calibri" w:hAnsi="Calibri" w:cs="Calibri"/>
          <w:lang w:val="en-US"/>
        </w:rPr>
        <w:t>was</w:t>
      </w:r>
      <w:r w:rsidR="007D3040" w:rsidRPr="00C2509C">
        <w:rPr>
          <w:rFonts w:ascii="Calibri" w:eastAsia="Calibri" w:hAnsi="Calibri" w:cs="Calibri"/>
          <w:lang w:val="en-US"/>
        </w:rPr>
        <w:t xml:space="preserve"> </w:t>
      </w:r>
      <w:r w:rsidR="004808BE" w:rsidRPr="00C2509C">
        <w:rPr>
          <w:rFonts w:ascii="Calibri" w:eastAsia="Calibri" w:hAnsi="Calibri" w:cs="Calibri"/>
          <w:lang w:val="en-US"/>
        </w:rPr>
        <w:t>€64,285</w:t>
      </w:r>
      <w:r w:rsidR="00970C0F" w:rsidRPr="00C2509C">
        <w:rPr>
          <w:rFonts w:ascii="Calibri" w:eastAsia="Calibri" w:hAnsi="Calibri" w:cs="Calibri"/>
          <w:lang w:val="en-US"/>
        </w:rPr>
        <w:t xml:space="preserve"> (expressed in euros, not specified for which year</w:t>
      </w:r>
      <w:r w:rsidR="004B39B8">
        <w:rPr>
          <w:rFonts w:ascii="Calibri" w:eastAsia="Calibri" w:hAnsi="Calibri" w:cs="Calibri"/>
          <w:lang w:val="en-US"/>
        </w:rPr>
        <w:t xml:space="preserve">, </w:t>
      </w:r>
      <w:r w:rsidR="00970C0F" w:rsidRPr="00C2509C">
        <w:rPr>
          <w:rFonts w:ascii="Calibri" w:eastAsia="Calibri" w:hAnsi="Calibri" w:cs="Calibri"/>
          <w:lang w:val="en-US"/>
        </w:rPr>
        <w:t xml:space="preserve">study was conducted </w:t>
      </w:r>
      <w:r w:rsidR="007D3040">
        <w:rPr>
          <w:rFonts w:ascii="Calibri" w:eastAsia="Calibri" w:hAnsi="Calibri" w:cs="Calibri"/>
          <w:lang w:val="en-US"/>
        </w:rPr>
        <w:t>from</w:t>
      </w:r>
      <w:r w:rsidR="00970C0F" w:rsidRPr="00C2509C">
        <w:rPr>
          <w:rFonts w:ascii="Calibri" w:eastAsia="Calibri" w:hAnsi="Calibri" w:cs="Calibri"/>
          <w:lang w:val="en-US"/>
        </w:rPr>
        <w:t xml:space="preserve"> 2000</w:t>
      </w:r>
      <w:r w:rsidR="007D3040">
        <w:rPr>
          <w:rFonts w:ascii="Calibri" w:eastAsia="Calibri" w:hAnsi="Calibri" w:cs="Calibri"/>
          <w:lang w:val="en-US"/>
        </w:rPr>
        <w:t>–</w:t>
      </w:r>
      <w:r w:rsidR="00970C0F" w:rsidRPr="00C2509C">
        <w:rPr>
          <w:rFonts w:ascii="Calibri" w:eastAsia="Calibri" w:hAnsi="Calibri" w:cs="Calibri"/>
          <w:lang w:val="en-US"/>
        </w:rPr>
        <w:t>2002</w:t>
      </w:r>
      <w:r w:rsidR="00491418">
        <w:rPr>
          <w:lang w:val="en-US"/>
        </w:rPr>
        <w:t>, converts to $71,507</w:t>
      </w:r>
      <w:r w:rsidR="00A16AC6">
        <w:rPr>
          <w:lang w:val="en-US"/>
        </w:rPr>
        <w:t xml:space="preserve"> in 2013 </w:t>
      </w:r>
      <w:r w:rsidR="00491418">
        <w:rPr>
          <w:lang w:val="en-US"/>
        </w:rPr>
        <w:t>USD</w:t>
      </w:r>
      <w:r w:rsidR="00970C0F" w:rsidRPr="00C2509C">
        <w:rPr>
          <w:rFonts w:ascii="Calibri" w:eastAsia="Calibri" w:hAnsi="Calibri" w:cs="Calibri"/>
          <w:lang w:val="en-US"/>
        </w:rPr>
        <w:t>)</w:t>
      </w:r>
      <w:r w:rsidR="005C1B80">
        <w:rPr>
          <w:rFonts w:ascii="Calibri" w:eastAsia="Calibri" w:hAnsi="Calibri" w:cs="Calibri"/>
          <w:lang w:val="en-US"/>
        </w:rPr>
        <w:t xml:space="preserve"> </w:t>
      </w:r>
      <w:r w:rsidR="004808BE" w:rsidRPr="00E15176">
        <w:rPr>
          <w:lang w:val="en-US"/>
        </w:rPr>
        <w:fldChar w:fldCharType="begin" w:fldLock="1"/>
      </w:r>
      <w:r w:rsidR="00B83FF2">
        <w:rPr>
          <w:rFonts w:ascii="Calibri" w:hAnsi="Calibri"/>
          <w:lang w:val="en-US"/>
        </w:rPr>
        <w:instrText>ADDIN CSL_CITATION { "citationItems" : [ { "id" : "ITEM-1", "itemData" : { "DOI" : "10.1007/s00134-012-2760-4", "ISSN" : "0342-4642", "PMID" : "23184040", "abstract" : "PURPOSE Assessment of the cost utility (CU) of acute renal replacement therapy (RRT) from a societal perspective during a 5-year follow-up. METHODS This was a cross-sectional cohort study in a medical-surgical intensive care unit and an acute RRT unit of 410 consecutive patients treated with acute RRT in Helsinki University Hospital in 2000-2002. Five-year survival and health-related quality of life (HRQoL) were assessed and used to calculate quality-adjusted life years (QALYs) in two ways. They were first calculated for the 5-year follow-up period and, second, estimated for the expected lifetime. HRQoL was assessed by the EuroQol (EQ-5D) in 2003. The cost analysis included hospital costs during index hospitalization along with hospital and societal costs for the following 5 years. The CU ratio was determined as total costs divided by gained QALYs. RESULTS Median survival time for all patients was 0.20 years and the EQ-5D index score was 0.68, 0.18 lower than that of the age- and gender-matched general population. All RRT-treated patients gained 0.10 QALYs/patient and hospital survivors 2.54 QALYs in 5 years. Overall the CU ratio was poor [5 year median 271,116 (29,782-2,177,581) \u20ac/QALY]. However, it was acceptable (less than 50,000 \u20ac/QALY) in patients who survived for more than a year and did not need chronic RRT. Cost utility decreased with increasing age exceeding 1.0 million \u20acQALY in the older groups. CONCLUSIONS In general, the CU ratio of acute RRT is poor. However, it is acceptable in patients with renal recovery who survive for more than 1 year.", "author" : [ { "dropping-particle" : "", "family" : "Laukkanen", "given" : "Annika", "non-dropping-particle" : "", "parse-names" : false, "suffix" : "" }, { "dropping-particle" : "", "family" : "Emaus", "given" : "Linda", "non-dropping-particle" : "", "parse-names" : false, "suffix" : "" }, { "dropping-particle" : "", "family" : "Pettil\u00e4", "given" : "Ville", "non-dropping-particle" : "", "parse-names" : false, "suffix" : "" }, { "dropping-particle" : "", "family" : "Kaukonen", "given" : "Kirsi-Maija", "non-dropping-particle" : "", "parse-names" : false, "suffix" : "" } ], "container-title" : "Intensive Care Medicine", "id" : "ITEM-1", "issue" : "3", "issued" : { "date-parts" : [ [ "2013", "3", "27" ] ] }, "note" : "NULL", "page" : "406-413", "title" : "Five-year cost-utility analysis of acute renal replacement therapy: a societal perspective", "type" : "article-journal", "volume" : "39" }, "uris" : [ "http://www.mendeley.com/documents/?uuid=30527854-8696-3ec5-9815-1d2e93fe3fab" ] } ], "mendeley" : { "formattedCitation" : "(24)", "plainTextFormattedCitation" : "(24)", "previouslyFormattedCitation" : "(24)" }, "properties" : { "noteIndex" : 0 }, "schema" : "https://github.com/citation-style-language/schema/raw/master/csl-citation.json" }</w:instrText>
      </w:r>
      <w:r w:rsidR="004808BE" w:rsidRPr="00E15176">
        <w:rPr>
          <w:rFonts w:ascii="Calibri" w:hAnsi="Calibri"/>
          <w:lang w:val="en-US"/>
        </w:rPr>
        <w:fldChar w:fldCharType="separate"/>
      </w:r>
      <w:r w:rsidR="00395A1E" w:rsidRPr="00395A1E">
        <w:rPr>
          <w:rFonts w:ascii="Calibri" w:eastAsia="Calibri" w:hAnsi="Calibri" w:cs="Calibri"/>
          <w:noProof/>
          <w:lang w:val="en-US"/>
        </w:rPr>
        <w:t>(24)</w:t>
      </w:r>
      <w:r w:rsidR="004808BE" w:rsidRPr="00E15176">
        <w:rPr>
          <w:lang w:val="en-US"/>
        </w:rPr>
        <w:fldChar w:fldCharType="end"/>
      </w:r>
      <w:r w:rsidR="005C1B80">
        <w:rPr>
          <w:lang w:val="en-US"/>
        </w:rPr>
        <w:t>.</w:t>
      </w:r>
      <w:r w:rsidR="004808BE" w:rsidRPr="00E15176">
        <w:rPr>
          <w:rFonts w:ascii="Calibri" w:eastAsia="Calibri" w:hAnsi="Calibri" w:cs="Calibri"/>
          <w:lang w:val="en-US"/>
        </w:rPr>
        <w:t xml:space="preserve"> In critically ill cancer patients</w:t>
      </w:r>
      <w:r w:rsidR="007D3040" w:rsidRPr="00E15176">
        <w:rPr>
          <w:rFonts w:ascii="Calibri" w:eastAsia="Calibri" w:hAnsi="Calibri" w:cs="Calibri"/>
          <w:lang w:val="en-US"/>
        </w:rPr>
        <w:t>,</w:t>
      </w:r>
      <w:r w:rsidR="004808BE" w:rsidRPr="00E15176">
        <w:rPr>
          <w:rFonts w:ascii="Calibri" w:eastAsia="Calibri" w:hAnsi="Calibri" w:cs="Calibri"/>
          <w:lang w:val="en-US"/>
        </w:rPr>
        <w:t xml:space="preserve"> the cost per gained life </w:t>
      </w:r>
      <w:r w:rsidR="004808BE" w:rsidRPr="00E15176">
        <w:rPr>
          <w:rFonts w:ascii="Calibri" w:eastAsia="Calibri" w:hAnsi="Calibri" w:cs="Calibri"/>
          <w:lang w:val="en-US"/>
        </w:rPr>
        <w:lastRenderedPageBreak/>
        <w:t>range</w:t>
      </w:r>
      <w:r w:rsidR="0004371F" w:rsidRPr="00E15176">
        <w:rPr>
          <w:rFonts w:ascii="Calibri" w:eastAsia="Calibri" w:hAnsi="Calibri" w:cs="Calibri"/>
          <w:lang w:val="en-US"/>
        </w:rPr>
        <w:t>d</w:t>
      </w:r>
      <w:r w:rsidR="004808BE" w:rsidRPr="00E15176">
        <w:rPr>
          <w:rFonts w:ascii="Calibri" w:eastAsia="Calibri" w:hAnsi="Calibri" w:cs="Calibri"/>
          <w:lang w:val="en-US"/>
        </w:rPr>
        <w:t xml:space="preserve"> </w:t>
      </w:r>
      <w:r w:rsidR="007D3040" w:rsidRPr="00E15176">
        <w:rPr>
          <w:rFonts w:ascii="Calibri" w:eastAsia="Calibri" w:hAnsi="Calibri" w:cs="Calibri"/>
          <w:lang w:val="en-US"/>
        </w:rPr>
        <w:t xml:space="preserve">from </w:t>
      </w:r>
      <w:r w:rsidR="0004371F" w:rsidRPr="00E15176">
        <w:rPr>
          <w:rFonts w:ascii="Calibri" w:eastAsia="Calibri" w:hAnsi="Calibri" w:cs="Calibri"/>
          <w:lang w:val="en-US"/>
        </w:rPr>
        <w:t>$82,845</w:t>
      </w:r>
      <w:r w:rsidR="007D3040" w:rsidRPr="00E15176">
        <w:rPr>
          <w:rFonts w:ascii="Calibri" w:eastAsia="Calibri" w:hAnsi="Calibri" w:cs="Calibri"/>
          <w:lang w:val="en-US"/>
        </w:rPr>
        <w:t>–</w:t>
      </w:r>
      <w:r w:rsidR="0004371F" w:rsidRPr="00E15176">
        <w:rPr>
          <w:rFonts w:ascii="Calibri" w:eastAsia="Calibri" w:hAnsi="Calibri" w:cs="Calibri"/>
          <w:lang w:val="en-US"/>
        </w:rPr>
        <w:t xml:space="preserve">$189,339 (expressed in </w:t>
      </w:r>
      <w:r w:rsidR="007D3040" w:rsidRPr="00E15176">
        <w:rPr>
          <w:rFonts w:ascii="Calibri" w:eastAsia="Calibri" w:hAnsi="Calibri" w:cs="Calibri"/>
          <w:lang w:val="en-US"/>
        </w:rPr>
        <w:t>USD</w:t>
      </w:r>
      <w:r w:rsidR="0004371F" w:rsidRPr="00E15176">
        <w:rPr>
          <w:rFonts w:ascii="Calibri" w:eastAsia="Calibri" w:hAnsi="Calibri" w:cs="Calibri"/>
          <w:lang w:val="en-US"/>
        </w:rPr>
        <w:t>, not specified for which year</w:t>
      </w:r>
      <w:r w:rsidR="004B39B8" w:rsidRPr="00E15176">
        <w:rPr>
          <w:rFonts w:ascii="Calibri" w:eastAsia="Calibri" w:hAnsi="Calibri" w:cs="Calibri"/>
          <w:lang w:val="en-US"/>
        </w:rPr>
        <w:t xml:space="preserve">, </w:t>
      </w:r>
      <w:r w:rsidR="0004371F" w:rsidRPr="00E15176">
        <w:rPr>
          <w:rFonts w:ascii="Calibri" w:eastAsia="Calibri" w:hAnsi="Calibri" w:cs="Calibri"/>
          <w:lang w:val="en-US"/>
        </w:rPr>
        <w:t xml:space="preserve">study was conducted </w:t>
      </w:r>
      <w:r w:rsidR="007D3040" w:rsidRPr="00E15176">
        <w:rPr>
          <w:rFonts w:ascii="Calibri" w:eastAsia="Calibri" w:hAnsi="Calibri" w:cs="Calibri"/>
          <w:lang w:val="en-US"/>
        </w:rPr>
        <w:t xml:space="preserve">from </w:t>
      </w:r>
      <w:r w:rsidR="0004371F" w:rsidRPr="00E15176">
        <w:rPr>
          <w:rFonts w:ascii="Calibri" w:eastAsia="Calibri" w:hAnsi="Calibri" w:cs="Calibri"/>
          <w:lang w:val="en-US"/>
        </w:rPr>
        <w:t>1988</w:t>
      </w:r>
      <w:r w:rsidR="007D3040" w:rsidRPr="00E15176">
        <w:rPr>
          <w:rFonts w:ascii="Calibri" w:eastAsia="Calibri" w:hAnsi="Calibri" w:cs="Calibri"/>
          <w:lang w:val="en-US"/>
        </w:rPr>
        <w:t>–</w:t>
      </w:r>
      <w:r w:rsidR="0004371F" w:rsidRPr="00E15176">
        <w:rPr>
          <w:rFonts w:ascii="Calibri" w:eastAsia="Calibri" w:hAnsi="Calibri" w:cs="Calibri"/>
          <w:lang w:val="en-US"/>
        </w:rPr>
        <w:t>1990</w:t>
      </w:r>
      <w:r w:rsidR="00A16AC6" w:rsidRPr="00E15176">
        <w:rPr>
          <w:lang w:val="en-US"/>
        </w:rPr>
        <w:t xml:space="preserve">, converts to </w:t>
      </w:r>
      <w:r w:rsidR="00491418" w:rsidRPr="00E15176">
        <w:rPr>
          <w:lang w:val="en-US"/>
        </w:rPr>
        <w:t>$147,661$</w:t>
      </w:r>
      <w:r w:rsidR="00A16AC6" w:rsidRPr="00E15176">
        <w:rPr>
          <w:lang w:val="en-US"/>
        </w:rPr>
        <w:softHyphen/>
        <w:t>–</w:t>
      </w:r>
      <w:r w:rsidR="00E15176" w:rsidRPr="00E15176">
        <w:rPr>
          <w:lang w:val="en-US"/>
        </w:rPr>
        <w:t>$337,474</w:t>
      </w:r>
      <w:r w:rsidR="00A16AC6" w:rsidRPr="00E15176">
        <w:rPr>
          <w:lang w:val="en-US"/>
        </w:rPr>
        <w:t xml:space="preserve"> in 2013 </w:t>
      </w:r>
      <w:r w:rsidR="00E15176" w:rsidRPr="00E15176">
        <w:rPr>
          <w:lang w:val="en-US"/>
        </w:rPr>
        <w:t>USD</w:t>
      </w:r>
      <w:r w:rsidR="0004371F" w:rsidRPr="00E15176">
        <w:rPr>
          <w:rFonts w:ascii="Calibri" w:eastAsia="Calibri" w:hAnsi="Calibri" w:cs="Calibri"/>
          <w:lang w:val="en-US"/>
        </w:rPr>
        <w:t>)</w:t>
      </w:r>
      <w:r w:rsidR="005C1B80">
        <w:rPr>
          <w:rFonts w:ascii="Calibri" w:eastAsia="Calibri" w:hAnsi="Calibri" w:cs="Calibri"/>
          <w:lang w:val="en-US"/>
        </w:rPr>
        <w:t xml:space="preserve"> </w:t>
      </w:r>
      <w:r w:rsidR="004808BE" w:rsidRPr="00E15176">
        <w:rPr>
          <w:lang w:val="en-US"/>
        </w:rPr>
        <w:fldChar w:fldCharType="begin" w:fldLock="1"/>
      </w:r>
      <w:r w:rsidR="00B83FF2">
        <w:rPr>
          <w:rFonts w:ascii="Calibri" w:hAnsi="Calibri"/>
          <w:lang w:val="en-US"/>
        </w:rPr>
        <w:instrText>ADDIN CSL_CITATION { "citationItems" : [ { "id" : "ITEM-1", "itemData" : { "DOI" : "10.1001/jama.1993.03500060083036", "ISSN" : "0098-7484", "PMID" : "8423662", "abstract" : "To determine the survival and factors affecting the survival of patients with solid tumors and hematologic cancers who were admitted to the intensive care unit, the time these patients spent at home (meaningful survival) before they died, and the cost per year of life gained and per year of life gained at home.", "author" : [ { "dropping-particle" : "V", "family" : "Schapira", "given" : "D", "non-dropping-particle" : "", "parse-names" : false, "suffix" : "" }, { "dropping-particle" : "", "family" : "Studnicki", "given" : "J", "non-dropping-particle" : "", "parse-names" : false, "suffix" : "" }, { "dropping-particle" : "", "family" : "Bradham", "given" : "D D", "non-dropping-particle" : "", "parse-names" : false, "suffix" : "" }, { "dropping-particle" : "", "family" : "Wolff", "given" : "P", "non-dropping-particle" : "", "parse-names" : false, "suffix" : "" }, { "dropping-particle" : "", "family" : "Jarrett", "given" : "a", "non-dropping-particle" : "", "parse-names" : false, "suffix" : "" } ], "container-title" : "JAMA : the journal of the American Medical Association", "id" : "ITEM-1", "issue" : "6", "issued" : { "date-parts" : [ [ "1993" ] ] }, "note" : "NULL", "page" : "783-6", "title" : "Intensive care, survival, and expense of treating critically ill cancer patients.", "type" : "article-journal", "volume" : "269" }, "uris" : [ "http://www.mendeley.com/documents/?uuid=bf3321eb-739b-4281-9c7e-a91add9ffe4c", "http://www.mendeley.com/documents/?uuid=16ae7bea-5159-4579-b969-a787435dff20" ] } ], "mendeley" : { "formattedCitation" : "(25)", "plainTextFormattedCitation" : "(25)", "previouslyFormattedCitation" : "(25)" }, "properties" : { "noteIndex" : 0 }, "schema" : "https://github.com/citation-style-language/schema/raw/master/csl-citation.json" }</w:instrText>
      </w:r>
      <w:r w:rsidR="004808BE" w:rsidRPr="00E15176">
        <w:rPr>
          <w:rFonts w:ascii="Calibri" w:hAnsi="Calibri"/>
          <w:lang w:val="en-US"/>
        </w:rPr>
        <w:fldChar w:fldCharType="separate"/>
      </w:r>
      <w:r w:rsidR="00395A1E" w:rsidRPr="00395A1E">
        <w:rPr>
          <w:rFonts w:ascii="Calibri" w:eastAsia="Calibri" w:hAnsi="Calibri" w:cs="Calibri"/>
          <w:noProof/>
          <w:lang w:val="en-US"/>
        </w:rPr>
        <w:t>(25)</w:t>
      </w:r>
      <w:r w:rsidR="004808BE" w:rsidRPr="00E15176">
        <w:rPr>
          <w:lang w:val="en-US"/>
        </w:rPr>
        <w:fldChar w:fldCharType="end"/>
      </w:r>
      <w:r w:rsidR="005C1B80">
        <w:rPr>
          <w:lang w:val="en-US"/>
        </w:rPr>
        <w:t>.</w:t>
      </w:r>
      <w:r w:rsidR="004808BE" w:rsidRPr="00E15176">
        <w:rPr>
          <w:rFonts w:ascii="Calibri" w:eastAsia="Calibri" w:hAnsi="Calibri" w:cs="Calibri"/>
          <w:lang w:val="en-US"/>
        </w:rPr>
        <w:t xml:space="preserve"> In patients admitted to the ICU after sudden cardiac arrest with in-hospital or out-of-hospital cardiopulmonary resuscitation</w:t>
      </w:r>
      <w:r w:rsidR="007D3040" w:rsidRPr="00E15176">
        <w:rPr>
          <w:rFonts w:ascii="Calibri" w:eastAsia="Calibri" w:hAnsi="Calibri" w:cs="Calibri"/>
          <w:lang w:val="en-US"/>
        </w:rPr>
        <w:t>,</w:t>
      </w:r>
      <w:r w:rsidR="004808BE" w:rsidRPr="00E15176">
        <w:rPr>
          <w:rFonts w:ascii="Calibri" w:eastAsia="Calibri" w:hAnsi="Calibri" w:cs="Calibri"/>
          <w:lang w:val="en-US"/>
        </w:rPr>
        <w:t xml:space="preserve"> the mean cost per hospital survivor was </w:t>
      </w:r>
      <w:r w:rsidR="001028FB" w:rsidRPr="00E15176">
        <w:rPr>
          <w:rFonts w:ascii="Calibri" w:eastAsia="Calibri" w:hAnsi="Calibri" w:cs="Calibri"/>
          <w:lang w:val="en-US"/>
        </w:rPr>
        <w:t xml:space="preserve">nearly </w:t>
      </w:r>
      <w:r w:rsidR="004808BE" w:rsidRPr="00E15176">
        <w:rPr>
          <w:rFonts w:ascii="Calibri" w:eastAsia="Calibri" w:hAnsi="Calibri" w:cs="Calibri"/>
          <w:lang w:val="en-US"/>
        </w:rPr>
        <w:t>€</w:t>
      </w:r>
      <w:r w:rsidR="009669BD" w:rsidRPr="00E15176">
        <w:rPr>
          <w:rFonts w:ascii="Calibri" w:eastAsia="Calibri" w:hAnsi="Calibri" w:cs="Calibri"/>
          <w:lang w:val="en-US"/>
        </w:rPr>
        <w:t>49</w:t>
      </w:r>
      <w:r w:rsidR="001028FB" w:rsidRPr="00E15176">
        <w:rPr>
          <w:rFonts w:ascii="Calibri" w:eastAsia="Calibri" w:hAnsi="Calibri" w:cs="Calibri"/>
          <w:lang w:val="en-US"/>
        </w:rPr>
        <w:t>,</w:t>
      </w:r>
      <w:r w:rsidR="009669BD" w:rsidRPr="00E15176">
        <w:rPr>
          <w:rFonts w:ascii="Calibri" w:eastAsia="Calibri" w:hAnsi="Calibri" w:cs="Calibri"/>
          <w:lang w:val="en-US"/>
        </w:rPr>
        <w:t>952 (</w:t>
      </w:r>
      <w:r w:rsidR="00C16F11" w:rsidRPr="00E15176">
        <w:rPr>
          <w:rFonts w:ascii="Calibri" w:eastAsia="Calibri" w:hAnsi="Calibri" w:cs="Calibri"/>
          <w:lang w:val="en-US"/>
        </w:rPr>
        <w:t>expressed in euros, not specified for which year</w:t>
      </w:r>
      <w:r w:rsidR="004B39B8" w:rsidRPr="00E15176">
        <w:rPr>
          <w:rFonts w:ascii="Calibri" w:eastAsia="Calibri" w:hAnsi="Calibri" w:cs="Calibri"/>
          <w:lang w:val="en-US"/>
        </w:rPr>
        <w:t xml:space="preserve">, </w:t>
      </w:r>
      <w:r w:rsidR="00BB587B" w:rsidRPr="00E15176">
        <w:rPr>
          <w:rFonts w:ascii="Calibri" w:eastAsia="Calibri" w:hAnsi="Calibri" w:cs="Calibri"/>
          <w:lang w:val="en-US"/>
        </w:rPr>
        <w:t xml:space="preserve">study was conducted from </w:t>
      </w:r>
      <w:r w:rsidR="00FF55E5" w:rsidRPr="00E15176">
        <w:rPr>
          <w:rFonts w:ascii="Calibri" w:eastAsia="Calibri" w:hAnsi="Calibri" w:cs="Calibri"/>
          <w:lang w:val="en-US"/>
        </w:rPr>
        <w:t>1999-2001</w:t>
      </w:r>
      <w:r w:rsidR="00E15176" w:rsidRPr="00E15176">
        <w:rPr>
          <w:lang w:val="en-US"/>
        </w:rPr>
        <w:t xml:space="preserve">, converts to $55,681 </w:t>
      </w:r>
      <w:r w:rsidR="00A16AC6" w:rsidRPr="00E15176">
        <w:rPr>
          <w:lang w:val="en-US"/>
        </w:rPr>
        <w:t xml:space="preserve">in 2013 </w:t>
      </w:r>
      <w:r w:rsidR="00E15176" w:rsidRPr="00E15176">
        <w:rPr>
          <w:lang w:val="en-US"/>
        </w:rPr>
        <w:t>USD</w:t>
      </w:r>
      <w:r w:rsidR="009669BD" w:rsidRPr="00E15176">
        <w:rPr>
          <w:rFonts w:ascii="Calibri" w:eastAsia="Calibri" w:hAnsi="Calibri" w:cs="Calibri"/>
          <w:lang w:val="en-US"/>
        </w:rPr>
        <w:t>)</w:t>
      </w:r>
      <w:r w:rsidR="005C1B80">
        <w:rPr>
          <w:rFonts w:ascii="Calibri" w:eastAsia="Calibri" w:hAnsi="Calibri" w:cs="Calibri"/>
          <w:lang w:val="en-US"/>
        </w:rPr>
        <w:t xml:space="preserve"> </w:t>
      </w:r>
      <w:r w:rsidR="004808BE" w:rsidRPr="00E15176">
        <w:rPr>
          <w:lang w:val="en-US"/>
        </w:rPr>
        <w:fldChar w:fldCharType="begin" w:fldLock="1"/>
      </w:r>
      <w:r w:rsidR="00B83FF2">
        <w:rPr>
          <w:rFonts w:ascii="Calibri" w:hAnsi="Calibri"/>
          <w:lang w:val="en-US"/>
        </w:rPr>
        <w:instrText>ADDIN CSL_CITATION { "citationItems" : [ { "id" : "ITEM-1", "itemData" : { "DOI" : "10.1186/cc6963", "ISSN" : "1466-609X", "PMID" : "18638367", "abstract" : "INTRODUCTION The purpose of this study was to investigate the costs and health status outcomes of intensive care unit (ICU) admission in patients who present after sudden cardiac arrest with in-hospital or out-of-hospital cardiopulmonary resuscitation. METHODS Five-year survival, health-related quality of life (Medical Outcome Survey Short Form-36 questionnaire, SF-36), ICU costs, hospital costs and post-hospital health care costs per survivor, costs per life year gained, and costs per quality-adjusted life year gained of patients admitted to a single ICU were assessed. RESULTS One hundred ten of 354 patients (31%) were alive 5 years after hospital discharge. The mean health status index of 5-year survivors was 0.77 (95% confidence interval 0.70 to 0.85). Women rated their health-related quality of life significantly better than men did (0.87 versus 0.74; P &lt; 0.05). Costs per hospital discharge survivor were 49,952 euro. Including the costs of post-hospital discharge health care incurred during their remaining life span, the total costs per life year gained were 10,107 euro. Considering 5-year survivors only, the costs per life year gained were calculated as 9,816 euro or 14,487 euro per quality-adjusted life year gained. Including seven patients with severe neurological sequelae, costs per life year gained in 5-year survivors increased by 18% to 11,566 euro. CONCLUSION Patients who leave the hospital following cardiac arrest without severe neurological disabilities may expect a reasonable quality of life compared with age- and gender-matched controls. Quality-adjusted costs for this patient group appear to be within ranges considered reasonable for other groups of patients.", "author" : [ { "dropping-particle" : "", "family" : "Graf", "given" : "J\u00fcrgen", "non-dropping-particle" : "", "parse-names" : false, "suffix" : "" }, { "dropping-particle" : "", "family" : "M\u00fchlhoff", "given" : "Cecile", "non-dropping-particle" : "", "parse-names" : false, "suffix" : "" }, { "dropping-particle" : "", "family" : "Doig", "given" : "Gordon S", "non-dropping-particle" : "", "parse-names" : false, "suffix" : "" }, { "dropping-particle" : "", "family" : "Reinartz", "given" : "Sebastian", "non-dropping-particle" : "", "parse-names" : false, "suffix" : "" }, { "dropping-particle" : "", "family" : "Bode", "given" : "Kirsten", "non-dropping-particle" : "", "parse-names" : false, "suffix" : "" }, { "dropping-particle" : "", "family" : "Dujardin", "given" : "Robert", "non-dropping-particle" : "", "parse-names" : false, "suffix" : "" }, { "dropping-particle" : "", "family" : "Koch", "given" : "Karl-Christian", "non-dropping-particle" : "", "parse-names" : false, "suffix" : "" }, { "dropping-particle" : "", "family" : "Roeb", "given" : "Elke", "non-dropping-particle" : "", "parse-names" : false, "suffix" : "" }, { "dropping-particle" : "", "family" : "Janssens", "given" : "Uwe", "non-dropping-particle" : "", "parse-names" : false, "suffix" : "" } ], "container-title" : "Critical care (London, England)", "id" : "ITEM-1", "issue" : "4", "issued" : { "date-parts" : [ [ "2008" ] ] }, "note" : "NULL", "page" : "R92", "publisher" : "BioMed Central", "title" : "Health care costs, long-term survival, and quality of life following intensive care unit admission after cardiac arrest.", "type" : "article-journal", "volume" : "12" }, "uris" : [ "http://www.mendeley.com/documents/?uuid=9f10777f-bda0-313c-95af-b10cb2893101" ] } ], "mendeley" : { "formattedCitation" : "(26)", "plainTextFormattedCitation" : "(26)", "previouslyFormattedCitation" : "(26)" }, "properties" : { "noteIndex" : 0 }, "schema" : "https://github.com/citation-style-language/schema/raw/master/csl-citation.json" }</w:instrText>
      </w:r>
      <w:r w:rsidR="004808BE" w:rsidRPr="00E15176">
        <w:rPr>
          <w:rFonts w:ascii="Calibri" w:hAnsi="Calibri"/>
          <w:lang w:val="en-US"/>
        </w:rPr>
        <w:fldChar w:fldCharType="separate"/>
      </w:r>
      <w:r w:rsidR="00395A1E" w:rsidRPr="00395A1E">
        <w:rPr>
          <w:rFonts w:ascii="Calibri" w:eastAsia="Calibri" w:hAnsi="Calibri" w:cs="Calibri"/>
          <w:noProof/>
          <w:lang w:val="en-US"/>
        </w:rPr>
        <w:t>(26)</w:t>
      </w:r>
      <w:r w:rsidR="004808BE" w:rsidRPr="00E15176">
        <w:rPr>
          <w:lang w:val="en-US"/>
        </w:rPr>
        <w:fldChar w:fldCharType="end"/>
      </w:r>
      <w:r w:rsidR="005C1B80">
        <w:rPr>
          <w:lang w:val="en-US"/>
        </w:rPr>
        <w:t>.</w:t>
      </w:r>
      <w:r w:rsidR="00247CB6" w:rsidRPr="00E15176">
        <w:rPr>
          <w:rFonts w:ascii="Calibri" w:eastAsia="Calibri" w:hAnsi="Calibri" w:cs="Calibri"/>
          <w:color w:val="FF0000"/>
          <w:lang w:val="en-US"/>
        </w:rPr>
        <w:t xml:space="preserve"> </w:t>
      </w:r>
      <w:r w:rsidR="00247CB6" w:rsidRPr="00043F4C">
        <w:rPr>
          <w:rFonts w:ascii="Calibri" w:eastAsia="Calibri" w:hAnsi="Calibri" w:cs="Calibri"/>
          <w:lang w:val="en-US"/>
        </w:rPr>
        <w:t>In comparison to these ICU</w:t>
      </w:r>
      <w:r w:rsidR="003C7281" w:rsidRPr="00043F4C">
        <w:rPr>
          <w:rFonts w:ascii="Calibri" w:eastAsia="Calibri" w:hAnsi="Calibri" w:cs="Calibri"/>
          <w:lang w:val="en-US"/>
        </w:rPr>
        <w:t>-</w:t>
      </w:r>
      <w:r w:rsidR="00247CB6" w:rsidRPr="00043F4C">
        <w:rPr>
          <w:rFonts w:ascii="Calibri" w:eastAsia="Calibri" w:hAnsi="Calibri" w:cs="Calibri"/>
          <w:lang w:val="en-US"/>
        </w:rPr>
        <w:t xml:space="preserve">treated illnesses, TBI treatment </w:t>
      </w:r>
      <w:r w:rsidR="004E66C9" w:rsidRPr="00043F4C">
        <w:rPr>
          <w:rFonts w:ascii="Calibri" w:eastAsia="Calibri" w:hAnsi="Calibri" w:cs="Calibri"/>
          <w:lang w:val="en-US"/>
        </w:rPr>
        <w:t>seems</w:t>
      </w:r>
      <w:r w:rsidR="00247CB6" w:rsidRPr="00043F4C">
        <w:rPr>
          <w:rFonts w:ascii="Calibri" w:eastAsia="Calibri" w:hAnsi="Calibri" w:cs="Calibri"/>
          <w:lang w:val="en-US"/>
        </w:rPr>
        <w:t xml:space="preserve"> cost-effec</w:t>
      </w:r>
      <w:r w:rsidR="005778FF" w:rsidRPr="00043F4C">
        <w:rPr>
          <w:rFonts w:ascii="Calibri" w:eastAsia="Calibri" w:hAnsi="Calibri" w:cs="Calibri"/>
          <w:lang w:val="en-US"/>
        </w:rPr>
        <w:t>tive, especially in younger patients</w:t>
      </w:r>
      <w:r w:rsidR="00FB50C9" w:rsidRPr="00043F4C">
        <w:rPr>
          <w:rFonts w:ascii="Calibri" w:eastAsia="Calibri" w:hAnsi="Calibri" w:cs="Calibri"/>
          <w:lang w:val="en-US"/>
        </w:rPr>
        <w:t>, where t</w:t>
      </w:r>
      <w:r w:rsidR="00247CB6" w:rsidRPr="00043F4C">
        <w:rPr>
          <w:rFonts w:ascii="Calibri" w:eastAsia="Calibri" w:hAnsi="Calibri" w:cs="Calibri"/>
          <w:lang w:val="en-US"/>
        </w:rPr>
        <w:t xml:space="preserve">he mean </w:t>
      </w:r>
      <w:r w:rsidR="00FB50C9" w:rsidRPr="00043F4C">
        <w:rPr>
          <w:rFonts w:ascii="Calibri" w:eastAsia="Calibri" w:hAnsi="Calibri" w:cs="Calibri"/>
          <w:lang w:val="en-US"/>
        </w:rPr>
        <w:t xml:space="preserve">ECPIS for </w:t>
      </w:r>
      <w:r w:rsidR="00247CB6" w:rsidRPr="00043F4C">
        <w:rPr>
          <w:rFonts w:ascii="Calibri" w:eastAsia="Calibri" w:hAnsi="Calibri" w:cs="Calibri"/>
          <w:lang w:val="en-US"/>
        </w:rPr>
        <w:t xml:space="preserve">severe TBI was </w:t>
      </w:r>
      <w:r w:rsidR="00043F4C" w:rsidRPr="00043F4C">
        <w:rPr>
          <w:rFonts w:ascii="Calibri" w:eastAsia="Calibri" w:hAnsi="Calibri" w:cs="Calibri"/>
          <w:lang w:val="en-US"/>
        </w:rPr>
        <w:t>$104,741</w:t>
      </w:r>
      <w:r w:rsidR="00C16F11" w:rsidRPr="00043F4C">
        <w:rPr>
          <w:rFonts w:ascii="Calibri" w:eastAsia="Calibri" w:hAnsi="Calibri" w:cs="Calibri"/>
          <w:lang w:val="en-US"/>
        </w:rPr>
        <w:t xml:space="preserve"> (expressed in 2013 </w:t>
      </w:r>
      <w:r w:rsidR="00043F4C" w:rsidRPr="00043F4C">
        <w:rPr>
          <w:rFonts w:ascii="Calibri" w:eastAsia="Calibri" w:hAnsi="Calibri" w:cs="Calibri"/>
          <w:lang w:val="en-US"/>
        </w:rPr>
        <w:t>USD</w:t>
      </w:r>
      <w:r w:rsidR="00C16F11" w:rsidRPr="00043F4C">
        <w:rPr>
          <w:rFonts w:ascii="Calibri" w:eastAsia="Calibri" w:hAnsi="Calibri" w:cs="Calibri"/>
          <w:lang w:val="en-US"/>
        </w:rPr>
        <w:t>)</w:t>
      </w:r>
      <w:r w:rsidR="00247CB6" w:rsidRPr="00043F4C">
        <w:rPr>
          <w:rFonts w:ascii="Calibri" w:eastAsia="Calibri" w:hAnsi="Calibri" w:cs="Calibri"/>
          <w:lang w:val="en-US"/>
        </w:rPr>
        <w:t xml:space="preserve">, which is low, considering that these patients </w:t>
      </w:r>
      <w:r w:rsidR="002B1916" w:rsidRPr="00043F4C">
        <w:rPr>
          <w:rFonts w:ascii="Calibri" w:eastAsia="Calibri" w:hAnsi="Calibri" w:cs="Calibri"/>
          <w:lang w:val="en-US"/>
        </w:rPr>
        <w:t>may</w:t>
      </w:r>
      <w:r w:rsidR="00247CB6" w:rsidRPr="00043F4C">
        <w:rPr>
          <w:rFonts w:ascii="Calibri" w:eastAsia="Calibri" w:hAnsi="Calibri" w:cs="Calibri"/>
          <w:lang w:val="en-US"/>
        </w:rPr>
        <w:t xml:space="preserve"> return to </w:t>
      </w:r>
      <w:r w:rsidR="00C16F11" w:rsidRPr="00043F4C">
        <w:rPr>
          <w:rFonts w:ascii="Calibri" w:eastAsia="Calibri" w:hAnsi="Calibri" w:cs="Calibri"/>
          <w:lang w:val="en-US"/>
        </w:rPr>
        <w:t xml:space="preserve">full-time employment. </w:t>
      </w:r>
    </w:p>
    <w:p w14:paraId="5E4FE2B1" w14:textId="72E684C4" w:rsidR="00045AB7" w:rsidRDefault="00BC4059" w:rsidP="00D94BBD">
      <w:pPr>
        <w:spacing w:line="480" w:lineRule="auto"/>
        <w:rPr>
          <w:b/>
          <w:sz w:val="28"/>
          <w:lang w:val="en-US"/>
        </w:rPr>
      </w:pPr>
      <w:r>
        <w:rPr>
          <w:b/>
          <w:sz w:val="28"/>
          <w:lang w:val="en-US"/>
        </w:rPr>
        <w:lastRenderedPageBreak/>
        <w:t>Strengths and l</w:t>
      </w:r>
      <w:r w:rsidR="00045AB7" w:rsidRPr="00E77C03">
        <w:rPr>
          <w:b/>
          <w:sz w:val="28"/>
          <w:lang w:val="en-US"/>
        </w:rPr>
        <w:t>imitations</w:t>
      </w:r>
    </w:p>
    <w:p w14:paraId="1AEA3B21" w14:textId="0033A273" w:rsidR="009932DA" w:rsidRPr="006356ED" w:rsidRDefault="0094326C" w:rsidP="006356ED">
      <w:pPr>
        <w:spacing w:line="480" w:lineRule="auto"/>
        <w:rPr>
          <w:rFonts w:ascii="Calibri" w:eastAsia="Calibri" w:hAnsi="Calibri" w:cs="Calibri"/>
          <w:b/>
          <w:lang w:val="en-US"/>
        </w:rPr>
      </w:pPr>
      <w:r w:rsidRPr="0094326C">
        <w:rPr>
          <w:b/>
          <w:lang w:val="en-US"/>
        </w:rPr>
        <w:t xml:space="preserve">A strength of the current study is that it was conducted in a </w:t>
      </w:r>
      <w:r w:rsidR="005A5A55">
        <w:rPr>
          <w:b/>
          <w:lang w:val="en-US"/>
        </w:rPr>
        <w:t>public tax</w:t>
      </w:r>
      <w:r w:rsidRPr="0094326C">
        <w:rPr>
          <w:b/>
          <w:lang w:val="en-US"/>
        </w:rPr>
        <w:t>-funded healthcare and system (independent of personal insurances), which allowed accurate assessment of healthcare costs.</w:t>
      </w:r>
      <w:r w:rsidR="00861D56">
        <w:rPr>
          <w:b/>
          <w:lang w:val="en-US"/>
        </w:rPr>
        <w:t xml:space="preserve"> </w:t>
      </w:r>
      <w:r w:rsidR="006356ED">
        <w:rPr>
          <w:b/>
          <w:lang w:val="en-US"/>
        </w:rPr>
        <w:t>In addition,</w:t>
      </w:r>
      <w:r w:rsidR="00703052">
        <w:rPr>
          <w:b/>
          <w:lang w:val="en-US"/>
        </w:rPr>
        <w:t xml:space="preserve"> </w:t>
      </w:r>
      <w:r w:rsidR="006356ED">
        <w:rPr>
          <w:b/>
          <w:lang w:val="en-US"/>
        </w:rPr>
        <w:t>a</w:t>
      </w:r>
      <w:r w:rsidR="00703052">
        <w:rPr>
          <w:b/>
          <w:lang w:val="en-US"/>
        </w:rPr>
        <w:t xml:space="preserve"> using the </w:t>
      </w:r>
      <w:r w:rsidR="0032065E">
        <w:rPr>
          <w:b/>
          <w:lang w:val="en-US"/>
        </w:rPr>
        <w:t>high-quality ICU-database, w</w:t>
      </w:r>
      <w:r w:rsidR="001A7375">
        <w:rPr>
          <w:b/>
          <w:lang w:val="en-US"/>
        </w:rPr>
        <w:t xml:space="preserve">e </w:t>
      </w:r>
      <w:r w:rsidR="006356ED">
        <w:rPr>
          <w:b/>
          <w:lang w:val="en-US"/>
        </w:rPr>
        <w:t>were able to include</w:t>
      </w:r>
      <w:r w:rsidR="001A7375">
        <w:rPr>
          <w:b/>
          <w:lang w:val="en-US"/>
        </w:rPr>
        <w:t xml:space="preserve"> four of five units providing specialized intensive care for TBI patients, making our study population largely representative of the whole </w:t>
      </w:r>
      <w:r w:rsidR="00703052">
        <w:rPr>
          <w:b/>
          <w:lang w:val="en-US"/>
        </w:rPr>
        <w:t xml:space="preserve">Finnish </w:t>
      </w:r>
      <w:r w:rsidR="001A7375">
        <w:rPr>
          <w:b/>
          <w:lang w:val="en-US"/>
        </w:rPr>
        <w:t xml:space="preserve">population. </w:t>
      </w:r>
      <w:r w:rsidR="00703052">
        <w:rPr>
          <w:b/>
          <w:lang w:val="en-US"/>
        </w:rPr>
        <w:t xml:space="preserve">Still, </w:t>
      </w:r>
      <w:r w:rsidR="00703052">
        <w:rPr>
          <w:rFonts w:ascii="Calibri" w:hAnsi="Calibri"/>
          <w:b/>
          <w:lang w:val="en-US"/>
        </w:rPr>
        <w:t>t</w:t>
      </w:r>
      <w:r w:rsidR="00BD329A">
        <w:rPr>
          <w:rFonts w:ascii="Calibri" w:hAnsi="Calibri"/>
          <w:b/>
          <w:lang w:val="en-US"/>
        </w:rPr>
        <w:t>here are some limitations to the study worth discussing. First</w:t>
      </w:r>
      <w:r w:rsidR="00D109F4" w:rsidRPr="00D109F4">
        <w:rPr>
          <w:rFonts w:ascii="Calibri" w:hAnsi="Calibri"/>
          <w:b/>
          <w:lang w:val="en-US"/>
        </w:rPr>
        <w:t>,</w:t>
      </w:r>
      <w:r w:rsidR="00D109F4" w:rsidRPr="00E77C03">
        <w:rPr>
          <w:rFonts w:ascii="Calibri" w:hAnsi="Calibri"/>
          <w:b/>
          <w:lang w:val="en-US"/>
        </w:rPr>
        <w:t xml:space="preserve"> we used a novel surrogate </w:t>
      </w:r>
      <w:r w:rsidR="00D109F4">
        <w:rPr>
          <w:rFonts w:ascii="Calibri" w:hAnsi="Calibri"/>
          <w:b/>
          <w:lang w:val="en-US"/>
        </w:rPr>
        <w:t>outcome variable</w:t>
      </w:r>
      <w:r w:rsidR="00D109F4" w:rsidRPr="00E77C03">
        <w:rPr>
          <w:rFonts w:ascii="Calibri" w:hAnsi="Calibri"/>
          <w:b/>
          <w:lang w:val="en-US"/>
        </w:rPr>
        <w:t xml:space="preserve"> of </w:t>
      </w:r>
      <w:r w:rsidR="006356ED">
        <w:rPr>
          <w:rFonts w:ascii="Calibri" w:hAnsi="Calibri"/>
          <w:b/>
          <w:lang w:val="en-US"/>
        </w:rPr>
        <w:t>poor neu</w:t>
      </w:r>
      <w:r w:rsidR="006356ED">
        <w:rPr>
          <w:rFonts w:ascii="Calibri" w:hAnsi="Calibri"/>
          <w:b/>
          <w:lang w:val="en-US"/>
        </w:rPr>
        <w:lastRenderedPageBreak/>
        <w:t>rological outcome defined as those patients that had been granted permanent disability allowance</w:t>
      </w:r>
      <w:r w:rsidR="00731439">
        <w:rPr>
          <w:rFonts w:ascii="Calibri" w:hAnsi="Calibri"/>
          <w:b/>
          <w:lang w:val="en-US"/>
        </w:rPr>
        <w:t xml:space="preserve"> or permanent disability pension</w:t>
      </w:r>
      <w:r w:rsidR="006356ED">
        <w:rPr>
          <w:rFonts w:ascii="Calibri" w:hAnsi="Calibri"/>
          <w:b/>
          <w:lang w:val="en-US"/>
        </w:rPr>
        <w:t xml:space="preserve"> by the SII. </w:t>
      </w:r>
      <w:r w:rsidR="00BD329A">
        <w:rPr>
          <w:rFonts w:ascii="Calibri" w:hAnsi="Calibri"/>
          <w:b/>
          <w:lang w:val="en-US"/>
        </w:rPr>
        <w:t xml:space="preserve">Compared to the commonly used </w:t>
      </w:r>
      <w:r w:rsidR="00A502FE">
        <w:rPr>
          <w:rFonts w:ascii="Calibri" w:hAnsi="Calibri"/>
          <w:b/>
          <w:lang w:val="en-US"/>
        </w:rPr>
        <w:t>Glasgow Outcome Scale</w:t>
      </w:r>
      <w:r w:rsidR="00BD329A">
        <w:rPr>
          <w:rFonts w:ascii="Calibri" w:hAnsi="Calibri"/>
          <w:b/>
          <w:lang w:val="en-US"/>
        </w:rPr>
        <w:t>, our definition may include a degree of inaccuracy</w:t>
      </w:r>
      <w:r w:rsidR="006356ED">
        <w:rPr>
          <w:rFonts w:ascii="Calibri" w:hAnsi="Calibri"/>
          <w:b/>
          <w:lang w:val="en-US"/>
        </w:rPr>
        <w:t xml:space="preserve"> even though it is similar to the Glasgow Outcome Scale definition of unfavorable outcome, i.e. the patient is unable to live independently</w:t>
      </w:r>
      <w:r w:rsidR="00A502FE">
        <w:rPr>
          <w:rFonts w:ascii="Calibri" w:hAnsi="Calibri"/>
          <w:b/>
          <w:lang w:val="en-US"/>
        </w:rPr>
        <w:t xml:space="preserve"> </w:t>
      </w:r>
      <w:r w:rsidR="00A502FE">
        <w:rPr>
          <w:rFonts w:ascii="Calibri" w:eastAsia="Calibri" w:hAnsi="Calibri" w:cs="Calibri"/>
          <w:b/>
          <w:lang w:val="en-US"/>
        </w:rPr>
        <w:fldChar w:fldCharType="begin" w:fldLock="1"/>
      </w:r>
      <w:r w:rsidR="00B83FF2">
        <w:rPr>
          <w:rFonts w:ascii="Calibri" w:eastAsia="Calibri" w:hAnsi="Calibri" w:cs="Calibri"/>
          <w:b/>
          <w:lang w:val="en-US"/>
        </w:rPr>
        <w:instrText>ADDIN CSL_CITATION { "citationItems" : [ { "id" : "ITEM-1", "itemData" : { "ISSN" : "0140-6736", "PMID" : "46957", "abstract" : "Persisting disability after brain damage usually comprises both mental and physical handicap. The mental component is often the more important in contributing to overall social disability. Lack of an objective scale leads to vague and over-optimistic estimates of outcome, which obscure the ultimate results of early management. A five-point scale is described--death, persistent vegetative state, severe disability, moderate disability, and good recovery. Duration as well as intensity of disability should be included in an index of ill-health; this applies particularly after head injury, because many disabled survivors are young.", "author" : [ { "dropping-particle" : "", "family" : "Jennett", "given" : "B", "non-dropping-particle" : "", "parse-names" : false, "suffix" : "" }, { "dropping-particle" : "", "family" : "Bond", "given" : "M", "non-dropping-particle" : "", "parse-names" : false, "suffix" : "" } ], "container-title" : "Lancet (London, England)", "id" : "ITEM-1", "issue" : "7905", "issued" : { "date-parts" : [ [ "1975", "3", "1" ] ] }, "page" : "480-4", "title" : "Assessment of outcome after severe brain damage.", "type" : "article-journal", "volume" : "1" }, "uris" : [ "http://www.mendeley.com/documents/?uuid=8dfbedd2-4dd5-36c3-b5f0-74bce6119fe9" ] } ], "mendeley" : { "formattedCitation" : "(27)", "plainTextFormattedCitation" : "(27)", "previouslyFormattedCitation" : "(27)" }, "properties" : { "noteIndex" : 8 }, "schema" : "https://github.com/citation-style-language/schema/raw/master/csl-citation.json" }</w:instrText>
      </w:r>
      <w:r w:rsidR="00A502FE">
        <w:rPr>
          <w:rFonts w:ascii="Calibri" w:eastAsia="Calibri" w:hAnsi="Calibri" w:cs="Calibri"/>
          <w:b/>
          <w:lang w:val="en-US"/>
        </w:rPr>
        <w:fldChar w:fldCharType="separate"/>
      </w:r>
      <w:r w:rsidR="00395A1E" w:rsidRPr="00395A1E">
        <w:rPr>
          <w:rFonts w:ascii="Calibri" w:eastAsia="Calibri" w:hAnsi="Calibri" w:cs="Calibri"/>
          <w:noProof/>
          <w:lang w:val="en-US"/>
        </w:rPr>
        <w:t>(27)</w:t>
      </w:r>
      <w:r w:rsidR="00A502FE">
        <w:rPr>
          <w:rFonts w:ascii="Calibri" w:eastAsia="Calibri" w:hAnsi="Calibri" w:cs="Calibri"/>
          <w:b/>
          <w:lang w:val="en-US"/>
        </w:rPr>
        <w:fldChar w:fldCharType="end"/>
      </w:r>
      <w:r w:rsidR="00A502FE">
        <w:rPr>
          <w:rFonts w:ascii="Calibri" w:eastAsia="Calibri" w:hAnsi="Calibri" w:cs="Calibri"/>
          <w:b/>
          <w:lang w:val="en-US"/>
        </w:rPr>
        <w:t>.</w:t>
      </w:r>
      <w:r w:rsidR="006356ED">
        <w:rPr>
          <w:rFonts w:ascii="Calibri" w:eastAsia="Calibri" w:hAnsi="Calibri" w:cs="Calibri"/>
          <w:b/>
          <w:lang w:val="en-US"/>
        </w:rPr>
        <w:t xml:space="preserve"> Still</w:t>
      </w:r>
      <w:r w:rsidR="00A502FE">
        <w:rPr>
          <w:rFonts w:ascii="Calibri" w:eastAsia="Calibri" w:hAnsi="Calibri" w:cs="Calibri"/>
          <w:b/>
          <w:lang w:val="en-US"/>
        </w:rPr>
        <w:t xml:space="preserve">, </w:t>
      </w:r>
      <w:r w:rsidR="006356ED">
        <w:rPr>
          <w:rFonts w:ascii="Calibri" w:eastAsia="Calibri" w:hAnsi="Calibri" w:cs="Calibri"/>
          <w:b/>
          <w:lang w:val="en-US"/>
        </w:rPr>
        <w:t>since</w:t>
      </w:r>
      <w:r w:rsidR="00A502FE">
        <w:rPr>
          <w:rFonts w:ascii="Calibri" w:eastAsia="Calibri" w:hAnsi="Calibri" w:cs="Calibri"/>
          <w:b/>
          <w:lang w:val="en-US"/>
        </w:rPr>
        <w:t xml:space="preserve"> </w:t>
      </w:r>
      <w:r w:rsidR="00A502FE">
        <w:rPr>
          <w:rFonts w:ascii="Calibri" w:hAnsi="Calibri"/>
          <w:b/>
          <w:lang w:val="en-US"/>
        </w:rPr>
        <w:t xml:space="preserve">our study was conducted </w:t>
      </w:r>
      <w:r w:rsidR="00D109F4">
        <w:rPr>
          <w:rFonts w:ascii="Calibri" w:hAnsi="Calibri"/>
          <w:b/>
          <w:lang w:val="en-US"/>
        </w:rPr>
        <w:t>in a public tax-funded healthcare system</w:t>
      </w:r>
      <w:r w:rsidR="00A502FE">
        <w:rPr>
          <w:rFonts w:ascii="Calibri" w:hAnsi="Calibri"/>
          <w:b/>
          <w:lang w:val="en-US"/>
        </w:rPr>
        <w:t>,</w:t>
      </w:r>
      <w:r w:rsidR="00D109F4">
        <w:rPr>
          <w:rFonts w:ascii="Calibri" w:hAnsi="Calibri"/>
          <w:b/>
          <w:lang w:val="en-US"/>
        </w:rPr>
        <w:t xml:space="preserve"> where all citizens have by law ri</w:t>
      </w:r>
      <w:r w:rsidR="00BD329A">
        <w:rPr>
          <w:rFonts w:ascii="Calibri" w:hAnsi="Calibri"/>
          <w:b/>
          <w:lang w:val="en-US"/>
        </w:rPr>
        <w:t>ght to disability allowances,</w:t>
      </w:r>
      <w:r w:rsidR="00D109F4">
        <w:rPr>
          <w:rFonts w:ascii="Calibri" w:hAnsi="Calibri"/>
          <w:b/>
          <w:lang w:val="en-US"/>
        </w:rPr>
        <w:t xml:space="preserve"> we believe </w:t>
      </w:r>
      <w:r w:rsidR="006356ED">
        <w:rPr>
          <w:rFonts w:ascii="Calibri" w:hAnsi="Calibri"/>
          <w:b/>
          <w:lang w:val="en-US"/>
        </w:rPr>
        <w:t xml:space="preserve">that </w:t>
      </w:r>
      <w:r w:rsidR="00A502FE">
        <w:rPr>
          <w:rFonts w:ascii="Calibri" w:hAnsi="Calibri"/>
          <w:b/>
          <w:lang w:val="en-US"/>
        </w:rPr>
        <w:t>our definition of permanent disability</w:t>
      </w:r>
      <w:r w:rsidR="00D109F4">
        <w:rPr>
          <w:rFonts w:ascii="Calibri" w:hAnsi="Calibri"/>
          <w:b/>
          <w:lang w:val="en-US"/>
        </w:rPr>
        <w:t xml:space="preserve"> </w:t>
      </w:r>
      <w:r w:rsidR="009434A5">
        <w:rPr>
          <w:rFonts w:ascii="Calibri" w:hAnsi="Calibri"/>
          <w:b/>
          <w:lang w:val="en-US"/>
        </w:rPr>
        <w:t>adequate</w:t>
      </w:r>
      <w:r w:rsidR="00A502FE">
        <w:rPr>
          <w:rFonts w:ascii="Calibri" w:hAnsi="Calibri"/>
          <w:b/>
          <w:lang w:val="en-US"/>
        </w:rPr>
        <w:t>ly</w:t>
      </w:r>
      <w:r w:rsidR="00D109F4">
        <w:rPr>
          <w:rFonts w:ascii="Calibri" w:hAnsi="Calibri"/>
          <w:b/>
          <w:lang w:val="en-US"/>
        </w:rPr>
        <w:t xml:space="preserve"> </w:t>
      </w:r>
      <w:r w:rsidR="00A502FE">
        <w:rPr>
          <w:rFonts w:ascii="Calibri" w:hAnsi="Calibri"/>
          <w:b/>
          <w:lang w:val="en-US"/>
        </w:rPr>
        <w:t>reflect</w:t>
      </w:r>
      <w:r w:rsidR="006356ED">
        <w:rPr>
          <w:rFonts w:ascii="Calibri" w:hAnsi="Calibri"/>
          <w:b/>
          <w:lang w:val="en-US"/>
        </w:rPr>
        <w:t>s</w:t>
      </w:r>
      <w:r w:rsidR="009434A5">
        <w:rPr>
          <w:rFonts w:ascii="Calibri" w:hAnsi="Calibri"/>
          <w:b/>
          <w:lang w:val="en-US"/>
        </w:rPr>
        <w:t xml:space="preserve"> neurological outcome</w:t>
      </w:r>
      <w:r w:rsidR="00D109F4">
        <w:rPr>
          <w:rFonts w:ascii="Calibri" w:hAnsi="Calibri"/>
          <w:b/>
          <w:lang w:val="en-US"/>
        </w:rPr>
        <w:t xml:space="preserve">. </w:t>
      </w:r>
      <w:r w:rsidR="006356ED">
        <w:rPr>
          <w:rFonts w:ascii="Calibri" w:hAnsi="Calibri"/>
          <w:b/>
          <w:lang w:val="en-US"/>
        </w:rPr>
        <w:t>Finally</w:t>
      </w:r>
      <w:r w:rsidR="009434A5">
        <w:rPr>
          <w:rFonts w:ascii="Calibri" w:hAnsi="Calibri"/>
          <w:b/>
          <w:lang w:val="en-US"/>
        </w:rPr>
        <w:t>, o</w:t>
      </w:r>
      <w:r w:rsidR="009434A5">
        <w:rPr>
          <w:b/>
          <w:lang w:val="en-US"/>
        </w:rPr>
        <w:t xml:space="preserve">ur study comes from </w:t>
      </w:r>
      <w:r w:rsidR="006356ED">
        <w:rPr>
          <w:b/>
          <w:lang w:val="en-US"/>
        </w:rPr>
        <w:t xml:space="preserve">one single country in Northern-Europe with a tax-funded healthcare system Thus, </w:t>
      </w:r>
      <w:r w:rsidR="00A83B48">
        <w:rPr>
          <w:b/>
          <w:lang w:val="en-US"/>
        </w:rPr>
        <w:lastRenderedPageBreak/>
        <w:t>our results are best generalizable to countries with similar healthcare systems</w:t>
      </w:r>
      <w:r w:rsidR="006356ED">
        <w:rPr>
          <w:b/>
          <w:lang w:val="en-US"/>
        </w:rPr>
        <w:t xml:space="preserve"> and one should not directly generalize our results to other countries with other types of healthcare funding</w:t>
      </w:r>
      <w:r w:rsidR="00A83B48">
        <w:rPr>
          <w:b/>
          <w:lang w:val="en-US"/>
        </w:rPr>
        <w:t xml:space="preserve">. </w:t>
      </w:r>
    </w:p>
    <w:p w14:paraId="08BAE282" w14:textId="77777777" w:rsidR="002C127E" w:rsidRPr="002D686B" w:rsidRDefault="002C127E" w:rsidP="000F3B33">
      <w:pPr>
        <w:spacing w:line="480" w:lineRule="auto"/>
        <w:rPr>
          <w:lang w:val="en-US"/>
        </w:rPr>
      </w:pPr>
    </w:p>
    <w:p w14:paraId="34E4077D" w14:textId="77777777" w:rsidR="00B30B22" w:rsidRPr="00C2509C" w:rsidRDefault="00B30B22" w:rsidP="00D94BBD">
      <w:pPr>
        <w:spacing w:line="480" w:lineRule="auto"/>
        <w:rPr>
          <w:rFonts w:ascii="Calibri" w:hAnsi="Calibri"/>
          <w:lang w:val="en-US"/>
        </w:rPr>
      </w:pPr>
      <w:r w:rsidRPr="00C2509C">
        <w:rPr>
          <w:rFonts w:ascii="Calibri" w:hAnsi="Calibri"/>
          <w:lang w:val="en-US"/>
        </w:rPr>
        <w:br w:type="page"/>
      </w:r>
    </w:p>
    <w:p w14:paraId="4AC17E07" w14:textId="1394B594" w:rsidR="00B30B22" w:rsidRPr="0010525B" w:rsidRDefault="317200CE" w:rsidP="00C2509C">
      <w:pPr>
        <w:pStyle w:val="Heading1"/>
        <w:spacing w:line="480" w:lineRule="auto"/>
        <w:rPr>
          <w:b/>
          <w:lang w:val="en-US"/>
        </w:rPr>
      </w:pPr>
      <w:r w:rsidRPr="0010525B">
        <w:rPr>
          <w:b/>
          <w:lang w:val="en-US"/>
        </w:rPr>
        <w:lastRenderedPageBreak/>
        <w:t>CONCLUSION</w:t>
      </w:r>
    </w:p>
    <w:p w14:paraId="31AAFB00" w14:textId="036A0790" w:rsidR="00BA2E71" w:rsidRPr="00BA2E71" w:rsidRDefault="00BA2E71" w:rsidP="00BA2E71">
      <w:pPr>
        <w:spacing w:line="480" w:lineRule="auto"/>
        <w:rPr>
          <w:rFonts w:ascii="Calibri" w:eastAsia="Calibri" w:hAnsi="Calibri" w:cs="Calibri"/>
          <w:lang w:val="en-US"/>
        </w:rPr>
      </w:pPr>
      <w:r w:rsidRPr="00BA2E71">
        <w:rPr>
          <w:rFonts w:ascii="Calibri" w:eastAsia="Calibri" w:hAnsi="Calibri" w:cs="Calibri"/>
          <w:b/>
          <w:lang w:val="en-US"/>
        </w:rPr>
        <w:t xml:space="preserve">Healthcare costs have remained largely the same during the last decade following ICU admission after TBI. No change in mortality was noted but the risk for permanent disability decreased significantly. Thus, our results suggest that cost-effectiveness of </w:t>
      </w:r>
      <w:r w:rsidR="000823BE">
        <w:rPr>
          <w:b/>
          <w:lang w:val="en-US"/>
        </w:rPr>
        <w:t>TBI care</w:t>
      </w:r>
      <w:r w:rsidRPr="00BA2E71">
        <w:rPr>
          <w:b/>
          <w:lang w:val="en-US"/>
        </w:rPr>
        <w:t xml:space="preserve"> </w:t>
      </w:r>
      <w:r w:rsidR="000823BE">
        <w:rPr>
          <w:b/>
          <w:lang w:val="en-US"/>
        </w:rPr>
        <w:t>has</w:t>
      </w:r>
      <w:r w:rsidRPr="00BA2E71">
        <w:rPr>
          <w:b/>
          <w:lang w:val="en-US"/>
        </w:rPr>
        <w:t xml:space="preserve"> improved during the past decade in Finland. </w:t>
      </w:r>
      <w:r w:rsidRPr="00BA2E71">
        <w:rPr>
          <w:rFonts w:ascii="Calibri" w:eastAsia="Calibri" w:hAnsi="Calibri" w:cs="Calibri"/>
          <w:b/>
          <w:lang w:val="en-US"/>
        </w:rPr>
        <w:t>Due to the increase need for ICU care of complicated</w:t>
      </w:r>
      <w:r w:rsidRPr="00E77C03">
        <w:rPr>
          <w:rFonts w:ascii="Calibri" w:eastAsia="Calibri" w:hAnsi="Calibri" w:cs="Calibri"/>
          <w:b/>
          <w:lang w:val="en-US"/>
        </w:rPr>
        <w:t xml:space="preserve"> mild </w:t>
      </w:r>
      <w:r w:rsidRPr="00BA2E71">
        <w:rPr>
          <w:rFonts w:ascii="Calibri" w:eastAsia="Calibri" w:hAnsi="Calibri" w:cs="Calibri"/>
          <w:b/>
          <w:lang w:val="en-US"/>
        </w:rPr>
        <w:t>TBI</w:t>
      </w:r>
      <w:r w:rsidRPr="00E77C03">
        <w:rPr>
          <w:rFonts w:ascii="Calibri" w:eastAsia="Calibri" w:hAnsi="Calibri" w:cs="Calibri"/>
          <w:b/>
          <w:lang w:val="en-US"/>
        </w:rPr>
        <w:t xml:space="preserve"> and </w:t>
      </w:r>
      <w:r w:rsidRPr="00E77C03">
        <w:rPr>
          <w:rFonts w:ascii="Calibri" w:eastAsia="Calibri" w:hAnsi="Calibri" w:cs="Calibri"/>
          <w:b/>
          <w:lang w:val="en-US"/>
        </w:rPr>
        <w:lastRenderedPageBreak/>
        <w:t xml:space="preserve">elderly TBI patients, </w:t>
      </w:r>
      <w:r w:rsidR="000823BE">
        <w:rPr>
          <w:rFonts w:ascii="Calibri" w:eastAsia="Calibri" w:hAnsi="Calibri" w:cs="Calibri"/>
          <w:b/>
          <w:lang w:val="en-US"/>
        </w:rPr>
        <w:t xml:space="preserve">overall TBI-related </w:t>
      </w:r>
      <w:r>
        <w:rPr>
          <w:rFonts w:ascii="Calibri" w:eastAsia="Calibri" w:hAnsi="Calibri" w:cs="Calibri"/>
          <w:b/>
          <w:lang w:val="en-US"/>
        </w:rPr>
        <w:t>health</w:t>
      </w:r>
      <w:r w:rsidRPr="00E77C03">
        <w:rPr>
          <w:rFonts w:ascii="Calibri" w:eastAsia="Calibri" w:hAnsi="Calibri" w:cs="Calibri"/>
          <w:b/>
          <w:lang w:val="en-US"/>
        </w:rPr>
        <w:t xml:space="preserve">care </w:t>
      </w:r>
      <w:r w:rsidR="000823BE">
        <w:rPr>
          <w:rFonts w:ascii="Calibri" w:eastAsia="Calibri" w:hAnsi="Calibri" w:cs="Calibri"/>
          <w:b/>
          <w:lang w:val="en-US"/>
        </w:rPr>
        <w:t xml:space="preserve">costs </w:t>
      </w:r>
      <w:r w:rsidR="00964A5B">
        <w:rPr>
          <w:rFonts w:ascii="Calibri" w:eastAsia="Calibri" w:hAnsi="Calibri" w:cs="Calibri"/>
          <w:b/>
          <w:lang w:val="en-US"/>
        </w:rPr>
        <w:t>have</w:t>
      </w:r>
      <w:r w:rsidRPr="00E77C03">
        <w:rPr>
          <w:rFonts w:ascii="Calibri" w:eastAsia="Calibri" w:hAnsi="Calibri" w:cs="Calibri"/>
          <w:b/>
          <w:lang w:val="en-US"/>
        </w:rPr>
        <w:t xml:space="preserve"> </w:t>
      </w:r>
      <w:r w:rsidR="000823BE">
        <w:rPr>
          <w:rFonts w:ascii="Calibri" w:eastAsia="Calibri" w:hAnsi="Calibri" w:cs="Calibri"/>
          <w:b/>
          <w:lang w:val="en-US"/>
        </w:rPr>
        <w:t>increased</w:t>
      </w:r>
      <w:r w:rsidRPr="00E77C03">
        <w:rPr>
          <w:rFonts w:ascii="Calibri" w:eastAsia="Calibri" w:hAnsi="Calibri" w:cs="Calibri"/>
          <w:b/>
          <w:lang w:val="en-US"/>
        </w:rPr>
        <w:t xml:space="preserve">. Yet, cost-effectiveness of </w:t>
      </w:r>
      <w:r w:rsidR="00964A5B">
        <w:rPr>
          <w:rFonts w:ascii="Calibri" w:eastAsia="Calibri" w:hAnsi="Calibri" w:cs="Calibri"/>
          <w:b/>
          <w:lang w:val="en-US"/>
        </w:rPr>
        <w:t>TBI-care</w:t>
      </w:r>
      <w:r w:rsidRPr="00E77C03">
        <w:rPr>
          <w:rFonts w:ascii="Calibri" w:eastAsia="Calibri" w:hAnsi="Calibri" w:cs="Calibri"/>
          <w:b/>
          <w:lang w:val="en-US"/>
        </w:rPr>
        <w:t xml:space="preserve"> appears to be justifiable when compared to patients with other forms of critical illness.</w:t>
      </w:r>
    </w:p>
    <w:p w14:paraId="744B288B" w14:textId="168CC695" w:rsidR="00BA2E71" w:rsidRPr="00AF3568" w:rsidRDefault="00BA2E71" w:rsidP="00BA2E71">
      <w:pPr>
        <w:spacing w:line="480" w:lineRule="auto"/>
        <w:rPr>
          <w:rFonts w:ascii="Calibri" w:eastAsia="Calibri" w:hAnsi="Calibri" w:cs="Calibri"/>
          <w:b/>
          <w:lang w:val="en-US"/>
        </w:rPr>
      </w:pPr>
    </w:p>
    <w:p w14:paraId="4AB75DFB" w14:textId="77777777" w:rsidR="00022792" w:rsidRPr="002D686B" w:rsidRDefault="00022792" w:rsidP="003B57ED">
      <w:pPr>
        <w:spacing w:line="480" w:lineRule="auto"/>
        <w:rPr>
          <w:rFonts w:ascii="Calibri" w:eastAsia="Calibri" w:hAnsi="Calibri" w:cs="Calibri"/>
          <w:lang w:val="en-US"/>
        </w:rPr>
      </w:pPr>
    </w:p>
    <w:p w14:paraId="6D39FC45" w14:textId="78A99395" w:rsidR="00B30B22" w:rsidRPr="002D686B" w:rsidRDefault="00B30B22" w:rsidP="00D94BBD">
      <w:pPr>
        <w:spacing w:line="480" w:lineRule="auto"/>
        <w:rPr>
          <w:rFonts w:ascii="Calibri" w:hAnsi="Calibri"/>
          <w:b/>
          <w:lang w:val="en-US"/>
        </w:rPr>
      </w:pPr>
      <w:r w:rsidRPr="002D686B">
        <w:rPr>
          <w:rFonts w:ascii="Calibri" w:hAnsi="Calibri"/>
          <w:b/>
          <w:lang w:val="en-US"/>
        </w:rPr>
        <w:br w:type="page"/>
      </w:r>
    </w:p>
    <w:p w14:paraId="0744F8D0" w14:textId="772F7B28" w:rsidR="00566A6D" w:rsidRPr="0010525B" w:rsidRDefault="317200CE" w:rsidP="00C2509C">
      <w:pPr>
        <w:pStyle w:val="Heading1"/>
        <w:spacing w:line="480" w:lineRule="auto"/>
        <w:rPr>
          <w:b/>
          <w:lang w:val="en-US"/>
        </w:rPr>
      </w:pPr>
      <w:r w:rsidRPr="0010525B">
        <w:rPr>
          <w:b/>
          <w:lang w:val="en-US"/>
        </w:rPr>
        <w:lastRenderedPageBreak/>
        <w:t>FIGURE LEGENDS</w:t>
      </w:r>
    </w:p>
    <w:p w14:paraId="25B8C7E9" w14:textId="2633A127" w:rsidR="00566A6D" w:rsidRPr="002D686B" w:rsidRDefault="317200CE" w:rsidP="00D94BBD">
      <w:pPr>
        <w:spacing w:line="480" w:lineRule="auto"/>
        <w:rPr>
          <w:lang w:val="en-US"/>
        </w:rPr>
      </w:pPr>
      <w:r w:rsidRPr="009C3936">
        <w:rPr>
          <w:b/>
          <w:bCs/>
          <w:lang w:val="en-US"/>
        </w:rPr>
        <w:t>Fig</w:t>
      </w:r>
      <w:r w:rsidR="00536877" w:rsidRPr="009C3936">
        <w:rPr>
          <w:b/>
          <w:bCs/>
          <w:lang w:val="en-US"/>
        </w:rPr>
        <w:t>ure</w:t>
      </w:r>
      <w:r w:rsidRPr="009C3936">
        <w:rPr>
          <w:b/>
          <w:bCs/>
          <w:lang w:val="en-US"/>
        </w:rPr>
        <w:t xml:space="preserve"> 1</w:t>
      </w:r>
      <w:r w:rsidRPr="002D686B">
        <w:rPr>
          <w:lang w:val="en-US"/>
        </w:rPr>
        <w:t>: Flow chart</w:t>
      </w:r>
      <w:r w:rsidR="00FB3B0D">
        <w:rPr>
          <w:lang w:val="en-US"/>
        </w:rPr>
        <w:t xml:space="preserve"> showing the inclusion and exclusion process</w:t>
      </w:r>
      <w:r w:rsidRPr="002D686B">
        <w:rPr>
          <w:lang w:val="en-US"/>
        </w:rPr>
        <w:t xml:space="preserve">. Abbreviations: </w:t>
      </w:r>
      <w:r w:rsidR="00536877">
        <w:rPr>
          <w:lang w:val="en-US"/>
        </w:rPr>
        <w:t>traumatic brain injury</w:t>
      </w:r>
      <w:r w:rsidRPr="002D686B">
        <w:rPr>
          <w:lang w:val="en-US"/>
        </w:rPr>
        <w:t xml:space="preserve"> </w:t>
      </w:r>
      <w:r w:rsidR="00536877">
        <w:rPr>
          <w:lang w:val="en-US"/>
        </w:rPr>
        <w:t>(TBI),</w:t>
      </w:r>
      <w:r w:rsidRPr="002D686B">
        <w:rPr>
          <w:lang w:val="en-US"/>
        </w:rPr>
        <w:t xml:space="preserve"> Finnish Intensive Care Consortium</w:t>
      </w:r>
      <w:r w:rsidR="00536877">
        <w:rPr>
          <w:lang w:val="en-US"/>
        </w:rPr>
        <w:t xml:space="preserve"> (FICC),</w:t>
      </w:r>
      <w:r w:rsidRPr="002D686B">
        <w:rPr>
          <w:lang w:val="en-US"/>
        </w:rPr>
        <w:t xml:space="preserve"> </w:t>
      </w:r>
      <w:r w:rsidR="00536877">
        <w:rPr>
          <w:lang w:val="en-US"/>
        </w:rPr>
        <w:t>c</w:t>
      </w:r>
      <w:r w:rsidRPr="002D686B">
        <w:rPr>
          <w:lang w:val="en-US"/>
        </w:rPr>
        <w:t xml:space="preserve">omputerized </w:t>
      </w:r>
      <w:r w:rsidR="00536877">
        <w:rPr>
          <w:lang w:val="en-US"/>
        </w:rPr>
        <w:t>t</w:t>
      </w:r>
      <w:r w:rsidR="00536877" w:rsidRPr="002D686B">
        <w:rPr>
          <w:lang w:val="en-US"/>
        </w:rPr>
        <w:t>omography</w:t>
      </w:r>
      <w:r w:rsidR="00536877">
        <w:rPr>
          <w:lang w:val="en-US"/>
        </w:rPr>
        <w:t xml:space="preserve"> (CT),</w:t>
      </w:r>
      <w:r w:rsidRPr="002D686B">
        <w:rPr>
          <w:lang w:val="en-US"/>
        </w:rPr>
        <w:t xml:space="preserve"> Therapeutic Intervention Scoring System 76</w:t>
      </w:r>
      <w:r w:rsidR="00536877" w:rsidRPr="00536877">
        <w:rPr>
          <w:lang w:val="en-US"/>
        </w:rPr>
        <w:t xml:space="preserve"> </w:t>
      </w:r>
      <w:r w:rsidR="00536877">
        <w:rPr>
          <w:lang w:val="en-US"/>
        </w:rPr>
        <w:t>(TISS-76),</w:t>
      </w:r>
      <w:r w:rsidRPr="002D686B">
        <w:rPr>
          <w:lang w:val="en-US"/>
        </w:rPr>
        <w:t xml:space="preserve"> Glasgow Coma Scale</w:t>
      </w:r>
      <w:r w:rsidR="00536877">
        <w:rPr>
          <w:lang w:val="en-US"/>
        </w:rPr>
        <w:t xml:space="preserve"> (GCS).</w:t>
      </w:r>
    </w:p>
    <w:p w14:paraId="1551D37D" w14:textId="25D17D16" w:rsidR="0060599A" w:rsidRPr="00C2509C" w:rsidRDefault="0060599A" w:rsidP="0060599A">
      <w:pPr>
        <w:spacing w:line="480" w:lineRule="auto"/>
        <w:rPr>
          <w:lang w:val="en-US"/>
        </w:rPr>
      </w:pPr>
      <w:r w:rsidRPr="00FF4100">
        <w:rPr>
          <w:b/>
          <w:bCs/>
          <w:lang w:val="en-US"/>
        </w:rPr>
        <w:t xml:space="preserve">Figure </w:t>
      </w:r>
      <w:r w:rsidR="00006B51">
        <w:rPr>
          <w:b/>
          <w:bCs/>
          <w:lang w:val="en-US"/>
        </w:rPr>
        <w:t>2</w:t>
      </w:r>
      <w:r w:rsidRPr="002D686B">
        <w:rPr>
          <w:lang w:val="en-US"/>
        </w:rPr>
        <w:t>: Temporal trend in one-year risk-adjusted</w:t>
      </w:r>
      <w:r>
        <w:rPr>
          <w:lang w:val="en-US"/>
        </w:rPr>
        <w:t xml:space="preserve"> mortality rate (RAMR) and risk-adjusted permanent disability rate (RADR)</w:t>
      </w:r>
      <w:r w:rsidRPr="002D686B">
        <w:rPr>
          <w:lang w:val="en-US"/>
        </w:rPr>
        <w:t>. The RAMR represent</w:t>
      </w:r>
      <w:r>
        <w:rPr>
          <w:lang w:val="en-US"/>
        </w:rPr>
        <w:t>s</w:t>
      </w:r>
      <w:r w:rsidRPr="002D686B">
        <w:rPr>
          <w:lang w:val="en-US"/>
        </w:rPr>
        <w:t xml:space="preserve"> the estimated one-year mortality rate if the patient case-mix w</w:t>
      </w:r>
      <w:r>
        <w:rPr>
          <w:lang w:val="en-US"/>
        </w:rPr>
        <w:t>as</w:t>
      </w:r>
      <w:r w:rsidRPr="002D686B">
        <w:rPr>
          <w:lang w:val="en-US"/>
        </w:rPr>
        <w:t xml:space="preserve"> identical for each year. RADR represent</w:t>
      </w:r>
      <w:r>
        <w:rPr>
          <w:lang w:val="en-US"/>
        </w:rPr>
        <w:t>s</w:t>
      </w:r>
      <w:r w:rsidRPr="002D686B">
        <w:rPr>
          <w:lang w:val="en-US"/>
        </w:rPr>
        <w:t xml:space="preserve"> the estimated disability rate if the </w:t>
      </w:r>
      <w:r w:rsidRPr="002D686B">
        <w:rPr>
          <w:lang w:val="en-US"/>
        </w:rPr>
        <w:lastRenderedPageBreak/>
        <w:t xml:space="preserve">patient case-mix </w:t>
      </w:r>
      <w:r>
        <w:rPr>
          <w:lang w:val="en-US"/>
        </w:rPr>
        <w:t>was</w:t>
      </w:r>
      <w:r w:rsidRPr="002D686B">
        <w:rPr>
          <w:lang w:val="en-US"/>
        </w:rPr>
        <w:t xml:space="preserve"> identical for each year. </w:t>
      </w:r>
      <w:r w:rsidRPr="00C2509C">
        <w:rPr>
          <w:lang w:val="en-US"/>
        </w:rPr>
        <w:t>Overall</w:t>
      </w:r>
      <w:r>
        <w:rPr>
          <w:lang w:val="en-US"/>
        </w:rPr>
        <w:t xml:space="preserve">, the </w:t>
      </w:r>
      <w:r w:rsidRPr="00C2509C">
        <w:rPr>
          <w:lang w:val="en-US"/>
        </w:rPr>
        <w:t>one-year RAMR was 25% (95% CI 18%</w:t>
      </w:r>
      <w:r>
        <w:rPr>
          <w:rFonts w:ascii="Calibri" w:eastAsia="Calibri" w:hAnsi="Calibri" w:cs="Calibri"/>
          <w:lang w:val="en-US"/>
        </w:rPr>
        <w:t>–</w:t>
      </w:r>
      <w:r w:rsidRPr="00C2509C">
        <w:rPr>
          <w:lang w:val="en-US"/>
        </w:rPr>
        <w:t>28%) and did not significantly change during the study period (p</w:t>
      </w:r>
      <w:r>
        <w:rPr>
          <w:lang w:val="en-US"/>
        </w:rPr>
        <w:t xml:space="preserve"> </w:t>
      </w:r>
      <w:r w:rsidRPr="00C2509C">
        <w:rPr>
          <w:lang w:val="en-US"/>
        </w:rPr>
        <w:t>=</w:t>
      </w:r>
      <w:r>
        <w:rPr>
          <w:lang w:val="en-US"/>
        </w:rPr>
        <w:t xml:space="preserve"> </w:t>
      </w:r>
      <w:r w:rsidRPr="00C2509C">
        <w:rPr>
          <w:lang w:val="en-US"/>
        </w:rPr>
        <w:t>0.14).</w:t>
      </w:r>
      <w:r>
        <w:rPr>
          <w:lang w:val="en-US"/>
        </w:rPr>
        <w:t xml:space="preserve"> </w:t>
      </w:r>
      <w:r w:rsidRPr="00C2509C">
        <w:rPr>
          <w:lang w:val="en-US"/>
        </w:rPr>
        <w:t>Overall</w:t>
      </w:r>
      <w:r>
        <w:rPr>
          <w:lang w:val="en-US"/>
        </w:rPr>
        <w:t xml:space="preserve">, </w:t>
      </w:r>
      <w:r w:rsidRPr="00C2509C">
        <w:rPr>
          <w:lang w:val="en-US"/>
        </w:rPr>
        <w:t>RADR decreased from 37% in 2003 to 19% in 2013. An increasing admission year was significantly associated with a decreased risk for permanent disability (</w:t>
      </w:r>
      <w:r>
        <w:rPr>
          <w:lang w:val="en-US"/>
        </w:rPr>
        <w:t>OR =</w:t>
      </w:r>
      <w:r w:rsidRPr="00C2509C">
        <w:rPr>
          <w:lang w:val="en-US"/>
        </w:rPr>
        <w:t xml:space="preserve"> 0.92, 95% CI 0.90</w:t>
      </w:r>
      <w:r>
        <w:rPr>
          <w:rFonts w:ascii="Calibri" w:eastAsia="Calibri" w:hAnsi="Calibri" w:cs="Calibri"/>
          <w:lang w:val="en-US"/>
        </w:rPr>
        <w:t>–</w:t>
      </w:r>
      <w:r w:rsidRPr="00C2509C">
        <w:rPr>
          <w:lang w:val="en-US"/>
        </w:rPr>
        <w:t>0.95)</w:t>
      </w:r>
    </w:p>
    <w:p w14:paraId="47EC022E" w14:textId="77777777" w:rsidR="0060599A" w:rsidRPr="002D686B" w:rsidRDefault="0060599A" w:rsidP="00D94BBD">
      <w:pPr>
        <w:spacing w:line="480" w:lineRule="auto"/>
        <w:rPr>
          <w:lang w:val="en-US"/>
        </w:rPr>
      </w:pPr>
    </w:p>
    <w:p w14:paraId="589477CC" w14:textId="77777777" w:rsidR="00EF6301" w:rsidRPr="002D686B" w:rsidRDefault="00EF6301" w:rsidP="317200CE">
      <w:pPr>
        <w:spacing w:line="480" w:lineRule="auto"/>
        <w:rPr>
          <w:lang w:val="en-US"/>
        </w:rPr>
      </w:pPr>
    </w:p>
    <w:p w14:paraId="3C4B9310" w14:textId="77777777" w:rsidR="0008306D" w:rsidRPr="00C2509C" w:rsidRDefault="0008306D" w:rsidP="317200CE">
      <w:pPr>
        <w:spacing w:line="480" w:lineRule="auto"/>
        <w:rPr>
          <w:lang w:val="en-US"/>
        </w:rPr>
      </w:pPr>
      <w:r w:rsidRPr="00C2509C">
        <w:rPr>
          <w:lang w:val="en-US"/>
        </w:rPr>
        <w:br w:type="page"/>
      </w:r>
    </w:p>
    <w:p w14:paraId="40683394" w14:textId="60206E49" w:rsidR="00566A6D" w:rsidRPr="00FF4100" w:rsidRDefault="00F37DD0" w:rsidP="00C2509C">
      <w:pPr>
        <w:pStyle w:val="Heading2"/>
        <w:rPr>
          <w:b/>
          <w:lang w:val="en-US"/>
        </w:rPr>
      </w:pPr>
      <w:r w:rsidRPr="00FF4100">
        <w:rPr>
          <w:b/>
          <w:smallCaps w:val="0"/>
          <w:lang w:val="en-US"/>
        </w:rPr>
        <w:lastRenderedPageBreak/>
        <w:t xml:space="preserve">ELECTRONIC </w:t>
      </w:r>
      <w:r w:rsidR="317200CE" w:rsidRPr="00FF4100">
        <w:rPr>
          <w:b/>
          <w:smallCaps w:val="0"/>
          <w:lang w:val="en-US"/>
        </w:rPr>
        <w:t xml:space="preserve">SUPPLEMENTARY </w:t>
      </w:r>
      <w:r w:rsidRPr="00FF4100">
        <w:rPr>
          <w:b/>
          <w:smallCaps w:val="0"/>
          <w:lang w:val="en-US"/>
        </w:rPr>
        <w:t>MATERIAL</w:t>
      </w:r>
    </w:p>
    <w:p w14:paraId="7146A02D" w14:textId="70149D33" w:rsidR="004C58CE" w:rsidRPr="00C2509C" w:rsidRDefault="001D6F4A" w:rsidP="00D94BBD">
      <w:pPr>
        <w:spacing w:line="480" w:lineRule="auto"/>
        <w:rPr>
          <w:bCs/>
          <w:lang w:val="en-GB"/>
        </w:rPr>
      </w:pPr>
      <w:r>
        <w:rPr>
          <w:b/>
          <w:bCs/>
          <w:lang w:val="en-US"/>
        </w:rPr>
        <w:t xml:space="preserve">Supplemental </w:t>
      </w:r>
      <w:r w:rsidR="000173F7" w:rsidRPr="00FF4100">
        <w:rPr>
          <w:b/>
          <w:bCs/>
          <w:lang w:val="en-US"/>
        </w:rPr>
        <w:t xml:space="preserve">Methods </w:t>
      </w:r>
      <w:r w:rsidR="00DF4406">
        <w:rPr>
          <w:b/>
          <w:bCs/>
          <w:lang w:val="en-US"/>
        </w:rPr>
        <w:t>1</w:t>
      </w:r>
      <w:r w:rsidR="004C58CE" w:rsidRPr="00C2509C">
        <w:rPr>
          <w:bCs/>
          <w:lang w:val="en-US"/>
        </w:rPr>
        <w:t xml:space="preserve">: </w:t>
      </w:r>
      <w:r w:rsidR="00605A12" w:rsidRPr="002D686B">
        <w:rPr>
          <w:rFonts w:ascii="Calibri" w:eastAsia="Calibri" w:hAnsi="Calibri" w:cs="Calibri"/>
          <w:lang w:val="en-US"/>
        </w:rPr>
        <w:t>STrengthening the Reporting of OBservational studies in Epidemiology (STROBE)</w:t>
      </w:r>
      <w:r w:rsidR="00605A12">
        <w:rPr>
          <w:rFonts w:ascii="Calibri" w:eastAsia="Calibri" w:hAnsi="Calibri" w:cs="Calibri"/>
          <w:lang w:val="en-US"/>
        </w:rPr>
        <w:t>.</w:t>
      </w:r>
    </w:p>
    <w:p w14:paraId="34C0B49B" w14:textId="569A9DFF" w:rsidR="00566A6D" w:rsidRPr="00C2509C" w:rsidRDefault="001D6F4A" w:rsidP="00D94BBD">
      <w:pPr>
        <w:spacing w:line="480" w:lineRule="auto"/>
        <w:rPr>
          <w:lang w:val="en-US"/>
        </w:rPr>
      </w:pPr>
      <w:r>
        <w:rPr>
          <w:b/>
          <w:bCs/>
          <w:lang w:val="en-US"/>
        </w:rPr>
        <w:t xml:space="preserve">Supplemental </w:t>
      </w:r>
      <w:r w:rsidR="000173F7" w:rsidRPr="00FF4100">
        <w:rPr>
          <w:b/>
          <w:bCs/>
          <w:lang w:val="en-US"/>
        </w:rPr>
        <w:t>Table 1</w:t>
      </w:r>
      <w:r w:rsidR="317200CE" w:rsidRPr="00C2509C">
        <w:rPr>
          <w:bCs/>
          <w:lang w:val="en-US"/>
        </w:rPr>
        <w:t xml:space="preserve">: </w:t>
      </w:r>
      <w:r w:rsidR="317200CE" w:rsidRPr="002D686B">
        <w:rPr>
          <w:lang w:val="en-US"/>
        </w:rPr>
        <w:t>Table showing baseline characteristics according to Glasgow Coma Scale groups</w:t>
      </w:r>
    </w:p>
    <w:p w14:paraId="6152F914" w14:textId="5B70D6F0" w:rsidR="00787FAC" w:rsidRPr="002D686B" w:rsidRDefault="001D6F4A">
      <w:pPr>
        <w:spacing w:line="480" w:lineRule="auto"/>
        <w:rPr>
          <w:lang w:val="en-US"/>
        </w:rPr>
      </w:pPr>
      <w:r>
        <w:rPr>
          <w:b/>
          <w:bCs/>
          <w:lang w:val="en-US"/>
        </w:rPr>
        <w:t xml:space="preserve">Supplemental </w:t>
      </w:r>
      <w:r w:rsidR="000173F7" w:rsidRPr="00FF4100">
        <w:rPr>
          <w:b/>
          <w:bCs/>
          <w:lang w:val="en-US"/>
        </w:rPr>
        <w:t>Table 2</w:t>
      </w:r>
      <w:r w:rsidR="317200CE" w:rsidRPr="00C2509C">
        <w:rPr>
          <w:bCs/>
          <w:lang w:val="en-US"/>
        </w:rPr>
        <w:t xml:space="preserve">: </w:t>
      </w:r>
      <w:r w:rsidR="317200CE" w:rsidRPr="002D686B">
        <w:rPr>
          <w:lang w:val="en-US"/>
        </w:rPr>
        <w:t>Table showing temporal changes in admission characteristics</w:t>
      </w:r>
    </w:p>
    <w:p w14:paraId="0B582E1F" w14:textId="649163C2" w:rsidR="007834AC" w:rsidRDefault="001D6F4A" w:rsidP="317200CE">
      <w:pPr>
        <w:spacing w:line="480" w:lineRule="auto"/>
        <w:rPr>
          <w:rFonts w:ascii="Calibri" w:hAnsi="Calibri"/>
          <w:lang w:val="en-US"/>
        </w:rPr>
      </w:pPr>
      <w:r>
        <w:rPr>
          <w:b/>
          <w:bCs/>
          <w:lang w:val="en-US"/>
        </w:rPr>
        <w:t xml:space="preserve">Supplemental </w:t>
      </w:r>
      <w:r w:rsidR="000173F7" w:rsidRPr="00FF4100">
        <w:rPr>
          <w:b/>
          <w:lang w:val="en-US"/>
        </w:rPr>
        <w:t>Table 3</w:t>
      </w:r>
      <w:r w:rsidR="00787FAC" w:rsidRPr="002D686B">
        <w:rPr>
          <w:lang w:val="en-US"/>
        </w:rPr>
        <w:t xml:space="preserve">: </w:t>
      </w:r>
      <w:r w:rsidR="00787FAC" w:rsidRPr="002D686B">
        <w:rPr>
          <w:rFonts w:ascii="Calibri" w:hAnsi="Calibri"/>
          <w:lang w:val="en-US"/>
        </w:rPr>
        <w:t>Unadjusted outcomes</w:t>
      </w:r>
      <w:r w:rsidR="00A21B5A">
        <w:rPr>
          <w:rFonts w:ascii="Calibri" w:hAnsi="Calibri"/>
          <w:lang w:val="en-US"/>
        </w:rPr>
        <w:t xml:space="preserve"> in the predefined subgroups</w:t>
      </w:r>
    </w:p>
    <w:p w14:paraId="4639F9AF" w14:textId="11D70257" w:rsidR="00006B51" w:rsidRPr="002D686B" w:rsidRDefault="00006B51" w:rsidP="317200CE">
      <w:pPr>
        <w:spacing w:line="480" w:lineRule="auto"/>
        <w:rPr>
          <w:lang w:val="en-US"/>
        </w:rPr>
      </w:pPr>
      <w:r w:rsidRPr="00006B51">
        <w:rPr>
          <w:rFonts w:ascii="Calibri" w:eastAsia="Calibri" w:hAnsi="Calibri" w:cs="Calibri"/>
          <w:b/>
          <w:color w:val="000000" w:themeColor="text1"/>
          <w:lang w:val="en-US"/>
        </w:rPr>
        <w:lastRenderedPageBreak/>
        <w:t xml:space="preserve">Supplemental </w:t>
      </w:r>
      <w:r w:rsidRPr="00006B51">
        <w:rPr>
          <w:rFonts w:ascii="Calibri" w:eastAsia="Calibri" w:hAnsi="Calibri" w:cs="Calibri"/>
          <w:b/>
          <w:lang w:val="en-US"/>
        </w:rPr>
        <w:t>Figure 1</w:t>
      </w:r>
      <w:r w:rsidRPr="002D686B">
        <w:rPr>
          <w:lang w:val="en-US"/>
        </w:rPr>
        <w:t>: Temporal trend in mean cost per patient from 2003</w:t>
      </w:r>
      <w:r>
        <w:rPr>
          <w:rFonts w:ascii="Calibri" w:eastAsia="Calibri" w:hAnsi="Calibri" w:cs="Calibri"/>
          <w:lang w:val="en-US"/>
        </w:rPr>
        <w:t>–</w:t>
      </w:r>
      <w:r w:rsidRPr="002D686B">
        <w:rPr>
          <w:lang w:val="en-US"/>
        </w:rPr>
        <w:t>2013. During the whole study period, u</w:t>
      </w:r>
      <w:r w:rsidRPr="002D686B">
        <w:rPr>
          <w:rFonts w:ascii="Calibri" w:eastAsia="Calibri" w:hAnsi="Calibri" w:cs="Calibri"/>
          <w:color w:val="000000" w:themeColor="text1"/>
          <w:lang w:val="en-US"/>
        </w:rPr>
        <w:t>niversity hospital costs constituted 44% (mean</w:t>
      </w:r>
      <w:r>
        <w:rPr>
          <w:rFonts w:ascii="Calibri" w:eastAsia="Calibri" w:hAnsi="Calibri" w:cs="Calibri"/>
          <w:color w:val="000000" w:themeColor="text1"/>
          <w:lang w:val="en-US"/>
        </w:rPr>
        <w:t xml:space="preserve"> =</w:t>
      </w:r>
      <w:r w:rsidRPr="002D686B">
        <w:rPr>
          <w:rFonts w:ascii="Calibri" w:eastAsia="Calibri" w:hAnsi="Calibri" w:cs="Calibri"/>
          <w:color w:val="000000" w:themeColor="text1"/>
          <w:lang w:val="en-US"/>
        </w:rPr>
        <w:t xml:space="preserve"> </w:t>
      </w:r>
      <w:r>
        <w:rPr>
          <w:rFonts w:ascii="Calibri" w:eastAsia="Calibri" w:hAnsi="Calibri" w:cs="Calibri"/>
          <w:color w:val="000000" w:themeColor="text1"/>
          <w:lang w:val="en-US"/>
        </w:rPr>
        <w:t>$17,683</w:t>
      </w:r>
      <w:r w:rsidRPr="002D686B">
        <w:rPr>
          <w:rFonts w:ascii="Calibri" w:eastAsia="Calibri" w:hAnsi="Calibri" w:cs="Calibri"/>
          <w:color w:val="000000" w:themeColor="text1"/>
          <w:lang w:val="en-US"/>
        </w:rPr>
        <w:t xml:space="preserve">, 95% CI </w:t>
      </w:r>
      <w:r>
        <w:rPr>
          <w:rFonts w:ascii="Calibri" w:eastAsia="Calibri" w:hAnsi="Calibri" w:cs="Calibri"/>
          <w:color w:val="000000" w:themeColor="text1"/>
          <w:lang w:val="en-US"/>
        </w:rPr>
        <w:t>$16,897</w:t>
      </w:r>
      <w:r>
        <w:rPr>
          <w:rFonts w:ascii="Calibri" w:eastAsia="Calibri" w:hAnsi="Calibri" w:cs="Calibri"/>
          <w:lang w:val="en-US"/>
        </w:rPr>
        <w:t xml:space="preserve"> to $18,468</w:t>
      </w:r>
      <w:r w:rsidRPr="002D686B">
        <w:rPr>
          <w:rFonts w:ascii="Calibri" w:eastAsia="Calibri" w:hAnsi="Calibri" w:cs="Calibri"/>
          <w:color w:val="000000" w:themeColor="text1"/>
          <w:lang w:val="en-US"/>
        </w:rPr>
        <w:t>), rehabilitation unit costs constituted 42% (mean</w:t>
      </w:r>
      <w:r>
        <w:rPr>
          <w:rFonts w:ascii="Calibri" w:eastAsia="Calibri" w:hAnsi="Calibri" w:cs="Calibri"/>
          <w:color w:val="000000" w:themeColor="text1"/>
          <w:lang w:val="en-US"/>
        </w:rPr>
        <w:t xml:space="preserve"> =</w:t>
      </w:r>
      <w:r w:rsidRPr="002D686B">
        <w:rPr>
          <w:rFonts w:ascii="Calibri" w:eastAsia="Calibri" w:hAnsi="Calibri" w:cs="Calibri"/>
          <w:color w:val="000000" w:themeColor="text1"/>
          <w:lang w:val="en-US"/>
        </w:rPr>
        <w:t xml:space="preserve"> </w:t>
      </w:r>
      <w:r>
        <w:rPr>
          <w:rFonts w:ascii="Calibri" w:eastAsia="Calibri" w:hAnsi="Calibri" w:cs="Calibri"/>
          <w:color w:val="000000" w:themeColor="text1"/>
          <w:lang w:val="en-US"/>
        </w:rPr>
        <w:t>$16,790</w:t>
      </w:r>
      <w:r w:rsidRPr="002D686B">
        <w:rPr>
          <w:rFonts w:ascii="Calibri" w:eastAsia="Calibri" w:hAnsi="Calibri" w:cs="Calibri"/>
          <w:color w:val="000000" w:themeColor="text1"/>
          <w:lang w:val="en-US"/>
        </w:rPr>
        <w:t xml:space="preserve">, 95% CI </w:t>
      </w:r>
      <w:r>
        <w:rPr>
          <w:rFonts w:ascii="Calibri" w:eastAsia="Calibri" w:hAnsi="Calibri" w:cs="Calibri"/>
          <w:color w:val="000000" w:themeColor="text1"/>
          <w:lang w:val="en-US"/>
        </w:rPr>
        <w:t>$15,625</w:t>
      </w:r>
      <w:r>
        <w:rPr>
          <w:rFonts w:ascii="Calibri" w:eastAsia="Calibri" w:hAnsi="Calibri" w:cs="Calibri"/>
          <w:lang w:val="en-US"/>
        </w:rPr>
        <w:t xml:space="preserve"> to $17,955</w:t>
      </w:r>
      <w:r w:rsidRPr="002D686B">
        <w:rPr>
          <w:rFonts w:ascii="Calibri" w:eastAsia="Calibri" w:hAnsi="Calibri" w:cs="Calibri"/>
          <w:color w:val="000000" w:themeColor="text1"/>
          <w:lang w:val="en-US"/>
        </w:rPr>
        <w:t>)</w:t>
      </w:r>
      <w:r>
        <w:rPr>
          <w:rFonts w:ascii="Calibri" w:eastAsia="Calibri" w:hAnsi="Calibri" w:cs="Calibri"/>
          <w:color w:val="000000" w:themeColor="text1"/>
          <w:lang w:val="en-US"/>
        </w:rPr>
        <w:t>,</w:t>
      </w:r>
      <w:r w:rsidRPr="002D686B">
        <w:rPr>
          <w:rFonts w:ascii="Calibri" w:eastAsia="Calibri" w:hAnsi="Calibri" w:cs="Calibri"/>
          <w:color w:val="000000" w:themeColor="text1"/>
          <w:lang w:val="en-US"/>
        </w:rPr>
        <w:t xml:space="preserve"> and social security costs constituted 14% (mean</w:t>
      </w:r>
      <w:r>
        <w:rPr>
          <w:rFonts w:ascii="Calibri" w:eastAsia="Calibri" w:hAnsi="Calibri" w:cs="Calibri"/>
          <w:color w:val="000000" w:themeColor="text1"/>
          <w:lang w:val="en-US"/>
        </w:rPr>
        <w:t> =</w:t>
      </w:r>
      <w:r w:rsidRPr="002D686B">
        <w:rPr>
          <w:rFonts w:ascii="Calibri" w:eastAsia="Calibri" w:hAnsi="Calibri" w:cs="Calibri"/>
          <w:color w:val="000000" w:themeColor="text1"/>
          <w:lang w:val="en-US"/>
        </w:rPr>
        <w:t xml:space="preserve"> </w:t>
      </w:r>
      <w:r>
        <w:rPr>
          <w:rFonts w:ascii="Calibri" w:eastAsia="Calibri" w:hAnsi="Calibri" w:cs="Calibri"/>
          <w:color w:val="000000" w:themeColor="text1"/>
          <w:lang w:val="en-US"/>
        </w:rPr>
        <w:t>$5,337</w:t>
      </w:r>
      <w:r w:rsidRPr="002D686B">
        <w:rPr>
          <w:rFonts w:ascii="Calibri" w:eastAsia="Calibri" w:hAnsi="Calibri" w:cs="Calibri"/>
          <w:color w:val="000000" w:themeColor="text1"/>
          <w:lang w:val="en-US"/>
        </w:rPr>
        <w:t xml:space="preserve">, 95% CI </w:t>
      </w:r>
      <w:r>
        <w:rPr>
          <w:rFonts w:ascii="Calibri" w:eastAsia="Calibri" w:hAnsi="Calibri" w:cs="Calibri"/>
          <w:color w:val="000000" w:themeColor="text1"/>
          <w:lang w:val="en-US"/>
        </w:rPr>
        <w:t>$5,061</w:t>
      </w:r>
      <w:r>
        <w:rPr>
          <w:rFonts w:ascii="Calibri" w:eastAsia="Calibri" w:hAnsi="Calibri" w:cs="Calibri"/>
          <w:lang w:val="en-US"/>
        </w:rPr>
        <w:t xml:space="preserve"> to $5,612</w:t>
      </w:r>
      <w:r w:rsidRPr="002D686B">
        <w:rPr>
          <w:rFonts w:ascii="Calibri" w:eastAsia="Calibri" w:hAnsi="Calibri" w:cs="Calibri"/>
          <w:color w:val="000000" w:themeColor="text1"/>
          <w:lang w:val="en-US"/>
        </w:rPr>
        <w:t>) of the total cost</w:t>
      </w:r>
      <w:r w:rsidRPr="002D686B">
        <w:rPr>
          <w:lang w:val="en-US"/>
        </w:rPr>
        <w:t>. After adjusting for case-mix</w:t>
      </w:r>
      <w:r>
        <w:rPr>
          <w:lang w:val="en-US"/>
        </w:rPr>
        <w:t>,</w:t>
      </w:r>
      <w:r w:rsidRPr="002D686B">
        <w:rPr>
          <w:lang w:val="en-US"/>
        </w:rPr>
        <w:t xml:space="preserve"> the total mean cost per </w:t>
      </w:r>
      <w:r>
        <w:rPr>
          <w:lang w:val="en-US"/>
        </w:rPr>
        <w:t>patient decreased by a mean of $740</w:t>
      </w:r>
      <w:r w:rsidRPr="002D686B">
        <w:rPr>
          <w:lang w:val="en-US"/>
        </w:rPr>
        <w:t xml:space="preserve"> per year (95% CI </w:t>
      </w:r>
      <w:r>
        <w:rPr>
          <w:lang w:val="en-US"/>
        </w:rPr>
        <w:t xml:space="preserve">$1,294 </w:t>
      </w:r>
      <w:r>
        <w:rPr>
          <w:rFonts w:ascii="Calibri" w:eastAsia="Calibri" w:hAnsi="Calibri" w:cs="Calibri"/>
          <w:lang w:val="en-US"/>
        </w:rPr>
        <w:t>to $187</w:t>
      </w:r>
      <w:r w:rsidRPr="002D686B">
        <w:rPr>
          <w:lang w:val="en-US"/>
        </w:rPr>
        <w:t>).</w:t>
      </w:r>
      <w:r>
        <w:rPr>
          <w:lang w:val="en-US"/>
        </w:rPr>
        <w:t xml:space="preserve"> Costs expressed in 2013 U.S. dollars. </w:t>
      </w:r>
    </w:p>
    <w:p w14:paraId="70FE95F9" w14:textId="047CB2E1" w:rsidR="00956115" w:rsidRPr="002D686B" w:rsidRDefault="001D6F4A" w:rsidP="317200CE">
      <w:pPr>
        <w:spacing w:line="480" w:lineRule="auto"/>
        <w:rPr>
          <w:lang w:val="en-US"/>
        </w:rPr>
      </w:pPr>
      <w:r>
        <w:rPr>
          <w:b/>
          <w:bCs/>
          <w:lang w:val="en-US"/>
        </w:rPr>
        <w:t xml:space="preserve">Supplemental </w:t>
      </w:r>
      <w:r w:rsidR="000173F7" w:rsidRPr="00FF4100">
        <w:rPr>
          <w:b/>
          <w:bCs/>
          <w:lang w:val="en-US"/>
        </w:rPr>
        <w:t xml:space="preserve">Figure </w:t>
      </w:r>
      <w:r w:rsidR="00006B51">
        <w:rPr>
          <w:b/>
          <w:bCs/>
          <w:lang w:val="en-US"/>
        </w:rPr>
        <w:t>2</w:t>
      </w:r>
      <w:r w:rsidR="00956115" w:rsidRPr="002D686B">
        <w:rPr>
          <w:lang w:val="en-US"/>
        </w:rPr>
        <w:t>: Sum of one-year costs from 2003</w:t>
      </w:r>
      <w:r w:rsidR="00EE3D03">
        <w:rPr>
          <w:rFonts w:ascii="Calibri" w:eastAsia="Calibri" w:hAnsi="Calibri" w:cs="Calibri"/>
          <w:lang w:val="en-US"/>
        </w:rPr>
        <w:t>–</w:t>
      </w:r>
      <w:r w:rsidR="00956115" w:rsidRPr="002D686B">
        <w:rPr>
          <w:lang w:val="en-US"/>
        </w:rPr>
        <w:t xml:space="preserve">2013. </w:t>
      </w:r>
      <w:r w:rsidR="00E116CB">
        <w:rPr>
          <w:lang w:val="en-US"/>
        </w:rPr>
        <w:t>The total sum of costs was $7.1 million</w:t>
      </w:r>
      <w:r w:rsidR="00375CE2">
        <w:rPr>
          <w:lang w:val="en-US"/>
        </w:rPr>
        <w:t>s</w:t>
      </w:r>
      <w:r w:rsidR="00E116CB">
        <w:rPr>
          <w:lang w:val="en-US"/>
        </w:rPr>
        <w:t xml:space="preserve"> in 2003 and $10.8</w:t>
      </w:r>
      <w:r w:rsidR="00956115" w:rsidRPr="002D686B">
        <w:rPr>
          <w:lang w:val="en-US"/>
        </w:rPr>
        <w:t xml:space="preserve"> million</w:t>
      </w:r>
      <w:r w:rsidR="00375CE2">
        <w:rPr>
          <w:lang w:val="en-US"/>
        </w:rPr>
        <w:t>s</w:t>
      </w:r>
      <w:r w:rsidR="00956115" w:rsidRPr="002D686B">
        <w:rPr>
          <w:lang w:val="en-US"/>
        </w:rPr>
        <w:t xml:space="preserve"> in 2013 (mean</w:t>
      </w:r>
      <w:r w:rsidR="00EE3D03">
        <w:rPr>
          <w:lang w:val="en-US"/>
        </w:rPr>
        <w:t xml:space="preserve"> =</w:t>
      </w:r>
      <w:r w:rsidR="00E116CB">
        <w:rPr>
          <w:lang w:val="en-US"/>
        </w:rPr>
        <w:t xml:space="preserve"> $11.0</w:t>
      </w:r>
      <w:r w:rsidR="00956115" w:rsidRPr="002D686B">
        <w:rPr>
          <w:lang w:val="en-US"/>
        </w:rPr>
        <w:t xml:space="preserve"> million</w:t>
      </w:r>
      <w:r w:rsidR="00375CE2">
        <w:rPr>
          <w:lang w:val="en-US"/>
        </w:rPr>
        <w:t>s</w:t>
      </w:r>
      <w:r w:rsidR="00956115" w:rsidRPr="002D686B">
        <w:rPr>
          <w:lang w:val="en-US"/>
        </w:rPr>
        <w:t xml:space="preserve"> per year).</w:t>
      </w:r>
    </w:p>
    <w:p w14:paraId="7B201D61" w14:textId="0CD16E80" w:rsidR="00566A6D" w:rsidRPr="003548D1" w:rsidRDefault="001D6F4A">
      <w:pPr>
        <w:spacing w:line="480" w:lineRule="auto"/>
        <w:rPr>
          <w:lang w:val="en-US"/>
        </w:rPr>
      </w:pPr>
      <w:r>
        <w:rPr>
          <w:b/>
          <w:bCs/>
          <w:lang w:val="en-US"/>
        </w:rPr>
        <w:lastRenderedPageBreak/>
        <w:t xml:space="preserve">Supplemental </w:t>
      </w:r>
      <w:r w:rsidR="008F3AC3" w:rsidRPr="009C3936">
        <w:rPr>
          <w:b/>
          <w:bCs/>
          <w:lang w:val="en-US"/>
        </w:rPr>
        <w:t xml:space="preserve">Figure </w:t>
      </w:r>
      <w:r w:rsidR="00006B51">
        <w:rPr>
          <w:b/>
          <w:lang w:val="en-US"/>
        </w:rPr>
        <w:t>3</w:t>
      </w:r>
      <w:r w:rsidR="0060599A">
        <w:rPr>
          <w:lang w:val="en-US"/>
        </w:rPr>
        <w:t>:</w:t>
      </w:r>
      <w:r w:rsidR="008F3AC3" w:rsidRPr="002D686B">
        <w:rPr>
          <w:lang w:val="en-US"/>
        </w:rPr>
        <w:t xml:space="preserve"> </w:t>
      </w:r>
      <w:r w:rsidR="0081485B">
        <w:rPr>
          <w:lang w:val="en-US"/>
        </w:rPr>
        <w:t>Cost-effectiveness analysis</w:t>
      </w:r>
      <w:r w:rsidR="008F3AC3" w:rsidRPr="002D686B">
        <w:rPr>
          <w:lang w:val="en-US"/>
        </w:rPr>
        <w:t xml:space="preserve"> </w:t>
      </w:r>
      <w:r w:rsidR="0081485B">
        <w:rPr>
          <w:lang w:val="en-US"/>
        </w:rPr>
        <w:t>for the</w:t>
      </w:r>
      <w:r w:rsidR="008F3AC3" w:rsidRPr="002D686B">
        <w:rPr>
          <w:lang w:val="en-US"/>
        </w:rPr>
        <w:t xml:space="preserve"> predefined subgroups. Costs are shown as mean</w:t>
      </w:r>
      <w:r w:rsidR="008F3AC3">
        <w:rPr>
          <w:lang w:val="en-US"/>
        </w:rPr>
        <w:t>s</w:t>
      </w:r>
      <w:r w:rsidR="008F3AC3" w:rsidRPr="002D686B">
        <w:rPr>
          <w:lang w:val="en-US"/>
        </w:rPr>
        <w:t xml:space="preserve"> with 95% confidence intervals per patient, per one-year non-survivor, per permanently disabled</w:t>
      </w:r>
      <w:r w:rsidR="008F3AC3">
        <w:rPr>
          <w:lang w:val="en-US"/>
        </w:rPr>
        <w:t xml:space="preserve"> survivor,</w:t>
      </w:r>
      <w:r w:rsidR="008F3AC3" w:rsidRPr="002D686B">
        <w:rPr>
          <w:lang w:val="en-US"/>
        </w:rPr>
        <w:t xml:space="preserve"> and per independent survivor. ECPS and ECPIS were systematically higher in the lower GCS groups and systematically lower in the lower age groups. </w:t>
      </w:r>
      <w:r w:rsidR="008F3AC3" w:rsidRPr="00C2509C">
        <w:rPr>
          <w:lang w:val="en-US"/>
        </w:rPr>
        <w:t>Abbreviations: Glasgow Coma Scale</w:t>
      </w:r>
      <w:r w:rsidR="008F3AC3">
        <w:rPr>
          <w:lang w:val="en-US"/>
        </w:rPr>
        <w:t xml:space="preserve"> (GCS),</w:t>
      </w:r>
      <w:r w:rsidR="008F3AC3" w:rsidRPr="00C2509C">
        <w:rPr>
          <w:lang w:val="en-US"/>
        </w:rPr>
        <w:t xml:space="preserve"> </w:t>
      </w:r>
      <w:r w:rsidR="008F3AC3">
        <w:rPr>
          <w:lang w:val="en-US"/>
        </w:rPr>
        <w:t>c</w:t>
      </w:r>
      <w:r w:rsidR="008F3AC3" w:rsidRPr="00C2509C">
        <w:rPr>
          <w:lang w:val="en-US"/>
        </w:rPr>
        <w:t xml:space="preserve">onfidence </w:t>
      </w:r>
      <w:r w:rsidR="008F3AC3">
        <w:rPr>
          <w:lang w:val="en-US"/>
        </w:rPr>
        <w:t>i</w:t>
      </w:r>
      <w:r w:rsidR="008F3AC3" w:rsidRPr="00C2509C">
        <w:rPr>
          <w:lang w:val="en-US"/>
        </w:rPr>
        <w:t>nterval</w:t>
      </w:r>
      <w:r w:rsidR="008F3AC3">
        <w:rPr>
          <w:lang w:val="en-US"/>
        </w:rPr>
        <w:t xml:space="preserve"> (CI),</w:t>
      </w:r>
      <w:r w:rsidR="008F3AC3" w:rsidRPr="00C2509C">
        <w:rPr>
          <w:lang w:val="en-US"/>
        </w:rPr>
        <w:t xml:space="preserve"> </w:t>
      </w:r>
      <w:r w:rsidR="008F3AC3">
        <w:rPr>
          <w:lang w:val="en-US"/>
        </w:rPr>
        <w:t>e</w:t>
      </w:r>
      <w:r w:rsidR="008F3AC3" w:rsidRPr="00C2509C">
        <w:rPr>
          <w:lang w:val="en-US"/>
        </w:rPr>
        <w:t xml:space="preserve">ffective </w:t>
      </w:r>
      <w:r w:rsidR="008F3AC3">
        <w:rPr>
          <w:lang w:val="en-US"/>
        </w:rPr>
        <w:t>c</w:t>
      </w:r>
      <w:r w:rsidR="008F3AC3" w:rsidRPr="00C2509C">
        <w:rPr>
          <w:lang w:val="en-US"/>
        </w:rPr>
        <w:t xml:space="preserve">ost per </w:t>
      </w:r>
      <w:r w:rsidR="008F3AC3">
        <w:rPr>
          <w:lang w:val="en-US"/>
        </w:rPr>
        <w:t>s</w:t>
      </w:r>
      <w:r w:rsidR="008F3AC3" w:rsidRPr="00C2509C">
        <w:rPr>
          <w:lang w:val="en-US"/>
        </w:rPr>
        <w:t>urvivor</w:t>
      </w:r>
      <w:r w:rsidR="008F3AC3">
        <w:rPr>
          <w:lang w:val="en-US"/>
        </w:rPr>
        <w:t xml:space="preserve"> (ECPS),</w:t>
      </w:r>
      <w:r w:rsidR="008F3AC3" w:rsidRPr="00C2509C">
        <w:rPr>
          <w:lang w:val="en-US"/>
        </w:rPr>
        <w:t xml:space="preserve"> </w:t>
      </w:r>
      <w:r w:rsidR="008F3AC3">
        <w:rPr>
          <w:lang w:val="en-US"/>
        </w:rPr>
        <w:t>e</w:t>
      </w:r>
      <w:r w:rsidR="008F3AC3" w:rsidRPr="00C2509C">
        <w:rPr>
          <w:lang w:val="en-US"/>
        </w:rPr>
        <w:t xml:space="preserve">ffective </w:t>
      </w:r>
      <w:r w:rsidR="008F3AC3">
        <w:rPr>
          <w:lang w:val="en-US"/>
        </w:rPr>
        <w:t>c</w:t>
      </w:r>
      <w:r w:rsidR="008F3AC3" w:rsidRPr="00C2509C">
        <w:rPr>
          <w:lang w:val="en-US"/>
        </w:rPr>
        <w:t xml:space="preserve">ost per </w:t>
      </w:r>
      <w:r w:rsidR="008F3AC3">
        <w:rPr>
          <w:lang w:val="en-US"/>
        </w:rPr>
        <w:t>i</w:t>
      </w:r>
      <w:r w:rsidR="008F3AC3" w:rsidRPr="00C2509C">
        <w:rPr>
          <w:lang w:val="en-US"/>
        </w:rPr>
        <w:t xml:space="preserve">ndependent </w:t>
      </w:r>
      <w:r w:rsidR="008F3AC3">
        <w:rPr>
          <w:lang w:val="en-US"/>
        </w:rPr>
        <w:t>s</w:t>
      </w:r>
      <w:r w:rsidR="008F3AC3" w:rsidRPr="00C2509C">
        <w:rPr>
          <w:lang w:val="en-US"/>
        </w:rPr>
        <w:t>urvivor</w:t>
      </w:r>
      <w:r w:rsidR="008F3AC3">
        <w:rPr>
          <w:lang w:val="en-US"/>
        </w:rPr>
        <w:t xml:space="preserve"> (ECPIS).</w:t>
      </w:r>
      <w:r w:rsidR="00566A6D" w:rsidRPr="00C2509C">
        <w:rPr>
          <w:strike/>
          <w:lang w:val="en-US"/>
        </w:rPr>
        <w:br w:type="page"/>
      </w:r>
    </w:p>
    <w:p w14:paraId="340056A3" w14:textId="78F82320" w:rsidR="00F00BAB" w:rsidRPr="00FF4100" w:rsidRDefault="317200CE" w:rsidP="00C2509C">
      <w:pPr>
        <w:pStyle w:val="Heading1"/>
        <w:spacing w:line="480" w:lineRule="auto"/>
        <w:rPr>
          <w:b/>
          <w:lang w:val="en-US"/>
        </w:rPr>
      </w:pPr>
      <w:r w:rsidRPr="00FF4100">
        <w:rPr>
          <w:b/>
          <w:lang w:val="en-US"/>
        </w:rPr>
        <w:lastRenderedPageBreak/>
        <w:t>REFERENCES</w:t>
      </w:r>
    </w:p>
    <w:p w14:paraId="5770008A" w14:textId="42F35A06" w:rsidR="003548D1" w:rsidRPr="003548D1" w:rsidRDefault="0065400C" w:rsidP="003548D1">
      <w:pPr>
        <w:widowControl w:val="0"/>
        <w:autoSpaceDE w:val="0"/>
        <w:autoSpaceDN w:val="0"/>
        <w:adjustRightInd w:val="0"/>
        <w:spacing w:after="0" w:line="360" w:lineRule="auto"/>
        <w:ind w:left="640" w:hanging="640"/>
        <w:rPr>
          <w:rFonts w:ascii="Calibri" w:eastAsia="Times New Roman" w:hAnsi="Calibri" w:cs="Times New Roman"/>
          <w:noProof/>
          <w:sz w:val="20"/>
          <w:lang w:val="en-GB"/>
        </w:rPr>
      </w:pPr>
      <w:r w:rsidRPr="006F7FE6">
        <w:rPr>
          <w:rFonts w:ascii="Calibri" w:hAnsi="Calibri"/>
          <w:sz w:val="20"/>
          <w:lang w:val="en-US"/>
        </w:rPr>
        <w:fldChar w:fldCharType="begin" w:fldLock="1"/>
      </w:r>
      <w:r w:rsidRPr="006F7FE6">
        <w:rPr>
          <w:rFonts w:ascii="Calibri" w:hAnsi="Calibri"/>
          <w:sz w:val="20"/>
          <w:lang w:val="en-US"/>
        </w:rPr>
        <w:instrText xml:space="preserve">ADDIN Mendeley Bibliography CSL_BIBLIOGRAPHY </w:instrText>
      </w:r>
      <w:r w:rsidRPr="006F7FE6">
        <w:rPr>
          <w:rFonts w:ascii="Calibri" w:hAnsi="Calibri"/>
          <w:sz w:val="20"/>
          <w:lang w:val="en-US"/>
        </w:rPr>
        <w:fldChar w:fldCharType="separate"/>
      </w:r>
      <w:r w:rsidR="003548D1" w:rsidRPr="003548D1">
        <w:rPr>
          <w:rFonts w:ascii="Calibri" w:eastAsia="Times New Roman" w:hAnsi="Calibri" w:cs="Times New Roman"/>
          <w:noProof/>
          <w:sz w:val="20"/>
          <w:lang w:val="en-GB"/>
        </w:rPr>
        <w:t xml:space="preserve">1. </w:t>
      </w:r>
      <w:r w:rsidR="003548D1" w:rsidRPr="003548D1">
        <w:rPr>
          <w:rFonts w:ascii="Calibri" w:eastAsia="Times New Roman" w:hAnsi="Calibri" w:cs="Times New Roman"/>
          <w:noProof/>
          <w:sz w:val="20"/>
          <w:lang w:val="en-GB"/>
        </w:rPr>
        <w:tab/>
        <w:t xml:space="preserve">Maas AIR, Menon DK, Steyerberg EW, et al.: Collaborative European neurotrauma effectiveness research in traumatic brain injury (CENTER-TBI): A prospective longitudinal observational study. </w:t>
      </w:r>
      <w:r w:rsidR="003548D1" w:rsidRPr="003548D1">
        <w:rPr>
          <w:rFonts w:ascii="Calibri" w:eastAsia="Times New Roman" w:hAnsi="Calibri" w:cs="Times New Roman"/>
          <w:i/>
          <w:iCs/>
          <w:noProof/>
          <w:sz w:val="20"/>
          <w:lang w:val="en-GB"/>
        </w:rPr>
        <w:t>Neurosurgery</w:t>
      </w:r>
      <w:r w:rsidR="003548D1" w:rsidRPr="003548D1">
        <w:rPr>
          <w:rFonts w:ascii="Calibri" w:eastAsia="Times New Roman" w:hAnsi="Calibri" w:cs="Times New Roman"/>
          <w:noProof/>
          <w:sz w:val="20"/>
          <w:lang w:val="en-GB"/>
        </w:rPr>
        <w:t xml:space="preserve"> 2015; 76</w:t>
      </w:r>
    </w:p>
    <w:p w14:paraId="7ED19BF9" w14:textId="77777777" w:rsidR="003548D1" w:rsidRPr="003548D1" w:rsidRDefault="003548D1" w:rsidP="003548D1">
      <w:pPr>
        <w:widowControl w:val="0"/>
        <w:autoSpaceDE w:val="0"/>
        <w:autoSpaceDN w:val="0"/>
        <w:adjustRightInd w:val="0"/>
        <w:spacing w:after="0" w:line="360" w:lineRule="auto"/>
        <w:ind w:left="640" w:hanging="640"/>
        <w:rPr>
          <w:rFonts w:ascii="Calibri" w:eastAsia="Times New Roman" w:hAnsi="Calibri" w:cs="Times New Roman"/>
          <w:noProof/>
          <w:sz w:val="20"/>
          <w:lang w:val="en-GB"/>
        </w:rPr>
      </w:pPr>
      <w:r w:rsidRPr="003548D1">
        <w:rPr>
          <w:rFonts w:ascii="Calibri" w:eastAsia="Times New Roman" w:hAnsi="Calibri" w:cs="Times New Roman"/>
          <w:noProof/>
          <w:sz w:val="20"/>
          <w:lang w:val="en-GB"/>
        </w:rPr>
        <w:t xml:space="preserve">2. </w:t>
      </w:r>
      <w:r w:rsidRPr="003548D1">
        <w:rPr>
          <w:rFonts w:ascii="Calibri" w:eastAsia="Times New Roman" w:hAnsi="Calibri" w:cs="Times New Roman"/>
          <w:noProof/>
          <w:sz w:val="20"/>
          <w:lang w:val="en-GB"/>
        </w:rPr>
        <w:tab/>
        <w:t>World Health Organization: Investing in Health Research and Development: Report of the Ad Hoc Committee on Health Research Relating to Future Intervention Options [Internet]. Geneva: 1996. [cited 2017 Mar 4] Available from: http://apps.who.int/iris/bitstream/10665/63024/1/TDR_Gen_96.1_pp1-34.pdf</w:t>
      </w:r>
    </w:p>
    <w:p w14:paraId="4A59AA99" w14:textId="77777777" w:rsidR="003548D1" w:rsidRPr="003548D1" w:rsidRDefault="003548D1" w:rsidP="003548D1">
      <w:pPr>
        <w:widowControl w:val="0"/>
        <w:autoSpaceDE w:val="0"/>
        <w:autoSpaceDN w:val="0"/>
        <w:adjustRightInd w:val="0"/>
        <w:spacing w:after="0" w:line="360" w:lineRule="auto"/>
        <w:ind w:left="640" w:hanging="640"/>
        <w:rPr>
          <w:rFonts w:ascii="Calibri" w:eastAsia="Times New Roman" w:hAnsi="Calibri" w:cs="Times New Roman"/>
          <w:noProof/>
          <w:sz w:val="20"/>
          <w:lang w:val="en-GB"/>
        </w:rPr>
      </w:pPr>
      <w:r w:rsidRPr="003548D1">
        <w:rPr>
          <w:rFonts w:ascii="Calibri" w:eastAsia="Times New Roman" w:hAnsi="Calibri" w:cs="Times New Roman"/>
          <w:noProof/>
          <w:sz w:val="20"/>
          <w:lang w:val="en-GB"/>
        </w:rPr>
        <w:t xml:space="preserve">3. </w:t>
      </w:r>
      <w:r w:rsidRPr="003548D1">
        <w:rPr>
          <w:rFonts w:ascii="Calibri" w:eastAsia="Times New Roman" w:hAnsi="Calibri" w:cs="Times New Roman"/>
          <w:noProof/>
          <w:sz w:val="20"/>
          <w:lang w:val="en-GB"/>
        </w:rPr>
        <w:tab/>
        <w:t xml:space="preserve">Reinikainen M, Uusaro A, Niskanen M, et al.: Intensive care of the elderly in Finland. </w:t>
      </w:r>
      <w:r w:rsidRPr="003548D1">
        <w:rPr>
          <w:rFonts w:ascii="Calibri" w:eastAsia="Times New Roman" w:hAnsi="Calibri" w:cs="Times New Roman"/>
          <w:i/>
          <w:iCs/>
          <w:noProof/>
          <w:sz w:val="20"/>
          <w:lang w:val="en-GB"/>
        </w:rPr>
        <w:t>Acta Anaesthesiol Scand</w:t>
      </w:r>
      <w:r w:rsidRPr="003548D1">
        <w:rPr>
          <w:rFonts w:ascii="Calibri" w:eastAsia="Times New Roman" w:hAnsi="Calibri" w:cs="Times New Roman"/>
          <w:noProof/>
          <w:sz w:val="20"/>
          <w:lang w:val="en-GB"/>
        </w:rPr>
        <w:t xml:space="preserve"> 2007; 51:522–529</w:t>
      </w:r>
    </w:p>
    <w:p w14:paraId="6CF29542" w14:textId="77777777" w:rsidR="003548D1" w:rsidRPr="003548D1" w:rsidRDefault="003548D1" w:rsidP="003548D1">
      <w:pPr>
        <w:widowControl w:val="0"/>
        <w:autoSpaceDE w:val="0"/>
        <w:autoSpaceDN w:val="0"/>
        <w:adjustRightInd w:val="0"/>
        <w:spacing w:after="0" w:line="360" w:lineRule="auto"/>
        <w:ind w:left="640" w:hanging="640"/>
        <w:rPr>
          <w:rFonts w:ascii="Calibri" w:eastAsia="Times New Roman" w:hAnsi="Calibri" w:cs="Times New Roman"/>
          <w:noProof/>
          <w:sz w:val="20"/>
          <w:lang w:val="en-GB"/>
        </w:rPr>
      </w:pPr>
      <w:r w:rsidRPr="003548D1">
        <w:rPr>
          <w:rFonts w:ascii="Calibri" w:eastAsia="Times New Roman" w:hAnsi="Calibri" w:cs="Times New Roman"/>
          <w:noProof/>
          <w:sz w:val="20"/>
          <w:lang w:val="en-GB"/>
        </w:rPr>
        <w:t xml:space="preserve">4. </w:t>
      </w:r>
      <w:r w:rsidRPr="003548D1">
        <w:rPr>
          <w:rFonts w:ascii="Calibri" w:eastAsia="Times New Roman" w:hAnsi="Calibri" w:cs="Times New Roman"/>
          <w:noProof/>
          <w:sz w:val="20"/>
          <w:lang w:val="en-GB"/>
        </w:rPr>
        <w:tab/>
        <w:t xml:space="preserve">Halpern NA, Pastores SM, Greenstein RJ: Critical care medicine in the United States 1985-2000: an analysis of bed numbers, use, and costs. [Internet]. </w:t>
      </w:r>
      <w:r w:rsidRPr="003548D1">
        <w:rPr>
          <w:rFonts w:ascii="Calibri" w:eastAsia="Times New Roman" w:hAnsi="Calibri" w:cs="Times New Roman"/>
          <w:i/>
          <w:iCs/>
          <w:noProof/>
          <w:sz w:val="20"/>
          <w:lang w:val="en-GB"/>
        </w:rPr>
        <w:t>Crit Care Med</w:t>
      </w:r>
      <w:r w:rsidRPr="003548D1">
        <w:rPr>
          <w:rFonts w:ascii="Calibri" w:eastAsia="Times New Roman" w:hAnsi="Calibri" w:cs="Times New Roman"/>
          <w:noProof/>
          <w:sz w:val="20"/>
          <w:lang w:val="en-GB"/>
        </w:rPr>
        <w:t xml:space="preserve"> 2004; 32:1254–9[cited 2017 Mar 10] Available from: http://www.ncbi.nlm.nih.gov/pubmed/15187502</w:t>
      </w:r>
    </w:p>
    <w:p w14:paraId="3154F179" w14:textId="77777777" w:rsidR="003548D1" w:rsidRPr="003548D1" w:rsidRDefault="003548D1" w:rsidP="003548D1">
      <w:pPr>
        <w:widowControl w:val="0"/>
        <w:autoSpaceDE w:val="0"/>
        <w:autoSpaceDN w:val="0"/>
        <w:adjustRightInd w:val="0"/>
        <w:spacing w:after="0" w:line="360" w:lineRule="auto"/>
        <w:ind w:left="640" w:hanging="640"/>
        <w:rPr>
          <w:rFonts w:ascii="Calibri" w:eastAsia="Times New Roman" w:hAnsi="Calibri" w:cs="Times New Roman"/>
          <w:noProof/>
          <w:sz w:val="20"/>
          <w:lang w:val="en-GB"/>
        </w:rPr>
      </w:pPr>
      <w:r w:rsidRPr="003548D1">
        <w:rPr>
          <w:rFonts w:ascii="Calibri" w:eastAsia="Times New Roman" w:hAnsi="Calibri" w:cs="Times New Roman"/>
          <w:noProof/>
          <w:sz w:val="20"/>
          <w:lang w:val="en-GB"/>
        </w:rPr>
        <w:lastRenderedPageBreak/>
        <w:t xml:space="preserve">5. </w:t>
      </w:r>
      <w:r w:rsidRPr="003548D1">
        <w:rPr>
          <w:rFonts w:ascii="Calibri" w:eastAsia="Times New Roman" w:hAnsi="Calibri" w:cs="Times New Roman"/>
          <w:noProof/>
          <w:sz w:val="20"/>
          <w:lang w:val="en-GB"/>
        </w:rPr>
        <w:tab/>
        <w:t xml:space="preserve">Halpern NA, Pastores SM: Critical care medicine in the United States 2000-2005: an analysis of bed numbers, occupancy rates, payer mix, and costs. [Internet]. </w:t>
      </w:r>
      <w:r w:rsidRPr="003548D1">
        <w:rPr>
          <w:rFonts w:ascii="Calibri" w:eastAsia="Times New Roman" w:hAnsi="Calibri" w:cs="Times New Roman"/>
          <w:i/>
          <w:iCs/>
          <w:noProof/>
          <w:sz w:val="20"/>
          <w:lang w:val="en-GB"/>
        </w:rPr>
        <w:t>Crit Care Med</w:t>
      </w:r>
      <w:r w:rsidRPr="003548D1">
        <w:rPr>
          <w:rFonts w:ascii="Calibri" w:eastAsia="Times New Roman" w:hAnsi="Calibri" w:cs="Times New Roman"/>
          <w:noProof/>
          <w:sz w:val="20"/>
          <w:lang w:val="en-GB"/>
        </w:rPr>
        <w:t xml:space="preserve"> 2010; 38:65–71[cited 2017 Mar 10] Available from: http://content.wkhealth.com/linkback/openurl?sid=WKPTLP:landingpage&amp;an=00003246-201001000-00012</w:t>
      </w:r>
    </w:p>
    <w:p w14:paraId="22C08966" w14:textId="77777777" w:rsidR="003548D1" w:rsidRPr="003548D1" w:rsidRDefault="003548D1" w:rsidP="003548D1">
      <w:pPr>
        <w:widowControl w:val="0"/>
        <w:autoSpaceDE w:val="0"/>
        <w:autoSpaceDN w:val="0"/>
        <w:adjustRightInd w:val="0"/>
        <w:spacing w:after="0" w:line="360" w:lineRule="auto"/>
        <w:ind w:left="640" w:hanging="640"/>
        <w:rPr>
          <w:rFonts w:ascii="Calibri" w:eastAsia="Times New Roman" w:hAnsi="Calibri" w:cs="Times New Roman"/>
          <w:noProof/>
          <w:sz w:val="20"/>
          <w:lang w:val="en-GB"/>
        </w:rPr>
      </w:pPr>
      <w:r w:rsidRPr="003548D1">
        <w:rPr>
          <w:rFonts w:ascii="Calibri" w:eastAsia="Times New Roman" w:hAnsi="Calibri" w:cs="Times New Roman"/>
          <w:noProof/>
          <w:sz w:val="20"/>
          <w:lang w:val="en-GB"/>
        </w:rPr>
        <w:t xml:space="preserve">6. </w:t>
      </w:r>
      <w:r w:rsidRPr="003548D1">
        <w:rPr>
          <w:rFonts w:ascii="Calibri" w:eastAsia="Times New Roman" w:hAnsi="Calibri" w:cs="Times New Roman"/>
          <w:noProof/>
          <w:sz w:val="20"/>
          <w:lang w:val="en-GB"/>
        </w:rPr>
        <w:tab/>
        <w:t xml:space="preserve">Roozenbeek B, Maas AIR, Menon DK: Changing patterns in the epidemiology of traumatic brain injury. [Internet]. </w:t>
      </w:r>
      <w:r w:rsidRPr="003548D1">
        <w:rPr>
          <w:rFonts w:ascii="Calibri" w:eastAsia="Times New Roman" w:hAnsi="Calibri" w:cs="Times New Roman"/>
          <w:i/>
          <w:iCs/>
          <w:noProof/>
          <w:sz w:val="20"/>
          <w:lang w:val="en-GB"/>
        </w:rPr>
        <w:t>Nat Rev Neurol</w:t>
      </w:r>
      <w:r w:rsidRPr="003548D1">
        <w:rPr>
          <w:rFonts w:ascii="Calibri" w:eastAsia="Times New Roman" w:hAnsi="Calibri" w:cs="Times New Roman"/>
          <w:noProof/>
          <w:sz w:val="20"/>
          <w:lang w:val="en-GB"/>
        </w:rPr>
        <w:t xml:space="preserve"> 2013; 9:231–6Available from: http://dx.doi.org/10.1038/nrneurol.2013.22</w:t>
      </w:r>
    </w:p>
    <w:p w14:paraId="4F63CABF" w14:textId="77777777" w:rsidR="003548D1" w:rsidRPr="003548D1" w:rsidRDefault="003548D1" w:rsidP="003548D1">
      <w:pPr>
        <w:widowControl w:val="0"/>
        <w:autoSpaceDE w:val="0"/>
        <w:autoSpaceDN w:val="0"/>
        <w:adjustRightInd w:val="0"/>
        <w:spacing w:after="0" w:line="360" w:lineRule="auto"/>
        <w:ind w:left="640" w:hanging="640"/>
        <w:rPr>
          <w:rFonts w:ascii="Calibri" w:eastAsia="Times New Roman" w:hAnsi="Calibri" w:cs="Times New Roman"/>
          <w:noProof/>
          <w:sz w:val="20"/>
          <w:lang w:val="en-GB"/>
        </w:rPr>
      </w:pPr>
      <w:r w:rsidRPr="003548D1">
        <w:rPr>
          <w:rFonts w:ascii="Calibri" w:eastAsia="Times New Roman" w:hAnsi="Calibri" w:cs="Times New Roman"/>
          <w:noProof/>
          <w:sz w:val="20"/>
          <w:lang w:val="en-GB"/>
        </w:rPr>
        <w:t xml:space="preserve">7. </w:t>
      </w:r>
      <w:r w:rsidRPr="003548D1">
        <w:rPr>
          <w:rFonts w:ascii="Calibri" w:eastAsia="Times New Roman" w:hAnsi="Calibri" w:cs="Times New Roman"/>
          <w:noProof/>
          <w:sz w:val="20"/>
          <w:lang w:val="en-GB"/>
        </w:rPr>
        <w:tab/>
        <w:t xml:space="preserve">Raj R, Bendel S, Reinikainen M, et al.: Traumatic brain injury patient volume and mortality in neurosurgical intensive care units: a Finnish nationwide study. </w:t>
      </w:r>
      <w:r w:rsidRPr="003548D1">
        <w:rPr>
          <w:rFonts w:ascii="Calibri" w:eastAsia="Times New Roman" w:hAnsi="Calibri" w:cs="Times New Roman"/>
          <w:i/>
          <w:iCs/>
          <w:noProof/>
          <w:sz w:val="20"/>
          <w:lang w:val="en-GB"/>
        </w:rPr>
        <w:t>Scand J Trauma, Resusc</w:t>
      </w:r>
      <w:r w:rsidRPr="003548D1">
        <w:rPr>
          <w:rFonts w:ascii="Calibri" w:eastAsia="Times New Roman" w:hAnsi="Calibri" w:cs="Times New Roman"/>
          <w:noProof/>
          <w:sz w:val="20"/>
          <w:lang w:val="en-GB"/>
        </w:rPr>
        <w:t xml:space="preserve"> 2016; 24</w:t>
      </w:r>
    </w:p>
    <w:p w14:paraId="4265E02C" w14:textId="77777777" w:rsidR="003548D1" w:rsidRPr="003548D1" w:rsidRDefault="003548D1" w:rsidP="003548D1">
      <w:pPr>
        <w:widowControl w:val="0"/>
        <w:autoSpaceDE w:val="0"/>
        <w:autoSpaceDN w:val="0"/>
        <w:adjustRightInd w:val="0"/>
        <w:spacing w:after="0" w:line="360" w:lineRule="auto"/>
        <w:ind w:left="640" w:hanging="640"/>
        <w:rPr>
          <w:rFonts w:ascii="Calibri" w:eastAsia="Times New Roman" w:hAnsi="Calibri" w:cs="Times New Roman"/>
          <w:noProof/>
          <w:sz w:val="20"/>
          <w:lang w:val="en-GB"/>
        </w:rPr>
      </w:pPr>
      <w:r w:rsidRPr="003548D1">
        <w:rPr>
          <w:rFonts w:ascii="Calibri" w:eastAsia="Times New Roman" w:hAnsi="Calibri" w:cs="Times New Roman"/>
          <w:noProof/>
          <w:sz w:val="20"/>
          <w:lang w:val="en-GB"/>
        </w:rPr>
        <w:t xml:space="preserve">8. </w:t>
      </w:r>
      <w:r w:rsidRPr="003548D1">
        <w:rPr>
          <w:rFonts w:ascii="Calibri" w:eastAsia="Times New Roman" w:hAnsi="Calibri" w:cs="Times New Roman"/>
          <w:noProof/>
          <w:sz w:val="20"/>
          <w:lang w:val="en-GB"/>
        </w:rPr>
        <w:tab/>
        <w:t xml:space="preserve">Efendijev I, Raj R, Reinikainen M, et al.: Temporal trends in cardiac arrest incidence and outcome in Finnish intensive care units from 2003 to 2013. </w:t>
      </w:r>
      <w:r w:rsidRPr="003548D1">
        <w:rPr>
          <w:rFonts w:ascii="Calibri" w:eastAsia="Times New Roman" w:hAnsi="Calibri" w:cs="Times New Roman"/>
          <w:i/>
          <w:iCs/>
          <w:noProof/>
          <w:sz w:val="20"/>
          <w:lang w:val="en-GB"/>
        </w:rPr>
        <w:t>Intensive Care Med</w:t>
      </w:r>
      <w:r w:rsidRPr="003548D1">
        <w:rPr>
          <w:rFonts w:ascii="Calibri" w:eastAsia="Times New Roman" w:hAnsi="Calibri" w:cs="Times New Roman"/>
          <w:noProof/>
          <w:sz w:val="20"/>
          <w:lang w:val="en-GB"/>
        </w:rPr>
        <w:t xml:space="preserve"> 2014; 40</w:t>
      </w:r>
    </w:p>
    <w:p w14:paraId="5955C935" w14:textId="77777777" w:rsidR="003548D1" w:rsidRPr="003548D1" w:rsidRDefault="003548D1" w:rsidP="003548D1">
      <w:pPr>
        <w:widowControl w:val="0"/>
        <w:autoSpaceDE w:val="0"/>
        <w:autoSpaceDN w:val="0"/>
        <w:adjustRightInd w:val="0"/>
        <w:spacing w:after="0" w:line="360" w:lineRule="auto"/>
        <w:ind w:left="640" w:hanging="640"/>
        <w:rPr>
          <w:rFonts w:ascii="Calibri" w:eastAsia="Times New Roman" w:hAnsi="Calibri" w:cs="Times New Roman"/>
          <w:noProof/>
          <w:sz w:val="20"/>
          <w:lang w:val="en-GB"/>
        </w:rPr>
      </w:pPr>
      <w:r w:rsidRPr="003548D1">
        <w:rPr>
          <w:rFonts w:ascii="Calibri" w:eastAsia="Times New Roman" w:hAnsi="Calibri" w:cs="Times New Roman"/>
          <w:noProof/>
          <w:sz w:val="20"/>
          <w:lang w:val="en-GB"/>
        </w:rPr>
        <w:t xml:space="preserve">9. </w:t>
      </w:r>
      <w:r w:rsidRPr="003548D1">
        <w:rPr>
          <w:rFonts w:ascii="Calibri" w:eastAsia="Times New Roman" w:hAnsi="Calibri" w:cs="Times New Roman"/>
          <w:noProof/>
          <w:sz w:val="20"/>
          <w:lang w:val="en-GB"/>
        </w:rPr>
        <w:tab/>
        <w:t xml:space="preserve">Reinikainen M, Mussalo P, Hovilehto S, et al.: Association of automated data collection and data completeness with outcomes of intensive care. A new customised model for outcome prediction [Internet]. </w:t>
      </w:r>
      <w:r w:rsidRPr="003548D1">
        <w:rPr>
          <w:rFonts w:ascii="Calibri" w:eastAsia="Times New Roman" w:hAnsi="Calibri" w:cs="Times New Roman"/>
          <w:i/>
          <w:iCs/>
          <w:noProof/>
          <w:sz w:val="20"/>
          <w:lang w:val="en-GB"/>
        </w:rPr>
        <w:t xml:space="preserve">Acta Anaesthesiol </w:t>
      </w:r>
      <w:r w:rsidRPr="003548D1">
        <w:rPr>
          <w:rFonts w:ascii="Calibri" w:eastAsia="Times New Roman" w:hAnsi="Calibri" w:cs="Times New Roman"/>
          <w:i/>
          <w:iCs/>
          <w:noProof/>
          <w:sz w:val="20"/>
          <w:lang w:val="en-GB"/>
        </w:rPr>
        <w:lastRenderedPageBreak/>
        <w:t>Scand</w:t>
      </w:r>
      <w:r w:rsidRPr="003548D1">
        <w:rPr>
          <w:rFonts w:ascii="Calibri" w:eastAsia="Times New Roman" w:hAnsi="Calibri" w:cs="Times New Roman"/>
          <w:noProof/>
          <w:sz w:val="20"/>
          <w:lang w:val="en-GB"/>
        </w:rPr>
        <w:t xml:space="preserve"> 2012; 56:1114–1122[cited 2017 Mar 1] Available from: http://www.ncbi.nlm.nih.gov/pubmed/22384799</w:t>
      </w:r>
    </w:p>
    <w:p w14:paraId="4B14CC32" w14:textId="77777777" w:rsidR="003548D1" w:rsidRPr="003548D1" w:rsidRDefault="003548D1" w:rsidP="003548D1">
      <w:pPr>
        <w:widowControl w:val="0"/>
        <w:autoSpaceDE w:val="0"/>
        <w:autoSpaceDN w:val="0"/>
        <w:adjustRightInd w:val="0"/>
        <w:spacing w:after="0" w:line="360" w:lineRule="auto"/>
        <w:ind w:left="640" w:hanging="640"/>
        <w:rPr>
          <w:rFonts w:ascii="Calibri" w:eastAsia="Times New Roman" w:hAnsi="Calibri" w:cs="Times New Roman"/>
          <w:noProof/>
          <w:sz w:val="20"/>
          <w:lang w:val="en-GB"/>
        </w:rPr>
      </w:pPr>
      <w:r w:rsidRPr="003548D1">
        <w:rPr>
          <w:rFonts w:ascii="Calibri" w:eastAsia="Times New Roman" w:hAnsi="Calibri" w:cs="Times New Roman"/>
          <w:noProof/>
          <w:sz w:val="20"/>
          <w:lang w:val="en-GB"/>
        </w:rPr>
        <w:t xml:space="preserve">10. </w:t>
      </w:r>
      <w:r w:rsidRPr="003548D1">
        <w:rPr>
          <w:rFonts w:ascii="Calibri" w:eastAsia="Times New Roman" w:hAnsi="Calibri" w:cs="Times New Roman"/>
          <w:noProof/>
          <w:sz w:val="20"/>
          <w:lang w:val="en-GB"/>
        </w:rPr>
        <w:tab/>
        <w:t xml:space="preserve">Keene AR, Cullen DJ: Therapeutic Intervention Scoring System: update 1983 [Internet]. </w:t>
      </w:r>
      <w:r w:rsidRPr="003548D1">
        <w:rPr>
          <w:rFonts w:ascii="Calibri" w:eastAsia="Times New Roman" w:hAnsi="Calibri" w:cs="Times New Roman"/>
          <w:i/>
          <w:iCs/>
          <w:noProof/>
          <w:sz w:val="20"/>
          <w:lang w:val="en-GB"/>
        </w:rPr>
        <w:t>Crit Care Med</w:t>
      </w:r>
      <w:r w:rsidRPr="003548D1">
        <w:rPr>
          <w:rFonts w:ascii="Calibri" w:eastAsia="Times New Roman" w:hAnsi="Calibri" w:cs="Times New Roman"/>
          <w:noProof/>
          <w:sz w:val="20"/>
          <w:lang w:val="en-GB"/>
        </w:rPr>
        <w:t xml:space="preserve"> 1983; 11:1–3Available from: http://www.ncbi.nlm.nih.gov/entrez/query.fcgi?cmd=Retrieve&amp;db=PubMed&amp;dopt=Citation&amp;list_uids=6848305</w:t>
      </w:r>
    </w:p>
    <w:p w14:paraId="77EA811D" w14:textId="77777777" w:rsidR="003548D1" w:rsidRPr="003548D1" w:rsidRDefault="003548D1" w:rsidP="003548D1">
      <w:pPr>
        <w:widowControl w:val="0"/>
        <w:autoSpaceDE w:val="0"/>
        <w:autoSpaceDN w:val="0"/>
        <w:adjustRightInd w:val="0"/>
        <w:spacing w:after="0" w:line="360" w:lineRule="auto"/>
        <w:ind w:left="640" w:hanging="640"/>
        <w:rPr>
          <w:rFonts w:ascii="Calibri" w:eastAsia="Times New Roman" w:hAnsi="Calibri" w:cs="Times New Roman"/>
          <w:noProof/>
          <w:sz w:val="20"/>
          <w:lang w:val="en-GB"/>
        </w:rPr>
      </w:pPr>
      <w:r w:rsidRPr="003548D1">
        <w:rPr>
          <w:rFonts w:ascii="Calibri" w:eastAsia="Times New Roman" w:hAnsi="Calibri" w:cs="Times New Roman"/>
          <w:noProof/>
          <w:sz w:val="20"/>
          <w:lang w:val="en-GB"/>
        </w:rPr>
        <w:t xml:space="preserve">11. </w:t>
      </w:r>
      <w:r w:rsidRPr="003548D1">
        <w:rPr>
          <w:rFonts w:ascii="Calibri" w:eastAsia="Times New Roman" w:hAnsi="Calibri" w:cs="Times New Roman"/>
          <w:noProof/>
          <w:sz w:val="20"/>
          <w:lang w:val="en-GB"/>
        </w:rPr>
        <w:tab/>
        <w:t xml:space="preserve">Cullen DJ, Civetta JM, Briggs BA, et al.: Therapeutic intervention scoring system: a method for quantitative comparison of patient care. [Internet]. </w:t>
      </w:r>
      <w:r w:rsidRPr="003548D1">
        <w:rPr>
          <w:rFonts w:ascii="Calibri" w:eastAsia="Times New Roman" w:hAnsi="Calibri" w:cs="Times New Roman"/>
          <w:i/>
          <w:iCs/>
          <w:noProof/>
          <w:sz w:val="20"/>
          <w:lang w:val="en-GB"/>
        </w:rPr>
        <w:t>Crit Care Med</w:t>
      </w:r>
      <w:r w:rsidRPr="003548D1">
        <w:rPr>
          <w:rFonts w:ascii="Calibri" w:eastAsia="Times New Roman" w:hAnsi="Calibri" w:cs="Times New Roman"/>
          <w:noProof/>
          <w:sz w:val="20"/>
          <w:lang w:val="en-GB"/>
        </w:rPr>
        <w:t xml:space="preserve"> 1974; 2:57–60[cited 2017 May 31] Available from: http://www.ncbi.nlm.nih.gov/pubmed/4832281</w:t>
      </w:r>
    </w:p>
    <w:p w14:paraId="7A682566" w14:textId="77777777" w:rsidR="003548D1" w:rsidRPr="003548D1" w:rsidRDefault="003548D1" w:rsidP="003548D1">
      <w:pPr>
        <w:widowControl w:val="0"/>
        <w:autoSpaceDE w:val="0"/>
        <w:autoSpaceDN w:val="0"/>
        <w:adjustRightInd w:val="0"/>
        <w:spacing w:after="0" w:line="360" w:lineRule="auto"/>
        <w:ind w:left="640" w:hanging="640"/>
        <w:rPr>
          <w:rFonts w:ascii="Calibri" w:eastAsia="Times New Roman" w:hAnsi="Calibri" w:cs="Times New Roman"/>
          <w:noProof/>
          <w:sz w:val="20"/>
          <w:lang w:val="en-GB"/>
        </w:rPr>
      </w:pPr>
      <w:r w:rsidRPr="003548D1">
        <w:rPr>
          <w:rFonts w:ascii="Calibri" w:eastAsia="Times New Roman" w:hAnsi="Calibri" w:cs="Times New Roman"/>
          <w:noProof/>
          <w:sz w:val="20"/>
          <w:lang w:val="fi-FI"/>
        </w:rPr>
        <w:t xml:space="preserve">12. </w:t>
      </w:r>
      <w:r w:rsidRPr="003548D1">
        <w:rPr>
          <w:rFonts w:ascii="Calibri" w:eastAsia="Times New Roman" w:hAnsi="Calibri" w:cs="Times New Roman"/>
          <w:noProof/>
          <w:sz w:val="20"/>
          <w:lang w:val="fi-FI"/>
        </w:rPr>
        <w:tab/>
        <w:t xml:space="preserve">Kapiainen S, Väisänen A, Haula T, et al.: Terveyden-ja sosiaalihuollon yksikkökustannukset Suomessa vuonna 2011 [Internet]. </w:t>
      </w:r>
      <w:r w:rsidRPr="003548D1">
        <w:rPr>
          <w:rFonts w:ascii="Calibri" w:eastAsia="Times New Roman" w:hAnsi="Calibri" w:cs="Times New Roman"/>
          <w:noProof/>
          <w:sz w:val="20"/>
          <w:lang w:val="en-GB"/>
        </w:rPr>
        <w:t>2014. [cited 2017 Feb 15] Available from: http://www.julkari.fi/bitstream/handle/10024/114683/THL_RAPO3_2014_web.pdf?sequence=1</w:t>
      </w:r>
    </w:p>
    <w:p w14:paraId="086FC19B" w14:textId="77777777" w:rsidR="003548D1" w:rsidRPr="003548D1" w:rsidRDefault="003548D1" w:rsidP="003548D1">
      <w:pPr>
        <w:widowControl w:val="0"/>
        <w:autoSpaceDE w:val="0"/>
        <w:autoSpaceDN w:val="0"/>
        <w:adjustRightInd w:val="0"/>
        <w:spacing w:after="0" w:line="360" w:lineRule="auto"/>
        <w:ind w:left="640" w:hanging="640"/>
        <w:rPr>
          <w:rFonts w:ascii="Calibri" w:eastAsia="Times New Roman" w:hAnsi="Calibri" w:cs="Times New Roman"/>
          <w:noProof/>
          <w:sz w:val="20"/>
          <w:lang w:val="en-GB"/>
        </w:rPr>
      </w:pPr>
      <w:r w:rsidRPr="003548D1">
        <w:rPr>
          <w:rFonts w:ascii="Calibri" w:eastAsia="Times New Roman" w:hAnsi="Calibri" w:cs="Times New Roman"/>
          <w:noProof/>
          <w:sz w:val="20"/>
          <w:lang w:val="en-GB"/>
        </w:rPr>
        <w:lastRenderedPageBreak/>
        <w:t xml:space="preserve">13. </w:t>
      </w:r>
      <w:r w:rsidRPr="003548D1">
        <w:rPr>
          <w:rFonts w:ascii="Calibri" w:eastAsia="Times New Roman" w:hAnsi="Calibri" w:cs="Times New Roman"/>
          <w:noProof/>
          <w:sz w:val="20"/>
          <w:lang w:val="en-GB"/>
        </w:rPr>
        <w:tab/>
        <w:t xml:space="preserve">Reynolds HN, Haupt MT, Thill-Baharozian MC, et al.: Impact of critical care physician staffing on patients with septic shock in a university hospital medical intensive care unit. [Internet]. </w:t>
      </w:r>
      <w:r w:rsidRPr="003548D1">
        <w:rPr>
          <w:rFonts w:ascii="Calibri" w:eastAsia="Times New Roman" w:hAnsi="Calibri" w:cs="Times New Roman"/>
          <w:i/>
          <w:iCs/>
          <w:noProof/>
          <w:sz w:val="20"/>
          <w:lang w:val="en-GB"/>
        </w:rPr>
        <w:t>JAMA</w:t>
      </w:r>
      <w:r w:rsidRPr="003548D1">
        <w:rPr>
          <w:rFonts w:ascii="Calibri" w:eastAsia="Times New Roman" w:hAnsi="Calibri" w:cs="Times New Roman"/>
          <w:noProof/>
          <w:sz w:val="20"/>
          <w:lang w:val="en-GB"/>
        </w:rPr>
        <w:t xml:space="preserve"> 1988; 260:3446–50[cited 2017 Mar 10] Available from: http://www.ncbi.nlm.nih.gov/pubmed/3210284</w:t>
      </w:r>
    </w:p>
    <w:p w14:paraId="4262FB0D" w14:textId="77777777" w:rsidR="003548D1" w:rsidRPr="003548D1" w:rsidRDefault="003548D1" w:rsidP="003548D1">
      <w:pPr>
        <w:widowControl w:val="0"/>
        <w:autoSpaceDE w:val="0"/>
        <w:autoSpaceDN w:val="0"/>
        <w:adjustRightInd w:val="0"/>
        <w:spacing w:after="0" w:line="360" w:lineRule="auto"/>
        <w:ind w:left="640" w:hanging="640"/>
        <w:rPr>
          <w:rFonts w:ascii="Calibri" w:eastAsia="Times New Roman" w:hAnsi="Calibri" w:cs="Times New Roman"/>
          <w:noProof/>
          <w:sz w:val="20"/>
          <w:lang w:val="en-GB"/>
        </w:rPr>
      </w:pPr>
      <w:r w:rsidRPr="003548D1">
        <w:rPr>
          <w:rFonts w:ascii="Calibri" w:eastAsia="Times New Roman" w:hAnsi="Calibri" w:cs="Times New Roman"/>
          <w:noProof/>
          <w:sz w:val="20"/>
          <w:lang w:val="en-GB"/>
        </w:rPr>
        <w:t xml:space="preserve">14. </w:t>
      </w:r>
      <w:r w:rsidRPr="003548D1">
        <w:rPr>
          <w:rFonts w:ascii="Calibri" w:eastAsia="Times New Roman" w:hAnsi="Calibri" w:cs="Times New Roman"/>
          <w:noProof/>
          <w:sz w:val="20"/>
          <w:lang w:val="en-GB"/>
        </w:rPr>
        <w:tab/>
        <w:t xml:space="preserve">Official Statistics of Finland (OSF): Consumer price index [e-publication] [Internet]. </w:t>
      </w:r>
      <w:r w:rsidRPr="003548D1">
        <w:rPr>
          <w:rFonts w:ascii="Calibri" w:eastAsia="Times New Roman" w:hAnsi="Calibri" w:cs="Times New Roman"/>
          <w:i/>
          <w:iCs/>
          <w:noProof/>
          <w:sz w:val="20"/>
          <w:lang w:val="en-GB"/>
        </w:rPr>
        <w:t>2014</w:t>
      </w:r>
      <w:r w:rsidRPr="003548D1">
        <w:rPr>
          <w:rFonts w:ascii="Calibri" w:eastAsia="Times New Roman" w:hAnsi="Calibri" w:cs="Times New Roman"/>
          <w:noProof/>
          <w:sz w:val="20"/>
          <w:lang w:val="en-GB"/>
        </w:rPr>
        <w:t xml:space="preserve"> [cited 2017 Feb 15] Available from: http://www.stat.fi/til/khi/2014/07/khi_2014_07_2014-08-14_tau_004_en.html</w:t>
      </w:r>
    </w:p>
    <w:p w14:paraId="6A45EDD9" w14:textId="77777777" w:rsidR="003548D1" w:rsidRPr="003548D1" w:rsidRDefault="003548D1" w:rsidP="003548D1">
      <w:pPr>
        <w:widowControl w:val="0"/>
        <w:autoSpaceDE w:val="0"/>
        <w:autoSpaceDN w:val="0"/>
        <w:adjustRightInd w:val="0"/>
        <w:spacing w:after="0" w:line="360" w:lineRule="auto"/>
        <w:ind w:left="640" w:hanging="640"/>
        <w:rPr>
          <w:rFonts w:ascii="Calibri" w:eastAsia="Times New Roman" w:hAnsi="Calibri" w:cs="Times New Roman"/>
          <w:noProof/>
          <w:sz w:val="20"/>
          <w:lang w:val="en-GB"/>
        </w:rPr>
      </w:pPr>
      <w:r w:rsidRPr="003548D1">
        <w:rPr>
          <w:rFonts w:ascii="Calibri" w:eastAsia="Times New Roman" w:hAnsi="Calibri" w:cs="Times New Roman"/>
          <w:noProof/>
          <w:sz w:val="20"/>
          <w:lang w:val="en-GB"/>
        </w:rPr>
        <w:t xml:space="preserve">15. </w:t>
      </w:r>
      <w:r w:rsidRPr="003548D1">
        <w:rPr>
          <w:rFonts w:ascii="Calibri" w:eastAsia="Times New Roman" w:hAnsi="Calibri" w:cs="Times New Roman"/>
          <w:noProof/>
          <w:sz w:val="20"/>
          <w:lang w:val="en-GB"/>
        </w:rPr>
        <w:tab/>
        <w:t>Organisation for Economic Co-operation and Development (OECD): Purchasing Power Parities (PPP) [Internet]. Paris, France: Available from: https://data.oecd.org/conversion/purchasing-power-parities-ppp.htm#indicator-chart</w:t>
      </w:r>
    </w:p>
    <w:p w14:paraId="17C28CA7" w14:textId="77777777" w:rsidR="003548D1" w:rsidRPr="003548D1" w:rsidRDefault="003548D1" w:rsidP="003548D1">
      <w:pPr>
        <w:widowControl w:val="0"/>
        <w:autoSpaceDE w:val="0"/>
        <w:autoSpaceDN w:val="0"/>
        <w:adjustRightInd w:val="0"/>
        <w:spacing w:after="0" w:line="360" w:lineRule="auto"/>
        <w:ind w:left="640" w:hanging="640"/>
        <w:rPr>
          <w:rFonts w:ascii="Calibri" w:eastAsia="Times New Roman" w:hAnsi="Calibri" w:cs="Times New Roman"/>
          <w:noProof/>
          <w:sz w:val="20"/>
          <w:lang w:val="en-GB"/>
        </w:rPr>
      </w:pPr>
      <w:r w:rsidRPr="003548D1">
        <w:rPr>
          <w:rFonts w:ascii="Calibri" w:eastAsia="Times New Roman" w:hAnsi="Calibri" w:cs="Times New Roman"/>
          <w:noProof/>
          <w:sz w:val="20"/>
          <w:lang w:val="en-GB"/>
        </w:rPr>
        <w:t xml:space="preserve">16. </w:t>
      </w:r>
      <w:r w:rsidRPr="003548D1">
        <w:rPr>
          <w:rFonts w:ascii="Calibri" w:eastAsia="Times New Roman" w:hAnsi="Calibri" w:cs="Times New Roman"/>
          <w:noProof/>
          <w:sz w:val="20"/>
          <w:lang w:val="en-GB"/>
        </w:rPr>
        <w:tab/>
        <w:t xml:space="preserve">Knaus WA, Draper EA, Wagner DP, et al.: APACHE II: A severity of disease classification system. </w:t>
      </w:r>
      <w:r w:rsidRPr="003548D1">
        <w:rPr>
          <w:rFonts w:ascii="Calibri" w:eastAsia="Times New Roman" w:hAnsi="Calibri" w:cs="Times New Roman"/>
          <w:i/>
          <w:iCs/>
          <w:noProof/>
          <w:sz w:val="20"/>
          <w:lang w:val="en-GB"/>
        </w:rPr>
        <w:t>Crit Care Med</w:t>
      </w:r>
      <w:r w:rsidRPr="003548D1">
        <w:rPr>
          <w:rFonts w:ascii="Calibri" w:eastAsia="Times New Roman" w:hAnsi="Calibri" w:cs="Times New Roman"/>
          <w:noProof/>
          <w:sz w:val="20"/>
          <w:lang w:val="en-GB"/>
        </w:rPr>
        <w:t xml:space="preserve"> 1985; 13:818–829</w:t>
      </w:r>
    </w:p>
    <w:p w14:paraId="1D9AAEF3" w14:textId="77777777" w:rsidR="003548D1" w:rsidRPr="003548D1" w:rsidRDefault="003548D1" w:rsidP="003548D1">
      <w:pPr>
        <w:widowControl w:val="0"/>
        <w:autoSpaceDE w:val="0"/>
        <w:autoSpaceDN w:val="0"/>
        <w:adjustRightInd w:val="0"/>
        <w:spacing w:after="0" w:line="360" w:lineRule="auto"/>
        <w:ind w:left="640" w:hanging="640"/>
        <w:rPr>
          <w:rFonts w:ascii="Calibri" w:eastAsia="Times New Roman" w:hAnsi="Calibri" w:cs="Times New Roman"/>
          <w:noProof/>
          <w:sz w:val="20"/>
          <w:lang w:val="en-GB"/>
        </w:rPr>
      </w:pPr>
      <w:r w:rsidRPr="003548D1">
        <w:rPr>
          <w:rFonts w:ascii="Calibri" w:eastAsia="Times New Roman" w:hAnsi="Calibri" w:cs="Times New Roman"/>
          <w:noProof/>
          <w:sz w:val="20"/>
          <w:lang w:val="en-GB"/>
        </w:rPr>
        <w:t xml:space="preserve">17. </w:t>
      </w:r>
      <w:r w:rsidRPr="003548D1">
        <w:rPr>
          <w:rFonts w:ascii="Calibri" w:eastAsia="Times New Roman" w:hAnsi="Calibri" w:cs="Times New Roman"/>
          <w:noProof/>
          <w:sz w:val="20"/>
          <w:lang w:val="en-GB"/>
        </w:rPr>
        <w:tab/>
        <w:t xml:space="preserve">Maas AIR, Harrison-Felix CL, Menon D, et al.: Standardizing Data Collection in Traumatic Brain Injury [Internet]. </w:t>
      </w:r>
      <w:r w:rsidRPr="003548D1">
        <w:rPr>
          <w:rFonts w:ascii="Calibri" w:eastAsia="Times New Roman" w:hAnsi="Calibri" w:cs="Times New Roman"/>
          <w:i/>
          <w:iCs/>
          <w:noProof/>
          <w:sz w:val="20"/>
          <w:lang w:val="en-GB"/>
        </w:rPr>
        <w:t>J Neurotrauma</w:t>
      </w:r>
      <w:r w:rsidRPr="003548D1">
        <w:rPr>
          <w:rFonts w:ascii="Calibri" w:eastAsia="Times New Roman" w:hAnsi="Calibri" w:cs="Times New Roman"/>
          <w:noProof/>
          <w:sz w:val="20"/>
          <w:lang w:val="en-GB"/>
        </w:rPr>
        <w:t xml:space="preserve"> 2011; 28:177–187[cited 2017 Apr 21] Available from: </w:t>
      </w:r>
      <w:r w:rsidRPr="003548D1">
        <w:rPr>
          <w:rFonts w:ascii="Calibri" w:eastAsia="Times New Roman" w:hAnsi="Calibri" w:cs="Times New Roman"/>
          <w:noProof/>
          <w:sz w:val="20"/>
          <w:lang w:val="en-GB"/>
        </w:rPr>
        <w:lastRenderedPageBreak/>
        <w:t>http://www.ncbi.nlm.nih.gov/pubmed/21162610</w:t>
      </w:r>
    </w:p>
    <w:p w14:paraId="5236504E" w14:textId="77777777" w:rsidR="003548D1" w:rsidRPr="003548D1" w:rsidRDefault="003548D1" w:rsidP="003548D1">
      <w:pPr>
        <w:widowControl w:val="0"/>
        <w:autoSpaceDE w:val="0"/>
        <w:autoSpaceDN w:val="0"/>
        <w:adjustRightInd w:val="0"/>
        <w:spacing w:after="0" w:line="360" w:lineRule="auto"/>
        <w:ind w:left="640" w:hanging="640"/>
        <w:rPr>
          <w:rFonts w:ascii="Calibri" w:eastAsia="Times New Roman" w:hAnsi="Calibri" w:cs="Times New Roman"/>
          <w:noProof/>
          <w:sz w:val="20"/>
          <w:lang w:val="en-GB"/>
        </w:rPr>
      </w:pPr>
      <w:r w:rsidRPr="003548D1">
        <w:rPr>
          <w:rFonts w:ascii="Calibri" w:eastAsia="Times New Roman" w:hAnsi="Calibri" w:cs="Times New Roman"/>
          <w:noProof/>
          <w:sz w:val="20"/>
          <w:lang w:val="en-GB"/>
        </w:rPr>
        <w:t xml:space="preserve">18. </w:t>
      </w:r>
      <w:r w:rsidRPr="003548D1">
        <w:rPr>
          <w:rFonts w:ascii="Calibri" w:eastAsia="Times New Roman" w:hAnsi="Calibri" w:cs="Times New Roman"/>
          <w:noProof/>
          <w:sz w:val="20"/>
          <w:lang w:val="en-GB"/>
        </w:rPr>
        <w:tab/>
        <w:t xml:space="preserve">Chen A, Bushmeneva K, Zagorski B, et al.: Direct cost associated with acquired brain injury in Ontario [Internet]. </w:t>
      </w:r>
      <w:r w:rsidRPr="003548D1">
        <w:rPr>
          <w:rFonts w:ascii="Calibri" w:eastAsia="Times New Roman" w:hAnsi="Calibri" w:cs="Times New Roman"/>
          <w:i/>
          <w:iCs/>
          <w:noProof/>
          <w:sz w:val="20"/>
          <w:lang w:val="en-GB"/>
        </w:rPr>
        <w:t>BMC Neurol</w:t>
      </w:r>
      <w:r w:rsidRPr="003548D1">
        <w:rPr>
          <w:rFonts w:ascii="Calibri" w:eastAsia="Times New Roman" w:hAnsi="Calibri" w:cs="Times New Roman"/>
          <w:noProof/>
          <w:sz w:val="20"/>
          <w:lang w:val="en-GB"/>
        </w:rPr>
        <w:t xml:space="preserve"> 2012; 12:76[cited 2017 Mar 4] Available from: http://www.ncbi.nlm.nih.gov/pubmed/22901094</w:t>
      </w:r>
    </w:p>
    <w:p w14:paraId="08B3AABD" w14:textId="77777777" w:rsidR="003548D1" w:rsidRPr="003548D1" w:rsidRDefault="003548D1" w:rsidP="003548D1">
      <w:pPr>
        <w:widowControl w:val="0"/>
        <w:autoSpaceDE w:val="0"/>
        <w:autoSpaceDN w:val="0"/>
        <w:adjustRightInd w:val="0"/>
        <w:spacing w:after="0" w:line="360" w:lineRule="auto"/>
        <w:ind w:left="640" w:hanging="640"/>
        <w:rPr>
          <w:rFonts w:ascii="Calibri" w:eastAsia="Times New Roman" w:hAnsi="Calibri" w:cs="Times New Roman"/>
          <w:noProof/>
          <w:sz w:val="20"/>
          <w:lang w:val="en-GB"/>
        </w:rPr>
      </w:pPr>
      <w:r w:rsidRPr="003548D1">
        <w:rPr>
          <w:rFonts w:ascii="Calibri" w:eastAsia="Times New Roman" w:hAnsi="Calibri" w:cs="Times New Roman"/>
          <w:noProof/>
          <w:sz w:val="20"/>
          <w:lang w:val="en-GB"/>
        </w:rPr>
        <w:t xml:space="preserve">19. </w:t>
      </w:r>
      <w:r w:rsidRPr="003548D1">
        <w:rPr>
          <w:rFonts w:ascii="Calibri" w:eastAsia="Times New Roman" w:hAnsi="Calibri" w:cs="Times New Roman"/>
          <w:noProof/>
          <w:sz w:val="20"/>
          <w:lang w:val="en-GB"/>
        </w:rPr>
        <w:tab/>
        <w:t xml:space="preserve">Te Ao B, Brown P, Tobias M, et al.: Cost of traumatic brain injury in New Zealand: evidence from a population-based study. </w:t>
      </w:r>
      <w:r w:rsidRPr="003548D1">
        <w:rPr>
          <w:rFonts w:ascii="Calibri" w:eastAsia="Times New Roman" w:hAnsi="Calibri" w:cs="Times New Roman"/>
          <w:i/>
          <w:iCs/>
          <w:noProof/>
          <w:sz w:val="20"/>
          <w:lang w:val="en-GB"/>
        </w:rPr>
        <w:t>Neurology</w:t>
      </w:r>
      <w:r w:rsidRPr="003548D1">
        <w:rPr>
          <w:rFonts w:ascii="Calibri" w:eastAsia="Times New Roman" w:hAnsi="Calibri" w:cs="Times New Roman"/>
          <w:noProof/>
          <w:sz w:val="20"/>
          <w:lang w:val="en-GB"/>
        </w:rPr>
        <w:t xml:space="preserve"> 2014; 83</w:t>
      </w:r>
    </w:p>
    <w:p w14:paraId="6FA9C570" w14:textId="77777777" w:rsidR="003548D1" w:rsidRPr="003548D1" w:rsidRDefault="003548D1" w:rsidP="003548D1">
      <w:pPr>
        <w:widowControl w:val="0"/>
        <w:autoSpaceDE w:val="0"/>
        <w:autoSpaceDN w:val="0"/>
        <w:adjustRightInd w:val="0"/>
        <w:spacing w:after="0" w:line="360" w:lineRule="auto"/>
        <w:ind w:left="640" w:hanging="640"/>
        <w:rPr>
          <w:rFonts w:ascii="Calibri" w:eastAsia="Times New Roman" w:hAnsi="Calibri" w:cs="Times New Roman"/>
          <w:noProof/>
          <w:sz w:val="20"/>
          <w:lang w:val="en-GB"/>
        </w:rPr>
      </w:pPr>
      <w:r w:rsidRPr="003548D1">
        <w:rPr>
          <w:rFonts w:ascii="Calibri" w:eastAsia="Times New Roman" w:hAnsi="Calibri" w:cs="Times New Roman"/>
          <w:noProof/>
          <w:sz w:val="20"/>
          <w:lang w:val="en-GB"/>
        </w:rPr>
        <w:t xml:space="preserve">20. </w:t>
      </w:r>
      <w:r w:rsidRPr="003548D1">
        <w:rPr>
          <w:rFonts w:ascii="Calibri" w:eastAsia="Times New Roman" w:hAnsi="Calibri" w:cs="Times New Roman"/>
          <w:noProof/>
          <w:sz w:val="20"/>
          <w:lang w:val="en-GB"/>
        </w:rPr>
        <w:tab/>
        <w:t xml:space="preserve">Davis KL, Joshi A V., Tortella BJ, et al.: The Direct Economic Burden of Blunt and Penetrating Trauma in a Managed Care Population [Internet]. </w:t>
      </w:r>
      <w:r w:rsidRPr="003548D1">
        <w:rPr>
          <w:rFonts w:ascii="Calibri" w:eastAsia="Times New Roman" w:hAnsi="Calibri" w:cs="Times New Roman"/>
          <w:i/>
          <w:iCs/>
          <w:noProof/>
          <w:sz w:val="20"/>
          <w:lang w:val="en-GB"/>
        </w:rPr>
        <w:t>J Trauma Inj Infect Crit Care</w:t>
      </w:r>
      <w:r w:rsidRPr="003548D1">
        <w:rPr>
          <w:rFonts w:ascii="Calibri" w:eastAsia="Times New Roman" w:hAnsi="Calibri" w:cs="Times New Roman"/>
          <w:noProof/>
          <w:sz w:val="20"/>
          <w:lang w:val="en-GB"/>
        </w:rPr>
        <w:t xml:space="preserve"> 2007; 62:622–630[cited 2017 Mar 13] Available from: http://www.ncbi.nlm.nih.gov/pubmed/17414338</w:t>
      </w:r>
    </w:p>
    <w:p w14:paraId="5F083D0A" w14:textId="77777777" w:rsidR="003548D1" w:rsidRPr="003548D1" w:rsidRDefault="003548D1" w:rsidP="003548D1">
      <w:pPr>
        <w:widowControl w:val="0"/>
        <w:autoSpaceDE w:val="0"/>
        <w:autoSpaceDN w:val="0"/>
        <w:adjustRightInd w:val="0"/>
        <w:spacing w:after="0" w:line="360" w:lineRule="auto"/>
        <w:ind w:left="640" w:hanging="640"/>
        <w:rPr>
          <w:rFonts w:ascii="Calibri" w:eastAsia="Times New Roman" w:hAnsi="Calibri" w:cs="Times New Roman"/>
          <w:noProof/>
          <w:sz w:val="20"/>
          <w:lang w:val="en-GB"/>
        </w:rPr>
      </w:pPr>
      <w:r w:rsidRPr="003548D1">
        <w:rPr>
          <w:rFonts w:ascii="Calibri" w:eastAsia="Times New Roman" w:hAnsi="Calibri" w:cs="Times New Roman"/>
          <w:noProof/>
          <w:sz w:val="20"/>
          <w:lang w:val="en-GB"/>
        </w:rPr>
        <w:t xml:space="preserve">21. </w:t>
      </w:r>
      <w:r w:rsidRPr="003548D1">
        <w:rPr>
          <w:rFonts w:ascii="Calibri" w:eastAsia="Times New Roman" w:hAnsi="Calibri" w:cs="Times New Roman"/>
          <w:noProof/>
          <w:sz w:val="20"/>
          <w:lang w:val="en-GB"/>
        </w:rPr>
        <w:tab/>
        <w:t xml:space="preserve">McGarry LJ, Thompson D, Millham FH, et al.: Outcomes and costs of acute treatment of traumatic brain injury. [Internet]. </w:t>
      </w:r>
      <w:r w:rsidRPr="003548D1">
        <w:rPr>
          <w:rFonts w:ascii="Calibri" w:eastAsia="Times New Roman" w:hAnsi="Calibri" w:cs="Times New Roman"/>
          <w:i/>
          <w:iCs/>
          <w:noProof/>
          <w:sz w:val="20"/>
          <w:lang w:val="en-GB"/>
        </w:rPr>
        <w:t>J Trauma</w:t>
      </w:r>
      <w:r w:rsidRPr="003548D1">
        <w:rPr>
          <w:rFonts w:ascii="Calibri" w:eastAsia="Times New Roman" w:hAnsi="Calibri" w:cs="Times New Roman"/>
          <w:noProof/>
          <w:sz w:val="20"/>
          <w:lang w:val="en-GB"/>
        </w:rPr>
        <w:t xml:space="preserve"> 2002; 53:1152–9[cited 2017 Mar 13] Available from: http://www.ncbi.nlm.nih.gov/pubmed/12478043</w:t>
      </w:r>
    </w:p>
    <w:p w14:paraId="5A1AA370" w14:textId="77777777" w:rsidR="003548D1" w:rsidRPr="003548D1" w:rsidRDefault="003548D1" w:rsidP="003548D1">
      <w:pPr>
        <w:widowControl w:val="0"/>
        <w:autoSpaceDE w:val="0"/>
        <w:autoSpaceDN w:val="0"/>
        <w:adjustRightInd w:val="0"/>
        <w:spacing w:after="0" w:line="360" w:lineRule="auto"/>
        <w:ind w:left="640" w:hanging="640"/>
        <w:rPr>
          <w:rFonts w:ascii="Calibri" w:eastAsia="Times New Roman" w:hAnsi="Calibri" w:cs="Times New Roman"/>
          <w:noProof/>
          <w:sz w:val="20"/>
          <w:lang w:val="en-GB"/>
        </w:rPr>
      </w:pPr>
      <w:r w:rsidRPr="003548D1">
        <w:rPr>
          <w:rFonts w:ascii="Calibri" w:eastAsia="Times New Roman" w:hAnsi="Calibri" w:cs="Times New Roman"/>
          <w:noProof/>
          <w:sz w:val="20"/>
          <w:lang w:val="en-GB"/>
        </w:rPr>
        <w:t xml:space="preserve">22. </w:t>
      </w:r>
      <w:r w:rsidRPr="003548D1">
        <w:rPr>
          <w:rFonts w:ascii="Calibri" w:eastAsia="Times New Roman" w:hAnsi="Calibri" w:cs="Times New Roman"/>
          <w:noProof/>
          <w:sz w:val="20"/>
          <w:lang w:val="en-GB"/>
        </w:rPr>
        <w:tab/>
        <w:t xml:space="preserve">Morris S, Ridley S, Lecky FE, et al.: Determinants of hospital costs associated with traumatic brain injury in </w:t>
      </w:r>
      <w:r w:rsidRPr="003548D1">
        <w:rPr>
          <w:rFonts w:ascii="Calibri" w:eastAsia="Times New Roman" w:hAnsi="Calibri" w:cs="Times New Roman"/>
          <w:noProof/>
          <w:sz w:val="20"/>
          <w:lang w:val="en-GB"/>
        </w:rPr>
        <w:lastRenderedPageBreak/>
        <w:t xml:space="preserve">England and Wales [Internet]. </w:t>
      </w:r>
      <w:r w:rsidRPr="003548D1">
        <w:rPr>
          <w:rFonts w:ascii="Calibri" w:eastAsia="Times New Roman" w:hAnsi="Calibri" w:cs="Times New Roman"/>
          <w:i/>
          <w:iCs/>
          <w:noProof/>
          <w:sz w:val="20"/>
          <w:lang w:val="en-GB"/>
        </w:rPr>
        <w:t>Anaesthesia</w:t>
      </w:r>
      <w:r w:rsidRPr="003548D1">
        <w:rPr>
          <w:rFonts w:ascii="Calibri" w:eastAsia="Times New Roman" w:hAnsi="Calibri" w:cs="Times New Roman"/>
          <w:noProof/>
          <w:sz w:val="20"/>
          <w:lang w:val="en-GB"/>
        </w:rPr>
        <w:t xml:space="preserve"> 2008; 63:499–508[cited 2017 Mar 13] Available from: http://www.ncbi.nlm.nih.gov/pubmed/18412648</w:t>
      </w:r>
    </w:p>
    <w:p w14:paraId="4AFCF4BA" w14:textId="77777777" w:rsidR="003548D1" w:rsidRPr="003548D1" w:rsidRDefault="003548D1" w:rsidP="003548D1">
      <w:pPr>
        <w:widowControl w:val="0"/>
        <w:autoSpaceDE w:val="0"/>
        <w:autoSpaceDN w:val="0"/>
        <w:adjustRightInd w:val="0"/>
        <w:spacing w:after="0" w:line="360" w:lineRule="auto"/>
        <w:ind w:left="640" w:hanging="640"/>
        <w:rPr>
          <w:rFonts w:ascii="Calibri" w:eastAsia="Times New Roman" w:hAnsi="Calibri" w:cs="Times New Roman"/>
          <w:noProof/>
          <w:sz w:val="20"/>
          <w:lang w:val="en-GB"/>
        </w:rPr>
      </w:pPr>
      <w:r w:rsidRPr="003548D1">
        <w:rPr>
          <w:rFonts w:ascii="Calibri" w:eastAsia="Times New Roman" w:hAnsi="Calibri" w:cs="Times New Roman"/>
          <w:noProof/>
          <w:sz w:val="20"/>
          <w:lang w:val="en-GB"/>
        </w:rPr>
        <w:t xml:space="preserve">23. </w:t>
      </w:r>
      <w:r w:rsidRPr="003548D1">
        <w:rPr>
          <w:rFonts w:ascii="Calibri" w:eastAsia="Times New Roman" w:hAnsi="Calibri" w:cs="Times New Roman"/>
          <w:noProof/>
          <w:sz w:val="20"/>
          <w:lang w:val="en-GB"/>
        </w:rPr>
        <w:tab/>
        <w:t xml:space="preserve">Korkeila M, Ruokonen E, Takala J: Costs of care, long-term prognosis and quality of life in patients requiring renal replacement therapy during intensive care [Internet]. </w:t>
      </w:r>
      <w:r w:rsidRPr="003548D1">
        <w:rPr>
          <w:rFonts w:ascii="Calibri" w:eastAsia="Times New Roman" w:hAnsi="Calibri" w:cs="Times New Roman"/>
          <w:i/>
          <w:iCs/>
          <w:noProof/>
          <w:sz w:val="20"/>
          <w:lang w:val="en-GB"/>
        </w:rPr>
        <w:t>Intensive Care Med</w:t>
      </w:r>
      <w:r w:rsidRPr="003548D1">
        <w:rPr>
          <w:rFonts w:ascii="Calibri" w:eastAsia="Times New Roman" w:hAnsi="Calibri" w:cs="Times New Roman"/>
          <w:noProof/>
          <w:sz w:val="20"/>
          <w:lang w:val="en-GB"/>
        </w:rPr>
        <w:t xml:space="preserve"> 2000; 26:1824–1831[cited 2017 Mar 10] Available from: http://link.springer.com/10.1007/s001340000726</w:t>
      </w:r>
    </w:p>
    <w:p w14:paraId="654552C4" w14:textId="77777777" w:rsidR="003548D1" w:rsidRPr="003548D1" w:rsidRDefault="003548D1" w:rsidP="003548D1">
      <w:pPr>
        <w:widowControl w:val="0"/>
        <w:autoSpaceDE w:val="0"/>
        <w:autoSpaceDN w:val="0"/>
        <w:adjustRightInd w:val="0"/>
        <w:spacing w:after="0" w:line="360" w:lineRule="auto"/>
        <w:ind w:left="640" w:hanging="640"/>
        <w:rPr>
          <w:rFonts w:ascii="Calibri" w:eastAsia="Times New Roman" w:hAnsi="Calibri" w:cs="Times New Roman"/>
          <w:noProof/>
          <w:sz w:val="20"/>
          <w:lang w:val="en-GB"/>
        </w:rPr>
      </w:pPr>
      <w:r w:rsidRPr="003548D1">
        <w:rPr>
          <w:rFonts w:ascii="Calibri" w:eastAsia="Times New Roman" w:hAnsi="Calibri" w:cs="Times New Roman"/>
          <w:noProof/>
          <w:sz w:val="20"/>
          <w:lang w:val="en-GB"/>
        </w:rPr>
        <w:t xml:space="preserve">24. </w:t>
      </w:r>
      <w:r w:rsidRPr="003548D1">
        <w:rPr>
          <w:rFonts w:ascii="Calibri" w:eastAsia="Times New Roman" w:hAnsi="Calibri" w:cs="Times New Roman"/>
          <w:noProof/>
          <w:sz w:val="20"/>
          <w:lang w:val="en-GB"/>
        </w:rPr>
        <w:tab/>
        <w:t xml:space="preserve">Laukkanen A, Emaus L, Pettilä V, et al.: Five-year cost-utility analysis of acute renal replacement therapy: a societal perspective [Internet]. </w:t>
      </w:r>
      <w:r w:rsidRPr="003548D1">
        <w:rPr>
          <w:rFonts w:ascii="Calibri" w:eastAsia="Times New Roman" w:hAnsi="Calibri" w:cs="Times New Roman"/>
          <w:i/>
          <w:iCs/>
          <w:noProof/>
          <w:sz w:val="20"/>
          <w:lang w:val="en-GB"/>
        </w:rPr>
        <w:t>Intensive Care Med</w:t>
      </w:r>
      <w:r w:rsidRPr="003548D1">
        <w:rPr>
          <w:rFonts w:ascii="Calibri" w:eastAsia="Times New Roman" w:hAnsi="Calibri" w:cs="Times New Roman"/>
          <w:noProof/>
          <w:sz w:val="20"/>
          <w:lang w:val="en-GB"/>
        </w:rPr>
        <w:t xml:space="preserve"> 2013; 39:406–413[cited 2017 Mar 10] Available from: http://www.ncbi.nlm.nih.gov/pubmed/23184040</w:t>
      </w:r>
    </w:p>
    <w:p w14:paraId="2F85292F" w14:textId="77777777" w:rsidR="003548D1" w:rsidRPr="003548D1" w:rsidRDefault="003548D1" w:rsidP="003548D1">
      <w:pPr>
        <w:widowControl w:val="0"/>
        <w:autoSpaceDE w:val="0"/>
        <w:autoSpaceDN w:val="0"/>
        <w:adjustRightInd w:val="0"/>
        <w:spacing w:after="0" w:line="360" w:lineRule="auto"/>
        <w:ind w:left="640" w:hanging="640"/>
        <w:rPr>
          <w:rFonts w:ascii="Calibri" w:eastAsia="Times New Roman" w:hAnsi="Calibri" w:cs="Times New Roman"/>
          <w:noProof/>
          <w:sz w:val="20"/>
          <w:lang w:val="en-GB"/>
        </w:rPr>
      </w:pPr>
      <w:r w:rsidRPr="003548D1">
        <w:rPr>
          <w:rFonts w:ascii="Calibri" w:eastAsia="Times New Roman" w:hAnsi="Calibri" w:cs="Times New Roman"/>
          <w:noProof/>
          <w:sz w:val="20"/>
          <w:lang w:val="en-GB"/>
        </w:rPr>
        <w:t xml:space="preserve">25. </w:t>
      </w:r>
      <w:r w:rsidRPr="003548D1">
        <w:rPr>
          <w:rFonts w:ascii="Calibri" w:eastAsia="Times New Roman" w:hAnsi="Calibri" w:cs="Times New Roman"/>
          <w:noProof/>
          <w:sz w:val="20"/>
          <w:lang w:val="en-GB"/>
        </w:rPr>
        <w:tab/>
        <w:t xml:space="preserve">Schapira D V, Studnicki J, Bradham DD, et al.: Intensive care, survival, and expense of treating critically ill cancer patients. [Internet]. </w:t>
      </w:r>
      <w:r w:rsidRPr="003548D1">
        <w:rPr>
          <w:rFonts w:ascii="Calibri" w:eastAsia="Times New Roman" w:hAnsi="Calibri" w:cs="Times New Roman"/>
          <w:i/>
          <w:iCs/>
          <w:noProof/>
          <w:sz w:val="20"/>
          <w:lang w:val="en-GB"/>
        </w:rPr>
        <w:t>JAMA</w:t>
      </w:r>
      <w:r w:rsidRPr="003548D1">
        <w:rPr>
          <w:rFonts w:ascii="Calibri" w:eastAsia="Times New Roman" w:hAnsi="Calibri" w:cs="Times New Roman"/>
          <w:noProof/>
          <w:sz w:val="20"/>
          <w:lang w:val="en-GB"/>
        </w:rPr>
        <w:t xml:space="preserve"> 1993; 269:783–6Available from: http://www.ncbi.nlm.nih.gov/pubmed/8423662</w:t>
      </w:r>
    </w:p>
    <w:p w14:paraId="2289ACD8" w14:textId="77777777" w:rsidR="003548D1" w:rsidRPr="003548D1" w:rsidRDefault="003548D1" w:rsidP="003548D1">
      <w:pPr>
        <w:widowControl w:val="0"/>
        <w:autoSpaceDE w:val="0"/>
        <w:autoSpaceDN w:val="0"/>
        <w:adjustRightInd w:val="0"/>
        <w:spacing w:after="0" w:line="360" w:lineRule="auto"/>
        <w:ind w:left="640" w:hanging="640"/>
        <w:rPr>
          <w:rFonts w:ascii="Calibri" w:eastAsia="Times New Roman" w:hAnsi="Calibri" w:cs="Times New Roman"/>
          <w:noProof/>
          <w:sz w:val="20"/>
          <w:lang w:val="en-GB"/>
        </w:rPr>
      </w:pPr>
      <w:r w:rsidRPr="003548D1">
        <w:rPr>
          <w:rFonts w:ascii="Calibri" w:eastAsia="Times New Roman" w:hAnsi="Calibri" w:cs="Times New Roman"/>
          <w:noProof/>
          <w:sz w:val="20"/>
          <w:lang w:val="en-GB"/>
        </w:rPr>
        <w:t xml:space="preserve">26. </w:t>
      </w:r>
      <w:r w:rsidRPr="003548D1">
        <w:rPr>
          <w:rFonts w:ascii="Calibri" w:eastAsia="Times New Roman" w:hAnsi="Calibri" w:cs="Times New Roman"/>
          <w:noProof/>
          <w:sz w:val="20"/>
          <w:lang w:val="en-GB"/>
        </w:rPr>
        <w:tab/>
        <w:t xml:space="preserve">Graf J, Mühlhoff C, Doig GS, et al.: Health care costs, long-term survival, and quality of life following intensive care unit admission after cardiac arrest. [Internet]. </w:t>
      </w:r>
      <w:r w:rsidRPr="003548D1">
        <w:rPr>
          <w:rFonts w:ascii="Calibri" w:eastAsia="Times New Roman" w:hAnsi="Calibri" w:cs="Times New Roman"/>
          <w:i/>
          <w:iCs/>
          <w:noProof/>
          <w:sz w:val="20"/>
          <w:lang w:val="en-GB"/>
        </w:rPr>
        <w:t>Crit Care</w:t>
      </w:r>
      <w:r w:rsidRPr="003548D1">
        <w:rPr>
          <w:rFonts w:ascii="Calibri" w:eastAsia="Times New Roman" w:hAnsi="Calibri" w:cs="Times New Roman"/>
          <w:noProof/>
          <w:sz w:val="20"/>
          <w:lang w:val="en-GB"/>
        </w:rPr>
        <w:t xml:space="preserve"> 2008; 12:R92[cited 2017 Mar 10] Available from: </w:t>
      </w:r>
      <w:r w:rsidRPr="003548D1">
        <w:rPr>
          <w:rFonts w:ascii="Calibri" w:eastAsia="Times New Roman" w:hAnsi="Calibri" w:cs="Times New Roman"/>
          <w:noProof/>
          <w:sz w:val="20"/>
          <w:lang w:val="en-GB"/>
        </w:rPr>
        <w:lastRenderedPageBreak/>
        <w:t>http://www.ncbi.nlm.nih.gov/pubmed/18638367</w:t>
      </w:r>
    </w:p>
    <w:p w14:paraId="16B899DC" w14:textId="77777777" w:rsidR="003548D1" w:rsidRPr="003548D1" w:rsidRDefault="003548D1" w:rsidP="003548D1">
      <w:pPr>
        <w:widowControl w:val="0"/>
        <w:autoSpaceDE w:val="0"/>
        <w:autoSpaceDN w:val="0"/>
        <w:adjustRightInd w:val="0"/>
        <w:spacing w:after="0" w:line="360" w:lineRule="auto"/>
        <w:ind w:left="640" w:hanging="640"/>
        <w:rPr>
          <w:rFonts w:ascii="Calibri" w:hAnsi="Calibri"/>
          <w:noProof/>
          <w:sz w:val="20"/>
          <w:lang w:val="en-GB"/>
        </w:rPr>
      </w:pPr>
      <w:r w:rsidRPr="003548D1">
        <w:rPr>
          <w:rFonts w:ascii="Calibri" w:eastAsia="Times New Roman" w:hAnsi="Calibri" w:cs="Times New Roman"/>
          <w:noProof/>
          <w:sz w:val="20"/>
          <w:lang w:val="en-GB"/>
        </w:rPr>
        <w:t xml:space="preserve">27. </w:t>
      </w:r>
      <w:r w:rsidRPr="003548D1">
        <w:rPr>
          <w:rFonts w:ascii="Calibri" w:eastAsia="Times New Roman" w:hAnsi="Calibri" w:cs="Times New Roman"/>
          <w:noProof/>
          <w:sz w:val="20"/>
          <w:lang w:val="en-GB"/>
        </w:rPr>
        <w:tab/>
        <w:t xml:space="preserve">Jennett B, Bond M: Assessment of outcome after severe brain damage. [Internet]. </w:t>
      </w:r>
      <w:r w:rsidRPr="003548D1">
        <w:rPr>
          <w:rFonts w:ascii="Calibri" w:eastAsia="Times New Roman" w:hAnsi="Calibri" w:cs="Times New Roman"/>
          <w:i/>
          <w:iCs/>
          <w:noProof/>
          <w:sz w:val="20"/>
          <w:lang w:val="en-GB"/>
        </w:rPr>
        <w:t>Lancet (London, England)</w:t>
      </w:r>
      <w:r w:rsidRPr="003548D1">
        <w:rPr>
          <w:rFonts w:ascii="Calibri" w:eastAsia="Times New Roman" w:hAnsi="Calibri" w:cs="Times New Roman"/>
          <w:noProof/>
          <w:sz w:val="20"/>
          <w:lang w:val="en-GB"/>
        </w:rPr>
        <w:t xml:space="preserve"> 1975; 1:480–4[cited 2017 Oct 12] Available from: http://www.ncbi.nlm.nih.gov/pubmed/46957</w:t>
      </w:r>
    </w:p>
    <w:p w14:paraId="17419588" w14:textId="2B6CD050" w:rsidR="00D3109D" w:rsidRPr="002D686B" w:rsidRDefault="0065400C" w:rsidP="003548D1">
      <w:pPr>
        <w:widowControl w:val="0"/>
        <w:autoSpaceDE w:val="0"/>
        <w:autoSpaceDN w:val="0"/>
        <w:adjustRightInd w:val="0"/>
        <w:spacing w:after="0" w:line="360" w:lineRule="auto"/>
        <w:ind w:left="640" w:hanging="640"/>
        <w:rPr>
          <w:lang w:val="en-US"/>
        </w:rPr>
      </w:pPr>
      <w:r w:rsidRPr="006F7FE6">
        <w:rPr>
          <w:rFonts w:ascii="Calibri" w:hAnsi="Calibri"/>
          <w:sz w:val="20"/>
          <w:lang w:val="en-US"/>
        </w:rPr>
        <w:fldChar w:fldCharType="end"/>
      </w:r>
    </w:p>
    <w:sectPr w:rsidR="00D3109D" w:rsidRPr="002D686B" w:rsidSect="002A10E3">
      <w:footerReference w:type="even" r:id="rId24"/>
      <w:footerReference w:type="default" r:id="rId25"/>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3FF30B8" w14:textId="77777777" w:rsidR="00801A84" w:rsidRDefault="00801A84" w:rsidP="00DF3617">
      <w:r>
        <w:separator/>
      </w:r>
    </w:p>
  </w:endnote>
  <w:endnote w:type="continuationSeparator" w:id="0">
    <w:p w14:paraId="4A75B5C8" w14:textId="77777777" w:rsidR="00801A84" w:rsidRDefault="00801A84" w:rsidP="00DF36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1029CA" w14:textId="77777777" w:rsidR="009B2585" w:rsidRDefault="009B2585" w:rsidP="0039287B">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B780978" w14:textId="77777777" w:rsidR="009B2585" w:rsidRDefault="009B2585" w:rsidP="00DF3617">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C09134" w14:textId="7AA70EBF" w:rsidR="009B2585" w:rsidRDefault="009B2585" w:rsidP="0039287B">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31E66">
      <w:rPr>
        <w:rStyle w:val="PageNumber"/>
        <w:noProof/>
      </w:rPr>
      <w:t>1</w:t>
    </w:r>
    <w:r>
      <w:rPr>
        <w:rStyle w:val="PageNumber"/>
      </w:rPr>
      <w:fldChar w:fldCharType="end"/>
    </w:r>
  </w:p>
  <w:p w14:paraId="67310CAF" w14:textId="77777777" w:rsidR="009B2585" w:rsidRDefault="009B2585" w:rsidP="00DF3617">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6334E5F" w14:textId="77777777" w:rsidR="00801A84" w:rsidRDefault="00801A84" w:rsidP="00DF3617">
      <w:r>
        <w:separator/>
      </w:r>
    </w:p>
  </w:footnote>
  <w:footnote w:type="continuationSeparator" w:id="0">
    <w:p w14:paraId="4D244710" w14:textId="77777777" w:rsidR="00801A84" w:rsidRDefault="00801A84" w:rsidP="00DF361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1C6CE0"/>
    <w:multiLevelType w:val="hybridMultilevel"/>
    <w:tmpl w:val="8D4038CC"/>
    <w:lvl w:ilvl="0" w:tplc="B8C4E57C">
      <w:numFmt w:val="bullet"/>
      <w:lvlText w:val="-"/>
      <w:lvlJc w:val="left"/>
      <w:pPr>
        <w:ind w:left="720" w:hanging="360"/>
      </w:pPr>
      <w:rPr>
        <w:rFonts w:ascii="Calibri" w:eastAsiaTheme="minorHAnsi" w:hAnsi="Calibri"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1D63127A"/>
    <w:multiLevelType w:val="hybridMultilevel"/>
    <w:tmpl w:val="2018819E"/>
    <w:lvl w:ilvl="0" w:tplc="9880CDB6">
      <w:numFmt w:val="bullet"/>
      <w:lvlText w:val="-"/>
      <w:lvlJc w:val="left"/>
      <w:pPr>
        <w:ind w:left="720" w:hanging="360"/>
      </w:pPr>
      <w:rPr>
        <w:rFonts w:ascii="Calibri" w:eastAsiaTheme="minorHAnsi" w:hAnsi="Calibri" w:cstheme="minorBidi"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39A365DD"/>
    <w:multiLevelType w:val="hybridMultilevel"/>
    <w:tmpl w:val="94AE48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F851900"/>
    <w:multiLevelType w:val="hybridMultilevel"/>
    <w:tmpl w:val="883A9A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6B25C2A"/>
    <w:multiLevelType w:val="hybridMultilevel"/>
    <w:tmpl w:val="EDE4FF9A"/>
    <w:lvl w:ilvl="0" w:tplc="9880CDB6">
      <w:numFmt w:val="bullet"/>
      <w:lvlText w:val="-"/>
      <w:lvlJc w:val="left"/>
      <w:pPr>
        <w:ind w:left="720" w:hanging="360"/>
      </w:pPr>
      <w:rPr>
        <w:rFonts w:ascii="Calibri" w:eastAsiaTheme="minorHAnsi" w:hAnsi="Calibri" w:cstheme="minorBidi"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63C551D2"/>
    <w:multiLevelType w:val="hybridMultilevel"/>
    <w:tmpl w:val="39D65048"/>
    <w:lvl w:ilvl="0" w:tplc="9880CDB6">
      <w:numFmt w:val="bullet"/>
      <w:lvlText w:val="-"/>
      <w:lvlJc w:val="left"/>
      <w:pPr>
        <w:ind w:left="720" w:hanging="360"/>
      </w:pPr>
      <w:rPr>
        <w:rFonts w:ascii="Calibri" w:eastAsiaTheme="minorHAnsi" w:hAnsi="Calibri" w:cstheme="minorBidi"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7A5A32CD"/>
    <w:multiLevelType w:val="hybridMultilevel"/>
    <w:tmpl w:val="E5C668B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0"/>
  </w:num>
  <w:num w:numId="2">
    <w:abstractNumId w:val="3"/>
  </w:num>
  <w:num w:numId="3">
    <w:abstractNumId w:val="5"/>
  </w:num>
  <w:num w:numId="4">
    <w:abstractNumId w:val="1"/>
  </w:num>
  <w:num w:numId="5">
    <w:abstractNumId w:val="4"/>
  </w:num>
  <w:num w:numId="6">
    <w:abstractNumId w:val="2"/>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1304"/>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400C"/>
    <w:rsid w:val="000001AE"/>
    <w:rsid w:val="00000DA4"/>
    <w:rsid w:val="00001763"/>
    <w:rsid w:val="00001D28"/>
    <w:rsid w:val="00002A01"/>
    <w:rsid w:val="000049A8"/>
    <w:rsid w:val="00005E3E"/>
    <w:rsid w:val="00006B51"/>
    <w:rsid w:val="0000779C"/>
    <w:rsid w:val="00007D0C"/>
    <w:rsid w:val="00011E1F"/>
    <w:rsid w:val="00012733"/>
    <w:rsid w:val="00012C0B"/>
    <w:rsid w:val="00012F07"/>
    <w:rsid w:val="000147B0"/>
    <w:rsid w:val="00016056"/>
    <w:rsid w:val="00016484"/>
    <w:rsid w:val="000173F7"/>
    <w:rsid w:val="000203AA"/>
    <w:rsid w:val="00022792"/>
    <w:rsid w:val="000269A8"/>
    <w:rsid w:val="00027E55"/>
    <w:rsid w:val="00030E30"/>
    <w:rsid w:val="00030F84"/>
    <w:rsid w:val="000315F7"/>
    <w:rsid w:val="00031E66"/>
    <w:rsid w:val="00032E42"/>
    <w:rsid w:val="00032FDF"/>
    <w:rsid w:val="000331DA"/>
    <w:rsid w:val="00033B19"/>
    <w:rsid w:val="00033BAA"/>
    <w:rsid w:val="000345DF"/>
    <w:rsid w:val="00035C3F"/>
    <w:rsid w:val="0003779A"/>
    <w:rsid w:val="000412ED"/>
    <w:rsid w:val="00041602"/>
    <w:rsid w:val="00042354"/>
    <w:rsid w:val="0004371F"/>
    <w:rsid w:val="00043F4C"/>
    <w:rsid w:val="00045378"/>
    <w:rsid w:val="00045AB7"/>
    <w:rsid w:val="00046500"/>
    <w:rsid w:val="000465E7"/>
    <w:rsid w:val="000466CC"/>
    <w:rsid w:val="0005210F"/>
    <w:rsid w:val="000527A8"/>
    <w:rsid w:val="0005738D"/>
    <w:rsid w:val="0006217C"/>
    <w:rsid w:val="000628F2"/>
    <w:rsid w:val="0006776F"/>
    <w:rsid w:val="00067CAE"/>
    <w:rsid w:val="00074BE4"/>
    <w:rsid w:val="00080C5A"/>
    <w:rsid w:val="0008114C"/>
    <w:rsid w:val="000823BE"/>
    <w:rsid w:val="000824AA"/>
    <w:rsid w:val="0008306D"/>
    <w:rsid w:val="0008361D"/>
    <w:rsid w:val="0008378F"/>
    <w:rsid w:val="00083C61"/>
    <w:rsid w:val="00084526"/>
    <w:rsid w:val="00084E45"/>
    <w:rsid w:val="0008608C"/>
    <w:rsid w:val="00090318"/>
    <w:rsid w:val="0009158B"/>
    <w:rsid w:val="000950EA"/>
    <w:rsid w:val="00095208"/>
    <w:rsid w:val="0009750F"/>
    <w:rsid w:val="000A0D55"/>
    <w:rsid w:val="000A0E20"/>
    <w:rsid w:val="000A227D"/>
    <w:rsid w:val="000A4500"/>
    <w:rsid w:val="000A553F"/>
    <w:rsid w:val="000A56BD"/>
    <w:rsid w:val="000B03D7"/>
    <w:rsid w:val="000B3AEE"/>
    <w:rsid w:val="000B456D"/>
    <w:rsid w:val="000B5020"/>
    <w:rsid w:val="000B5529"/>
    <w:rsid w:val="000B658F"/>
    <w:rsid w:val="000B7452"/>
    <w:rsid w:val="000B7D0F"/>
    <w:rsid w:val="000C0C8E"/>
    <w:rsid w:val="000C1214"/>
    <w:rsid w:val="000C125E"/>
    <w:rsid w:val="000C1787"/>
    <w:rsid w:val="000C3C91"/>
    <w:rsid w:val="000C4BE7"/>
    <w:rsid w:val="000C66EC"/>
    <w:rsid w:val="000D0F89"/>
    <w:rsid w:val="000D2754"/>
    <w:rsid w:val="000D7735"/>
    <w:rsid w:val="000E13AE"/>
    <w:rsid w:val="000E1D2A"/>
    <w:rsid w:val="000E1D33"/>
    <w:rsid w:val="000E2899"/>
    <w:rsid w:val="000E579A"/>
    <w:rsid w:val="000F3183"/>
    <w:rsid w:val="000F3353"/>
    <w:rsid w:val="000F3B33"/>
    <w:rsid w:val="000F5EAA"/>
    <w:rsid w:val="000F685D"/>
    <w:rsid w:val="00100646"/>
    <w:rsid w:val="001028FB"/>
    <w:rsid w:val="00102D90"/>
    <w:rsid w:val="0010525B"/>
    <w:rsid w:val="00105906"/>
    <w:rsid w:val="0010793E"/>
    <w:rsid w:val="00110C72"/>
    <w:rsid w:val="00112F1B"/>
    <w:rsid w:val="001138DA"/>
    <w:rsid w:val="001158C9"/>
    <w:rsid w:val="00117980"/>
    <w:rsid w:val="00117C22"/>
    <w:rsid w:val="00121025"/>
    <w:rsid w:val="0012140E"/>
    <w:rsid w:val="00121E2A"/>
    <w:rsid w:val="00122A27"/>
    <w:rsid w:val="0012402F"/>
    <w:rsid w:val="0012597F"/>
    <w:rsid w:val="00126820"/>
    <w:rsid w:val="00126C72"/>
    <w:rsid w:val="00126E7C"/>
    <w:rsid w:val="00126EEC"/>
    <w:rsid w:val="00127AEA"/>
    <w:rsid w:val="0013076B"/>
    <w:rsid w:val="00131D4B"/>
    <w:rsid w:val="00133688"/>
    <w:rsid w:val="00133891"/>
    <w:rsid w:val="001362FB"/>
    <w:rsid w:val="00137A04"/>
    <w:rsid w:val="00143619"/>
    <w:rsid w:val="00145898"/>
    <w:rsid w:val="0015028B"/>
    <w:rsid w:val="001518F3"/>
    <w:rsid w:val="00152B85"/>
    <w:rsid w:val="001548AE"/>
    <w:rsid w:val="00155685"/>
    <w:rsid w:val="00160212"/>
    <w:rsid w:val="00166844"/>
    <w:rsid w:val="00167520"/>
    <w:rsid w:val="00171DF2"/>
    <w:rsid w:val="001720B5"/>
    <w:rsid w:val="0017236F"/>
    <w:rsid w:val="001736CC"/>
    <w:rsid w:val="001742C4"/>
    <w:rsid w:val="001754E2"/>
    <w:rsid w:val="00175C06"/>
    <w:rsid w:val="00183E4C"/>
    <w:rsid w:val="00184C17"/>
    <w:rsid w:val="00186495"/>
    <w:rsid w:val="00191D4E"/>
    <w:rsid w:val="00195A64"/>
    <w:rsid w:val="00196756"/>
    <w:rsid w:val="001A3E05"/>
    <w:rsid w:val="001A4381"/>
    <w:rsid w:val="001A5529"/>
    <w:rsid w:val="001A555B"/>
    <w:rsid w:val="001A5ED7"/>
    <w:rsid w:val="001A63DB"/>
    <w:rsid w:val="001A7375"/>
    <w:rsid w:val="001A7565"/>
    <w:rsid w:val="001A774F"/>
    <w:rsid w:val="001A7FCA"/>
    <w:rsid w:val="001B25EB"/>
    <w:rsid w:val="001B2DE6"/>
    <w:rsid w:val="001B3645"/>
    <w:rsid w:val="001B3C8B"/>
    <w:rsid w:val="001B5773"/>
    <w:rsid w:val="001B681D"/>
    <w:rsid w:val="001B79A2"/>
    <w:rsid w:val="001B7D09"/>
    <w:rsid w:val="001B7F93"/>
    <w:rsid w:val="001C04DE"/>
    <w:rsid w:val="001C11BD"/>
    <w:rsid w:val="001C149B"/>
    <w:rsid w:val="001C1738"/>
    <w:rsid w:val="001C184C"/>
    <w:rsid w:val="001C332D"/>
    <w:rsid w:val="001C37A2"/>
    <w:rsid w:val="001C3ECC"/>
    <w:rsid w:val="001C4B74"/>
    <w:rsid w:val="001C6DA9"/>
    <w:rsid w:val="001C7421"/>
    <w:rsid w:val="001D0324"/>
    <w:rsid w:val="001D0AD6"/>
    <w:rsid w:val="001D0E93"/>
    <w:rsid w:val="001D1657"/>
    <w:rsid w:val="001D1FBA"/>
    <w:rsid w:val="001D1FDA"/>
    <w:rsid w:val="001D271C"/>
    <w:rsid w:val="001D49B9"/>
    <w:rsid w:val="001D4A3B"/>
    <w:rsid w:val="001D542D"/>
    <w:rsid w:val="001D6F4A"/>
    <w:rsid w:val="001D7F54"/>
    <w:rsid w:val="001E0ECC"/>
    <w:rsid w:val="001E30C3"/>
    <w:rsid w:val="001E4917"/>
    <w:rsid w:val="001E4F55"/>
    <w:rsid w:val="001E6A02"/>
    <w:rsid w:val="001E6A48"/>
    <w:rsid w:val="001F07ED"/>
    <w:rsid w:val="001F08F6"/>
    <w:rsid w:val="001F1BDD"/>
    <w:rsid w:val="001F289C"/>
    <w:rsid w:val="001F4615"/>
    <w:rsid w:val="001F5D80"/>
    <w:rsid w:val="001F655D"/>
    <w:rsid w:val="00200ABF"/>
    <w:rsid w:val="002016F6"/>
    <w:rsid w:val="0020462D"/>
    <w:rsid w:val="00205183"/>
    <w:rsid w:val="00205A69"/>
    <w:rsid w:val="002063BA"/>
    <w:rsid w:val="00210629"/>
    <w:rsid w:val="002115A1"/>
    <w:rsid w:val="00211B2A"/>
    <w:rsid w:val="00211BCF"/>
    <w:rsid w:val="00213328"/>
    <w:rsid w:val="00215C3E"/>
    <w:rsid w:val="00216928"/>
    <w:rsid w:val="002220C0"/>
    <w:rsid w:val="00222710"/>
    <w:rsid w:val="002227A2"/>
    <w:rsid w:val="00224D69"/>
    <w:rsid w:val="00225939"/>
    <w:rsid w:val="00225F2D"/>
    <w:rsid w:val="00231F3D"/>
    <w:rsid w:val="00234557"/>
    <w:rsid w:val="00235A72"/>
    <w:rsid w:val="00235F1D"/>
    <w:rsid w:val="002379CD"/>
    <w:rsid w:val="00237F14"/>
    <w:rsid w:val="00241D62"/>
    <w:rsid w:val="0024266A"/>
    <w:rsid w:val="002430F4"/>
    <w:rsid w:val="00243AC3"/>
    <w:rsid w:val="00247014"/>
    <w:rsid w:val="00247182"/>
    <w:rsid w:val="00247C65"/>
    <w:rsid w:val="00247CB6"/>
    <w:rsid w:val="002520A9"/>
    <w:rsid w:val="00260698"/>
    <w:rsid w:val="00262729"/>
    <w:rsid w:val="00262B24"/>
    <w:rsid w:val="002663D8"/>
    <w:rsid w:val="00270C93"/>
    <w:rsid w:val="002735EA"/>
    <w:rsid w:val="00273AFC"/>
    <w:rsid w:val="00276267"/>
    <w:rsid w:val="00276A6B"/>
    <w:rsid w:val="00276E15"/>
    <w:rsid w:val="00280642"/>
    <w:rsid w:val="002833D4"/>
    <w:rsid w:val="002834FD"/>
    <w:rsid w:val="00287327"/>
    <w:rsid w:val="002874A6"/>
    <w:rsid w:val="00287A5B"/>
    <w:rsid w:val="00292587"/>
    <w:rsid w:val="00297ACE"/>
    <w:rsid w:val="002A0D12"/>
    <w:rsid w:val="002A10E3"/>
    <w:rsid w:val="002A4AD5"/>
    <w:rsid w:val="002A4CB1"/>
    <w:rsid w:val="002A5E90"/>
    <w:rsid w:val="002A6033"/>
    <w:rsid w:val="002A6AD9"/>
    <w:rsid w:val="002A6F61"/>
    <w:rsid w:val="002B1916"/>
    <w:rsid w:val="002B1AEE"/>
    <w:rsid w:val="002B1C47"/>
    <w:rsid w:val="002B28B6"/>
    <w:rsid w:val="002C127E"/>
    <w:rsid w:val="002C3727"/>
    <w:rsid w:val="002C4A09"/>
    <w:rsid w:val="002C4D2A"/>
    <w:rsid w:val="002C5721"/>
    <w:rsid w:val="002D3669"/>
    <w:rsid w:val="002D3A34"/>
    <w:rsid w:val="002D3D46"/>
    <w:rsid w:val="002D5B3F"/>
    <w:rsid w:val="002D686B"/>
    <w:rsid w:val="002D733B"/>
    <w:rsid w:val="002D7EA2"/>
    <w:rsid w:val="002E0527"/>
    <w:rsid w:val="002E0C05"/>
    <w:rsid w:val="002E236E"/>
    <w:rsid w:val="002E2656"/>
    <w:rsid w:val="002E4A88"/>
    <w:rsid w:val="002E53C6"/>
    <w:rsid w:val="002F0A10"/>
    <w:rsid w:val="002F0A54"/>
    <w:rsid w:val="002F204E"/>
    <w:rsid w:val="002F468C"/>
    <w:rsid w:val="002F6D5A"/>
    <w:rsid w:val="0030008B"/>
    <w:rsid w:val="003000DA"/>
    <w:rsid w:val="003008FC"/>
    <w:rsid w:val="003023AD"/>
    <w:rsid w:val="0030506E"/>
    <w:rsid w:val="00307E83"/>
    <w:rsid w:val="0031021E"/>
    <w:rsid w:val="003119A2"/>
    <w:rsid w:val="003135A1"/>
    <w:rsid w:val="00317F2B"/>
    <w:rsid w:val="0032065E"/>
    <w:rsid w:val="003209D5"/>
    <w:rsid w:val="00323372"/>
    <w:rsid w:val="00323A37"/>
    <w:rsid w:val="003243B8"/>
    <w:rsid w:val="003255D1"/>
    <w:rsid w:val="0032660F"/>
    <w:rsid w:val="0033096D"/>
    <w:rsid w:val="00331C6D"/>
    <w:rsid w:val="003344EB"/>
    <w:rsid w:val="00335155"/>
    <w:rsid w:val="003353A9"/>
    <w:rsid w:val="00335503"/>
    <w:rsid w:val="003376D5"/>
    <w:rsid w:val="003378B5"/>
    <w:rsid w:val="00340E59"/>
    <w:rsid w:val="00343469"/>
    <w:rsid w:val="003445A5"/>
    <w:rsid w:val="00347139"/>
    <w:rsid w:val="00347815"/>
    <w:rsid w:val="00354492"/>
    <w:rsid w:val="003548D1"/>
    <w:rsid w:val="003607D5"/>
    <w:rsid w:val="003626DE"/>
    <w:rsid w:val="0037009E"/>
    <w:rsid w:val="0037142C"/>
    <w:rsid w:val="00375CE2"/>
    <w:rsid w:val="00377262"/>
    <w:rsid w:val="00377C9E"/>
    <w:rsid w:val="0038446A"/>
    <w:rsid w:val="003857A7"/>
    <w:rsid w:val="0038593F"/>
    <w:rsid w:val="00387201"/>
    <w:rsid w:val="00387978"/>
    <w:rsid w:val="003901E0"/>
    <w:rsid w:val="0039287B"/>
    <w:rsid w:val="00393513"/>
    <w:rsid w:val="003956DE"/>
    <w:rsid w:val="00395A1E"/>
    <w:rsid w:val="003A27B9"/>
    <w:rsid w:val="003A2EB2"/>
    <w:rsid w:val="003A3123"/>
    <w:rsid w:val="003A34A4"/>
    <w:rsid w:val="003A3F54"/>
    <w:rsid w:val="003A428E"/>
    <w:rsid w:val="003A55D5"/>
    <w:rsid w:val="003A6CF9"/>
    <w:rsid w:val="003B274A"/>
    <w:rsid w:val="003B2857"/>
    <w:rsid w:val="003B3548"/>
    <w:rsid w:val="003B481A"/>
    <w:rsid w:val="003B5397"/>
    <w:rsid w:val="003B57ED"/>
    <w:rsid w:val="003B5F5B"/>
    <w:rsid w:val="003B76B4"/>
    <w:rsid w:val="003B7B38"/>
    <w:rsid w:val="003C0DC8"/>
    <w:rsid w:val="003C136E"/>
    <w:rsid w:val="003C14F3"/>
    <w:rsid w:val="003C1D7A"/>
    <w:rsid w:val="003C200E"/>
    <w:rsid w:val="003C512C"/>
    <w:rsid w:val="003C5132"/>
    <w:rsid w:val="003C6C04"/>
    <w:rsid w:val="003C6C7A"/>
    <w:rsid w:val="003C7281"/>
    <w:rsid w:val="003C75F2"/>
    <w:rsid w:val="003D39FC"/>
    <w:rsid w:val="003D3D6E"/>
    <w:rsid w:val="003D4701"/>
    <w:rsid w:val="003D4AF9"/>
    <w:rsid w:val="003D5455"/>
    <w:rsid w:val="003D667A"/>
    <w:rsid w:val="003D728E"/>
    <w:rsid w:val="003D7325"/>
    <w:rsid w:val="003D79AB"/>
    <w:rsid w:val="003E1776"/>
    <w:rsid w:val="003E2617"/>
    <w:rsid w:val="003E2FA9"/>
    <w:rsid w:val="003E5724"/>
    <w:rsid w:val="003F0CE3"/>
    <w:rsid w:val="003F0E40"/>
    <w:rsid w:val="003F2832"/>
    <w:rsid w:val="003F50A7"/>
    <w:rsid w:val="003F56BA"/>
    <w:rsid w:val="00401165"/>
    <w:rsid w:val="0040179E"/>
    <w:rsid w:val="004018F4"/>
    <w:rsid w:val="004047FC"/>
    <w:rsid w:val="00406E61"/>
    <w:rsid w:val="004138AE"/>
    <w:rsid w:val="00413BF8"/>
    <w:rsid w:val="004141BA"/>
    <w:rsid w:val="004157DA"/>
    <w:rsid w:val="00415E7C"/>
    <w:rsid w:val="00415E97"/>
    <w:rsid w:val="00416007"/>
    <w:rsid w:val="0041653B"/>
    <w:rsid w:val="00416E74"/>
    <w:rsid w:val="00417B93"/>
    <w:rsid w:val="00420373"/>
    <w:rsid w:val="004210E3"/>
    <w:rsid w:val="004228C4"/>
    <w:rsid w:val="00432242"/>
    <w:rsid w:val="00434D19"/>
    <w:rsid w:val="00435946"/>
    <w:rsid w:val="00435C52"/>
    <w:rsid w:val="00441487"/>
    <w:rsid w:val="00444412"/>
    <w:rsid w:val="004472C6"/>
    <w:rsid w:val="00452B1F"/>
    <w:rsid w:val="00454896"/>
    <w:rsid w:val="00455B48"/>
    <w:rsid w:val="00461A82"/>
    <w:rsid w:val="00466365"/>
    <w:rsid w:val="00466748"/>
    <w:rsid w:val="00467BA1"/>
    <w:rsid w:val="00470534"/>
    <w:rsid w:val="00470878"/>
    <w:rsid w:val="00471482"/>
    <w:rsid w:val="004724FD"/>
    <w:rsid w:val="00473D47"/>
    <w:rsid w:val="00473DF3"/>
    <w:rsid w:val="00475191"/>
    <w:rsid w:val="00477B83"/>
    <w:rsid w:val="0048066C"/>
    <w:rsid w:val="004808BE"/>
    <w:rsid w:val="00480C61"/>
    <w:rsid w:val="00481933"/>
    <w:rsid w:val="00483F38"/>
    <w:rsid w:val="004842F4"/>
    <w:rsid w:val="0048491F"/>
    <w:rsid w:val="004862D7"/>
    <w:rsid w:val="0048784F"/>
    <w:rsid w:val="0049066E"/>
    <w:rsid w:val="00491418"/>
    <w:rsid w:val="00493748"/>
    <w:rsid w:val="004964D9"/>
    <w:rsid w:val="0049679F"/>
    <w:rsid w:val="004968B0"/>
    <w:rsid w:val="004A202F"/>
    <w:rsid w:val="004B037F"/>
    <w:rsid w:val="004B1E87"/>
    <w:rsid w:val="004B39B8"/>
    <w:rsid w:val="004B3E37"/>
    <w:rsid w:val="004B6669"/>
    <w:rsid w:val="004B6BDA"/>
    <w:rsid w:val="004B747C"/>
    <w:rsid w:val="004B7E1E"/>
    <w:rsid w:val="004C0094"/>
    <w:rsid w:val="004C58CE"/>
    <w:rsid w:val="004C63D2"/>
    <w:rsid w:val="004C6B5A"/>
    <w:rsid w:val="004C6D18"/>
    <w:rsid w:val="004D1F7C"/>
    <w:rsid w:val="004D2BD0"/>
    <w:rsid w:val="004D2FA7"/>
    <w:rsid w:val="004D352E"/>
    <w:rsid w:val="004D4EAD"/>
    <w:rsid w:val="004D5AE9"/>
    <w:rsid w:val="004D7979"/>
    <w:rsid w:val="004E1954"/>
    <w:rsid w:val="004E2500"/>
    <w:rsid w:val="004E2B74"/>
    <w:rsid w:val="004E3784"/>
    <w:rsid w:val="004E3D90"/>
    <w:rsid w:val="004E5A76"/>
    <w:rsid w:val="004E66C9"/>
    <w:rsid w:val="004E7732"/>
    <w:rsid w:val="004F5E97"/>
    <w:rsid w:val="004F7780"/>
    <w:rsid w:val="0050068B"/>
    <w:rsid w:val="0050073B"/>
    <w:rsid w:val="00502040"/>
    <w:rsid w:val="005035E1"/>
    <w:rsid w:val="005046CF"/>
    <w:rsid w:val="005049AA"/>
    <w:rsid w:val="005124E0"/>
    <w:rsid w:val="00514BE3"/>
    <w:rsid w:val="00515EBC"/>
    <w:rsid w:val="005166A1"/>
    <w:rsid w:val="00517198"/>
    <w:rsid w:val="0052024E"/>
    <w:rsid w:val="0052048F"/>
    <w:rsid w:val="00522F4A"/>
    <w:rsid w:val="00524D75"/>
    <w:rsid w:val="00525BB2"/>
    <w:rsid w:val="00526170"/>
    <w:rsid w:val="00530829"/>
    <w:rsid w:val="0053231E"/>
    <w:rsid w:val="00532500"/>
    <w:rsid w:val="00534973"/>
    <w:rsid w:val="00535B8F"/>
    <w:rsid w:val="00536877"/>
    <w:rsid w:val="005375EA"/>
    <w:rsid w:val="005379D1"/>
    <w:rsid w:val="00541ED7"/>
    <w:rsid w:val="00541F85"/>
    <w:rsid w:val="00542CA7"/>
    <w:rsid w:val="00542FE7"/>
    <w:rsid w:val="005433BF"/>
    <w:rsid w:val="00543CAF"/>
    <w:rsid w:val="00544732"/>
    <w:rsid w:val="0054490E"/>
    <w:rsid w:val="005476CE"/>
    <w:rsid w:val="00547B60"/>
    <w:rsid w:val="00550137"/>
    <w:rsid w:val="00550529"/>
    <w:rsid w:val="00552B3F"/>
    <w:rsid w:val="00555B3E"/>
    <w:rsid w:val="00555F30"/>
    <w:rsid w:val="0055746C"/>
    <w:rsid w:val="00557629"/>
    <w:rsid w:val="00562DA6"/>
    <w:rsid w:val="00564AB5"/>
    <w:rsid w:val="00566A6D"/>
    <w:rsid w:val="00572340"/>
    <w:rsid w:val="00572C80"/>
    <w:rsid w:val="00574552"/>
    <w:rsid w:val="00575412"/>
    <w:rsid w:val="005764B5"/>
    <w:rsid w:val="00576944"/>
    <w:rsid w:val="005778FF"/>
    <w:rsid w:val="00581D1A"/>
    <w:rsid w:val="00582445"/>
    <w:rsid w:val="00585768"/>
    <w:rsid w:val="005910EA"/>
    <w:rsid w:val="00591C49"/>
    <w:rsid w:val="00595287"/>
    <w:rsid w:val="005955D4"/>
    <w:rsid w:val="0059780C"/>
    <w:rsid w:val="005A0083"/>
    <w:rsid w:val="005A02B9"/>
    <w:rsid w:val="005A0401"/>
    <w:rsid w:val="005A128A"/>
    <w:rsid w:val="005A2056"/>
    <w:rsid w:val="005A207A"/>
    <w:rsid w:val="005A230D"/>
    <w:rsid w:val="005A3BF4"/>
    <w:rsid w:val="005A493A"/>
    <w:rsid w:val="005A5A55"/>
    <w:rsid w:val="005A603E"/>
    <w:rsid w:val="005B262D"/>
    <w:rsid w:val="005B3CE9"/>
    <w:rsid w:val="005B450D"/>
    <w:rsid w:val="005C1199"/>
    <w:rsid w:val="005C11CD"/>
    <w:rsid w:val="005C19D5"/>
    <w:rsid w:val="005C1B80"/>
    <w:rsid w:val="005C25FE"/>
    <w:rsid w:val="005C2F7D"/>
    <w:rsid w:val="005C3EE2"/>
    <w:rsid w:val="005C45D2"/>
    <w:rsid w:val="005C477F"/>
    <w:rsid w:val="005C6087"/>
    <w:rsid w:val="005D0509"/>
    <w:rsid w:val="005D08A8"/>
    <w:rsid w:val="005D46F8"/>
    <w:rsid w:val="005D4D88"/>
    <w:rsid w:val="005D5085"/>
    <w:rsid w:val="005D6032"/>
    <w:rsid w:val="005D6C21"/>
    <w:rsid w:val="005D70A2"/>
    <w:rsid w:val="005E0C32"/>
    <w:rsid w:val="005E28B9"/>
    <w:rsid w:val="005E6B35"/>
    <w:rsid w:val="005E7FC9"/>
    <w:rsid w:val="005F41CA"/>
    <w:rsid w:val="005F7C47"/>
    <w:rsid w:val="00601840"/>
    <w:rsid w:val="006053E5"/>
    <w:rsid w:val="0060599A"/>
    <w:rsid w:val="00605A12"/>
    <w:rsid w:val="00605EEC"/>
    <w:rsid w:val="0060777D"/>
    <w:rsid w:val="00607EFE"/>
    <w:rsid w:val="006108BA"/>
    <w:rsid w:val="00612DC1"/>
    <w:rsid w:val="00613EFB"/>
    <w:rsid w:val="006142CB"/>
    <w:rsid w:val="0061473B"/>
    <w:rsid w:val="006211BA"/>
    <w:rsid w:val="00621969"/>
    <w:rsid w:val="00621FB9"/>
    <w:rsid w:val="00623F1E"/>
    <w:rsid w:val="0063346D"/>
    <w:rsid w:val="0063569A"/>
    <w:rsid w:val="006356ED"/>
    <w:rsid w:val="00636300"/>
    <w:rsid w:val="0064088E"/>
    <w:rsid w:val="00640DBC"/>
    <w:rsid w:val="00645B6E"/>
    <w:rsid w:val="006474B9"/>
    <w:rsid w:val="00651E32"/>
    <w:rsid w:val="0065219C"/>
    <w:rsid w:val="00653171"/>
    <w:rsid w:val="0065400C"/>
    <w:rsid w:val="00654CA5"/>
    <w:rsid w:val="00655357"/>
    <w:rsid w:val="00664FAA"/>
    <w:rsid w:val="00665546"/>
    <w:rsid w:val="006659F7"/>
    <w:rsid w:val="006712DA"/>
    <w:rsid w:val="0067177F"/>
    <w:rsid w:val="00673FF8"/>
    <w:rsid w:val="00676761"/>
    <w:rsid w:val="006772B7"/>
    <w:rsid w:val="006778DC"/>
    <w:rsid w:val="006821F0"/>
    <w:rsid w:val="00682633"/>
    <w:rsid w:val="00682D96"/>
    <w:rsid w:val="00687AF9"/>
    <w:rsid w:val="00687B35"/>
    <w:rsid w:val="00687D37"/>
    <w:rsid w:val="006903F2"/>
    <w:rsid w:val="0069170A"/>
    <w:rsid w:val="0069198B"/>
    <w:rsid w:val="00695D63"/>
    <w:rsid w:val="006A6C8E"/>
    <w:rsid w:val="006A78B9"/>
    <w:rsid w:val="006B07B6"/>
    <w:rsid w:val="006B14A8"/>
    <w:rsid w:val="006B2D32"/>
    <w:rsid w:val="006B3860"/>
    <w:rsid w:val="006B524E"/>
    <w:rsid w:val="006B6EDB"/>
    <w:rsid w:val="006C561C"/>
    <w:rsid w:val="006D133C"/>
    <w:rsid w:val="006D31EC"/>
    <w:rsid w:val="006D35BB"/>
    <w:rsid w:val="006D48B8"/>
    <w:rsid w:val="006D666E"/>
    <w:rsid w:val="006E10EC"/>
    <w:rsid w:val="006E422C"/>
    <w:rsid w:val="006E51AE"/>
    <w:rsid w:val="006E609F"/>
    <w:rsid w:val="006E655A"/>
    <w:rsid w:val="006E6B29"/>
    <w:rsid w:val="006F1E21"/>
    <w:rsid w:val="006F28FD"/>
    <w:rsid w:val="006F3929"/>
    <w:rsid w:val="006F7AFC"/>
    <w:rsid w:val="006F7FE6"/>
    <w:rsid w:val="007004BA"/>
    <w:rsid w:val="00701AAD"/>
    <w:rsid w:val="007027D4"/>
    <w:rsid w:val="00703052"/>
    <w:rsid w:val="00703292"/>
    <w:rsid w:val="00706E8E"/>
    <w:rsid w:val="0071426C"/>
    <w:rsid w:val="007144DB"/>
    <w:rsid w:val="00715B5D"/>
    <w:rsid w:val="00715EBE"/>
    <w:rsid w:val="00716FAB"/>
    <w:rsid w:val="00716FBB"/>
    <w:rsid w:val="0071755F"/>
    <w:rsid w:val="0072119C"/>
    <w:rsid w:val="0072197E"/>
    <w:rsid w:val="007237FB"/>
    <w:rsid w:val="007246ED"/>
    <w:rsid w:val="007248AE"/>
    <w:rsid w:val="00724BA6"/>
    <w:rsid w:val="00724C8F"/>
    <w:rsid w:val="00726A6D"/>
    <w:rsid w:val="00726BB1"/>
    <w:rsid w:val="00727B5D"/>
    <w:rsid w:val="0073136B"/>
    <w:rsid w:val="00731439"/>
    <w:rsid w:val="00733C19"/>
    <w:rsid w:val="00735737"/>
    <w:rsid w:val="00736E56"/>
    <w:rsid w:val="007439BA"/>
    <w:rsid w:val="00743B64"/>
    <w:rsid w:val="0074734F"/>
    <w:rsid w:val="0075180E"/>
    <w:rsid w:val="007519F5"/>
    <w:rsid w:val="00751A76"/>
    <w:rsid w:val="00751E02"/>
    <w:rsid w:val="00756D17"/>
    <w:rsid w:val="00756EB5"/>
    <w:rsid w:val="00757BB7"/>
    <w:rsid w:val="007601A9"/>
    <w:rsid w:val="00760968"/>
    <w:rsid w:val="00762474"/>
    <w:rsid w:val="00762D0A"/>
    <w:rsid w:val="00763A5D"/>
    <w:rsid w:val="007643BE"/>
    <w:rsid w:val="00766DB5"/>
    <w:rsid w:val="00770255"/>
    <w:rsid w:val="00771182"/>
    <w:rsid w:val="00772AF2"/>
    <w:rsid w:val="00774E91"/>
    <w:rsid w:val="00775ED9"/>
    <w:rsid w:val="00776101"/>
    <w:rsid w:val="0077639E"/>
    <w:rsid w:val="00776E49"/>
    <w:rsid w:val="0078242D"/>
    <w:rsid w:val="007833F1"/>
    <w:rsid w:val="007834AC"/>
    <w:rsid w:val="007878FB"/>
    <w:rsid w:val="00787FAC"/>
    <w:rsid w:val="0079441D"/>
    <w:rsid w:val="007949EB"/>
    <w:rsid w:val="0079600D"/>
    <w:rsid w:val="007964F2"/>
    <w:rsid w:val="007A16A4"/>
    <w:rsid w:val="007A1865"/>
    <w:rsid w:val="007A26F9"/>
    <w:rsid w:val="007A3660"/>
    <w:rsid w:val="007B5B7D"/>
    <w:rsid w:val="007B5D37"/>
    <w:rsid w:val="007B6CF1"/>
    <w:rsid w:val="007B789D"/>
    <w:rsid w:val="007C1225"/>
    <w:rsid w:val="007C1A86"/>
    <w:rsid w:val="007D20BA"/>
    <w:rsid w:val="007D3040"/>
    <w:rsid w:val="007D5BAC"/>
    <w:rsid w:val="007D60FA"/>
    <w:rsid w:val="007D6B88"/>
    <w:rsid w:val="007D6CF1"/>
    <w:rsid w:val="007E00E4"/>
    <w:rsid w:val="007E318C"/>
    <w:rsid w:val="007E3D86"/>
    <w:rsid w:val="007E4EBC"/>
    <w:rsid w:val="007E5564"/>
    <w:rsid w:val="007F3598"/>
    <w:rsid w:val="007F359C"/>
    <w:rsid w:val="007F36E5"/>
    <w:rsid w:val="007F3CAB"/>
    <w:rsid w:val="007F58DF"/>
    <w:rsid w:val="007F7F9B"/>
    <w:rsid w:val="00801A84"/>
    <w:rsid w:val="00803C8F"/>
    <w:rsid w:val="00806036"/>
    <w:rsid w:val="0081186B"/>
    <w:rsid w:val="008124B2"/>
    <w:rsid w:val="008131D5"/>
    <w:rsid w:val="0081485B"/>
    <w:rsid w:val="0081567D"/>
    <w:rsid w:val="008159FC"/>
    <w:rsid w:val="00817382"/>
    <w:rsid w:val="00820AA7"/>
    <w:rsid w:val="008231A3"/>
    <w:rsid w:val="00825F97"/>
    <w:rsid w:val="00826B4E"/>
    <w:rsid w:val="00830262"/>
    <w:rsid w:val="00832708"/>
    <w:rsid w:val="008332CD"/>
    <w:rsid w:val="00833AF6"/>
    <w:rsid w:val="00834A05"/>
    <w:rsid w:val="00835383"/>
    <w:rsid w:val="0083680F"/>
    <w:rsid w:val="0084031D"/>
    <w:rsid w:val="008408E0"/>
    <w:rsid w:val="00841C70"/>
    <w:rsid w:val="0084238A"/>
    <w:rsid w:val="00843B98"/>
    <w:rsid w:val="008453E9"/>
    <w:rsid w:val="0084661D"/>
    <w:rsid w:val="00850156"/>
    <w:rsid w:val="0085203F"/>
    <w:rsid w:val="00852BCA"/>
    <w:rsid w:val="00853114"/>
    <w:rsid w:val="00853A88"/>
    <w:rsid w:val="0085618D"/>
    <w:rsid w:val="00861CF6"/>
    <w:rsid w:val="00861D56"/>
    <w:rsid w:val="00861D74"/>
    <w:rsid w:val="00861F86"/>
    <w:rsid w:val="00862ADB"/>
    <w:rsid w:val="00863745"/>
    <w:rsid w:val="008647BD"/>
    <w:rsid w:val="00865396"/>
    <w:rsid w:val="0086543B"/>
    <w:rsid w:val="008667E5"/>
    <w:rsid w:val="00866B91"/>
    <w:rsid w:val="00867689"/>
    <w:rsid w:val="00867FAE"/>
    <w:rsid w:val="00867FCC"/>
    <w:rsid w:val="0087335D"/>
    <w:rsid w:val="00876C42"/>
    <w:rsid w:val="00877866"/>
    <w:rsid w:val="00880B2D"/>
    <w:rsid w:val="00882D41"/>
    <w:rsid w:val="00884B2D"/>
    <w:rsid w:val="00887D20"/>
    <w:rsid w:val="0089080D"/>
    <w:rsid w:val="00890B76"/>
    <w:rsid w:val="008916AA"/>
    <w:rsid w:val="008923B1"/>
    <w:rsid w:val="00892A46"/>
    <w:rsid w:val="00892CEF"/>
    <w:rsid w:val="00893694"/>
    <w:rsid w:val="0089374F"/>
    <w:rsid w:val="00894316"/>
    <w:rsid w:val="00895EF9"/>
    <w:rsid w:val="00896096"/>
    <w:rsid w:val="00896C16"/>
    <w:rsid w:val="00897357"/>
    <w:rsid w:val="008A004D"/>
    <w:rsid w:val="008A00AC"/>
    <w:rsid w:val="008A26D3"/>
    <w:rsid w:val="008A2E58"/>
    <w:rsid w:val="008A32CA"/>
    <w:rsid w:val="008A46EF"/>
    <w:rsid w:val="008A4737"/>
    <w:rsid w:val="008A57AF"/>
    <w:rsid w:val="008A76C2"/>
    <w:rsid w:val="008A7AAA"/>
    <w:rsid w:val="008B21E3"/>
    <w:rsid w:val="008B2429"/>
    <w:rsid w:val="008B2530"/>
    <w:rsid w:val="008B26F0"/>
    <w:rsid w:val="008B2E20"/>
    <w:rsid w:val="008B34BF"/>
    <w:rsid w:val="008B6C65"/>
    <w:rsid w:val="008B6ECC"/>
    <w:rsid w:val="008C4EF0"/>
    <w:rsid w:val="008C7F3A"/>
    <w:rsid w:val="008D1553"/>
    <w:rsid w:val="008D34A9"/>
    <w:rsid w:val="008D4531"/>
    <w:rsid w:val="008D65F5"/>
    <w:rsid w:val="008D7366"/>
    <w:rsid w:val="008D7684"/>
    <w:rsid w:val="008E02CB"/>
    <w:rsid w:val="008E1F68"/>
    <w:rsid w:val="008E3523"/>
    <w:rsid w:val="008E3E26"/>
    <w:rsid w:val="008E4097"/>
    <w:rsid w:val="008E6466"/>
    <w:rsid w:val="008E6491"/>
    <w:rsid w:val="008E7AA1"/>
    <w:rsid w:val="008F0AFE"/>
    <w:rsid w:val="008F0F94"/>
    <w:rsid w:val="008F0FFB"/>
    <w:rsid w:val="008F2AB9"/>
    <w:rsid w:val="008F3AC3"/>
    <w:rsid w:val="008F54C7"/>
    <w:rsid w:val="0090391C"/>
    <w:rsid w:val="009041DD"/>
    <w:rsid w:val="0090442E"/>
    <w:rsid w:val="009062DF"/>
    <w:rsid w:val="009067D0"/>
    <w:rsid w:val="009068BC"/>
    <w:rsid w:val="0091134F"/>
    <w:rsid w:val="009116E9"/>
    <w:rsid w:val="009125A3"/>
    <w:rsid w:val="009129B5"/>
    <w:rsid w:val="009131CD"/>
    <w:rsid w:val="00913924"/>
    <w:rsid w:val="00920431"/>
    <w:rsid w:val="009207B2"/>
    <w:rsid w:val="009231BF"/>
    <w:rsid w:val="00923355"/>
    <w:rsid w:val="009246A1"/>
    <w:rsid w:val="009257BF"/>
    <w:rsid w:val="00926CA9"/>
    <w:rsid w:val="00926D8A"/>
    <w:rsid w:val="0092779F"/>
    <w:rsid w:val="00930759"/>
    <w:rsid w:val="00930B3B"/>
    <w:rsid w:val="00931F2E"/>
    <w:rsid w:val="00933F0B"/>
    <w:rsid w:val="00935F6B"/>
    <w:rsid w:val="00936236"/>
    <w:rsid w:val="00936300"/>
    <w:rsid w:val="00936A3C"/>
    <w:rsid w:val="00936BF7"/>
    <w:rsid w:val="009371CD"/>
    <w:rsid w:val="00940267"/>
    <w:rsid w:val="009430BC"/>
    <w:rsid w:val="0094326C"/>
    <w:rsid w:val="009434A5"/>
    <w:rsid w:val="009438AB"/>
    <w:rsid w:val="00943C6E"/>
    <w:rsid w:val="00945A74"/>
    <w:rsid w:val="00947A17"/>
    <w:rsid w:val="00951CCE"/>
    <w:rsid w:val="0095276D"/>
    <w:rsid w:val="009549EC"/>
    <w:rsid w:val="00955DEA"/>
    <w:rsid w:val="00956115"/>
    <w:rsid w:val="0095663B"/>
    <w:rsid w:val="0095745B"/>
    <w:rsid w:val="00957EB7"/>
    <w:rsid w:val="00960819"/>
    <w:rsid w:val="00960D18"/>
    <w:rsid w:val="00961796"/>
    <w:rsid w:val="009634F7"/>
    <w:rsid w:val="009648CF"/>
    <w:rsid w:val="00964A5B"/>
    <w:rsid w:val="00965435"/>
    <w:rsid w:val="0096585D"/>
    <w:rsid w:val="00965AB9"/>
    <w:rsid w:val="009669BD"/>
    <w:rsid w:val="00970C0F"/>
    <w:rsid w:val="00970FE5"/>
    <w:rsid w:val="009724A0"/>
    <w:rsid w:val="00972A7F"/>
    <w:rsid w:val="00973786"/>
    <w:rsid w:val="00974A29"/>
    <w:rsid w:val="00974B6C"/>
    <w:rsid w:val="00976398"/>
    <w:rsid w:val="00977E6A"/>
    <w:rsid w:val="00980FB7"/>
    <w:rsid w:val="009811EA"/>
    <w:rsid w:val="00982B4B"/>
    <w:rsid w:val="00983314"/>
    <w:rsid w:val="0098420C"/>
    <w:rsid w:val="00984B84"/>
    <w:rsid w:val="00984F0A"/>
    <w:rsid w:val="00986B7D"/>
    <w:rsid w:val="00991D84"/>
    <w:rsid w:val="00992E4F"/>
    <w:rsid w:val="009932DA"/>
    <w:rsid w:val="00996DEB"/>
    <w:rsid w:val="00997270"/>
    <w:rsid w:val="009A0B0C"/>
    <w:rsid w:val="009A3943"/>
    <w:rsid w:val="009A4650"/>
    <w:rsid w:val="009A68B8"/>
    <w:rsid w:val="009A7990"/>
    <w:rsid w:val="009B008D"/>
    <w:rsid w:val="009B03F0"/>
    <w:rsid w:val="009B2585"/>
    <w:rsid w:val="009B293A"/>
    <w:rsid w:val="009B75EB"/>
    <w:rsid w:val="009C3936"/>
    <w:rsid w:val="009C3F68"/>
    <w:rsid w:val="009C475E"/>
    <w:rsid w:val="009C69BC"/>
    <w:rsid w:val="009D0783"/>
    <w:rsid w:val="009D2447"/>
    <w:rsid w:val="009D25CE"/>
    <w:rsid w:val="009D5B1A"/>
    <w:rsid w:val="009D70B5"/>
    <w:rsid w:val="009D79DB"/>
    <w:rsid w:val="009E4188"/>
    <w:rsid w:val="009E4B5A"/>
    <w:rsid w:val="009F068B"/>
    <w:rsid w:val="009F15C9"/>
    <w:rsid w:val="009F1C13"/>
    <w:rsid w:val="009F261C"/>
    <w:rsid w:val="00A02012"/>
    <w:rsid w:val="00A026FB"/>
    <w:rsid w:val="00A05484"/>
    <w:rsid w:val="00A07D95"/>
    <w:rsid w:val="00A11575"/>
    <w:rsid w:val="00A11AA2"/>
    <w:rsid w:val="00A151FA"/>
    <w:rsid w:val="00A1593A"/>
    <w:rsid w:val="00A1635E"/>
    <w:rsid w:val="00A16AC6"/>
    <w:rsid w:val="00A17BE3"/>
    <w:rsid w:val="00A204C7"/>
    <w:rsid w:val="00A21A6E"/>
    <w:rsid w:val="00A21B5A"/>
    <w:rsid w:val="00A24F8A"/>
    <w:rsid w:val="00A25844"/>
    <w:rsid w:val="00A2590F"/>
    <w:rsid w:val="00A25B00"/>
    <w:rsid w:val="00A25F18"/>
    <w:rsid w:val="00A2788C"/>
    <w:rsid w:val="00A338CD"/>
    <w:rsid w:val="00A33A9D"/>
    <w:rsid w:val="00A352FA"/>
    <w:rsid w:val="00A359B3"/>
    <w:rsid w:val="00A402E6"/>
    <w:rsid w:val="00A41756"/>
    <w:rsid w:val="00A41CDC"/>
    <w:rsid w:val="00A4251F"/>
    <w:rsid w:val="00A42769"/>
    <w:rsid w:val="00A42915"/>
    <w:rsid w:val="00A44361"/>
    <w:rsid w:val="00A45F14"/>
    <w:rsid w:val="00A467AC"/>
    <w:rsid w:val="00A47C90"/>
    <w:rsid w:val="00A502FE"/>
    <w:rsid w:val="00A50DC5"/>
    <w:rsid w:val="00A524A4"/>
    <w:rsid w:val="00A5250B"/>
    <w:rsid w:val="00A52914"/>
    <w:rsid w:val="00A53162"/>
    <w:rsid w:val="00A5584F"/>
    <w:rsid w:val="00A55A48"/>
    <w:rsid w:val="00A568D3"/>
    <w:rsid w:val="00A57AD4"/>
    <w:rsid w:val="00A60BBB"/>
    <w:rsid w:val="00A619AE"/>
    <w:rsid w:val="00A61B25"/>
    <w:rsid w:val="00A63207"/>
    <w:rsid w:val="00A64CF1"/>
    <w:rsid w:val="00A65C3C"/>
    <w:rsid w:val="00A66ADC"/>
    <w:rsid w:val="00A73F0E"/>
    <w:rsid w:val="00A75A06"/>
    <w:rsid w:val="00A75BED"/>
    <w:rsid w:val="00A7710D"/>
    <w:rsid w:val="00A77374"/>
    <w:rsid w:val="00A77A3E"/>
    <w:rsid w:val="00A80248"/>
    <w:rsid w:val="00A81467"/>
    <w:rsid w:val="00A820EC"/>
    <w:rsid w:val="00A82B5A"/>
    <w:rsid w:val="00A82DDD"/>
    <w:rsid w:val="00A82EA0"/>
    <w:rsid w:val="00A83B48"/>
    <w:rsid w:val="00A85138"/>
    <w:rsid w:val="00A85997"/>
    <w:rsid w:val="00A860B8"/>
    <w:rsid w:val="00A86794"/>
    <w:rsid w:val="00A905CE"/>
    <w:rsid w:val="00A90799"/>
    <w:rsid w:val="00A912DE"/>
    <w:rsid w:val="00A9303F"/>
    <w:rsid w:val="00A936CC"/>
    <w:rsid w:val="00A9417B"/>
    <w:rsid w:val="00A941C9"/>
    <w:rsid w:val="00A972A2"/>
    <w:rsid w:val="00AA106D"/>
    <w:rsid w:val="00AA2559"/>
    <w:rsid w:val="00AA2BD6"/>
    <w:rsid w:val="00AA3172"/>
    <w:rsid w:val="00AA37C5"/>
    <w:rsid w:val="00AA3A7A"/>
    <w:rsid w:val="00AA3E60"/>
    <w:rsid w:val="00AA456F"/>
    <w:rsid w:val="00AA5B35"/>
    <w:rsid w:val="00AA5DEB"/>
    <w:rsid w:val="00AA602C"/>
    <w:rsid w:val="00AB0E0A"/>
    <w:rsid w:val="00AB28D5"/>
    <w:rsid w:val="00AB3403"/>
    <w:rsid w:val="00AB3D17"/>
    <w:rsid w:val="00AB4BDA"/>
    <w:rsid w:val="00AB62A3"/>
    <w:rsid w:val="00AB662A"/>
    <w:rsid w:val="00AB76B0"/>
    <w:rsid w:val="00AC0B6F"/>
    <w:rsid w:val="00AC0EAB"/>
    <w:rsid w:val="00AC2050"/>
    <w:rsid w:val="00AC2391"/>
    <w:rsid w:val="00AC2D71"/>
    <w:rsid w:val="00AC3252"/>
    <w:rsid w:val="00AC4E8A"/>
    <w:rsid w:val="00AC52DB"/>
    <w:rsid w:val="00AC67E6"/>
    <w:rsid w:val="00AD0812"/>
    <w:rsid w:val="00AD1F20"/>
    <w:rsid w:val="00AD33A2"/>
    <w:rsid w:val="00AD3701"/>
    <w:rsid w:val="00AD520D"/>
    <w:rsid w:val="00AD6EB3"/>
    <w:rsid w:val="00AD79F8"/>
    <w:rsid w:val="00AE0906"/>
    <w:rsid w:val="00AE203D"/>
    <w:rsid w:val="00AE2B8A"/>
    <w:rsid w:val="00AE3993"/>
    <w:rsid w:val="00AE3C3A"/>
    <w:rsid w:val="00AE58BF"/>
    <w:rsid w:val="00AE7433"/>
    <w:rsid w:val="00AE7BFE"/>
    <w:rsid w:val="00AF0F04"/>
    <w:rsid w:val="00AF2FB5"/>
    <w:rsid w:val="00AF48D6"/>
    <w:rsid w:val="00AF55A9"/>
    <w:rsid w:val="00AF5E27"/>
    <w:rsid w:val="00AF61EE"/>
    <w:rsid w:val="00AF656F"/>
    <w:rsid w:val="00B01539"/>
    <w:rsid w:val="00B023C2"/>
    <w:rsid w:val="00B02690"/>
    <w:rsid w:val="00B11424"/>
    <w:rsid w:val="00B1531E"/>
    <w:rsid w:val="00B16B79"/>
    <w:rsid w:val="00B1746D"/>
    <w:rsid w:val="00B20DDA"/>
    <w:rsid w:val="00B2190D"/>
    <w:rsid w:val="00B21B45"/>
    <w:rsid w:val="00B224E2"/>
    <w:rsid w:val="00B23027"/>
    <w:rsid w:val="00B23933"/>
    <w:rsid w:val="00B23D7D"/>
    <w:rsid w:val="00B248C3"/>
    <w:rsid w:val="00B24BC1"/>
    <w:rsid w:val="00B26BC3"/>
    <w:rsid w:val="00B3048D"/>
    <w:rsid w:val="00B30B22"/>
    <w:rsid w:val="00B330EC"/>
    <w:rsid w:val="00B33A2D"/>
    <w:rsid w:val="00B34E9F"/>
    <w:rsid w:val="00B350F8"/>
    <w:rsid w:val="00B3567E"/>
    <w:rsid w:val="00B357F6"/>
    <w:rsid w:val="00B4052A"/>
    <w:rsid w:val="00B42060"/>
    <w:rsid w:val="00B43051"/>
    <w:rsid w:val="00B46A01"/>
    <w:rsid w:val="00B504A2"/>
    <w:rsid w:val="00B50CB8"/>
    <w:rsid w:val="00B51F40"/>
    <w:rsid w:val="00B53C14"/>
    <w:rsid w:val="00B6054C"/>
    <w:rsid w:val="00B60668"/>
    <w:rsid w:val="00B628FF"/>
    <w:rsid w:val="00B6632F"/>
    <w:rsid w:val="00B66964"/>
    <w:rsid w:val="00B66A31"/>
    <w:rsid w:val="00B7060F"/>
    <w:rsid w:val="00B72B14"/>
    <w:rsid w:val="00B72E72"/>
    <w:rsid w:val="00B73E78"/>
    <w:rsid w:val="00B7510C"/>
    <w:rsid w:val="00B7781F"/>
    <w:rsid w:val="00B77F51"/>
    <w:rsid w:val="00B80F35"/>
    <w:rsid w:val="00B81A0E"/>
    <w:rsid w:val="00B839F8"/>
    <w:rsid w:val="00B83FF2"/>
    <w:rsid w:val="00B879F7"/>
    <w:rsid w:val="00B90926"/>
    <w:rsid w:val="00B91C58"/>
    <w:rsid w:val="00B93005"/>
    <w:rsid w:val="00B94EB5"/>
    <w:rsid w:val="00B979A8"/>
    <w:rsid w:val="00BA0232"/>
    <w:rsid w:val="00BA04E8"/>
    <w:rsid w:val="00BA15A4"/>
    <w:rsid w:val="00BA17BB"/>
    <w:rsid w:val="00BA17D9"/>
    <w:rsid w:val="00BA17F8"/>
    <w:rsid w:val="00BA1C90"/>
    <w:rsid w:val="00BA2494"/>
    <w:rsid w:val="00BA2E71"/>
    <w:rsid w:val="00BA39CE"/>
    <w:rsid w:val="00BA4487"/>
    <w:rsid w:val="00BA749C"/>
    <w:rsid w:val="00BA7BE0"/>
    <w:rsid w:val="00BB10EA"/>
    <w:rsid w:val="00BB2059"/>
    <w:rsid w:val="00BB2AD6"/>
    <w:rsid w:val="00BB4B95"/>
    <w:rsid w:val="00BB5426"/>
    <w:rsid w:val="00BB587B"/>
    <w:rsid w:val="00BB7CC1"/>
    <w:rsid w:val="00BC4059"/>
    <w:rsid w:val="00BC4C74"/>
    <w:rsid w:val="00BD061B"/>
    <w:rsid w:val="00BD0BB2"/>
    <w:rsid w:val="00BD329A"/>
    <w:rsid w:val="00BD4AC2"/>
    <w:rsid w:val="00BD5BFD"/>
    <w:rsid w:val="00BD6126"/>
    <w:rsid w:val="00BD71B4"/>
    <w:rsid w:val="00BE23D1"/>
    <w:rsid w:val="00BE5F87"/>
    <w:rsid w:val="00BE7E61"/>
    <w:rsid w:val="00BE7F97"/>
    <w:rsid w:val="00BF1A7D"/>
    <w:rsid w:val="00BF3038"/>
    <w:rsid w:val="00BF3EF1"/>
    <w:rsid w:val="00BF5641"/>
    <w:rsid w:val="00BF6844"/>
    <w:rsid w:val="00BF7274"/>
    <w:rsid w:val="00C008D9"/>
    <w:rsid w:val="00C02B6E"/>
    <w:rsid w:val="00C05F33"/>
    <w:rsid w:val="00C1163D"/>
    <w:rsid w:val="00C14304"/>
    <w:rsid w:val="00C1558B"/>
    <w:rsid w:val="00C16F11"/>
    <w:rsid w:val="00C2012C"/>
    <w:rsid w:val="00C20B54"/>
    <w:rsid w:val="00C23615"/>
    <w:rsid w:val="00C23CEA"/>
    <w:rsid w:val="00C2509C"/>
    <w:rsid w:val="00C306F7"/>
    <w:rsid w:val="00C349AF"/>
    <w:rsid w:val="00C3522B"/>
    <w:rsid w:val="00C352E8"/>
    <w:rsid w:val="00C356D0"/>
    <w:rsid w:val="00C3731D"/>
    <w:rsid w:val="00C40003"/>
    <w:rsid w:val="00C422D7"/>
    <w:rsid w:val="00C42AE8"/>
    <w:rsid w:val="00C43467"/>
    <w:rsid w:val="00C44EC3"/>
    <w:rsid w:val="00C508AA"/>
    <w:rsid w:val="00C52489"/>
    <w:rsid w:val="00C53097"/>
    <w:rsid w:val="00C5325E"/>
    <w:rsid w:val="00C55598"/>
    <w:rsid w:val="00C556E1"/>
    <w:rsid w:val="00C566B6"/>
    <w:rsid w:val="00C61A80"/>
    <w:rsid w:val="00C63A6A"/>
    <w:rsid w:val="00C65278"/>
    <w:rsid w:val="00C67D10"/>
    <w:rsid w:val="00C70A81"/>
    <w:rsid w:val="00C70DE3"/>
    <w:rsid w:val="00C747CC"/>
    <w:rsid w:val="00C74FE7"/>
    <w:rsid w:val="00C769C7"/>
    <w:rsid w:val="00C80483"/>
    <w:rsid w:val="00C80A8E"/>
    <w:rsid w:val="00C9514E"/>
    <w:rsid w:val="00C95EF0"/>
    <w:rsid w:val="00CA0117"/>
    <w:rsid w:val="00CA6B15"/>
    <w:rsid w:val="00CA744B"/>
    <w:rsid w:val="00CB2203"/>
    <w:rsid w:val="00CB4B70"/>
    <w:rsid w:val="00CB4D35"/>
    <w:rsid w:val="00CB4F03"/>
    <w:rsid w:val="00CB6810"/>
    <w:rsid w:val="00CB7B2E"/>
    <w:rsid w:val="00CC0A08"/>
    <w:rsid w:val="00CC1162"/>
    <w:rsid w:val="00CC2DE7"/>
    <w:rsid w:val="00CC34B4"/>
    <w:rsid w:val="00CC6CAD"/>
    <w:rsid w:val="00CC77E3"/>
    <w:rsid w:val="00CD01F9"/>
    <w:rsid w:val="00CD6F2B"/>
    <w:rsid w:val="00CD76FD"/>
    <w:rsid w:val="00CE0071"/>
    <w:rsid w:val="00CE11DE"/>
    <w:rsid w:val="00CE2899"/>
    <w:rsid w:val="00CE4395"/>
    <w:rsid w:val="00CE79BB"/>
    <w:rsid w:val="00CE7C94"/>
    <w:rsid w:val="00CF2833"/>
    <w:rsid w:val="00CF2871"/>
    <w:rsid w:val="00CF2EDF"/>
    <w:rsid w:val="00D0018A"/>
    <w:rsid w:val="00D0052A"/>
    <w:rsid w:val="00D01B5E"/>
    <w:rsid w:val="00D032BE"/>
    <w:rsid w:val="00D0554C"/>
    <w:rsid w:val="00D07056"/>
    <w:rsid w:val="00D074F2"/>
    <w:rsid w:val="00D109F4"/>
    <w:rsid w:val="00D1199D"/>
    <w:rsid w:val="00D206E9"/>
    <w:rsid w:val="00D20F9D"/>
    <w:rsid w:val="00D210F3"/>
    <w:rsid w:val="00D22ECD"/>
    <w:rsid w:val="00D23270"/>
    <w:rsid w:val="00D23770"/>
    <w:rsid w:val="00D25510"/>
    <w:rsid w:val="00D25B0A"/>
    <w:rsid w:val="00D26313"/>
    <w:rsid w:val="00D27C33"/>
    <w:rsid w:val="00D3109D"/>
    <w:rsid w:val="00D3144A"/>
    <w:rsid w:val="00D32B5E"/>
    <w:rsid w:val="00D3670E"/>
    <w:rsid w:val="00D36AC8"/>
    <w:rsid w:val="00D40231"/>
    <w:rsid w:val="00D4228B"/>
    <w:rsid w:val="00D42745"/>
    <w:rsid w:val="00D43049"/>
    <w:rsid w:val="00D4431C"/>
    <w:rsid w:val="00D44C19"/>
    <w:rsid w:val="00D45E27"/>
    <w:rsid w:val="00D45E6A"/>
    <w:rsid w:val="00D468FA"/>
    <w:rsid w:val="00D470AF"/>
    <w:rsid w:val="00D52EAE"/>
    <w:rsid w:val="00D5758C"/>
    <w:rsid w:val="00D57E4D"/>
    <w:rsid w:val="00D6010E"/>
    <w:rsid w:val="00D616FD"/>
    <w:rsid w:val="00D61AD1"/>
    <w:rsid w:val="00D623FC"/>
    <w:rsid w:val="00D65DFF"/>
    <w:rsid w:val="00D707E4"/>
    <w:rsid w:val="00D72FFA"/>
    <w:rsid w:val="00D731E3"/>
    <w:rsid w:val="00D752A0"/>
    <w:rsid w:val="00D76B18"/>
    <w:rsid w:val="00D833D4"/>
    <w:rsid w:val="00D8589A"/>
    <w:rsid w:val="00D87860"/>
    <w:rsid w:val="00D87D4C"/>
    <w:rsid w:val="00D9069D"/>
    <w:rsid w:val="00D9078B"/>
    <w:rsid w:val="00D92F9C"/>
    <w:rsid w:val="00D93874"/>
    <w:rsid w:val="00D94BBD"/>
    <w:rsid w:val="00D950D1"/>
    <w:rsid w:val="00D960A0"/>
    <w:rsid w:val="00D971EA"/>
    <w:rsid w:val="00D97769"/>
    <w:rsid w:val="00DA07A6"/>
    <w:rsid w:val="00DA093D"/>
    <w:rsid w:val="00DA115D"/>
    <w:rsid w:val="00DA1620"/>
    <w:rsid w:val="00DA19E9"/>
    <w:rsid w:val="00DA1C1A"/>
    <w:rsid w:val="00DA22D5"/>
    <w:rsid w:val="00DA2F20"/>
    <w:rsid w:val="00DA3B98"/>
    <w:rsid w:val="00DA3EE6"/>
    <w:rsid w:val="00DA662D"/>
    <w:rsid w:val="00DA6DA3"/>
    <w:rsid w:val="00DB050D"/>
    <w:rsid w:val="00DB363E"/>
    <w:rsid w:val="00DB3A94"/>
    <w:rsid w:val="00DB437E"/>
    <w:rsid w:val="00DB4734"/>
    <w:rsid w:val="00DB53DD"/>
    <w:rsid w:val="00DB54D7"/>
    <w:rsid w:val="00DB6052"/>
    <w:rsid w:val="00DC11A0"/>
    <w:rsid w:val="00DC1289"/>
    <w:rsid w:val="00DC28A3"/>
    <w:rsid w:val="00DC2AE1"/>
    <w:rsid w:val="00DC4940"/>
    <w:rsid w:val="00DC49B4"/>
    <w:rsid w:val="00DC5A76"/>
    <w:rsid w:val="00DD0AD8"/>
    <w:rsid w:val="00DD2E4C"/>
    <w:rsid w:val="00DD3E0F"/>
    <w:rsid w:val="00DD429C"/>
    <w:rsid w:val="00DD5B5F"/>
    <w:rsid w:val="00DD630E"/>
    <w:rsid w:val="00DD7421"/>
    <w:rsid w:val="00DD7A79"/>
    <w:rsid w:val="00DE0B25"/>
    <w:rsid w:val="00DE47AA"/>
    <w:rsid w:val="00DE5A52"/>
    <w:rsid w:val="00DE71AD"/>
    <w:rsid w:val="00DE7871"/>
    <w:rsid w:val="00DF09D3"/>
    <w:rsid w:val="00DF3617"/>
    <w:rsid w:val="00DF4406"/>
    <w:rsid w:val="00DF4518"/>
    <w:rsid w:val="00DF6274"/>
    <w:rsid w:val="00E01F91"/>
    <w:rsid w:val="00E024D7"/>
    <w:rsid w:val="00E026E9"/>
    <w:rsid w:val="00E02B8E"/>
    <w:rsid w:val="00E02F76"/>
    <w:rsid w:val="00E104BA"/>
    <w:rsid w:val="00E11326"/>
    <w:rsid w:val="00E116CB"/>
    <w:rsid w:val="00E11906"/>
    <w:rsid w:val="00E13CDB"/>
    <w:rsid w:val="00E14348"/>
    <w:rsid w:val="00E14ADC"/>
    <w:rsid w:val="00E15176"/>
    <w:rsid w:val="00E16717"/>
    <w:rsid w:val="00E173B0"/>
    <w:rsid w:val="00E207FF"/>
    <w:rsid w:val="00E21C73"/>
    <w:rsid w:val="00E2209B"/>
    <w:rsid w:val="00E24BF9"/>
    <w:rsid w:val="00E27EAB"/>
    <w:rsid w:val="00E27ED2"/>
    <w:rsid w:val="00E31B8F"/>
    <w:rsid w:val="00E32A1A"/>
    <w:rsid w:val="00E32C9B"/>
    <w:rsid w:val="00E33789"/>
    <w:rsid w:val="00E33B76"/>
    <w:rsid w:val="00E33E62"/>
    <w:rsid w:val="00E3481C"/>
    <w:rsid w:val="00E36CBA"/>
    <w:rsid w:val="00E376A4"/>
    <w:rsid w:val="00E37D11"/>
    <w:rsid w:val="00E41BD2"/>
    <w:rsid w:val="00E41CB2"/>
    <w:rsid w:val="00E428B0"/>
    <w:rsid w:val="00E42DF9"/>
    <w:rsid w:val="00E43B1A"/>
    <w:rsid w:val="00E46967"/>
    <w:rsid w:val="00E47847"/>
    <w:rsid w:val="00E52742"/>
    <w:rsid w:val="00E52EBC"/>
    <w:rsid w:val="00E53BE5"/>
    <w:rsid w:val="00E551F3"/>
    <w:rsid w:val="00E55744"/>
    <w:rsid w:val="00E631D8"/>
    <w:rsid w:val="00E647AE"/>
    <w:rsid w:val="00E64A4D"/>
    <w:rsid w:val="00E653BD"/>
    <w:rsid w:val="00E65531"/>
    <w:rsid w:val="00E6646C"/>
    <w:rsid w:val="00E67D82"/>
    <w:rsid w:val="00E70783"/>
    <w:rsid w:val="00E73210"/>
    <w:rsid w:val="00E75B0E"/>
    <w:rsid w:val="00E7763B"/>
    <w:rsid w:val="00E77C03"/>
    <w:rsid w:val="00E80125"/>
    <w:rsid w:val="00E804CE"/>
    <w:rsid w:val="00E81A6D"/>
    <w:rsid w:val="00E82088"/>
    <w:rsid w:val="00E83F41"/>
    <w:rsid w:val="00E840B3"/>
    <w:rsid w:val="00E8644F"/>
    <w:rsid w:val="00E905BD"/>
    <w:rsid w:val="00E90C96"/>
    <w:rsid w:val="00E9107B"/>
    <w:rsid w:val="00E9380B"/>
    <w:rsid w:val="00E93CFF"/>
    <w:rsid w:val="00E93D00"/>
    <w:rsid w:val="00E95C6E"/>
    <w:rsid w:val="00E96540"/>
    <w:rsid w:val="00EA045F"/>
    <w:rsid w:val="00EA1F71"/>
    <w:rsid w:val="00EA2309"/>
    <w:rsid w:val="00EA4071"/>
    <w:rsid w:val="00EA41F4"/>
    <w:rsid w:val="00EA5671"/>
    <w:rsid w:val="00EA58F1"/>
    <w:rsid w:val="00EA5C23"/>
    <w:rsid w:val="00EA5CFA"/>
    <w:rsid w:val="00EA6183"/>
    <w:rsid w:val="00EA6B07"/>
    <w:rsid w:val="00EA723E"/>
    <w:rsid w:val="00EB0751"/>
    <w:rsid w:val="00EB0CD5"/>
    <w:rsid w:val="00EB1266"/>
    <w:rsid w:val="00EB1C21"/>
    <w:rsid w:val="00EB2483"/>
    <w:rsid w:val="00EB70F6"/>
    <w:rsid w:val="00EC0B49"/>
    <w:rsid w:val="00EC12C9"/>
    <w:rsid w:val="00EC1DF3"/>
    <w:rsid w:val="00EC623D"/>
    <w:rsid w:val="00EC6923"/>
    <w:rsid w:val="00EC7D04"/>
    <w:rsid w:val="00EC7F5F"/>
    <w:rsid w:val="00ED0891"/>
    <w:rsid w:val="00ED3AAE"/>
    <w:rsid w:val="00ED3F07"/>
    <w:rsid w:val="00ED7F2A"/>
    <w:rsid w:val="00EE18DF"/>
    <w:rsid w:val="00EE1F2D"/>
    <w:rsid w:val="00EE2D01"/>
    <w:rsid w:val="00EE3D03"/>
    <w:rsid w:val="00EF3CCF"/>
    <w:rsid w:val="00EF48A4"/>
    <w:rsid w:val="00EF6301"/>
    <w:rsid w:val="00F00BAB"/>
    <w:rsid w:val="00F02EC9"/>
    <w:rsid w:val="00F04711"/>
    <w:rsid w:val="00F04816"/>
    <w:rsid w:val="00F04CDC"/>
    <w:rsid w:val="00F059F4"/>
    <w:rsid w:val="00F05D87"/>
    <w:rsid w:val="00F0714D"/>
    <w:rsid w:val="00F0783A"/>
    <w:rsid w:val="00F10B73"/>
    <w:rsid w:val="00F1273C"/>
    <w:rsid w:val="00F12B6E"/>
    <w:rsid w:val="00F132B2"/>
    <w:rsid w:val="00F13B11"/>
    <w:rsid w:val="00F15F93"/>
    <w:rsid w:val="00F175C9"/>
    <w:rsid w:val="00F21746"/>
    <w:rsid w:val="00F2306F"/>
    <w:rsid w:val="00F232D8"/>
    <w:rsid w:val="00F23C3B"/>
    <w:rsid w:val="00F24E76"/>
    <w:rsid w:val="00F2526B"/>
    <w:rsid w:val="00F2557E"/>
    <w:rsid w:val="00F2643F"/>
    <w:rsid w:val="00F3151A"/>
    <w:rsid w:val="00F317C9"/>
    <w:rsid w:val="00F34AF3"/>
    <w:rsid w:val="00F35420"/>
    <w:rsid w:val="00F37B9B"/>
    <w:rsid w:val="00F37DD0"/>
    <w:rsid w:val="00F4235C"/>
    <w:rsid w:val="00F43B1B"/>
    <w:rsid w:val="00F43D94"/>
    <w:rsid w:val="00F44FBC"/>
    <w:rsid w:val="00F47CC8"/>
    <w:rsid w:val="00F47E90"/>
    <w:rsid w:val="00F52323"/>
    <w:rsid w:val="00F528C7"/>
    <w:rsid w:val="00F57240"/>
    <w:rsid w:val="00F57AF6"/>
    <w:rsid w:val="00F629C6"/>
    <w:rsid w:val="00F63391"/>
    <w:rsid w:val="00F6420E"/>
    <w:rsid w:val="00F70620"/>
    <w:rsid w:val="00F71922"/>
    <w:rsid w:val="00F71B27"/>
    <w:rsid w:val="00F725EA"/>
    <w:rsid w:val="00F726AD"/>
    <w:rsid w:val="00F75687"/>
    <w:rsid w:val="00F75E9B"/>
    <w:rsid w:val="00F80E6B"/>
    <w:rsid w:val="00F83126"/>
    <w:rsid w:val="00F855F2"/>
    <w:rsid w:val="00F85ACB"/>
    <w:rsid w:val="00F8664E"/>
    <w:rsid w:val="00F878CC"/>
    <w:rsid w:val="00F903E3"/>
    <w:rsid w:val="00F90E81"/>
    <w:rsid w:val="00F92721"/>
    <w:rsid w:val="00F94E2B"/>
    <w:rsid w:val="00F95D26"/>
    <w:rsid w:val="00F961F9"/>
    <w:rsid w:val="00F976F4"/>
    <w:rsid w:val="00F97BB5"/>
    <w:rsid w:val="00FA0352"/>
    <w:rsid w:val="00FA0C40"/>
    <w:rsid w:val="00FA139E"/>
    <w:rsid w:val="00FA3163"/>
    <w:rsid w:val="00FA41FB"/>
    <w:rsid w:val="00FA4AD0"/>
    <w:rsid w:val="00FA637C"/>
    <w:rsid w:val="00FA7C03"/>
    <w:rsid w:val="00FB3B0D"/>
    <w:rsid w:val="00FB4292"/>
    <w:rsid w:val="00FB4D40"/>
    <w:rsid w:val="00FB50C9"/>
    <w:rsid w:val="00FB632F"/>
    <w:rsid w:val="00FC01A4"/>
    <w:rsid w:val="00FC1AF0"/>
    <w:rsid w:val="00FC2498"/>
    <w:rsid w:val="00FC2621"/>
    <w:rsid w:val="00FC4681"/>
    <w:rsid w:val="00FC663A"/>
    <w:rsid w:val="00FC715B"/>
    <w:rsid w:val="00FD0B60"/>
    <w:rsid w:val="00FD65D6"/>
    <w:rsid w:val="00FD6BF7"/>
    <w:rsid w:val="00FD7212"/>
    <w:rsid w:val="00FD7981"/>
    <w:rsid w:val="00FE032E"/>
    <w:rsid w:val="00FE33B9"/>
    <w:rsid w:val="00FE643C"/>
    <w:rsid w:val="00FF0364"/>
    <w:rsid w:val="00FF200C"/>
    <w:rsid w:val="00FF333E"/>
    <w:rsid w:val="00FF3522"/>
    <w:rsid w:val="00FF4100"/>
    <w:rsid w:val="00FF46CB"/>
    <w:rsid w:val="00FF55E5"/>
    <w:rsid w:val="00FF5AE7"/>
    <w:rsid w:val="00FF7C90"/>
    <w:rsid w:val="317200CE"/>
    <w:rsid w:val="3A08D2CA"/>
    <w:rsid w:val="453922EE"/>
  </w:rsids>
  <m:mathPr>
    <m:mathFont m:val="Cambria Math"/>
    <m:brkBin m:val="before"/>
    <m:brkBinSub m:val="--"/>
    <m:smallFrac m:val="0"/>
    <m:dispDef/>
    <m:lMargin m:val="0"/>
    <m:rMargin m:val="0"/>
    <m:defJc m:val="centerGroup"/>
    <m:wrapIndent m:val="1440"/>
    <m:intLim m:val="subSup"/>
    <m:naryLim m:val="undOvr"/>
  </m:mathPr>
  <w:themeFontLang w:val="sv-FI"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9E9EC2B"/>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sv-FI" w:eastAsia="en-US"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8306D"/>
  </w:style>
  <w:style w:type="paragraph" w:styleId="Heading1">
    <w:name w:val="heading 1"/>
    <w:basedOn w:val="Normal"/>
    <w:next w:val="Normal"/>
    <w:link w:val="Heading1Char"/>
    <w:uiPriority w:val="9"/>
    <w:qFormat/>
    <w:rsid w:val="0008306D"/>
    <w:pPr>
      <w:spacing w:before="300" w:after="40"/>
      <w:jc w:val="left"/>
      <w:outlineLvl w:val="0"/>
    </w:pPr>
    <w:rPr>
      <w:smallCaps/>
      <w:spacing w:val="5"/>
      <w:sz w:val="32"/>
      <w:szCs w:val="32"/>
    </w:rPr>
  </w:style>
  <w:style w:type="paragraph" w:styleId="Heading2">
    <w:name w:val="heading 2"/>
    <w:basedOn w:val="Normal"/>
    <w:next w:val="Normal"/>
    <w:link w:val="Heading2Char"/>
    <w:uiPriority w:val="9"/>
    <w:unhideWhenUsed/>
    <w:qFormat/>
    <w:rsid w:val="00FE33B9"/>
    <w:pPr>
      <w:spacing w:before="240" w:after="80" w:line="480" w:lineRule="auto"/>
      <w:jc w:val="left"/>
      <w:outlineLvl w:val="1"/>
    </w:pPr>
    <w:rPr>
      <w:smallCaps/>
      <w:spacing w:val="5"/>
      <w:sz w:val="28"/>
      <w:szCs w:val="28"/>
      <w:lang w:val="en-GB"/>
    </w:rPr>
  </w:style>
  <w:style w:type="paragraph" w:styleId="Heading3">
    <w:name w:val="heading 3"/>
    <w:basedOn w:val="Normal"/>
    <w:next w:val="Normal"/>
    <w:link w:val="Heading3Char"/>
    <w:uiPriority w:val="9"/>
    <w:unhideWhenUsed/>
    <w:qFormat/>
    <w:rsid w:val="0008306D"/>
    <w:pPr>
      <w:spacing w:after="0"/>
      <w:jc w:val="left"/>
      <w:outlineLvl w:val="2"/>
    </w:pPr>
    <w:rPr>
      <w:smallCaps/>
      <w:spacing w:val="5"/>
    </w:rPr>
  </w:style>
  <w:style w:type="paragraph" w:styleId="Heading4">
    <w:name w:val="heading 4"/>
    <w:basedOn w:val="Normal"/>
    <w:next w:val="Normal"/>
    <w:link w:val="Heading4Char"/>
    <w:uiPriority w:val="9"/>
    <w:semiHidden/>
    <w:unhideWhenUsed/>
    <w:qFormat/>
    <w:rsid w:val="0008306D"/>
    <w:pPr>
      <w:spacing w:before="240" w:after="0"/>
      <w:jc w:val="left"/>
      <w:outlineLvl w:val="3"/>
    </w:pPr>
    <w:rPr>
      <w:smallCaps/>
      <w:spacing w:val="10"/>
      <w:sz w:val="22"/>
      <w:szCs w:val="22"/>
    </w:rPr>
  </w:style>
  <w:style w:type="paragraph" w:styleId="Heading5">
    <w:name w:val="heading 5"/>
    <w:basedOn w:val="Normal"/>
    <w:next w:val="Normal"/>
    <w:link w:val="Heading5Char"/>
    <w:uiPriority w:val="9"/>
    <w:semiHidden/>
    <w:unhideWhenUsed/>
    <w:qFormat/>
    <w:rsid w:val="0008306D"/>
    <w:pPr>
      <w:spacing w:before="200" w:after="0"/>
      <w:jc w:val="left"/>
      <w:outlineLvl w:val="4"/>
    </w:pPr>
    <w:rPr>
      <w:smallCaps/>
      <w:color w:val="C45911" w:themeColor="accent2" w:themeShade="BF"/>
      <w:spacing w:val="10"/>
      <w:sz w:val="22"/>
      <w:szCs w:val="26"/>
    </w:rPr>
  </w:style>
  <w:style w:type="paragraph" w:styleId="Heading6">
    <w:name w:val="heading 6"/>
    <w:basedOn w:val="Normal"/>
    <w:next w:val="Normal"/>
    <w:link w:val="Heading6Char"/>
    <w:uiPriority w:val="9"/>
    <w:semiHidden/>
    <w:unhideWhenUsed/>
    <w:qFormat/>
    <w:rsid w:val="0008306D"/>
    <w:pPr>
      <w:spacing w:after="0"/>
      <w:jc w:val="left"/>
      <w:outlineLvl w:val="5"/>
    </w:pPr>
    <w:rPr>
      <w:smallCaps/>
      <w:color w:val="ED7D31" w:themeColor="accent2"/>
      <w:spacing w:val="5"/>
      <w:sz w:val="22"/>
    </w:rPr>
  </w:style>
  <w:style w:type="paragraph" w:styleId="Heading7">
    <w:name w:val="heading 7"/>
    <w:basedOn w:val="Normal"/>
    <w:next w:val="Normal"/>
    <w:link w:val="Heading7Char"/>
    <w:uiPriority w:val="9"/>
    <w:semiHidden/>
    <w:unhideWhenUsed/>
    <w:qFormat/>
    <w:rsid w:val="0008306D"/>
    <w:pPr>
      <w:spacing w:after="0"/>
      <w:jc w:val="left"/>
      <w:outlineLvl w:val="6"/>
    </w:pPr>
    <w:rPr>
      <w:b/>
      <w:smallCaps/>
      <w:color w:val="ED7D31" w:themeColor="accent2"/>
      <w:spacing w:val="10"/>
    </w:rPr>
  </w:style>
  <w:style w:type="paragraph" w:styleId="Heading8">
    <w:name w:val="heading 8"/>
    <w:basedOn w:val="Normal"/>
    <w:next w:val="Normal"/>
    <w:link w:val="Heading8Char"/>
    <w:uiPriority w:val="9"/>
    <w:semiHidden/>
    <w:unhideWhenUsed/>
    <w:qFormat/>
    <w:rsid w:val="0008306D"/>
    <w:pPr>
      <w:spacing w:after="0"/>
      <w:jc w:val="left"/>
      <w:outlineLvl w:val="7"/>
    </w:pPr>
    <w:rPr>
      <w:b/>
      <w:i/>
      <w:smallCaps/>
      <w:color w:val="C45911" w:themeColor="accent2" w:themeShade="BF"/>
    </w:rPr>
  </w:style>
  <w:style w:type="paragraph" w:styleId="Heading9">
    <w:name w:val="heading 9"/>
    <w:basedOn w:val="Normal"/>
    <w:next w:val="Normal"/>
    <w:link w:val="Heading9Char"/>
    <w:uiPriority w:val="9"/>
    <w:semiHidden/>
    <w:unhideWhenUsed/>
    <w:qFormat/>
    <w:rsid w:val="0008306D"/>
    <w:pPr>
      <w:spacing w:after="0"/>
      <w:jc w:val="left"/>
      <w:outlineLvl w:val="8"/>
    </w:pPr>
    <w:rPr>
      <w:b/>
      <w:i/>
      <w:smallCaps/>
      <w:color w:val="823B0B" w:themeColor="accent2"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8306D"/>
    <w:pPr>
      <w:ind w:left="720"/>
      <w:contextualSpacing/>
    </w:pPr>
  </w:style>
  <w:style w:type="character" w:customStyle="1" w:styleId="Heading1Char">
    <w:name w:val="Heading 1 Char"/>
    <w:basedOn w:val="DefaultParagraphFont"/>
    <w:link w:val="Heading1"/>
    <w:uiPriority w:val="9"/>
    <w:rsid w:val="0008306D"/>
    <w:rPr>
      <w:smallCaps/>
      <w:spacing w:val="5"/>
      <w:sz w:val="32"/>
      <w:szCs w:val="32"/>
    </w:rPr>
  </w:style>
  <w:style w:type="character" w:styleId="Hyperlink">
    <w:name w:val="Hyperlink"/>
    <w:basedOn w:val="DefaultParagraphFont"/>
    <w:uiPriority w:val="99"/>
    <w:unhideWhenUsed/>
    <w:rsid w:val="001C04DE"/>
    <w:rPr>
      <w:color w:val="0563C1" w:themeColor="hyperlink"/>
      <w:u w:val="single"/>
    </w:rPr>
  </w:style>
  <w:style w:type="character" w:customStyle="1" w:styleId="Heading2Char">
    <w:name w:val="Heading 2 Char"/>
    <w:basedOn w:val="DefaultParagraphFont"/>
    <w:link w:val="Heading2"/>
    <w:uiPriority w:val="9"/>
    <w:rsid w:val="00FE33B9"/>
    <w:rPr>
      <w:smallCaps/>
      <w:spacing w:val="5"/>
      <w:sz w:val="28"/>
      <w:szCs w:val="28"/>
      <w:lang w:val="en-GB"/>
    </w:rPr>
  </w:style>
  <w:style w:type="paragraph" w:styleId="Title">
    <w:name w:val="Title"/>
    <w:basedOn w:val="Normal"/>
    <w:next w:val="Normal"/>
    <w:link w:val="TitleChar"/>
    <w:uiPriority w:val="10"/>
    <w:qFormat/>
    <w:rsid w:val="001B3C8B"/>
    <w:pPr>
      <w:pBdr>
        <w:top w:val="single" w:sz="12" w:space="1" w:color="ED7D31" w:themeColor="accent2"/>
      </w:pBdr>
      <w:spacing w:line="240" w:lineRule="auto"/>
    </w:pPr>
    <w:rPr>
      <w:smallCaps/>
      <w:sz w:val="40"/>
      <w:szCs w:val="40"/>
      <w:lang w:val="en-GB"/>
    </w:rPr>
  </w:style>
  <w:style w:type="character" w:customStyle="1" w:styleId="TitleChar">
    <w:name w:val="Title Char"/>
    <w:basedOn w:val="DefaultParagraphFont"/>
    <w:link w:val="Title"/>
    <w:uiPriority w:val="10"/>
    <w:rsid w:val="001B3C8B"/>
    <w:rPr>
      <w:smallCaps/>
      <w:sz w:val="40"/>
      <w:szCs w:val="40"/>
      <w:lang w:val="en-GB"/>
    </w:rPr>
  </w:style>
  <w:style w:type="paragraph" w:styleId="DocumentMap">
    <w:name w:val="Document Map"/>
    <w:basedOn w:val="Normal"/>
    <w:link w:val="DocumentMapChar"/>
    <w:uiPriority w:val="99"/>
    <w:semiHidden/>
    <w:unhideWhenUsed/>
    <w:rsid w:val="002F0A54"/>
    <w:rPr>
      <w:rFonts w:ascii="Times New Roman" w:hAnsi="Times New Roman" w:cs="Times New Roman"/>
    </w:rPr>
  </w:style>
  <w:style w:type="character" w:customStyle="1" w:styleId="DocumentMapChar">
    <w:name w:val="Document Map Char"/>
    <w:basedOn w:val="DefaultParagraphFont"/>
    <w:link w:val="DocumentMap"/>
    <w:uiPriority w:val="99"/>
    <w:semiHidden/>
    <w:rsid w:val="002F0A54"/>
    <w:rPr>
      <w:rFonts w:ascii="Times New Roman" w:hAnsi="Times New Roman" w:cs="Times New Roman"/>
    </w:rPr>
  </w:style>
  <w:style w:type="character" w:styleId="FollowedHyperlink">
    <w:name w:val="FollowedHyperlink"/>
    <w:basedOn w:val="DefaultParagraphFont"/>
    <w:uiPriority w:val="99"/>
    <w:semiHidden/>
    <w:unhideWhenUsed/>
    <w:rsid w:val="008D7684"/>
    <w:rPr>
      <w:color w:val="954F72" w:themeColor="followedHyperlink"/>
      <w:u w:val="single"/>
    </w:rPr>
  </w:style>
  <w:style w:type="character" w:styleId="CommentReference">
    <w:name w:val="annotation reference"/>
    <w:basedOn w:val="DefaultParagraphFont"/>
    <w:uiPriority w:val="99"/>
    <w:semiHidden/>
    <w:unhideWhenUsed/>
    <w:rsid w:val="0032660F"/>
    <w:rPr>
      <w:sz w:val="18"/>
      <w:szCs w:val="18"/>
    </w:rPr>
  </w:style>
  <w:style w:type="paragraph" w:styleId="CommentText">
    <w:name w:val="annotation text"/>
    <w:basedOn w:val="Normal"/>
    <w:link w:val="CommentTextChar"/>
    <w:uiPriority w:val="99"/>
    <w:semiHidden/>
    <w:unhideWhenUsed/>
    <w:rsid w:val="0032660F"/>
  </w:style>
  <w:style w:type="character" w:customStyle="1" w:styleId="CommentTextChar">
    <w:name w:val="Comment Text Char"/>
    <w:basedOn w:val="DefaultParagraphFont"/>
    <w:link w:val="CommentText"/>
    <w:uiPriority w:val="99"/>
    <w:semiHidden/>
    <w:rsid w:val="0032660F"/>
  </w:style>
  <w:style w:type="paragraph" w:styleId="CommentSubject">
    <w:name w:val="annotation subject"/>
    <w:basedOn w:val="CommentText"/>
    <w:next w:val="CommentText"/>
    <w:link w:val="CommentSubjectChar"/>
    <w:uiPriority w:val="99"/>
    <w:semiHidden/>
    <w:unhideWhenUsed/>
    <w:rsid w:val="0032660F"/>
    <w:rPr>
      <w:b/>
      <w:bCs/>
    </w:rPr>
  </w:style>
  <w:style w:type="character" w:customStyle="1" w:styleId="CommentSubjectChar">
    <w:name w:val="Comment Subject Char"/>
    <w:basedOn w:val="CommentTextChar"/>
    <w:link w:val="CommentSubject"/>
    <w:uiPriority w:val="99"/>
    <w:semiHidden/>
    <w:rsid w:val="0032660F"/>
    <w:rPr>
      <w:b/>
      <w:bCs/>
      <w:sz w:val="20"/>
      <w:szCs w:val="20"/>
    </w:rPr>
  </w:style>
  <w:style w:type="paragraph" w:styleId="BalloonText">
    <w:name w:val="Balloon Text"/>
    <w:basedOn w:val="Normal"/>
    <w:link w:val="BalloonTextChar"/>
    <w:uiPriority w:val="99"/>
    <w:semiHidden/>
    <w:unhideWhenUsed/>
    <w:rsid w:val="0032660F"/>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32660F"/>
    <w:rPr>
      <w:rFonts w:ascii="Times New Roman" w:hAnsi="Times New Roman" w:cs="Times New Roman"/>
      <w:sz w:val="18"/>
      <w:szCs w:val="18"/>
    </w:rPr>
  </w:style>
  <w:style w:type="paragraph" w:styleId="Revision">
    <w:name w:val="Revision"/>
    <w:hidden/>
    <w:uiPriority w:val="99"/>
    <w:semiHidden/>
    <w:rsid w:val="00471482"/>
  </w:style>
  <w:style w:type="paragraph" w:styleId="NoSpacing">
    <w:name w:val="No Spacing"/>
    <w:basedOn w:val="Normal"/>
    <w:link w:val="NoSpacingChar"/>
    <w:uiPriority w:val="1"/>
    <w:qFormat/>
    <w:rsid w:val="0008306D"/>
    <w:pPr>
      <w:spacing w:after="0" w:line="240" w:lineRule="auto"/>
    </w:pPr>
  </w:style>
  <w:style w:type="paragraph" w:styleId="Footer">
    <w:name w:val="footer"/>
    <w:basedOn w:val="Normal"/>
    <w:link w:val="FooterChar"/>
    <w:uiPriority w:val="99"/>
    <w:unhideWhenUsed/>
    <w:rsid w:val="00DF3617"/>
    <w:pPr>
      <w:tabs>
        <w:tab w:val="center" w:pos="4819"/>
        <w:tab w:val="right" w:pos="9638"/>
      </w:tabs>
    </w:pPr>
  </w:style>
  <w:style w:type="character" w:customStyle="1" w:styleId="FooterChar">
    <w:name w:val="Footer Char"/>
    <w:basedOn w:val="DefaultParagraphFont"/>
    <w:link w:val="Footer"/>
    <w:uiPriority w:val="99"/>
    <w:rsid w:val="00DF3617"/>
  </w:style>
  <w:style w:type="character" w:styleId="PageNumber">
    <w:name w:val="page number"/>
    <w:basedOn w:val="DefaultParagraphFont"/>
    <w:uiPriority w:val="99"/>
    <w:semiHidden/>
    <w:unhideWhenUsed/>
    <w:rsid w:val="00DF3617"/>
  </w:style>
  <w:style w:type="table" w:styleId="TableGrid">
    <w:name w:val="Table Grid"/>
    <w:basedOn w:val="TableNormal"/>
    <w:uiPriority w:val="39"/>
    <w:rsid w:val="008408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084526"/>
    <w:rPr>
      <w:color w:val="808080"/>
    </w:rPr>
  </w:style>
  <w:style w:type="character" w:customStyle="1" w:styleId="Heading3Char">
    <w:name w:val="Heading 3 Char"/>
    <w:basedOn w:val="DefaultParagraphFont"/>
    <w:link w:val="Heading3"/>
    <w:uiPriority w:val="9"/>
    <w:rsid w:val="0008306D"/>
    <w:rPr>
      <w:smallCaps/>
      <w:spacing w:val="5"/>
      <w:sz w:val="24"/>
      <w:szCs w:val="24"/>
    </w:rPr>
  </w:style>
  <w:style w:type="character" w:customStyle="1" w:styleId="Heading4Char">
    <w:name w:val="Heading 4 Char"/>
    <w:basedOn w:val="DefaultParagraphFont"/>
    <w:link w:val="Heading4"/>
    <w:uiPriority w:val="9"/>
    <w:semiHidden/>
    <w:rsid w:val="0008306D"/>
    <w:rPr>
      <w:smallCaps/>
      <w:spacing w:val="10"/>
      <w:sz w:val="22"/>
      <w:szCs w:val="22"/>
    </w:rPr>
  </w:style>
  <w:style w:type="character" w:customStyle="1" w:styleId="Heading5Char">
    <w:name w:val="Heading 5 Char"/>
    <w:basedOn w:val="DefaultParagraphFont"/>
    <w:link w:val="Heading5"/>
    <w:uiPriority w:val="9"/>
    <w:semiHidden/>
    <w:rsid w:val="0008306D"/>
    <w:rPr>
      <w:smallCaps/>
      <w:color w:val="C45911" w:themeColor="accent2" w:themeShade="BF"/>
      <w:spacing w:val="10"/>
      <w:sz w:val="22"/>
      <w:szCs w:val="26"/>
    </w:rPr>
  </w:style>
  <w:style w:type="character" w:customStyle="1" w:styleId="Heading6Char">
    <w:name w:val="Heading 6 Char"/>
    <w:basedOn w:val="DefaultParagraphFont"/>
    <w:link w:val="Heading6"/>
    <w:uiPriority w:val="9"/>
    <w:semiHidden/>
    <w:rsid w:val="0008306D"/>
    <w:rPr>
      <w:smallCaps/>
      <w:color w:val="ED7D31" w:themeColor="accent2"/>
      <w:spacing w:val="5"/>
      <w:sz w:val="22"/>
    </w:rPr>
  </w:style>
  <w:style w:type="character" w:customStyle="1" w:styleId="Heading7Char">
    <w:name w:val="Heading 7 Char"/>
    <w:basedOn w:val="DefaultParagraphFont"/>
    <w:link w:val="Heading7"/>
    <w:uiPriority w:val="9"/>
    <w:semiHidden/>
    <w:rsid w:val="0008306D"/>
    <w:rPr>
      <w:b/>
      <w:smallCaps/>
      <w:color w:val="ED7D31" w:themeColor="accent2"/>
      <w:spacing w:val="10"/>
    </w:rPr>
  </w:style>
  <w:style w:type="character" w:customStyle="1" w:styleId="Heading8Char">
    <w:name w:val="Heading 8 Char"/>
    <w:basedOn w:val="DefaultParagraphFont"/>
    <w:link w:val="Heading8"/>
    <w:uiPriority w:val="9"/>
    <w:semiHidden/>
    <w:rsid w:val="0008306D"/>
    <w:rPr>
      <w:b/>
      <w:i/>
      <w:smallCaps/>
      <w:color w:val="C45911" w:themeColor="accent2" w:themeShade="BF"/>
    </w:rPr>
  </w:style>
  <w:style w:type="character" w:customStyle="1" w:styleId="Heading9Char">
    <w:name w:val="Heading 9 Char"/>
    <w:basedOn w:val="DefaultParagraphFont"/>
    <w:link w:val="Heading9"/>
    <w:uiPriority w:val="9"/>
    <w:semiHidden/>
    <w:rsid w:val="0008306D"/>
    <w:rPr>
      <w:b/>
      <w:i/>
      <w:smallCaps/>
      <w:color w:val="823B0B" w:themeColor="accent2" w:themeShade="7F"/>
    </w:rPr>
  </w:style>
  <w:style w:type="paragraph" w:styleId="Caption">
    <w:name w:val="caption"/>
    <w:basedOn w:val="Normal"/>
    <w:next w:val="Normal"/>
    <w:uiPriority w:val="35"/>
    <w:semiHidden/>
    <w:unhideWhenUsed/>
    <w:qFormat/>
    <w:rsid w:val="0008306D"/>
    <w:rPr>
      <w:b/>
      <w:bCs/>
      <w:caps/>
      <w:sz w:val="16"/>
      <w:szCs w:val="18"/>
    </w:rPr>
  </w:style>
  <w:style w:type="paragraph" w:styleId="Subtitle">
    <w:name w:val="Subtitle"/>
    <w:basedOn w:val="Normal"/>
    <w:next w:val="Normal"/>
    <w:link w:val="SubtitleChar"/>
    <w:uiPriority w:val="11"/>
    <w:qFormat/>
    <w:rsid w:val="0008306D"/>
    <w:pPr>
      <w:spacing w:after="720" w:line="240" w:lineRule="auto"/>
      <w:jc w:val="right"/>
    </w:pPr>
    <w:rPr>
      <w:rFonts w:asciiTheme="majorHAnsi" w:eastAsiaTheme="majorEastAsia" w:hAnsiTheme="majorHAnsi" w:cstheme="majorBidi"/>
      <w:szCs w:val="22"/>
    </w:rPr>
  </w:style>
  <w:style w:type="character" w:customStyle="1" w:styleId="SubtitleChar">
    <w:name w:val="Subtitle Char"/>
    <w:basedOn w:val="DefaultParagraphFont"/>
    <w:link w:val="Subtitle"/>
    <w:uiPriority w:val="11"/>
    <w:rsid w:val="0008306D"/>
    <w:rPr>
      <w:rFonts w:asciiTheme="majorHAnsi" w:eastAsiaTheme="majorEastAsia" w:hAnsiTheme="majorHAnsi" w:cstheme="majorBidi"/>
      <w:szCs w:val="22"/>
    </w:rPr>
  </w:style>
  <w:style w:type="character" w:styleId="Strong">
    <w:name w:val="Strong"/>
    <w:uiPriority w:val="22"/>
    <w:qFormat/>
    <w:rsid w:val="0008306D"/>
    <w:rPr>
      <w:b/>
      <w:color w:val="ED7D31" w:themeColor="accent2"/>
    </w:rPr>
  </w:style>
  <w:style w:type="character" w:styleId="Emphasis">
    <w:name w:val="Emphasis"/>
    <w:uiPriority w:val="20"/>
    <w:qFormat/>
    <w:rsid w:val="0008306D"/>
    <w:rPr>
      <w:b/>
      <w:i/>
      <w:spacing w:val="10"/>
    </w:rPr>
  </w:style>
  <w:style w:type="character" w:customStyle="1" w:styleId="NoSpacingChar">
    <w:name w:val="No Spacing Char"/>
    <w:basedOn w:val="DefaultParagraphFont"/>
    <w:link w:val="NoSpacing"/>
    <w:uiPriority w:val="1"/>
    <w:rsid w:val="0008306D"/>
  </w:style>
  <w:style w:type="paragraph" w:styleId="Quote">
    <w:name w:val="Quote"/>
    <w:basedOn w:val="Normal"/>
    <w:next w:val="Normal"/>
    <w:link w:val="QuoteChar"/>
    <w:uiPriority w:val="29"/>
    <w:qFormat/>
    <w:rsid w:val="0008306D"/>
    <w:rPr>
      <w:i/>
    </w:rPr>
  </w:style>
  <w:style w:type="character" w:customStyle="1" w:styleId="QuoteChar">
    <w:name w:val="Quote Char"/>
    <w:basedOn w:val="DefaultParagraphFont"/>
    <w:link w:val="Quote"/>
    <w:uiPriority w:val="29"/>
    <w:rsid w:val="0008306D"/>
    <w:rPr>
      <w:i/>
    </w:rPr>
  </w:style>
  <w:style w:type="paragraph" w:styleId="IntenseQuote">
    <w:name w:val="Intense Quote"/>
    <w:basedOn w:val="Normal"/>
    <w:next w:val="Normal"/>
    <w:link w:val="IntenseQuoteChar"/>
    <w:uiPriority w:val="30"/>
    <w:qFormat/>
    <w:rsid w:val="0008306D"/>
    <w:pPr>
      <w:pBdr>
        <w:top w:val="single" w:sz="8" w:space="10" w:color="C45911" w:themeColor="accent2" w:themeShade="BF"/>
        <w:left w:val="single" w:sz="8" w:space="10" w:color="C45911" w:themeColor="accent2" w:themeShade="BF"/>
        <w:bottom w:val="single" w:sz="8" w:space="10" w:color="C45911" w:themeColor="accent2" w:themeShade="BF"/>
        <w:right w:val="single" w:sz="8" w:space="10" w:color="C45911" w:themeColor="accent2" w:themeShade="BF"/>
      </w:pBdr>
      <w:shd w:val="clear" w:color="auto" w:fill="ED7D31" w:themeFill="accent2"/>
      <w:spacing w:before="140" w:after="140"/>
      <w:ind w:left="1440" w:right="1440"/>
    </w:pPr>
    <w:rPr>
      <w:b/>
      <w:i/>
      <w:color w:val="FFFFFF" w:themeColor="background1"/>
    </w:rPr>
  </w:style>
  <w:style w:type="character" w:customStyle="1" w:styleId="IntenseQuoteChar">
    <w:name w:val="Intense Quote Char"/>
    <w:basedOn w:val="DefaultParagraphFont"/>
    <w:link w:val="IntenseQuote"/>
    <w:uiPriority w:val="30"/>
    <w:rsid w:val="0008306D"/>
    <w:rPr>
      <w:b/>
      <w:i/>
      <w:color w:val="FFFFFF" w:themeColor="background1"/>
      <w:shd w:val="clear" w:color="auto" w:fill="ED7D31" w:themeFill="accent2"/>
    </w:rPr>
  </w:style>
  <w:style w:type="character" w:styleId="SubtleEmphasis">
    <w:name w:val="Subtle Emphasis"/>
    <w:uiPriority w:val="19"/>
    <w:qFormat/>
    <w:rsid w:val="0008306D"/>
    <w:rPr>
      <w:i/>
    </w:rPr>
  </w:style>
  <w:style w:type="character" w:styleId="IntenseEmphasis">
    <w:name w:val="Intense Emphasis"/>
    <w:uiPriority w:val="21"/>
    <w:qFormat/>
    <w:rsid w:val="0008306D"/>
    <w:rPr>
      <w:b/>
      <w:i/>
      <w:color w:val="ED7D31" w:themeColor="accent2"/>
      <w:spacing w:val="10"/>
    </w:rPr>
  </w:style>
  <w:style w:type="character" w:styleId="SubtleReference">
    <w:name w:val="Subtle Reference"/>
    <w:uiPriority w:val="31"/>
    <w:qFormat/>
    <w:rsid w:val="0008306D"/>
    <w:rPr>
      <w:b/>
    </w:rPr>
  </w:style>
  <w:style w:type="character" w:styleId="IntenseReference">
    <w:name w:val="Intense Reference"/>
    <w:uiPriority w:val="32"/>
    <w:qFormat/>
    <w:rsid w:val="0008306D"/>
    <w:rPr>
      <w:b/>
      <w:bCs/>
      <w:smallCaps/>
      <w:spacing w:val="5"/>
      <w:sz w:val="22"/>
      <w:szCs w:val="22"/>
      <w:u w:val="single"/>
    </w:rPr>
  </w:style>
  <w:style w:type="character" w:styleId="BookTitle">
    <w:name w:val="Book Title"/>
    <w:uiPriority w:val="33"/>
    <w:qFormat/>
    <w:rsid w:val="0008306D"/>
    <w:rPr>
      <w:rFonts w:asciiTheme="majorHAnsi" w:eastAsiaTheme="majorEastAsia" w:hAnsiTheme="majorHAnsi" w:cstheme="majorBidi"/>
      <w:i/>
      <w:iCs/>
      <w:sz w:val="20"/>
      <w:szCs w:val="20"/>
    </w:rPr>
  </w:style>
  <w:style w:type="paragraph" w:styleId="TOCHeading">
    <w:name w:val="TOC Heading"/>
    <w:basedOn w:val="Heading1"/>
    <w:next w:val="Normal"/>
    <w:uiPriority w:val="39"/>
    <w:semiHidden/>
    <w:unhideWhenUsed/>
    <w:qFormat/>
    <w:rsid w:val="0008306D"/>
    <w:pPr>
      <w:outlineLvl w:val="9"/>
    </w:pPr>
  </w:style>
  <w:style w:type="paragraph" w:styleId="Header">
    <w:name w:val="header"/>
    <w:basedOn w:val="Normal"/>
    <w:link w:val="HeaderChar"/>
    <w:uiPriority w:val="99"/>
    <w:unhideWhenUsed/>
    <w:rsid w:val="001B3C8B"/>
    <w:pPr>
      <w:tabs>
        <w:tab w:val="center" w:pos="4819"/>
        <w:tab w:val="right" w:pos="9638"/>
      </w:tabs>
      <w:spacing w:after="0" w:line="240" w:lineRule="auto"/>
    </w:pPr>
  </w:style>
  <w:style w:type="character" w:customStyle="1" w:styleId="HeaderChar">
    <w:name w:val="Header Char"/>
    <w:basedOn w:val="DefaultParagraphFont"/>
    <w:link w:val="Header"/>
    <w:uiPriority w:val="99"/>
    <w:rsid w:val="001B3C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7463078">
      <w:bodyDiv w:val="1"/>
      <w:marLeft w:val="0"/>
      <w:marRight w:val="0"/>
      <w:marTop w:val="0"/>
      <w:marBottom w:val="0"/>
      <w:divBdr>
        <w:top w:val="none" w:sz="0" w:space="0" w:color="auto"/>
        <w:left w:val="none" w:sz="0" w:space="0" w:color="auto"/>
        <w:bottom w:val="none" w:sz="0" w:space="0" w:color="auto"/>
        <w:right w:val="none" w:sz="0" w:space="0" w:color="auto"/>
      </w:divBdr>
    </w:div>
    <w:div w:id="804153849">
      <w:bodyDiv w:val="1"/>
      <w:marLeft w:val="0"/>
      <w:marRight w:val="0"/>
      <w:marTop w:val="0"/>
      <w:marBottom w:val="0"/>
      <w:divBdr>
        <w:top w:val="none" w:sz="0" w:space="0" w:color="auto"/>
        <w:left w:val="none" w:sz="0" w:space="0" w:color="auto"/>
        <w:bottom w:val="none" w:sz="0" w:space="0" w:color="auto"/>
        <w:right w:val="none" w:sz="0" w:space="0" w:color="auto"/>
      </w:divBdr>
    </w:div>
    <w:div w:id="1109541391">
      <w:bodyDiv w:val="1"/>
      <w:marLeft w:val="0"/>
      <w:marRight w:val="0"/>
      <w:marTop w:val="0"/>
      <w:marBottom w:val="0"/>
      <w:divBdr>
        <w:top w:val="none" w:sz="0" w:space="0" w:color="auto"/>
        <w:left w:val="none" w:sz="0" w:space="0" w:color="auto"/>
        <w:bottom w:val="none" w:sz="0" w:space="0" w:color="auto"/>
        <w:right w:val="none" w:sz="0" w:space="0" w:color="auto"/>
      </w:divBdr>
    </w:div>
    <w:div w:id="1184367710">
      <w:bodyDiv w:val="1"/>
      <w:marLeft w:val="0"/>
      <w:marRight w:val="0"/>
      <w:marTop w:val="0"/>
      <w:marBottom w:val="0"/>
      <w:divBdr>
        <w:top w:val="none" w:sz="0" w:space="0" w:color="auto"/>
        <w:left w:val="none" w:sz="0" w:space="0" w:color="auto"/>
        <w:bottom w:val="none" w:sz="0" w:space="0" w:color="auto"/>
        <w:right w:val="none" w:sz="0" w:space="0" w:color="auto"/>
      </w:divBdr>
      <w:divsChild>
        <w:div w:id="130477087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76464208">
      <w:bodyDiv w:val="1"/>
      <w:marLeft w:val="0"/>
      <w:marRight w:val="0"/>
      <w:marTop w:val="0"/>
      <w:marBottom w:val="0"/>
      <w:divBdr>
        <w:top w:val="none" w:sz="0" w:space="0" w:color="auto"/>
        <w:left w:val="none" w:sz="0" w:space="0" w:color="auto"/>
        <w:bottom w:val="none" w:sz="0" w:space="0" w:color="auto"/>
        <w:right w:val="none" w:sz="0" w:space="0" w:color="auto"/>
      </w:divBdr>
    </w:div>
    <w:div w:id="1461194486">
      <w:bodyDiv w:val="1"/>
      <w:marLeft w:val="0"/>
      <w:marRight w:val="0"/>
      <w:marTop w:val="0"/>
      <w:marBottom w:val="0"/>
      <w:divBdr>
        <w:top w:val="none" w:sz="0" w:space="0" w:color="auto"/>
        <w:left w:val="none" w:sz="0" w:space="0" w:color="auto"/>
        <w:bottom w:val="none" w:sz="0" w:space="0" w:color="auto"/>
        <w:right w:val="none" w:sz="0" w:space="0" w:color="auto"/>
      </w:divBdr>
    </w:div>
    <w:div w:id="1469932770">
      <w:bodyDiv w:val="1"/>
      <w:marLeft w:val="0"/>
      <w:marRight w:val="0"/>
      <w:marTop w:val="0"/>
      <w:marBottom w:val="0"/>
      <w:divBdr>
        <w:top w:val="none" w:sz="0" w:space="0" w:color="auto"/>
        <w:left w:val="none" w:sz="0" w:space="0" w:color="auto"/>
        <w:bottom w:val="none" w:sz="0" w:space="0" w:color="auto"/>
        <w:right w:val="none" w:sz="0" w:space="0" w:color="auto"/>
      </w:divBdr>
    </w:div>
    <w:div w:id="1974552238">
      <w:bodyDiv w:val="1"/>
      <w:marLeft w:val="0"/>
      <w:marRight w:val="0"/>
      <w:marTop w:val="0"/>
      <w:marBottom w:val="0"/>
      <w:divBdr>
        <w:top w:val="none" w:sz="0" w:space="0" w:color="auto"/>
        <w:left w:val="none" w:sz="0" w:space="0" w:color="auto"/>
        <w:bottom w:val="none" w:sz="0" w:space="0" w:color="auto"/>
        <w:right w:val="none" w:sz="0" w:space="0" w:color="auto"/>
      </w:divBdr>
      <w:divsChild>
        <w:div w:id="159339454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ahul.raj@helsinki.fi" TargetMode="External"/><Relationship Id="rId13" Type="http://schemas.openxmlformats.org/officeDocument/2006/relationships/hyperlink" Target="mailto:teemu.luoto@pshp.fi" TargetMode="External"/><Relationship Id="rId18" Type="http://schemas.openxmlformats.org/officeDocument/2006/relationships/hyperlink" Target="mailto:jaakko.rinne@tyks.fi"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mailto:lisa.higgins@monash.edu" TargetMode="External"/><Relationship Id="rId7" Type="http://schemas.openxmlformats.org/officeDocument/2006/relationships/endnotes" Target="endnotes.xml"/><Relationship Id="rId12" Type="http://schemas.openxmlformats.org/officeDocument/2006/relationships/hyperlink" Target="mailto:sanna.hoppu@pshp.fi" TargetMode="External"/><Relationship Id="rId17" Type="http://schemas.openxmlformats.org/officeDocument/2006/relationships/hyperlink" Target="mailto:timo.koivisto@kuh.fi"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mailto:ruut.laitio@tyks.fi" TargetMode="External"/><Relationship Id="rId20" Type="http://schemas.openxmlformats.org/officeDocument/2006/relationships/hyperlink" Target="mailto:jari.siironen@hus.f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tti.reinikainen@siunsote.fi"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mailto:sami.tetri@ppshp.fi" TargetMode="External"/><Relationship Id="rId23" Type="http://schemas.openxmlformats.org/officeDocument/2006/relationships/hyperlink" Target="mailto:markus.skrifvars@monash.edu" TargetMode="External"/><Relationship Id="rId10" Type="http://schemas.openxmlformats.org/officeDocument/2006/relationships/hyperlink" Target="mailto:stepani.bendel@kuh.fi" TargetMode="External"/><Relationship Id="rId19" Type="http://schemas.openxmlformats.org/officeDocument/2006/relationships/hyperlink" Target="mailto:riku.kivisaari@hus.fi" TargetMode="External"/><Relationship Id="rId4" Type="http://schemas.openxmlformats.org/officeDocument/2006/relationships/settings" Target="settings.xml"/><Relationship Id="rId9" Type="http://schemas.openxmlformats.org/officeDocument/2006/relationships/hyperlink" Target="mailto:rahul.raj@hus.fi" TargetMode="External"/><Relationship Id="rId14" Type="http://schemas.openxmlformats.org/officeDocument/2006/relationships/hyperlink" Target="mailto:tero.ala-kokko@ppshp.fi" TargetMode="External"/><Relationship Id="rId22" Type="http://schemas.openxmlformats.org/officeDocument/2006/relationships/hyperlink" Target="mailto:markus.skrifvars@hus.fi" TargetMode="External"/><Relationship Id="rId27" Type="http://schemas.openxmlformats.org/officeDocument/2006/relationships/theme" Target="theme/theme1.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89DE84FA-E073-436C-AEAB-98D6FE41B6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64</Pages>
  <Words>17622</Words>
  <Characters>142740</Characters>
  <Application>Microsoft Office Word</Application>
  <DocSecurity>0</DocSecurity>
  <Lines>1189</Lines>
  <Paragraphs>320</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Helsinki University Hospital</Company>
  <LinksUpToDate>false</LinksUpToDate>
  <CharactersWithSpaces>160042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Rahul Raj</dc:creator>
  <cp:keywords/>
  <dc:description/>
  <cp:lastModifiedBy>Kimmo Niukko</cp:lastModifiedBy>
  <cp:revision>2</cp:revision>
  <dcterms:created xsi:type="dcterms:W3CDTF">2018-05-03T12:36:00Z</dcterms:created>
  <dcterms:modified xsi:type="dcterms:W3CDTF">2018-05-03T12:36:00Z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392e68bc-cb0f-33b2-90ec-da13eda9b285</vt:lpwstr>
  </property>
  <property fmtid="{D5CDD505-2E9C-101B-9397-08002B2CF9AE}" pid="4" name="_NewReviewCycle">
    <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http://www.zotero.org/styles/critical-care</vt:lpwstr>
  </property>
  <property fmtid="{D5CDD505-2E9C-101B-9397-08002B2CF9AE}" pid="14" name="Mendeley Recent Style Name 4_1">
    <vt:lpwstr>Critical Care</vt:lpwstr>
  </property>
  <property fmtid="{D5CDD505-2E9C-101B-9397-08002B2CF9AE}" pid="15" name="Mendeley Recent Style Id 5_1">
    <vt:lpwstr>http://www.zotero.org/styles/critical-care-medicine</vt:lpwstr>
  </property>
  <property fmtid="{D5CDD505-2E9C-101B-9397-08002B2CF9AE}" pid="16" name="Mendeley Recent Style Name 5_1">
    <vt:lpwstr>Critical Care Medicine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http://www.zotero.org/styles/national-library-of-medicine</vt:lpwstr>
  </property>
  <property fmtid="{D5CDD505-2E9C-101B-9397-08002B2CF9AE}" pid="20" name="Mendeley Recent Style Name 7_1">
    <vt:lpwstr>National Library of Medicine</vt:lpwstr>
  </property>
  <property fmtid="{D5CDD505-2E9C-101B-9397-08002B2CF9AE}" pid="21" name="Mendeley Recent Style Id 8_1">
    <vt:lpwstr>http://www.zotero.org/styles/scandinavian-journal-of-trauma-resuscitation-and-emergency-medicine</vt:lpwstr>
  </property>
  <property fmtid="{D5CDD505-2E9C-101B-9397-08002B2CF9AE}" pid="22" name="Mendeley Recent Style Name 8_1">
    <vt:lpwstr>Scandinavian Journal of Trauma, Resuscitation and Emergency Medicine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y fmtid="{D5CDD505-2E9C-101B-9397-08002B2CF9AE}" pid="25" name="Mendeley Citation Style_1">
    <vt:lpwstr>http://www.zotero.org/styles/critical-care-medicine</vt:lpwstr>
  </property>
</Properties>
</file>