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Bold-SC700" w:hAnsi="Aleo-Bold-SC700" w:cs="Aleo-Bold-SC700"/>
          <w:b/>
          <w:bCs/>
          <w:color w:val="2A4779"/>
          <w:sz w:val="48"/>
          <w:szCs w:val="48"/>
          <w:lang w:val="fi-FI"/>
        </w:rPr>
      </w:pPr>
      <w:r>
        <w:rPr>
          <w:rFonts w:ascii="Aleo-Bold-SC700" w:hAnsi="Aleo-Bold-SC700" w:cs="Aleo-Bold-SC700"/>
          <w:b/>
          <w:bCs/>
          <w:color w:val="2A4779"/>
          <w:sz w:val="68"/>
          <w:szCs w:val="68"/>
          <w:lang w:val="fi-FI"/>
        </w:rPr>
        <w:t>K</w:t>
      </w:r>
      <w:r>
        <w:rPr>
          <w:rFonts w:ascii="Aleo-Bold-SC700" w:hAnsi="Aleo-Bold-SC700" w:cs="Aleo-Bold-SC700"/>
          <w:b/>
          <w:bCs/>
          <w:color w:val="2A4779"/>
          <w:sz w:val="48"/>
          <w:szCs w:val="48"/>
          <w:lang w:val="fi-FI"/>
        </w:rPr>
        <w:t>iinan identiteettipeli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Bold-SC700" w:hAnsi="Aleo-Bold-SC700" w:cs="Aleo-Bold-SC700"/>
          <w:b/>
          <w:bCs/>
          <w:color w:val="2A4779"/>
          <w:sz w:val="68"/>
          <w:szCs w:val="68"/>
          <w:lang w:val="fi-FI"/>
        </w:rPr>
      </w:pPr>
      <w:r>
        <w:rPr>
          <w:rFonts w:ascii="Aleo-Bold-SC700" w:hAnsi="Aleo-Bold-SC700" w:cs="Aleo-Bold-SC700"/>
          <w:b/>
          <w:bCs/>
          <w:color w:val="2A4779"/>
          <w:sz w:val="48"/>
          <w:szCs w:val="48"/>
          <w:lang w:val="fi-FI"/>
        </w:rPr>
        <w:t xml:space="preserve">ja arktinen politiikka </w:t>
      </w:r>
      <w:r>
        <w:rPr>
          <w:rFonts w:ascii="Aleo-Bold-SC700" w:hAnsi="Aleo-Bold-SC700" w:cs="Aleo-Bold-SC700"/>
          <w:b/>
          <w:bCs/>
          <w:color w:val="2A4779"/>
          <w:sz w:val="68"/>
          <w:szCs w:val="68"/>
          <w:lang w:val="fi-FI"/>
        </w:rPr>
        <w:t>–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Bold-SC700" w:hAnsi="Aleo-Bold-SC700" w:cs="Aleo-Bold-SC700"/>
          <w:b/>
          <w:bCs/>
          <w:color w:val="2A4779"/>
          <w:sz w:val="48"/>
          <w:szCs w:val="48"/>
          <w:lang w:val="fi-FI"/>
        </w:rPr>
      </w:pPr>
      <w:r>
        <w:rPr>
          <w:rFonts w:ascii="Aleo-Bold-SC700" w:hAnsi="Aleo-Bold-SC700" w:cs="Aleo-Bold-SC700"/>
          <w:b/>
          <w:bCs/>
          <w:color w:val="2A4779"/>
          <w:sz w:val="48"/>
          <w:szCs w:val="48"/>
          <w:lang w:val="fi-FI"/>
        </w:rPr>
        <w:t>lyhyt katsaus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LightItalic" w:hAnsi="Lato-LightItalic" w:cs="Lato-LightItalic"/>
          <w:i/>
          <w:iCs/>
          <w:color w:val="70502C"/>
          <w:sz w:val="20"/>
          <w:szCs w:val="20"/>
          <w:lang w:val="fi-FI"/>
        </w:rPr>
      </w:pPr>
      <w:r>
        <w:rPr>
          <w:rFonts w:ascii="Lato-LightItalic" w:hAnsi="Lato-LightItalic" w:cs="Lato-LightItalic"/>
          <w:i/>
          <w:iCs/>
          <w:color w:val="70502C"/>
          <w:sz w:val="20"/>
          <w:szCs w:val="20"/>
          <w:lang w:val="fi-FI"/>
        </w:rPr>
        <w:t xml:space="preserve">Jukka </w:t>
      </w:r>
      <w:proofErr w:type="spellStart"/>
      <w:r>
        <w:rPr>
          <w:rFonts w:ascii="Lato-LightItalic" w:hAnsi="Lato-LightItalic" w:cs="Lato-LightItalic"/>
          <w:i/>
          <w:iCs/>
          <w:color w:val="70502C"/>
          <w:sz w:val="20"/>
          <w:szCs w:val="20"/>
          <w:lang w:val="fi-FI"/>
        </w:rPr>
        <w:t>Aukia</w:t>
      </w:r>
      <w:proofErr w:type="spellEnd"/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Bold-SC700" w:hAnsi="Aleo-Bold-SC700" w:cs="Aleo-Bold-SC700"/>
          <w:b/>
          <w:bCs/>
          <w:color w:val="000000"/>
          <w:sz w:val="27"/>
          <w:szCs w:val="27"/>
          <w:lang w:val="fi-FI"/>
        </w:rPr>
      </w:pPr>
      <w:r>
        <w:rPr>
          <w:rFonts w:ascii="Aleo-Bold-SC700" w:hAnsi="Aleo-Bold-SC700" w:cs="Aleo-Bold-SC700"/>
          <w:b/>
          <w:bCs/>
          <w:color w:val="000000"/>
          <w:sz w:val="38"/>
          <w:szCs w:val="38"/>
          <w:lang w:val="fi-FI"/>
        </w:rPr>
        <w:t>I</w:t>
      </w:r>
      <w:r>
        <w:rPr>
          <w:rFonts w:ascii="Aleo-Bold-SC700" w:hAnsi="Aleo-Bold-SC700" w:cs="Aleo-Bold-SC700"/>
          <w:b/>
          <w:bCs/>
          <w:color w:val="000000"/>
          <w:sz w:val="27"/>
          <w:szCs w:val="27"/>
          <w:lang w:val="fi-FI"/>
        </w:rPr>
        <w:t>dentiteettipolitiikka ja marginaaliin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Bold-SC700" w:hAnsi="Aleo-Bold-SC700" w:cs="Aleo-Bold-SC700"/>
          <w:b/>
          <w:bCs/>
          <w:color w:val="000000"/>
          <w:sz w:val="27"/>
          <w:szCs w:val="27"/>
          <w:lang w:val="fi-FI"/>
        </w:rPr>
      </w:pPr>
      <w:r>
        <w:rPr>
          <w:rFonts w:ascii="Aleo-Bold-SC700" w:hAnsi="Aleo-Bold-SC700" w:cs="Aleo-Bold-SC700"/>
          <w:b/>
          <w:bCs/>
          <w:color w:val="000000"/>
          <w:sz w:val="27"/>
          <w:szCs w:val="27"/>
          <w:lang w:val="fi-FI"/>
        </w:rPr>
        <w:t xml:space="preserve">suistettu </w:t>
      </w:r>
      <w:r>
        <w:rPr>
          <w:rFonts w:ascii="Aleo-Bold-SC700" w:hAnsi="Aleo-Bold-SC700" w:cs="Aleo-Bold-SC700"/>
          <w:b/>
          <w:bCs/>
          <w:color w:val="000000"/>
          <w:sz w:val="38"/>
          <w:szCs w:val="38"/>
          <w:lang w:val="fi-FI"/>
        </w:rPr>
        <w:t>K</w:t>
      </w:r>
      <w:r>
        <w:rPr>
          <w:rFonts w:ascii="Aleo-Bold-SC700" w:hAnsi="Aleo-Bold-SC700" w:cs="Aleo-Bold-SC700"/>
          <w:b/>
          <w:bCs/>
          <w:color w:val="000000"/>
          <w:sz w:val="27"/>
          <w:szCs w:val="27"/>
          <w:lang w:val="fi-FI"/>
        </w:rPr>
        <w:t>iina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Identiteettipolitiikalla viitataan sellaisten kantojen tai yleisemmin agendojen edistämiseen,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joita perustellaan sosiaaliseen ryhmään kuulumisella ja sen etujen ajamisella.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Identiteetti viittaa tässä itse itselle itsestä kerrottuun tarinaan, jonka validiteettia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testataan sosiaalisessa kanssakäymisessä ja yksilön ryhmäidentifikaatiossa</w:t>
      </w:r>
      <w:proofErr w:type="gramStart"/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 (</w:t>
      </w:r>
      <w:proofErr w:type="spellStart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Taijfel</w:t>
      </w:r>
      <w:proofErr w:type="spellEnd"/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 ja</w:t>
      </w:r>
      <w:proofErr w:type="gramEnd"/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Turner, 1979). Termi sai poliittisen merkityksensä Yhdysvalojen rotuerottelujen vastaisen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liikehdinnän kontekstissa 1950-luvulla. Tavallisesti identiteettipolitiikka yhdistetäänkin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nykyisin sisäpolitiikkaan ja erityisesti sosiaalisiin vähemmistöihin liittyvään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politiikan tekemiseen.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Kansainvälisessä politiikantutkimuksessa identiteettipolitiikka on terminä vähemmän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käytetty. On kuitenkin perusteltua sanoa nimenomaan Kiinan nykypolitiikan olevan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sekä kotimaassa että kansainvälisesti identiteettiin nojaavaa. Tähän viittaavat Kiinaa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hallitsevan kommunistisen puolueen historian tulkinnat, joiden mukaan Kiina on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pitkään etsinyt omaa kansallista identiteettiään. Näkemys ei ole täysin perusteeton ja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sen jakaa muutama kansainvälinen kiinatutkija (esim. </w:t>
      </w:r>
      <w:proofErr w:type="spellStart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Shi</w:t>
      </w:r>
      <w:proofErr w:type="spellEnd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, 2013).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On kuitenkin perusteltua sanoa nimenomaan Kiinan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nykypolitiikan olevan sekä kotimaassa että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kansainvälisesti identiteettiin nojaavaa.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Keskeisellä paikalla Kiinan itse </w:t>
      </w:r>
      <w:proofErr w:type="spellStart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itselleen</w:t>
      </w:r>
      <w:proofErr w:type="spellEnd"/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 itsestään kertomassa tarinassa on länsivaltojen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ja Kiinan ensimmäinen kohtaaminen 1700-luvun lopulla, jonka seurauksena Kiina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alistettiin osittaiselle kolonialismille. Ennen sitä Kiina oli pitkään nauttinut korkeasta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kansainvälisestä asemasta. Itä-Aasiassa vallinnut kansainvälinen järjestelmä perustui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Kiina-keskeisyyteen, sekä siihen, etteivät muut toimijat haastaneet Kiinan johtavaa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asemaa. Kiina-keskeisyys tuli esiin konkreettisesti: mitä kauempana maantieteellisesti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muut toimijat olivat Pekingistä, sitä alemmas ne sijoittuivat hierarkiassa. Vuosittain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Regular" w:hAnsi="Aleo-Regular" w:cs="Aleo-Regular"/>
          <w:color w:val="000000"/>
          <w:sz w:val="16"/>
          <w:szCs w:val="16"/>
          <w:lang w:val="fi-FI"/>
        </w:rPr>
      </w:pPr>
      <w:r>
        <w:rPr>
          <w:rFonts w:ascii="Aleo-Regular" w:hAnsi="Aleo-Regular" w:cs="Aleo-Regular"/>
          <w:color w:val="000000"/>
          <w:sz w:val="16"/>
          <w:szCs w:val="16"/>
          <w:lang w:val="fi-FI"/>
        </w:rPr>
        <w:t>48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vasallivaltiot tekivät symbolisen valtiovierailun Kiinan keisarin luo. Perinteisen ja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muodollisen seremonian yhteydessä lähettiläät toivat keisarille lahjoja, niin kutsuttuja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tribuutteja, joiden tarkoitus oli osoittaa arvoa ja kuuliaisuutta.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Tribuuttisysteemiin liittyvän kiinalaisen filosofian mukaan Kiinan keisari oli maailman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ylin auktoriteetti, jonka hyväntahtoisen hallinnon alla vallitsi harmonia, rauha ja vakavaraisuus.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Näiden ylläpidosta syntyi keisarin taivaallinen mandaatti. Järjestelmää on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kutsuttu Kiinassa nimellä </w:t>
      </w:r>
      <w:proofErr w:type="spellStart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Tianxia</w:t>
      </w:r>
      <w:proofErr w:type="spellEnd"/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 eli "kaikki taivaan alla". </w:t>
      </w:r>
      <w:proofErr w:type="spellStart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Tianxian</w:t>
      </w:r>
      <w:proofErr w:type="spellEnd"/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 kansainvälinen harmonia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kuitenkin rikkoontui länsivaltojen ulottaessaan vaikutuspiirinsä Itä-Aasiaan, ja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Kiina joutui syrjäytetyksi keskeisestä asemastaan. Näin kiinalaiset joutuivat tarkastelemaan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oman sivilisaationsa kykyä tuottaa taloudellisia, kulttuurisia ja poliittisia ratkaisuja.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Näistä käytiin ja käydään yhä sisäistä keskustelua Kiinassa.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Mikä ennen kaikkea ei jäänyt 1800-luvun kiinalaisille epäselväksi, oli Kiinan tekninen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alivoima suhteessa länteen. Silloiset Oopiumsodat osoittivat asiain laidan konkreettisesti,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pakottivat Kiinan avaamaan maataan läntisille vaikutteille ja rikkoivat Kiinan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kansainvälisen identiteetin niin sanottuna keskeisenä kansakuntana. Kommunistisen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puolueen historian tulkinnan mukaan Kiina on sittemmin etsinyt omaa paikkaansa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kansakuntana länsijohtoisessa kansainvälisessä yhteisössä, toisin sanoen siis omaa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globaalia identiteettiään.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Bold-SC700" w:hAnsi="Aleo-Bold-SC700" w:cs="Aleo-Bold-SC700"/>
          <w:b/>
          <w:bCs/>
          <w:color w:val="000000"/>
          <w:sz w:val="27"/>
          <w:szCs w:val="27"/>
          <w:lang w:val="fi-FI"/>
        </w:rPr>
      </w:pPr>
      <w:r>
        <w:rPr>
          <w:rFonts w:ascii="Aleo-Bold-SC700" w:hAnsi="Aleo-Bold-SC700" w:cs="Aleo-Bold-SC700"/>
          <w:b/>
          <w:bCs/>
          <w:color w:val="000000"/>
          <w:sz w:val="38"/>
          <w:szCs w:val="38"/>
          <w:lang w:val="fi-FI"/>
        </w:rPr>
        <w:t>K</w:t>
      </w:r>
      <w:r>
        <w:rPr>
          <w:rFonts w:ascii="Aleo-Bold-SC700" w:hAnsi="Aleo-Bold-SC700" w:cs="Aleo-Bold-SC700"/>
          <w:b/>
          <w:bCs/>
          <w:color w:val="000000"/>
          <w:sz w:val="27"/>
          <w:szCs w:val="27"/>
          <w:lang w:val="fi-FI"/>
        </w:rPr>
        <w:t>iina pyrkii takaisin keskiöön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lastRenderedPageBreak/>
        <w:t>Identiteettikäsitteen soveltaminen kansainvälisen politiikan tutkimuksessa edellyttänee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jonkinasteista </w:t>
      </w:r>
      <w:proofErr w:type="spellStart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antropomorfismin</w:t>
      </w:r>
      <w:proofErr w:type="spellEnd"/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 hyväksymistä. Toisin sanoen sitä, että valtioita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rinnastetaan yksilöihin, joilla on identiteetti ja siihen liittyvät tunteet, ja jotka siten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ovat kykeneviä käyttäytymään, ei vain rationaalisesti tai irrationaalisesti, vaan myös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emotionaalisesti. Teoreettisesti tällaista näkökulmaa voisi lähestyä kansainvälisen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järjestelmän sijaan näkemyksellä kansainvälisestä yhteisöstä, jossa eri toimijoilla on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oma historiansa, ja jotka omia arvojaan, normejaan, ja kulttuuriaan noudattaen muodostavan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sosiaalisen yhteisön tai yhteisöjä. Kun tämä viitekehys hyväksytään tarkastelun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lähtökohdaksi, voidaan todellisuutta yksinkertaistaa ja viitata valtioihin emotionaalisina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toimijoina, joiden politiikka osaltaan perustuu identiteettiin pohjautuviin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näkemyksiin, arvioihin ja tavoitteisiin.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Kiinan kommunistisen puolueen historian tulkinnan mukaan Kiina on siis etsinyt omaa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kansainvälistä identiteettiään aina sen jälkeen, kun länsivallat syrjäyttivät sen Itä-Aasiassa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vallinneen kansainvälisen yhteisön keskustasta. Nykykielestä tuttua ilmaisua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käyttäen voisi sanoa, että Kiina on pyrkinyt "keksimään itsensä uudelleen". Tähän </w:t>
      </w:r>
      <w:proofErr w:type="spellStart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narratiiviin</w:t>
      </w:r>
      <w:proofErr w:type="spellEnd"/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kuuluu eri vaiheita. Ensimmäinen jakso oli luonteeltaan tekninen. Oopiumsodissa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kärsitty tappio pakotti uudistusmieliset keisarillisen armeijan kenraalit tunnustamaan,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ettei tekninen kehitys ollut Kiinassa lännen tasolla. Seuraava "itsereflektio",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kuten kiinalaiset historioitsijat asiaa kutsuvat, oli luonteeltaan poliittinen. Vuoden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Regular" w:hAnsi="Aleo-Regular" w:cs="Aleo-Regular"/>
          <w:color w:val="000000"/>
          <w:sz w:val="16"/>
          <w:szCs w:val="16"/>
          <w:lang w:val="fi-FI"/>
        </w:rPr>
      </w:pPr>
      <w:r>
        <w:rPr>
          <w:rFonts w:ascii="Aleo-Regular" w:hAnsi="Aleo-Regular" w:cs="Aleo-Regular"/>
          <w:color w:val="000000"/>
          <w:sz w:val="16"/>
          <w:szCs w:val="16"/>
          <w:lang w:val="fi-FI"/>
        </w:rPr>
        <w:t>49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1911 vallankumous, jossa </w:t>
      </w:r>
      <w:proofErr w:type="spellStart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Qing</w:t>
      </w:r>
      <w:proofErr w:type="spellEnd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-dynastiaa edustanut Kiinan viimeinen keisari syöstiin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vallasta, osaltaan tähtäsi länsimaiseen tasavaltaan. Kolmas yritys identiteetin uudelleen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rakentamiseksi tulkitaan Kiinassa usein luonteeltaan kulttuuriseksi. Vuoden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1919 sosiaalinen ja kulttuurinen uudistusliike on nimetty "uuden kulttuurin” -liikkeeksi.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Siinä vaikuttaneet uudistusmieliset lännessä koulutetut aktivistit pyrkivät tuomaan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Kiinaan länsimaisia kulttuurisia, sosiaalisia ja poliittisia reformeja.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Kiinan kommunistisen puolueen historian tulkinnan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mukaan Kiina on siis etsinyt omaa kansainvälistä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identiteettiään aina sen jälkeen, kun länsivallat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syrjäyttivät sen Itä-Aasiassa vallinneen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kansainvälisen yhteisön keskustasta.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Yhteistä näille pyrkimyksille on katsottu olevan epäonnistuminen niiden keskeisessä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tehtävässä, eli Kiinan kansallisen identiteetin uudelleen rakentamisessa. Toimen otti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sittemmin vastaan Kiinan kommunistinen puolue, joka pitkään jatkuneen sisäisen konfliktin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seurauksena nousi valtaan 1940-luvun lopulla. Sosialistinen vallankumousidentiteetti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ei kuitenkaan – ehkä hieman yllättäen – tarjonnut kylmän sodan melskeissä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vakaata kansainvälistä identiteettiä. Hyvän alun jälkeen Kiinan suhteet Neuvostoliittoon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viilenivät, toisaalta suhteet toisen maailmansodan aikaisen liittolaisen Yhdysvaltain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kanssa ensin katkesivat, jonka jälkeen koettiin lievää liennytystä. Japanin kanssa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visioitu yhteinen pan-aasialainen identiteetti ei myöskään ottanut tuulta alleen vaan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hyvistä yrityksistä huolimatta kaatui molemminpuoliseen epäluuloon, joka jatkuu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edelleen. Vasta 1980-luvulla aloitetut menestyksekkäät markkinatalousreformit ovat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tuoneet Kiinaa kohti maailman kansojen yhteisön keskiötä, johon se kommunistisen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puolueen mukaan kuuluu.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Hyvästä taloudellisesta menestyksestä huolimatta Kiinaa ei kuitenkaan ole hyväksytty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läntisten liberaalien markkinatalousdemokratioiden vertaiseksi. Kommunistisen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puolueen mukaan Kiinan ”tarinaa” ei ole ymmärretty lännessä, josta käsin pyritään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tuomaan Kiinaan rappiollisia vaikutteita, mukaan lukien demokratiaa ja yksilönvapauksia.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Bold-SC700" w:hAnsi="Aleo-Bold-SC700" w:cs="Aleo-Bold-SC700"/>
          <w:b/>
          <w:bCs/>
          <w:color w:val="000000"/>
          <w:sz w:val="27"/>
          <w:szCs w:val="27"/>
          <w:lang w:val="fi-FI"/>
        </w:rPr>
      </w:pPr>
      <w:r>
        <w:rPr>
          <w:rFonts w:ascii="Aleo-Bold-SC700" w:hAnsi="Aleo-Bold-SC700" w:cs="Aleo-Bold-SC700"/>
          <w:b/>
          <w:bCs/>
          <w:color w:val="000000"/>
          <w:sz w:val="38"/>
          <w:szCs w:val="38"/>
          <w:lang w:val="fi-FI"/>
        </w:rPr>
        <w:t>M</w:t>
      </w:r>
      <w:r>
        <w:rPr>
          <w:rFonts w:ascii="Aleo-Bold-SC700" w:hAnsi="Aleo-Bold-SC700" w:cs="Aleo-Bold-SC700"/>
          <w:b/>
          <w:bCs/>
          <w:color w:val="000000"/>
          <w:sz w:val="27"/>
          <w:szCs w:val="27"/>
          <w:lang w:val="fi-FI"/>
        </w:rPr>
        <w:t>ainettaan parempi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Yllä oleva on siis vanhan ja uuden suurvalta-Kiinan tarina sitä johtavan kommunistisen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puolueen mukaan. Puolue myös katsoo, ettei Kiinan kansainvälinen identiteetti, toisin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sanoen, imago, vastaa sen nykyistä taloudellista ja poliittista painoarvoa. Kiinan poliittinen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eliitti ennen kaikkea viljelee "</w:t>
      </w:r>
      <w:proofErr w:type="spellStart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uhriutumisen</w:t>
      </w:r>
      <w:proofErr w:type="spellEnd"/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 diskurssia", jonka mukaan Kiinaa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kohdellaan läntisissä medioissa epäreilusti. Kiinaa ei näkökulman mukaan myöskään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ymmärretä lännessä, vaan </w:t>
      </w:r>
      <w:proofErr w:type="spellStart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tietyt</w:t>
      </w:r>
      <w:proofErr w:type="spellEnd"/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 "viha-mediat" demonisoivat Kiinan imagoa, ja näin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Regular" w:hAnsi="Aleo-Regular" w:cs="Aleo-Regular"/>
          <w:color w:val="000000"/>
          <w:sz w:val="16"/>
          <w:szCs w:val="16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tehdessään vahingoittavat Kiinan kansallista identiteettiä, jonka mukaan suurval</w:t>
      </w:r>
      <w:r>
        <w:rPr>
          <w:rFonts w:ascii="Aleo-Regular" w:hAnsi="Aleo-Regular" w:cs="Aleo-Regular"/>
          <w:color w:val="000000"/>
          <w:sz w:val="16"/>
          <w:szCs w:val="16"/>
          <w:lang w:val="fi-FI"/>
        </w:rPr>
        <w:t>50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proofErr w:type="spellStart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ta</w:t>
      </w:r>
      <w:proofErr w:type="spellEnd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-Kiinaa tulee taas arvostaa.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Vastatakseen kritiikkiin kommunistinen puolue sijoittaa nykyään suuret summat rahaa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lastRenderedPageBreak/>
        <w:t>kansainväliseen imagokampanjaan, jonka päällimmäinen tehtävä on kertoa Kiinan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tarina maailmalle, niin kuin kommunistinen puolue sen ymmärtää. Identiteettipolitiikka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on näin noussut keskiöön Kiinan ulkopolitiikassa. Osaltaan toimet koskevat myös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Kiinan sisäpolitiikkaa, missä kommunistiselle puolueelle on tärkeää osoittaa, että sitä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kunnioitetaan kansainvälisen yhteisön sisällä. Hiipuvan talouskasvun lisäksi kansainvälinen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arvostus tuo kommunistiselle puolueelle sen tarvitsemaa legitimiteettiä – ”taivaan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mandaatti" vaatii, että valtias sekä tuo vaurautta alamaisilleen, että on kunnioitettu.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Vastatakseen kritiikkiin kommunistinen puolue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proofErr w:type="gramStart"/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sijoittaa</w:t>
      </w:r>
      <w:proofErr w:type="gramEnd"/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 xml:space="preserve"> nykyään suuret summat rahaa kansainväliseen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imagokampanjaan, jonka päällimmäinen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tehtävä on kertoa Kiinan tarina maailmalle, niin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kuin kommunistinen puolue sen ymmärtää.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Esimerkkinä siitä, kuinka tärkeää asia on Kiinalle, voidaan tarkastella identiteettipolitiikkaan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sidottuja keinoja ja spekuloida niihin liittyvää arvopohjaa. Osana Kiinan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identiteettikampanjaa esimerkiksi, kommunistinen puolue ostaa läntisistä maista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uutismediayhtiöitä, ja kanavoi niiden kautta viestiään. Taktiikkaa kutsutaan median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proofErr w:type="spellStart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demarkaatiorajojen</w:t>
      </w:r>
      <w:proofErr w:type="spellEnd"/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 häivyttämiseksi (Sun, 2014). Toisin sanoen ei-kiinalaisilta vaikuttavat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uutismediat uutisoivat positiivisia uutisia Kiinasta, vaikka ne tosiasiassa ovat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kommunistisen puolueen tai sen lähipiirin omistuksessa. Näiden yhtiöiden länsimaisia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edustajia myös lähetetään Kiinan valtion lehdistötilaisuuksiin kysymään kommunistisen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puolueen edustajilta helppoja ja kunnioittavia kysymyksiä, ja niiden taltiointeja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toistetaan Kiinan kotimaisissa valtionmedioissa.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Ei liene syytä olettaa minkään valtion toimivan eettisesti tai moraalisesti esimerkillisesti,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mutta vastaavat kommunikointistrategiat muistuttavat lähinnä laajoihin kriiseihin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liittyvästä propagandaviestinnästä, joka alleviivaa sitä, kuinka tärkeiksi niin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kotimaiset kuin ulkomaiset näkemykset Kiinan kansainvälisestä asemasta koetaan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Pekingissä.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Bold-SC700" w:hAnsi="Aleo-Bold-SC700" w:cs="Aleo-Bold-SC700"/>
          <w:b/>
          <w:bCs/>
          <w:color w:val="000000"/>
          <w:sz w:val="27"/>
          <w:szCs w:val="27"/>
          <w:lang w:val="fi-FI"/>
        </w:rPr>
      </w:pPr>
      <w:r>
        <w:rPr>
          <w:rFonts w:ascii="Aleo-Bold-SC700" w:hAnsi="Aleo-Bold-SC700" w:cs="Aleo-Bold-SC700"/>
          <w:b/>
          <w:bCs/>
          <w:color w:val="000000"/>
          <w:sz w:val="38"/>
          <w:szCs w:val="38"/>
          <w:lang w:val="fi-FI"/>
        </w:rPr>
        <w:t>K</w:t>
      </w:r>
      <w:r>
        <w:rPr>
          <w:rFonts w:ascii="Aleo-Bold-SC700" w:hAnsi="Aleo-Bold-SC700" w:cs="Aleo-Bold-SC700"/>
          <w:b/>
          <w:bCs/>
          <w:color w:val="000000"/>
          <w:sz w:val="27"/>
          <w:szCs w:val="27"/>
          <w:lang w:val="fi-FI"/>
        </w:rPr>
        <w:t>iinan identiteettipolitiikka ja arktinen alue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Ei välttämättä ole yksiselitteisen selvää, miten Kiinan arktinen osallistuminen liittyy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identiteettipolitiikkaan, Kiinan paikkaan kansainvälisessä yhteisössä tai kommunistisen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puolueen historiantulkintaan. On kuitenkin hyvä muistaa, että objektiivisestikin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nähtynä ilmeiset ongelmat autoritäärisen hallinnon suhteen ovat johtaneet siihen, ettei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Kiinaa lasketa länsimaiseen moderniin maailmaan kuuluvaksi siitä huolimatta, että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Regular" w:hAnsi="Aleo-Regular" w:cs="Aleo-Regular"/>
          <w:color w:val="000000"/>
          <w:sz w:val="16"/>
          <w:szCs w:val="16"/>
          <w:lang w:val="fi-FI"/>
        </w:rPr>
      </w:pPr>
      <w:r>
        <w:rPr>
          <w:rFonts w:ascii="Aleo-Regular" w:hAnsi="Aleo-Regular" w:cs="Aleo-Regular"/>
          <w:color w:val="000000"/>
          <w:sz w:val="16"/>
          <w:szCs w:val="16"/>
          <w:lang w:val="fi-FI"/>
        </w:rPr>
        <w:t>51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maa yleensä nähdään globaalin talouden veturina ja nousevana suurvaltana. Tästä näkökulmasta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käsin voidaan Kiinan arktisen innostuksen tulkita syntyvän myös halusta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muokata Kiinan kansainvälistä identiteettiä länsimaiseksi, ekologiseksi ja moderniksi.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Tässä yhteydessä Kiina on painottanut arktisen alueen olevan ”ihmiskunnan yhteistä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perintöä”, jonka hyödyntämiseen kaikilla mailla tulisi olla oikeus riippumatta näiden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maantieteellisestä sijainnista.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Kiinan toistaiseksi löyhästi artikuloidun arktisen politiikan kulmakivet ovat keskinäinen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kunnioitus, yhteistyö ja ekologinen kehitys. Ensimmäisellä viitataan siihen, että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Kiina kunnioittaa arktisen alueen valtioiden itsemääräämisoikeutta alueella ja toisaalta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nämä valtiot kunnioittavat kansainvälistä lakia ja Kiinan oikeutta hyödyntää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kauttakulkua ja alueen luonnonvaroja. Tässä yhteydessä Kiina on painottanut arktisen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alueen olevan ”ihmiskunnan yhteistä perintöä”, jonka hyödyntämiseen kaikilla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mailla tulisi olla oikeus riippumatta näiden maantieteellisestä sijainnista. Yhteistyöllä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Kiina tarkoittaa sitä, että arktiset toimijat – Kiina mukaan lukien – pyrkisivät ennen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kaikkea niin sanottuihin </w:t>
      </w:r>
      <w:proofErr w:type="spellStart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win-win</w:t>
      </w:r>
      <w:proofErr w:type="spellEnd"/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 – ratkaisuihin. Kiinan kohdalla se tarkoittaisi Kiina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kykyä tarjota teknisiä ratkaisuja muiden maiden alueilla sijaitsevien luonnonvarojen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hyödyntämiseen. Kestävää kehitystä Kiina on nostanut esille alueen luonnonvarojen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hyödyntämisessä, joka on myös varsinaisten arktisen alueen valtioiden huolenaihe.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Asia noteerattiin laajalti Suomen ja Kiinan yhteisjulistuksessa kesällä 2017.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Tässä yhteydessä Kiina on painottanut arktisen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alueen olevan ”ihmiskunnan yhteistä perintöä”,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jonka hyödyntämiseen kaikilla mailla tulisi olla oikeus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lastRenderedPageBreak/>
        <w:t>riippumatta näiden maantieteellisestä sijainnista.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Kun edelliseen lisätään Kiinan pitkäaikainen pyrkimys päästä Arktisen neuvoston jäseneksi,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voidaan sanoa, että identiteettipolitiikan näkökulmasta Kiina pyrkisi arktisen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osallistumisen kautta rakentamaan itsestään kuvaa maana, joka ei pelkästään kuulu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polaariseen eliittiklubiin, vaan myös haastaa sen länsikeskeisyyttä. Näillä toimilla Kiina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myös rakentaa </w:t>
      </w:r>
      <w:proofErr w:type="spellStart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itselleen</w:t>
      </w:r>
      <w:proofErr w:type="spellEnd"/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 imagoa, joka on ekologinen, moderni ja rauhanomainen.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Toisin sanoen identiteettiä, jolla horjutetaan länsijohtoista kritiikkiä sen ei-liberaaleja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käytäntöjä ja politiikkaa kohtaan.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Samalla Kiina nostaa profiiliaan vapaan maailmankaupan puolustajana. Kiina kokee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tilaisuutensa tulleen, kun maailmanpolitiikan näyttämölle on astunut Donald </w:t>
      </w:r>
      <w:proofErr w:type="spellStart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Trump</w:t>
      </w:r>
      <w:proofErr w:type="spellEnd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,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joka on puheissaan painottanut Yhdysvaltain yksipuolista etua ja protektionismia,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ja näin pienentänyt Yhdysvaltojen roolia kansainvälisenä esimerkinnäyttäjänä. Kun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Yhdysvallat </w:t>
      </w:r>
      <w:proofErr w:type="spellStart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Trumpin</w:t>
      </w:r>
      <w:proofErr w:type="spellEnd"/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 johdolla myös märehtii Pariisin ilmastosopimusta, Kiina haluaa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näyttäytyä vastuullisena johtajana ilmastonmuutoksen torjunnassa. Tähän kontekstiin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vastuullinen innostus arktista aluetta kohtaan sopii hyvin.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Regular" w:hAnsi="Aleo-Regular" w:cs="Aleo-Regular"/>
          <w:color w:val="000000"/>
          <w:sz w:val="16"/>
          <w:szCs w:val="16"/>
          <w:lang w:val="fi-FI"/>
        </w:rPr>
      </w:pPr>
      <w:r>
        <w:rPr>
          <w:rFonts w:ascii="Aleo-Regular" w:hAnsi="Aleo-Regular" w:cs="Aleo-Regular"/>
          <w:color w:val="000000"/>
          <w:sz w:val="16"/>
          <w:szCs w:val="16"/>
          <w:lang w:val="fi-FI"/>
        </w:rPr>
        <w:t>52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Kiinan arktiseen politiikkaan liittyen Anne-Marie </w:t>
      </w:r>
      <w:proofErr w:type="spellStart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Brady</w:t>
      </w:r>
      <w:proofErr w:type="spellEnd"/>
      <w:r>
        <w:rPr>
          <w:rFonts w:ascii="Lato-Regular" w:hAnsi="Lato-Regular" w:cs="Lato-Regular"/>
          <w:color w:val="000000"/>
          <w:sz w:val="20"/>
          <w:szCs w:val="20"/>
          <w:lang w:val="fi-FI"/>
        </w:rPr>
        <w:t xml:space="preserve"> (2017) on alleviivannut Kiina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tapaa kutsua itseään ”polaariseksi suurvallaksi”. Tällainen on vahva niin taloudellisesti,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sotilaallisesti kuin tieteellisestikin, ja jonka vaikutusvalta ulottuu molemmille navoille.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Voidaan ajatella polaarisen suurvallan imagon olevan sellainen, joka toisi ratkaisun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Kiinan identiteettiongelmaan. Vaikka monet arktiseen alueeseen liittyvät kysymykset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ovat konkreettisia ja koskettavat reaalipolitiikkaa, identiteetin näkökulmasta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polaarinen vaikutusvalta mahdollistaisi Kiinalle siirtymisen länsikeskeisen maailmanjärjestyksen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tuolle puolen. Tämä on relevanttia erityisesti nyt, kun kansainvälisessä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johtajuudessa näyttäisi olevan tilaa rauhanomaiselle, ekologiseen ja tieteelliseen kehitykseen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keskittyneelle supervallalle, jonka harmoninen vaikutusvalta muodikkaasti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ulottuisi Etelänavalta arktiselle merelle. Näin Kiina tulisi myös määritelleeksi mikä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  <w:lang w:val="fi-FI"/>
        </w:rPr>
      </w:pPr>
      <w:r>
        <w:rPr>
          <w:rFonts w:ascii="Lato-Regular" w:hAnsi="Lato-Regular" w:cs="Lato-Regular"/>
          <w:color w:val="000000"/>
          <w:sz w:val="20"/>
          <w:szCs w:val="20"/>
          <w:lang w:val="fi-FI"/>
        </w:rPr>
        <w:t>nykyään katsotaan moderniksi ja mikä ei.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 xml:space="preserve">Näillä toimilla Kiina myös rakentaa </w:t>
      </w:r>
      <w:proofErr w:type="spellStart"/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itselleen</w:t>
      </w:r>
      <w:proofErr w:type="spellEnd"/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 xml:space="preserve"> imagoa,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joka on ekologinen, moderni ja rauhanomainen.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Toisin sanoen identiteettiä, jolla horjutetaan</w:t>
      </w:r>
    </w:p>
    <w:p w:rsid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</w:pPr>
      <w:r>
        <w:rPr>
          <w:rFonts w:ascii="Aleo-Italic" w:hAnsi="Aleo-Italic" w:cs="Aleo-Italic"/>
          <w:i/>
          <w:iCs/>
          <w:color w:val="000000"/>
          <w:sz w:val="27"/>
          <w:szCs w:val="27"/>
          <w:lang w:val="fi-FI"/>
        </w:rPr>
        <w:t>länsijohtoista kritiikkiä sen ei-liberaaleja käytäntöjä</w:t>
      </w:r>
    </w:p>
    <w:p w:rsidR="00EF6122" w:rsidRP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Italic" w:hAnsi="Aleo-Italic" w:cs="Aleo-Italic"/>
          <w:i/>
          <w:iCs/>
          <w:color w:val="000000"/>
          <w:sz w:val="27"/>
          <w:szCs w:val="27"/>
        </w:rPr>
      </w:pPr>
      <w:r w:rsidRPr="00EF6122">
        <w:rPr>
          <w:rFonts w:ascii="Aleo-Italic" w:hAnsi="Aleo-Italic" w:cs="Aleo-Italic"/>
          <w:i/>
          <w:iCs/>
          <w:color w:val="000000"/>
          <w:sz w:val="27"/>
          <w:szCs w:val="27"/>
        </w:rPr>
        <w:t>ja politiikkaa kohtaan.</w:t>
      </w:r>
    </w:p>
    <w:p w:rsidR="00EF6122" w:rsidRP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Aleo-Bold-SC700" w:hAnsi="Aleo-Bold-SC700" w:cs="Aleo-Bold-SC700"/>
          <w:b/>
          <w:bCs/>
          <w:color w:val="000000"/>
          <w:sz w:val="27"/>
          <w:szCs w:val="27"/>
        </w:rPr>
      </w:pPr>
      <w:r w:rsidRPr="00EF6122">
        <w:rPr>
          <w:rFonts w:ascii="Aleo-Bold-SC700" w:hAnsi="Aleo-Bold-SC700" w:cs="Aleo-Bold-SC700"/>
          <w:b/>
          <w:bCs/>
          <w:color w:val="000000"/>
          <w:sz w:val="38"/>
          <w:szCs w:val="38"/>
        </w:rPr>
        <w:t>L</w:t>
      </w:r>
      <w:r w:rsidRPr="00EF6122">
        <w:rPr>
          <w:rFonts w:ascii="Aleo-Bold-SC700" w:hAnsi="Aleo-Bold-SC700" w:cs="Aleo-Bold-SC700"/>
          <w:b/>
          <w:bCs/>
          <w:color w:val="000000"/>
          <w:sz w:val="27"/>
          <w:szCs w:val="27"/>
        </w:rPr>
        <w:t>ähteet</w:t>
      </w:r>
    </w:p>
    <w:p w:rsidR="00EF6122" w:rsidRP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</w:rPr>
      </w:pPr>
      <w:r w:rsidRPr="00EF6122">
        <w:rPr>
          <w:rFonts w:ascii="Lato-Regular" w:hAnsi="Lato-Regular" w:cs="Lato-Regular"/>
          <w:color w:val="000000"/>
          <w:sz w:val="20"/>
          <w:szCs w:val="20"/>
        </w:rPr>
        <w:t>Brady, Anne-Marie (2017) China as a Polar Great Power. Cambridge: Cambridge University</w:t>
      </w:r>
    </w:p>
    <w:p w:rsidR="00EF6122" w:rsidRP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</w:rPr>
      </w:pPr>
      <w:r w:rsidRPr="00EF6122">
        <w:rPr>
          <w:rFonts w:ascii="Lato-Regular" w:hAnsi="Lato-Regular" w:cs="Lato-Regular"/>
          <w:color w:val="000000"/>
          <w:sz w:val="20"/>
          <w:szCs w:val="20"/>
        </w:rPr>
        <w:t>Press.</w:t>
      </w:r>
    </w:p>
    <w:p w:rsidR="00EF6122" w:rsidRP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</w:rPr>
      </w:pPr>
      <w:r w:rsidRPr="00EF6122">
        <w:rPr>
          <w:rFonts w:ascii="Lato-Regular" w:hAnsi="Lato-Regular" w:cs="Lato-Regular"/>
          <w:color w:val="000000"/>
          <w:sz w:val="20"/>
          <w:szCs w:val="20"/>
        </w:rPr>
        <w:t>Shih, Chih-Yu (2013) Sinicizing International Relations. Self, Civilization, and Intellectual</w:t>
      </w:r>
    </w:p>
    <w:p w:rsidR="00EF6122" w:rsidRP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</w:rPr>
      </w:pPr>
      <w:r w:rsidRPr="00EF6122">
        <w:rPr>
          <w:rFonts w:ascii="Lato-Regular" w:hAnsi="Lato-Regular" w:cs="Lato-Regular"/>
          <w:color w:val="000000"/>
          <w:sz w:val="20"/>
          <w:szCs w:val="20"/>
        </w:rPr>
        <w:t>Politics in Subaltern East Asia. New York: Palgrave Macmillan.</w:t>
      </w:r>
    </w:p>
    <w:p w:rsidR="00EF6122" w:rsidRP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</w:rPr>
      </w:pPr>
      <w:r w:rsidRPr="00EF6122">
        <w:rPr>
          <w:rFonts w:ascii="Lato-Regular" w:hAnsi="Lato-Regular" w:cs="Lato-Regular"/>
          <w:color w:val="000000"/>
          <w:sz w:val="20"/>
          <w:szCs w:val="20"/>
        </w:rPr>
        <w:t>Sun, Wanning (2014) Foreign or Chinese? Reconfiguring the Symbolic Space of Chinese</w:t>
      </w:r>
    </w:p>
    <w:p w:rsidR="00EF6122" w:rsidRP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</w:rPr>
      </w:pPr>
      <w:r w:rsidRPr="00EF6122">
        <w:rPr>
          <w:rFonts w:ascii="Lato-Regular" w:hAnsi="Lato-Regular" w:cs="Lato-Regular"/>
          <w:color w:val="000000"/>
          <w:sz w:val="20"/>
          <w:szCs w:val="20"/>
        </w:rPr>
        <w:t>Media. International Journal of Communication 8: 1894–1911.</w:t>
      </w:r>
    </w:p>
    <w:p w:rsidR="00EF6122" w:rsidRP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</w:rPr>
      </w:pPr>
      <w:r w:rsidRPr="00EF6122">
        <w:rPr>
          <w:rFonts w:ascii="Lato-Regular" w:hAnsi="Lato-Regular" w:cs="Lato-Regular"/>
          <w:color w:val="000000"/>
          <w:sz w:val="20"/>
          <w:szCs w:val="20"/>
        </w:rPr>
        <w:t>Tajfel, Henry and Turner, John (1979) An integrative theory of intergroup conflict. In</w:t>
      </w:r>
    </w:p>
    <w:p w:rsidR="00EF6122" w:rsidRPr="00EF6122" w:rsidRDefault="00EF6122" w:rsidP="00EF6122">
      <w:pPr>
        <w:autoSpaceDE w:val="0"/>
        <w:autoSpaceDN w:val="0"/>
        <w:adjustRightInd w:val="0"/>
        <w:spacing w:after="0" w:line="240" w:lineRule="auto"/>
        <w:rPr>
          <w:rFonts w:ascii="Lato-Regular" w:hAnsi="Lato-Regular" w:cs="Lato-Regular"/>
          <w:color w:val="000000"/>
          <w:sz w:val="20"/>
          <w:szCs w:val="20"/>
        </w:rPr>
      </w:pPr>
      <w:r w:rsidRPr="00EF6122">
        <w:rPr>
          <w:rFonts w:ascii="Lato-Regular" w:hAnsi="Lato-Regular" w:cs="Lato-Regular"/>
          <w:color w:val="000000"/>
          <w:sz w:val="20"/>
          <w:szCs w:val="20"/>
        </w:rPr>
        <w:t>Austin and Worchel (eds.) (pp. 33–47) The social psychology of intergroup relations.</w:t>
      </w:r>
    </w:p>
    <w:p w:rsidR="006B2853" w:rsidRDefault="00EF6122" w:rsidP="00EF6122">
      <w:proofErr w:type="spellStart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Monterey</w:t>
      </w:r>
      <w:proofErr w:type="spellEnd"/>
      <w:r>
        <w:rPr>
          <w:rFonts w:ascii="Lato-Regular" w:hAnsi="Lato-Regular" w:cs="Lato-Regular"/>
          <w:color w:val="000000"/>
          <w:sz w:val="20"/>
          <w:szCs w:val="20"/>
          <w:lang w:val="fi-FI"/>
        </w:rPr>
        <w:t>: Brooks/Cole.</w:t>
      </w:r>
      <w:bookmarkStart w:id="0" w:name="_GoBack"/>
      <w:bookmarkEnd w:id="0"/>
    </w:p>
    <w:sectPr w:rsidR="006B2853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leo-Bold-SC700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ato-LightItal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Lato-Regular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leo-Italic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leo-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6122"/>
    <w:rsid w:val="00010242"/>
    <w:rsid w:val="00130C16"/>
    <w:rsid w:val="001E4B18"/>
    <w:rsid w:val="00226194"/>
    <w:rsid w:val="00260516"/>
    <w:rsid w:val="0036698F"/>
    <w:rsid w:val="003F4490"/>
    <w:rsid w:val="005577E4"/>
    <w:rsid w:val="0067673E"/>
    <w:rsid w:val="00697A38"/>
    <w:rsid w:val="006B2853"/>
    <w:rsid w:val="00725518"/>
    <w:rsid w:val="0073552B"/>
    <w:rsid w:val="0078305C"/>
    <w:rsid w:val="00842F20"/>
    <w:rsid w:val="00847A64"/>
    <w:rsid w:val="00883AB1"/>
    <w:rsid w:val="008872E3"/>
    <w:rsid w:val="00951083"/>
    <w:rsid w:val="009A26A3"/>
    <w:rsid w:val="009B2EB1"/>
    <w:rsid w:val="00A21734"/>
    <w:rsid w:val="00AB124B"/>
    <w:rsid w:val="00B934E7"/>
    <w:rsid w:val="00BE033D"/>
    <w:rsid w:val="00D10330"/>
    <w:rsid w:val="00D200DE"/>
    <w:rsid w:val="00D34951"/>
    <w:rsid w:val="00DB725D"/>
    <w:rsid w:val="00DC69F6"/>
    <w:rsid w:val="00DE3006"/>
    <w:rsid w:val="00DF130A"/>
    <w:rsid w:val="00EC4D01"/>
    <w:rsid w:val="00EF0D49"/>
    <w:rsid w:val="00EF6122"/>
    <w:rsid w:val="00F5518F"/>
    <w:rsid w:val="00F81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0FA5B9-7378-41F4-849A-8020A8AA6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1646</Words>
  <Characters>13340</Characters>
  <Application>Microsoft Office Word</Application>
  <DocSecurity>0</DocSecurity>
  <Lines>111</Lines>
  <Paragraphs>29</Paragraphs>
  <ScaleCrop>false</ScaleCrop>
  <Company>University of Turku</Company>
  <LinksUpToDate>false</LinksUpToDate>
  <CharactersWithSpaces>14957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Jukka Reimola</dc:creator>
  <cp:keywords/>
  <dc:description/>
  <cp:lastModifiedBy>Jukka Reimola</cp:lastModifiedBy>
  <cp:revision>1</cp:revision>
  <dcterms:created xsi:type="dcterms:W3CDTF">2018-01-22T13:58:00Z</dcterms:created>
  <dcterms:modified xsi:type="dcterms:W3CDTF">2018-01-22T13:59:00Z</dcterms:modified>
</cp:coreProperties>
</file>