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7F1671" w14:textId="77777777" w:rsidR="00426866" w:rsidRDefault="00426866" w:rsidP="00E45E76">
      <w:pPr>
        <w:spacing w:line="360" w:lineRule="auto"/>
        <w:jc w:val="center"/>
        <w:rPr>
          <w:rFonts w:asciiTheme="minorHAnsi" w:hAnsiTheme="minorHAnsi"/>
          <w:b/>
          <w:sz w:val="32"/>
          <w:szCs w:val="32"/>
          <w:lang w:val="en-US"/>
        </w:rPr>
      </w:pPr>
    </w:p>
    <w:p w14:paraId="0B8CAC98" w14:textId="77777777" w:rsidR="001143FB" w:rsidRPr="00A22DE9" w:rsidRDefault="00BD7F80" w:rsidP="00E45E76">
      <w:pPr>
        <w:spacing w:line="360" w:lineRule="auto"/>
        <w:jc w:val="center"/>
        <w:rPr>
          <w:lang w:val="en-US"/>
        </w:rPr>
      </w:pPr>
      <w:bookmarkStart w:id="0" w:name="_GoBack"/>
      <w:r w:rsidRPr="00E00029">
        <w:rPr>
          <w:rFonts w:asciiTheme="minorHAnsi" w:hAnsiTheme="minorHAnsi"/>
          <w:b/>
          <w:sz w:val="32"/>
          <w:szCs w:val="32"/>
          <w:lang w:val="en-US"/>
        </w:rPr>
        <w:t xml:space="preserve">Can bubble </w:t>
      </w:r>
      <w:r w:rsidR="00046525" w:rsidRPr="00E00029">
        <w:rPr>
          <w:rFonts w:asciiTheme="minorHAnsi" w:hAnsiTheme="minorHAnsi"/>
          <w:b/>
          <w:sz w:val="32"/>
          <w:szCs w:val="32"/>
          <w:lang w:val="en-US"/>
        </w:rPr>
        <w:t xml:space="preserve">theory </w:t>
      </w:r>
      <w:r w:rsidRPr="00E00029">
        <w:rPr>
          <w:rFonts w:asciiTheme="minorHAnsi" w:hAnsiTheme="minorHAnsi"/>
          <w:b/>
          <w:sz w:val="32"/>
          <w:szCs w:val="32"/>
          <w:lang w:val="en-US"/>
        </w:rPr>
        <w:t>foresee banking crises?</w:t>
      </w:r>
      <w:r w:rsidRPr="00A22DE9" w:rsidDel="00BD7F80">
        <w:rPr>
          <w:rFonts w:asciiTheme="minorHAnsi" w:hAnsiTheme="minorHAnsi"/>
          <w:b/>
          <w:sz w:val="32"/>
          <w:szCs w:val="32"/>
          <w:lang w:val="en-US"/>
        </w:rPr>
        <w:t xml:space="preserve"> </w:t>
      </w:r>
    </w:p>
    <w:bookmarkEnd w:id="0"/>
    <w:p w14:paraId="2EC5F7E5" w14:textId="77777777" w:rsidR="00F3091D" w:rsidRPr="00612C6E" w:rsidRDefault="001143FB" w:rsidP="00E45E76">
      <w:pPr>
        <w:spacing w:line="360" w:lineRule="auto"/>
        <w:jc w:val="center"/>
        <w:rPr>
          <w:rFonts w:asciiTheme="minorHAnsi" w:hAnsiTheme="minorHAnsi"/>
          <w:b/>
        </w:rPr>
      </w:pPr>
      <w:r w:rsidRPr="00612C6E">
        <w:rPr>
          <w:rFonts w:asciiTheme="minorHAnsi" w:hAnsiTheme="minorHAnsi"/>
          <w:b/>
        </w:rPr>
        <w:t>Timo Virtanen</w:t>
      </w:r>
      <w:r w:rsidR="00244153" w:rsidRPr="00612C6E">
        <w:rPr>
          <w:rFonts w:asciiTheme="minorHAnsi" w:hAnsiTheme="minorHAnsi"/>
          <w:b/>
        </w:rPr>
        <w:t>,</w:t>
      </w:r>
      <w:r w:rsidR="00A70C82" w:rsidRPr="00612C6E">
        <w:rPr>
          <w:rFonts w:asciiTheme="minorHAnsi" w:hAnsiTheme="minorHAnsi"/>
          <w:b/>
          <w:vertAlign w:val="superscript"/>
        </w:rPr>
        <w:t>a</w:t>
      </w:r>
      <w:r w:rsidRPr="00612C6E">
        <w:rPr>
          <w:rFonts w:asciiTheme="minorHAnsi" w:hAnsiTheme="minorHAnsi"/>
          <w:b/>
        </w:rPr>
        <w:t xml:space="preserve"> Eero Tölö</w:t>
      </w:r>
      <w:r w:rsidR="00244153" w:rsidRPr="00612C6E">
        <w:rPr>
          <w:rFonts w:asciiTheme="minorHAnsi" w:hAnsiTheme="minorHAnsi"/>
          <w:b/>
        </w:rPr>
        <w:t>,</w:t>
      </w:r>
      <w:r w:rsidR="00A70C82" w:rsidRPr="00612C6E">
        <w:rPr>
          <w:rFonts w:asciiTheme="minorHAnsi" w:hAnsiTheme="minorHAnsi"/>
          <w:b/>
          <w:vertAlign w:val="superscript"/>
        </w:rPr>
        <w:t>b</w:t>
      </w:r>
      <w:r w:rsidR="00A70C82" w:rsidRPr="00612C6E">
        <w:rPr>
          <w:rFonts w:asciiTheme="minorHAnsi" w:hAnsiTheme="minorHAnsi"/>
          <w:b/>
        </w:rPr>
        <w:t>*</w:t>
      </w:r>
      <w:r w:rsidRPr="00612C6E">
        <w:rPr>
          <w:rFonts w:asciiTheme="minorHAnsi" w:hAnsiTheme="minorHAnsi"/>
          <w:b/>
        </w:rPr>
        <w:t xml:space="preserve"> Matti Virén</w:t>
      </w:r>
      <w:r w:rsidR="00244153" w:rsidRPr="00612C6E">
        <w:rPr>
          <w:rFonts w:asciiTheme="minorHAnsi" w:hAnsiTheme="minorHAnsi"/>
          <w:b/>
        </w:rPr>
        <w:t>,</w:t>
      </w:r>
      <w:r w:rsidR="00A70C82" w:rsidRPr="00612C6E">
        <w:rPr>
          <w:rFonts w:asciiTheme="minorHAnsi" w:hAnsiTheme="minorHAnsi"/>
          <w:b/>
          <w:vertAlign w:val="superscript"/>
        </w:rPr>
        <w:t>a,</w:t>
      </w:r>
      <w:r w:rsidR="00815100">
        <w:rPr>
          <w:rFonts w:asciiTheme="minorHAnsi" w:hAnsiTheme="minorHAnsi"/>
          <w:b/>
          <w:vertAlign w:val="superscript"/>
        </w:rPr>
        <w:t>c</w:t>
      </w:r>
      <w:r w:rsidR="00815100" w:rsidRPr="00612C6E">
        <w:rPr>
          <w:rFonts w:asciiTheme="minorHAnsi" w:hAnsiTheme="minorHAnsi"/>
          <w:b/>
        </w:rPr>
        <w:t xml:space="preserve"> </w:t>
      </w:r>
      <w:r w:rsidRPr="00612C6E">
        <w:rPr>
          <w:rFonts w:asciiTheme="minorHAnsi" w:hAnsiTheme="minorHAnsi"/>
          <w:b/>
        </w:rPr>
        <w:t>and Katja Taipalus</w:t>
      </w:r>
      <w:r w:rsidR="00A70C82" w:rsidRPr="00612C6E">
        <w:rPr>
          <w:rFonts w:asciiTheme="minorHAnsi" w:hAnsiTheme="minorHAnsi"/>
          <w:b/>
          <w:vertAlign w:val="superscript"/>
        </w:rPr>
        <w:t>b</w:t>
      </w:r>
    </w:p>
    <w:p w14:paraId="7BC3DA43" w14:textId="77777777" w:rsidR="00A70C82" w:rsidRPr="00612C6E" w:rsidRDefault="00A70C82" w:rsidP="00E45E76">
      <w:pPr>
        <w:pStyle w:val="Default"/>
        <w:spacing w:line="360" w:lineRule="auto"/>
        <w:jc w:val="center"/>
        <w:rPr>
          <w:rFonts w:asciiTheme="minorHAnsi" w:hAnsiTheme="minorHAnsi"/>
        </w:rPr>
      </w:pPr>
    </w:p>
    <w:p w14:paraId="239946E2" w14:textId="77777777" w:rsidR="00A70C82" w:rsidRPr="00A22DE9" w:rsidRDefault="00A70C82" w:rsidP="00E45E76">
      <w:pPr>
        <w:spacing w:line="360" w:lineRule="auto"/>
        <w:jc w:val="center"/>
        <w:rPr>
          <w:rFonts w:asciiTheme="minorHAnsi" w:hAnsiTheme="minorHAnsi"/>
          <w:lang w:val="en-US"/>
        </w:rPr>
      </w:pPr>
      <w:r w:rsidRPr="00A22DE9">
        <w:rPr>
          <w:rFonts w:asciiTheme="minorHAnsi" w:hAnsiTheme="minorHAnsi"/>
          <w:szCs w:val="24"/>
          <w:vertAlign w:val="superscript"/>
          <w:lang w:val="en-US"/>
        </w:rPr>
        <w:t>a</w:t>
      </w:r>
      <w:r w:rsidR="00EA1065" w:rsidRPr="00A22DE9">
        <w:rPr>
          <w:rFonts w:asciiTheme="minorHAnsi" w:hAnsiTheme="minorHAnsi"/>
          <w:szCs w:val="24"/>
          <w:vertAlign w:val="superscript"/>
          <w:lang w:val="en-US"/>
        </w:rPr>
        <w:t xml:space="preserve"> </w:t>
      </w:r>
      <w:r w:rsidR="00244153" w:rsidRPr="00A22DE9">
        <w:rPr>
          <w:rFonts w:asciiTheme="minorHAnsi" w:hAnsiTheme="minorHAnsi"/>
          <w:i/>
          <w:lang w:val="en-US"/>
        </w:rPr>
        <w:t>Turku School of Economics, University of Turku, Finland</w:t>
      </w:r>
      <w:r w:rsidR="00244153" w:rsidRPr="00A22DE9" w:rsidDel="005E49DE">
        <w:rPr>
          <w:rFonts w:asciiTheme="minorHAnsi" w:hAnsiTheme="minorHAnsi"/>
          <w:lang w:val="en-US"/>
        </w:rPr>
        <w:t xml:space="preserve"> </w:t>
      </w:r>
    </w:p>
    <w:p w14:paraId="4A412065" w14:textId="77777777" w:rsidR="00A70C82" w:rsidRDefault="00A70C82" w:rsidP="00E45E76">
      <w:pPr>
        <w:spacing w:line="360" w:lineRule="auto"/>
        <w:jc w:val="center"/>
        <w:rPr>
          <w:rFonts w:asciiTheme="minorHAnsi" w:hAnsiTheme="minorHAnsi"/>
          <w:lang w:val="en-US"/>
        </w:rPr>
      </w:pPr>
      <w:r w:rsidRPr="00A22DE9">
        <w:rPr>
          <w:rFonts w:asciiTheme="minorHAnsi" w:hAnsiTheme="minorHAnsi"/>
          <w:szCs w:val="24"/>
          <w:vertAlign w:val="superscript"/>
          <w:lang w:val="en-US"/>
        </w:rPr>
        <w:t>b</w:t>
      </w:r>
      <w:r w:rsidR="005E49DE" w:rsidRPr="00A22DE9">
        <w:rPr>
          <w:rFonts w:asciiTheme="minorHAnsi" w:hAnsiTheme="minorHAnsi"/>
          <w:szCs w:val="24"/>
          <w:vertAlign w:val="superscript"/>
          <w:lang w:val="en-US"/>
        </w:rPr>
        <w:t xml:space="preserve"> </w:t>
      </w:r>
      <w:r w:rsidR="00244153" w:rsidRPr="00A22DE9">
        <w:rPr>
          <w:rFonts w:asciiTheme="minorHAnsi" w:hAnsiTheme="minorHAnsi"/>
          <w:i/>
          <w:lang w:val="en-US"/>
        </w:rPr>
        <w:t>Financial Stability and Statistics Department, Bank of Finland</w:t>
      </w:r>
      <w:r w:rsidR="00244153" w:rsidRPr="00A22DE9">
        <w:rPr>
          <w:rFonts w:asciiTheme="minorHAnsi" w:hAnsiTheme="minorHAnsi"/>
          <w:lang w:val="en-US"/>
        </w:rPr>
        <w:t xml:space="preserve"> </w:t>
      </w:r>
    </w:p>
    <w:p w14:paraId="3F84A9CB" w14:textId="77777777" w:rsidR="00815100" w:rsidRPr="00A22DE9" w:rsidRDefault="00815100" w:rsidP="00815100">
      <w:pPr>
        <w:spacing w:line="360" w:lineRule="auto"/>
        <w:jc w:val="center"/>
        <w:rPr>
          <w:rFonts w:asciiTheme="minorHAnsi" w:eastAsiaTheme="minorEastAsia" w:hAnsiTheme="minorHAnsi"/>
          <w:bCs/>
          <w:kern w:val="24"/>
          <w:lang w:val="en-US"/>
        </w:rPr>
      </w:pPr>
      <w:r>
        <w:rPr>
          <w:rFonts w:asciiTheme="minorHAnsi" w:hAnsiTheme="minorHAnsi"/>
          <w:szCs w:val="24"/>
          <w:vertAlign w:val="superscript"/>
          <w:lang w:val="en-US"/>
        </w:rPr>
        <w:t>c</w:t>
      </w:r>
      <w:r w:rsidRPr="00A22DE9">
        <w:rPr>
          <w:rFonts w:asciiTheme="minorHAnsi" w:hAnsiTheme="minorHAnsi"/>
          <w:szCs w:val="24"/>
          <w:vertAlign w:val="superscript"/>
          <w:lang w:val="en-US"/>
        </w:rPr>
        <w:t xml:space="preserve"> </w:t>
      </w:r>
      <w:r>
        <w:rPr>
          <w:rFonts w:asciiTheme="minorHAnsi" w:hAnsiTheme="minorHAnsi"/>
          <w:i/>
          <w:lang w:val="en-US"/>
        </w:rPr>
        <w:t>Monetary Policy and Research Department</w:t>
      </w:r>
      <w:r w:rsidRPr="00A22DE9">
        <w:rPr>
          <w:rFonts w:asciiTheme="minorHAnsi" w:hAnsiTheme="minorHAnsi"/>
          <w:i/>
          <w:lang w:val="en-US"/>
        </w:rPr>
        <w:t>, Bank of Finland</w:t>
      </w:r>
      <w:r w:rsidRPr="00A22DE9">
        <w:rPr>
          <w:rFonts w:asciiTheme="minorHAnsi" w:hAnsiTheme="minorHAnsi"/>
          <w:lang w:val="en-US"/>
        </w:rPr>
        <w:t xml:space="preserve"> </w:t>
      </w:r>
    </w:p>
    <w:p w14:paraId="5F72A830" w14:textId="77777777" w:rsidR="00E42545" w:rsidRPr="00A22DE9" w:rsidRDefault="00E42545" w:rsidP="00E45E76">
      <w:pPr>
        <w:spacing w:line="360" w:lineRule="auto"/>
        <w:jc w:val="center"/>
        <w:rPr>
          <w:lang w:val="en-US"/>
        </w:rPr>
      </w:pPr>
    </w:p>
    <w:p w14:paraId="4CAB124D" w14:textId="77777777" w:rsidR="00E42545" w:rsidRPr="00A22DE9" w:rsidRDefault="00A70C82" w:rsidP="00E45E76">
      <w:pPr>
        <w:spacing w:line="360" w:lineRule="auto"/>
        <w:ind w:firstLine="0"/>
        <w:jc w:val="center"/>
        <w:rPr>
          <w:rFonts w:eastAsiaTheme="minorEastAsia" w:cs="Times New Roman"/>
          <w:szCs w:val="24"/>
          <w:lang w:val="en-US" w:eastAsia="fi-FI"/>
        </w:rPr>
      </w:pPr>
      <w:r w:rsidRPr="00A22DE9">
        <w:rPr>
          <w:rFonts w:eastAsiaTheme="minorEastAsia" w:cs="Times New Roman"/>
          <w:b/>
          <w:szCs w:val="24"/>
          <w:lang w:val="en-US" w:eastAsia="fi-FI"/>
        </w:rPr>
        <w:t>Abstract</w:t>
      </w:r>
    </w:p>
    <w:p w14:paraId="00C7BA0C" w14:textId="69C3317D" w:rsidR="00A51C58" w:rsidRDefault="00CF27D7" w:rsidP="005B5DCA">
      <w:pPr>
        <w:spacing w:line="360" w:lineRule="auto"/>
        <w:ind w:firstLine="0"/>
        <w:rPr>
          <w:lang w:val="en-US"/>
        </w:rPr>
      </w:pPr>
      <w:r>
        <w:rPr>
          <w:lang w:val="en-US"/>
        </w:rPr>
        <w:t xml:space="preserve">We </w:t>
      </w:r>
      <w:r w:rsidR="005B5DCA">
        <w:rPr>
          <w:lang w:val="en-US"/>
        </w:rPr>
        <w:t>consider the effectiveness of unit</w:t>
      </w:r>
      <w:r w:rsidR="00C80612">
        <w:rPr>
          <w:lang w:val="en-US"/>
        </w:rPr>
        <w:t xml:space="preserve"> </w:t>
      </w:r>
      <w:r w:rsidR="005B5DCA">
        <w:rPr>
          <w:lang w:val="en-US"/>
        </w:rPr>
        <w:t>root</w:t>
      </w:r>
      <w:r w:rsidR="00780452">
        <w:rPr>
          <w:lang w:val="en-US"/>
        </w:rPr>
        <w:t xml:space="preserve"> </w:t>
      </w:r>
      <w:r w:rsidR="00653135">
        <w:rPr>
          <w:lang w:val="en-US"/>
        </w:rPr>
        <w:t xml:space="preserve">exuberance tests </w:t>
      </w:r>
      <w:r w:rsidR="005B5DCA">
        <w:rPr>
          <w:lang w:val="en-US"/>
        </w:rPr>
        <w:t xml:space="preserve">in </w:t>
      </w:r>
      <w:r w:rsidR="00653135">
        <w:rPr>
          <w:lang w:val="en-US"/>
        </w:rPr>
        <w:t>predict</w:t>
      </w:r>
      <w:r w:rsidR="005B5DCA">
        <w:rPr>
          <w:lang w:val="en-US"/>
        </w:rPr>
        <w:t>ing</w:t>
      </w:r>
      <w:r w:rsidR="00653135">
        <w:rPr>
          <w:lang w:val="en-US"/>
        </w:rPr>
        <w:t xml:space="preserve"> </w:t>
      </w:r>
      <w:r w:rsidR="00DB00C1">
        <w:rPr>
          <w:lang w:val="en-US"/>
        </w:rPr>
        <w:t>banking</w:t>
      </w:r>
      <w:r w:rsidR="00DB00C1" w:rsidRPr="00026D5A">
        <w:rPr>
          <w:lang w:val="en-US"/>
        </w:rPr>
        <w:t xml:space="preserve"> </w:t>
      </w:r>
      <w:r w:rsidR="004C38A9">
        <w:rPr>
          <w:lang w:val="en-US"/>
        </w:rPr>
        <w:t>crise</w:t>
      </w:r>
      <w:r w:rsidR="004C38A9" w:rsidRPr="00026D5A">
        <w:rPr>
          <w:lang w:val="en-US"/>
        </w:rPr>
        <w:t>s</w:t>
      </w:r>
      <w:r w:rsidR="005B5DCA">
        <w:rPr>
          <w:lang w:val="en-US"/>
        </w:rPr>
        <w:t xml:space="preserve">. Using </w:t>
      </w:r>
      <w:r w:rsidR="0096544E">
        <w:rPr>
          <w:lang w:val="en-US"/>
        </w:rPr>
        <w:t xml:space="preserve">a </w:t>
      </w:r>
      <w:r w:rsidR="00653135">
        <w:rPr>
          <w:lang w:val="en-US"/>
        </w:rPr>
        <w:t>sample of</w:t>
      </w:r>
      <w:r w:rsidR="00026D5A" w:rsidRPr="00026D5A">
        <w:rPr>
          <w:lang w:val="en-US"/>
        </w:rPr>
        <w:t xml:space="preserve"> 15 EU countries</w:t>
      </w:r>
      <w:r w:rsidR="005B5DCA">
        <w:rPr>
          <w:lang w:val="en-US"/>
        </w:rPr>
        <w:t xml:space="preserve"> over the past three decades,</w:t>
      </w:r>
      <w:r w:rsidR="00653135">
        <w:rPr>
          <w:lang w:val="en-US"/>
        </w:rPr>
        <w:t xml:space="preserve"> </w:t>
      </w:r>
      <w:r>
        <w:rPr>
          <w:lang w:val="en-US"/>
        </w:rPr>
        <w:t xml:space="preserve">our </w:t>
      </w:r>
      <w:r w:rsidR="00DB00C1">
        <w:rPr>
          <w:lang w:val="en-US"/>
        </w:rPr>
        <w:t>cr</w:t>
      </w:r>
      <w:r w:rsidR="00653135">
        <w:rPr>
          <w:lang w:val="en-US"/>
        </w:rPr>
        <w:t>isis dating</w:t>
      </w:r>
      <w:r w:rsidR="00DB00C1">
        <w:rPr>
          <w:lang w:val="en-US"/>
        </w:rPr>
        <w:t xml:space="preserve"> </w:t>
      </w:r>
      <w:r w:rsidR="00653135">
        <w:rPr>
          <w:lang w:val="en-US"/>
        </w:rPr>
        <w:t>follows the scheme of</w:t>
      </w:r>
      <w:r w:rsidR="00C22BA6">
        <w:rPr>
          <w:lang w:val="en-US"/>
        </w:rPr>
        <w:t xml:space="preserve"> the</w:t>
      </w:r>
      <w:r w:rsidR="00653135">
        <w:rPr>
          <w:lang w:val="en-US"/>
        </w:rPr>
        <w:t xml:space="preserve"> </w:t>
      </w:r>
      <w:r w:rsidR="00DB00C1">
        <w:rPr>
          <w:lang w:val="en-US"/>
        </w:rPr>
        <w:t>European Systemic Risk Board</w:t>
      </w:r>
      <w:r w:rsidR="00026D5A" w:rsidRPr="00026D5A">
        <w:rPr>
          <w:lang w:val="en-US"/>
        </w:rPr>
        <w:t>.</w:t>
      </w:r>
      <w:r w:rsidR="00046525">
        <w:rPr>
          <w:lang w:val="en-US"/>
        </w:rPr>
        <w:t xml:space="preserve"> </w:t>
      </w:r>
      <w:r w:rsidR="00684D84">
        <w:rPr>
          <w:lang w:val="en-US"/>
        </w:rPr>
        <w:t>The exuberance indicators</w:t>
      </w:r>
      <w:r w:rsidR="00F55FA9">
        <w:rPr>
          <w:lang w:val="en-US"/>
        </w:rPr>
        <w:t xml:space="preserve"> </w:t>
      </w:r>
      <w:r w:rsidR="005B5DCA">
        <w:rPr>
          <w:lang w:val="en-US"/>
        </w:rPr>
        <w:t xml:space="preserve">slightly </w:t>
      </w:r>
      <w:r w:rsidR="00460248">
        <w:rPr>
          <w:lang w:val="en-US"/>
        </w:rPr>
        <w:t xml:space="preserve">outperform </w:t>
      </w:r>
      <w:r w:rsidR="00046525">
        <w:rPr>
          <w:lang w:val="en-US"/>
        </w:rPr>
        <w:t xml:space="preserve">benchmark </w:t>
      </w:r>
      <w:r w:rsidR="00727A18">
        <w:rPr>
          <w:lang w:val="en-US"/>
        </w:rPr>
        <w:t xml:space="preserve">signaling </w:t>
      </w:r>
      <w:r w:rsidR="00460248">
        <w:rPr>
          <w:lang w:val="en-US"/>
        </w:rPr>
        <w:t xml:space="preserve">and </w:t>
      </w:r>
      <w:r w:rsidR="00046525">
        <w:rPr>
          <w:lang w:val="en-US"/>
        </w:rPr>
        <w:t>logit models</w:t>
      </w:r>
      <w:r w:rsidR="00727A18">
        <w:rPr>
          <w:lang w:val="en-US"/>
        </w:rPr>
        <w:t xml:space="preserve">. </w:t>
      </w:r>
      <w:r w:rsidR="00460248">
        <w:rPr>
          <w:lang w:val="en-US"/>
        </w:rPr>
        <w:t>Variables based on c</w:t>
      </w:r>
      <w:r w:rsidR="00727A18">
        <w:rPr>
          <w:lang w:val="en-US"/>
        </w:rPr>
        <w:t>redit</w:t>
      </w:r>
      <w:r w:rsidR="005B5DCA">
        <w:rPr>
          <w:lang w:val="en-US"/>
        </w:rPr>
        <w:t>- and debt-servic</w:t>
      </w:r>
      <w:r w:rsidR="00BE1B93">
        <w:rPr>
          <w:lang w:val="en-US"/>
        </w:rPr>
        <w:t>e</w:t>
      </w:r>
      <w:r w:rsidR="00460248">
        <w:rPr>
          <w:lang w:val="en-US"/>
        </w:rPr>
        <w:t xml:space="preserve"> are </w:t>
      </w:r>
      <w:r w:rsidR="007B55C2">
        <w:rPr>
          <w:lang w:val="en-US"/>
        </w:rPr>
        <w:t xml:space="preserve">identified as </w:t>
      </w:r>
      <w:r w:rsidR="00727A18">
        <w:rPr>
          <w:lang w:val="en-US"/>
        </w:rPr>
        <w:t xml:space="preserve">better predictors than housing market variables, which in turn </w:t>
      </w:r>
      <w:r w:rsidR="00BE1B93">
        <w:rPr>
          <w:lang w:val="en-US"/>
        </w:rPr>
        <w:t xml:space="preserve">outperform </w:t>
      </w:r>
      <w:r w:rsidR="00727A18">
        <w:rPr>
          <w:lang w:val="en-US"/>
        </w:rPr>
        <w:t xml:space="preserve">stock market variables. </w:t>
      </w:r>
      <w:r w:rsidR="007B55C2">
        <w:rPr>
          <w:lang w:val="en-US"/>
        </w:rPr>
        <w:t xml:space="preserve">The </w:t>
      </w:r>
      <w:r w:rsidR="00653135">
        <w:rPr>
          <w:lang w:val="en-US"/>
        </w:rPr>
        <w:t xml:space="preserve">results corroborate the existing </w:t>
      </w:r>
      <w:r w:rsidR="00FA78F6">
        <w:rPr>
          <w:lang w:val="en-US"/>
        </w:rPr>
        <w:t>literature, which says</w:t>
      </w:r>
      <w:r w:rsidR="00653135">
        <w:rPr>
          <w:lang w:val="en-US"/>
        </w:rPr>
        <w:t xml:space="preserve"> financial crises are </w:t>
      </w:r>
      <w:r w:rsidR="00FA78F6">
        <w:rPr>
          <w:lang w:val="en-US"/>
        </w:rPr>
        <w:t xml:space="preserve">typically </w:t>
      </w:r>
      <w:r w:rsidR="00653135">
        <w:rPr>
          <w:lang w:val="en-US"/>
        </w:rPr>
        <w:t>preceded by leveraged bubbles</w:t>
      </w:r>
      <w:r w:rsidR="00BE1B93">
        <w:rPr>
          <w:lang w:val="en-US"/>
        </w:rPr>
        <w:t xml:space="preserve">, and more specifically, that </w:t>
      </w:r>
      <w:r w:rsidR="00F31582">
        <w:rPr>
          <w:lang w:val="en-US"/>
        </w:rPr>
        <w:t xml:space="preserve">initial </w:t>
      </w:r>
      <w:r w:rsidR="005B5DCA">
        <w:rPr>
          <w:lang w:val="en-US"/>
        </w:rPr>
        <w:t xml:space="preserve">bubble signals from explosive growth in </w:t>
      </w:r>
      <w:r w:rsidR="00727A18">
        <w:rPr>
          <w:lang w:val="en-US"/>
        </w:rPr>
        <w:t>credit an</w:t>
      </w:r>
      <w:r w:rsidR="005B5DCA">
        <w:rPr>
          <w:lang w:val="en-US"/>
        </w:rPr>
        <w:t>d asset prices are followed by a lift-off in debt-</w:t>
      </w:r>
      <w:r w:rsidR="00727A18">
        <w:rPr>
          <w:lang w:val="en-US"/>
        </w:rPr>
        <w:t xml:space="preserve">servicing costs </w:t>
      </w:r>
      <w:r w:rsidR="007B55C2">
        <w:rPr>
          <w:lang w:val="en-US"/>
        </w:rPr>
        <w:t xml:space="preserve">as </w:t>
      </w:r>
      <w:r w:rsidR="002E1582">
        <w:rPr>
          <w:lang w:val="en-US"/>
        </w:rPr>
        <w:t xml:space="preserve">a financial </w:t>
      </w:r>
      <w:r w:rsidR="005B5DCA">
        <w:rPr>
          <w:lang w:val="en-US"/>
        </w:rPr>
        <w:t>crisis</w:t>
      </w:r>
      <w:r w:rsidR="007B55C2">
        <w:rPr>
          <w:lang w:val="en-US"/>
        </w:rPr>
        <w:t xml:space="preserve"> nears</w:t>
      </w:r>
      <w:r w:rsidR="005B5DCA">
        <w:rPr>
          <w:lang w:val="en-US"/>
        </w:rPr>
        <w:t xml:space="preserve">. </w:t>
      </w:r>
      <w:r w:rsidR="00995DA5">
        <w:rPr>
          <w:lang w:val="en-US"/>
        </w:rPr>
        <w:t>T</w:t>
      </w:r>
      <w:r w:rsidR="005B5DCA">
        <w:rPr>
          <w:lang w:val="en-US"/>
        </w:rPr>
        <w:t xml:space="preserve">he </w:t>
      </w:r>
      <w:r w:rsidR="00C22BA6">
        <w:rPr>
          <w:lang w:val="en-US"/>
        </w:rPr>
        <w:t xml:space="preserve">risk </w:t>
      </w:r>
      <w:r w:rsidR="00652C42">
        <w:rPr>
          <w:lang w:val="en-US"/>
        </w:rPr>
        <w:t>of financial cris</w:t>
      </w:r>
      <w:r w:rsidR="000E2CCC">
        <w:rPr>
          <w:lang w:val="en-US"/>
        </w:rPr>
        <w:t>i</w:t>
      </w:r>
      <w:r w:rsidR="00652C42">
        <w:rPr>
          <w:lang w:val="en-US"/>
        </w:rPr>
        <w:t xml:space="preserve">s </w:t>
      </w:r>
      <w:r w:rsidR="002E1582">
        <w:rPr>
          <w:lang w:val="en-US"/>
        </w:rPr>
        <w:t xml:space="preserve">peaks </w:t>
      </w:r>
      <w:r w:rsidR="00BE1B93">
        <w:rPr>
          <w:lang w:val="en-US"/>
        </w:rPr>
        <w:t xml:space="preserve">just </w:t>
      </w:r>
      <w:r w:rsidR="00652C42">
        <w:rPr>
          <w:lang w:val="en-US"/>
        </w:rPr>
        <w:t xml:space="preserve">after the bubble bursts. </w:t>
      </w:r>
      <w:r w:rsidR="00026D5A" w:rsidRPr="00026D5A">
        <w:rPr>
          <w:lang w:val="en-US"/>
        </w:rPr>
        <w:t xml:space="preserve">Our results </w:t>
      </w:r>
      <w:r w:rsidR="00BE1B93">
        <w:rPr>
          <w:lang w:val="en-US"/>
        </w:rPr>
        <w:t xml:space="preserve">indicate </w:t>
      </w:r>
      <w:r w:rsidR="00652C42">
        <w:rPr>
          <w:lang w:val="en-US"/>
        </w:rPr>
        <w:t xml:space="preserve">that exuberance </w:t>
      </w:r>
      <w:r w:rsidR="00EA174B">
        <w:rPr>
          <w:lang w:val="en-US"/>
        </w:rPr>
        <w:t>tests</w:t>
      </w:r>
      <w:r w:rsidR="00995DA5">
        <w:rPr>
          <w:lang w:val="en-US"/>
        </w:rPr>
        <w:t xml:space="preserve">, which can </w:t>
      </w:r>
      <w:r w:rsidR="00780452">
        <w:rPr>
          <w:lang w:val="en-US"/>
        </w:rPr>
        <w:t xml:space="preserve">be used in crisis prediction </w:t>
      </w:r>
      <w:r w:rsidR="00622956">
        <w:rPr>
          <w:lang w:val="en-US"/>
        </w:rPr>
        <w:t xml:space="preserve">in </w:t>
      </w:r>
      <w:r w:rsidR="002E1582">
        <w:rPr>
          <w:lang w:val="en-US"/>
        </w:rPr>
        <w:t xml:space="preserve">a manner similar to </w:t>
      </w:r>
      <w:r w:rsidR="00780452">
        <w:rPr>
          <w:lang w:val="en-US"/>
        </w:rPr>
        <w:t xml:space="preserve">conventional </w:t>
      </w:r>
      <w:r w:rsidR="005B5DCA">
        <w:rPr>
          <w:lang w:val="en-US"/>
        </w:rPr>
        <w:t>early</w:t>
      </w:r>
      <w:r w:rsidR="00BE1B93">
        <w:rPr>
          <w:lang w:val="en-US"/>
        </w:rPr>
        <w:t xml:space="preserve"> </w:t>
      </w:r>
      <w:r w:rsidR="0059784D">
        <w:rPr>
          <w:lang w:val="en-US"/>
        </w:rPr>
        <w:t>warning models</w:t>
      </w:r>
      <w:r w:rsidR="005B5DCA">
        <w:rPr>
          <w:lang w:val="en-US"/>
        </w:rPr>
        <w:t xml:space="preserve">, </w:t>
      </w:r>
      <w:r w:rsidR="00BE1B93">
        <w:rPr>
          <w:lang w:val="en-US"/>
        </w:rPr>
        <w:t xml:space="preserve">may </w:t>
      </w:r>
      <w:r w:rsidR="005B5DCA">
        <w:rPr>
          <w:lang w:val="en-US"/>
        </w:rPr>
        <w:t xml:space="preserve">be readily incorporated into </w:t>
      </w:r>
      <w:r w:rsidR="00652C42">
        <w:rPr>
          <w:lang w:val="en-US"/>
        </w:rPr>
        <w:t xml:space="preserve">the toolkit of </w:t>
      </w:r>
      <w:r w:rsidR="00026D5A" w:rsidRPr="00026D5A">
        <w:rPr>
          <w:lang w:val="en-US"/>
        </w:rPr>
        <w:t xml:space="preserve">financial stability </w:t>
      </w:r>
      <w:r w:rsidR="00652C42" w:rsidRPr="00026D5A">
        <w:rPr>
          <w:lang w:val="en-US"/>
        </w:rPr>
        <w:t>supervis</w:t>
      </w:r>
      <w:r w:rsidR="00652C42">
        <w:rPr>
          <w:lang w:val="en-US"/>
        </w:rPr>
        <w:t>ors</w:t>
      </w:r>
      <w:r w:rsidR="00026D5A" w:rsidRPr="00026D5A">
        <w:rPr>
          <w:lang w:val="en-US"/>
        </w:rPr>
        <w:t>.</w:t>
      </w:r>
    </w:p>
    <w:p w14:paraId="05C061F6" w14:textId="77777777" w:rsidR="005B5DCA" w:rsidRDefault="005B5DCA" w:rsidP="005B5DCA">
      <w:pPr>
        <w:spacing w:line="360" w:lineRule="auto"/>
        <w:ind w:firstLine="0"/>
        <w:rPr>
          <w:lang w:val="en-US"/>
        </w:rPr>
      </w:pPr>
    </w:p>
    <w:p w14:paraId="407AE06D" w14:textId="2E682870" w:rsidR="005B5DCA" w:rsidRPr="005B5DCA" w:rsidRDefault="005B5DCA" w:rsidP="005B5DCA">
      <w:pPr>
        <w:pStyle w:val="NormaaliWWW"/>
        <w:spacing w:line="360" w:lineRule="auto"/>
        <w:ind w:firstLine="0"/>
        <w:rPr>
          <w:rFonts w:eastAsiaTheme="minorEastAsia"/>
          <w:lang w:val="en-US"/>
        </w:rPr>
      </w:pPr>
      <w:r w:rsidRPr="00A22DE9">
        <w:rPr>
          <w:rFonts w:eastAsiaTheme="minorEastAsia"/>
          <w:lang w:val="en-US"/>
        </w:rPr>
        <w:t xml:space="preserve">JEL </w:t>
      </w:r>
      <w:r>
        <w:rPr>
          <w:rFonts w:eastAsiaTheme="minorEastAsia"/>
          <w:lang w:val="en-US"/>
        </w:rPr>
        <w:t>classifications</w:t>
      </w:r>
      <w:r w:rsidRPr="00A22DE9">
        <w:rPr>
          <w:rFonts w:eastAsiaTheme="minorEastAsia"/>
          <w:lang w:val="en-US"/>
        </w:rPr>
        <w:t xml:space="preserve">: G01, G14, G21 </w:t>
      </w:r>
    </w:p>
    <w:p w14:paraId="0939015B" w14:textId="62ECB853" w:rsidR="00E41B15" w:rsidRPr="00A22DE9" w:rsidRDefault="005B5DCA" w:rsidP="00E45E76">
      <w:pPr>
        <w:spacing w:line="360" w:lineRule="auto"/>
        <w:ind w:firstLine="0"/>
        <w:rPr>
          <w:lang w:val="en-US" w:eastAsia="fi-FI"/>
        </w:rPr>
      </w:pPr>
      <w:r>
        <w:rPr>
          <w:lang w:val="en-US" w:eastAsia="fi-FI"/>
        </w:rPr>
        <w:t>Key</w:t>
      </w:r>
      <w:r w:rsidR="00E41B15" w:rsidRPr="00A22DE9">
        <w:rPr>
          <w:lang w:val="en-US" w:eastAsia="fi-FI"/>
        </w:rPr>
        <w:t>words: Financial crises</w:t>
      </w:r>
      <w:r w:rsidR="00EA1065" w:rsidRPr="00A22DE9">
        <w:rPr>
          <w:lang w:val="en-US" w:eastAsia="fi-FI"/>
        </w:rPr>
        <w:t>;</w:t>
      </w:r>
      <w:r w:rsidR="00E41B15" w:rsidRPr="00A22DE9">
        <w:rPr>
          <w:lang w:val="en-US" w:eastAsia="fi-FI"/>
        </w:rPr>
        <w:t xml:space="preserve"> unit root</w:t>
      </w:r>
      <w:r w:rsidR="00EA1065" w:rsidRPr="00A22DE9">
        <w:rPr>
          <w:lang w:val="en-US" w:eastAsia="fi-FI"/>
        </w:rPr>
        <w:t>;</w:t>
      </w:r>
      <w:r w:rsidR="00E41B15" w:rsidRPr="00A22DE9">
        <w:rPr>
          <w:lang w:val="en-US" w:eastAsia="fi-FI"/>
        </w:rPr>
        <w:t xml:space="preserve"> combination of for</w:t>
      </w:r>
      <w:r w:rsidR="00363344" w:rsidRPr="00A22DE9">
        <w:rPr>
          <w:lang w:val="en-US" w:eastAsia="fi-FI"/>
        </w:rPr>
        <w:t>ecasts</w:t>
      </w:r>
    </w:p>
    <w:p w14:paraId="6DF59773" w14:textId="04B62CCA" w:rsidR="005E49DE" w:rsidRPr="002804F3" w:rsidRDefault="00BF2C1C" w:rsidP="00E45E76">
      <w:pPr>
        <w:pStyle w:val="NormaaliWWW"/>
        <w:spacing w:line="360" w:lineRule="auto"/>
        <w:ind w:firstLine="0"/>
        <w:rPr>
          <w:sz w:val="20"/>
          <w:szCs w:val="20"/>
          <w:lang w:val="en-US"/>
        </w:rPr>
      </w:pPr>
      <w:r w:rsidRPr="002804F3">
        <w:rPr>
          <w:rStyle w:val="Alaviitteenviite"/>
          <w:sz w:val="20"/>
          <w:szCs w:val="20"/>
          <w:lang w:val="en-US"/>
        </w:rPr>
        <w:t>*</w:t>
      </w:r>
      <w:r w:rsidR="00A70C82" w:rsidRPr="002804F3">
        <w:rPr>
          <w:sz w:val="20"/>
          <w:szCs w:val="20"/>
          <w:lang w:val="en-US"/>
        </w:rPr>
        <w:t>Correspond</w:t>
      </w:r>
      <w:r w:rsidR="00E304D9">
        <w:rPr>
          <w:sz w:val="20"/>
          <w:szCs w:val="20"/>
          <w:lang w:val="en-US"/>
        </w:rPr>
        <w:t>ing author</w:t>
      </w:r>
      <w:r w:rsidR="008F1F5F" w:rsidRPr="002804F3">
        <w:rPr>
          <w:sz w:val="20"/>
          <w:szCs w:val="20"/>
          <w:lang w:val="en-US"/>
        </w:rPr>
        <w:t>: Eero Tölö, Financial Stability and Statistic</w:t>
      </w:r>
      <w:r w:rsidR="005F65CF" w:rsidRPr="002804F3">
        <w:rPr>
          <w:sz w:val="20"/>
          <w:szCs w:val="20"/>
          <w:lang w:val="en-US"/>
        </w:rPr>
        <w:t>s</w:t>
      </w:r>
      <w:r w:rsidR="008F1F5F" w:rsidRPr="002804F3">
        <w:rPr>
          <w:sz w:val="20"/>
          <w:szCs w:val="20"/>
          <w:lang w:val="en-US"/>
        </w:rPr>
        <w:t xml:space="preserve"> Department, Bank of Finland, PO Box 160, </w:t>
      </w:r>
      <w:r w:rsidR="00A8552F" w:rsidRPr="002804F3">
        <w:rPr>
          <w:sz w:val="20"/>
          <w:szCs w:val="20"/>
          <w:lang w:val="en-US"/>
        </w:rPr>
        <w:t>FI-</w:t>
      </w:r>
      <w:r w:rsidR="005E49DE" w:rsidRPr="002804F3">
        <w:rPr>
          <w:sz w:val="20"/>
          <w:szCs w:val="20"/>
          <w:lang w:val="en-US"/>
        </w:rPr>
        <w:t>00101 Helsinki, Finland. E</w:t>
      </w:r>
      <w:r w:rsidR="00A70C82" w:rsidRPr="002804F3">
        <w:rPr>
          <w:sz w:val="20"/>
          <w:szCs w:val="20"/>
          <w:lang w:val="en-US"/>
        </w:rPr>
        <w:t>-</w:t>
      </w:r>
      <w:r w:rsidRPr="002804F3">
        <w:rPr>
          <w:sz w:val="20"/>
          <w:szCs w:val="20"/>
          <w:lang w:val="en-US"/>
        </w:rPr>
        <w:t>mail</w:t>
      </w:r>
      <w:r w:rsidR="00351545">
        <w:rPr>
          <w:sz w:val="20"/>
          <w:szCs w:val="20"/>
          <w:lang w:val="en-US"/>
        </w:rPr>
        <w:t xml:space="preserve"> address</w:t>
      </w:r>
      <w:r w:rsidRPr="002804F3">
        <w:rPr>
          <w:sz w:val="20"/>
          <w:szCs w:val="20"/>
          <w:lang w:val="en-US"/>
        </w:rPr>
        <w:t>:</w:t>
      </w:r>
      <w:r w:rsidR="00A35C99" w:rsidRPr="002804F3">
        <w:rPr>
          <w:sz w:val="20"/>
          <w:szCs w:val="20"/>
          <w:lang w:val="en-US"/>
        </w:rPr>
        <w:t xml:space="preserve"> </w:t>
      </w:r>
      <w:hyperlink r:id="rId8" w:history="1">
        <w:r w:rsidR="00351545" w:rsidRPr="00730E69">
          <w:rPr>
            <w:rStyle w:val="Hyperlinkki"/>
            <w:sz w:val="20"/>
            <w:szCs w:val="20"/>
            <w:lang w:val="en-US"/>
          </w:rPr>
          <w:t>eero.tolo@bof.fi</w:t>
        </w:r>
      </w:hyperlink>
      <w:r w:rsidR="00351545">
        <w:rPr>
          <w:sz w:val="20"/>
          <w:szCs w:val="20"/>
          <w:lang w:val="en-US"/>
        </w:rPr>
        <w:t>.</w:t>
      </w:r>
    </w:p>
    <w:p w14:paraId="01C01470" w14:textId="1BB54155" w:rsidR="0072661D" w:rsidRPr="00A22DE9" w:rsidRDefault="008376FF" w:rsidP="00E45E76">
      <w:pPr>
        <w:pStyle w:val="NormaaliWWW"/>
        <w:spacing w:line="360" w:lineRule="auto"/>
        <w:ind w:firstLine="0"/>
        <w:rPr>
          <w:rFonts w:eastAsiaTheme="minorEastAsia"/>
          <w:kern w:val="24"/>
          <w:sz w:val="20"/>
          <w:szCs w:val="20"/>
          <w:lang w:val="en-US"/>
        </w:rPr>
      </w:pPr>
      <w:r>
        <w:rPr>
          <w:i/>
          <w:sz w:val="20"/>
          <w:szCs w:val="20"/>
          <w:lang w:val="en-US"/>
        </w:rPr>
        <w:t>A</w:t>
      </w:r>
      <w:r w:rsidR="00244153" w:rsidRPr="00A22DE9">
        <w:rPr>
          <w:i/>
          <w:sz w:val="20"/>
          <w:szCs w:val="20"/>
          <w:lang w:val="en-US"/>
        </w:rPr>
        <w:t>cknowledgements:</w:t>
      </w:r>
      <w:r w:rsidR="00244153" w:rsidRPr="00A22DE9">
        <w:rPr>
          <w:sz w:val="20"/>
          <w:szCs w:val="20"/>
          <w:lang w:val="en-US"/>
        </w:rPr>
        <w:t xml:space="preserve"> We gratefully acknowledge the c</w:t>
      </w:r>
      <w:r w:rsidR="00E41B15" w:rsidRPr="00A22DE9">
        <w:rPr>
          <w:sz w:val="20"/>
          <w:szCs w:val="20"/>
          <w:lang w:val="en-US"/>
        </w:rPr>
        <w:t xml:space="preserve">omments </w:t>
      </w:r>
      <w:r w:rsidR="00244153" w:rsidRPr="00A22DE9">
        <w:rPr>
          <w:sz w:val="20"/>
          <w:szCs w:val="20"/>
          <w:lang w:val="en-US"/>
        </w:rPr>
        <w:t xml:space="preserve">of </w:t>
      </w:r>
      <w:r>
        <w:rPr>
          <w:sz w:val="20"/>
          <w:szCs w:val="20"/>
          <w:lang w:val="en-US"/>
        </w:rPr>
        <w:t xml:space="preserve">the </w:t>
      </w:r>
      <w:r w:rsidR="004A771A">
        <w:rPr>
          <w:sz w:val="20"/>
          <w:szCs w:val="20"/>
          <w:lang w:val="en-US"/>
        </w:rPr>
        <w:t>two anonymous referees</w:t>
      </w:r>
      <w:r w:rsidR="002E1582">
        <w:rPr>
          <w:sz w:val="20"/>
          <w:szCs w:val="20"/>
          <w:lang w:val="en-US"/>
        </w:rPr>
        <w:t xml:space="preserve">, </w:t>
      </w:r>
      <w:r w:rsidR="003D2B6B">
        <w:rPr>
          <w:sz w:val="20"/>
          <w:szCs w:val="20"/>
          <w:lang w:val="en-US"/>
        </w:rPr>
        <w:t xml:space="preserve">Gregory Moore for proofreading the manuscript, </w:t>
      </w:r>
      <w:r w:rsidR="002E1582">
        <w:rPr>
          <w:sz w:val="20"/>
          <w:szCs w:val="20"/>
          <w:lang w:val="en-US"/>
        </w:rPr>
        <w:t xml:space="preserve">as well as </w:t>
      </w:r>
      <w:r w:rsidR="00BE1B93">
        <w:rPr>
          <w:sz w:val="20"/>
          <w:szCs w:val="20"/>
          <w:lang w:val="en-US"/>
        </w:rPr>
        <w:t xml:space="preserve">the </w:t>
      </w:r>
      <w:r w:rsidR="00FE6898" w:rsidRPr="00A22DE9">
        <w:rPr>
          <w:sz w:val="20"/>
          <w:szCs w:val="20"/>
          <w:lang w:val="en-US"/>
        </w:rPr>
        <w:t xml:space="preserve">participants in </w:t>
      </w:r>
      <w:r w:rsidR="00244153" w:rsidRPr="00A22DE9">
        <w:rPr>
          <w:sz w:val="20"/>
          <w:szCs w:val="20"/>
          <w:lang w:val="en-US"/>
        </w:rPr>
        <w:t xml:space="preserve">the </w:t>
      </w:r>
      <w:r w:rsidR="00E41B15" w:rsidRPr="00A22DE9">
        <w:rPr>
          <w:sz w:val="20"/>
          <w:szCs w:val="20"/>
          <w:lang w:val="en-US"/>
        </w:rPr>
        <w:t>EC</w:t>
      </w:r>
      <w:r w:rsidR="00C0587D" w:rsidRPr="00A22DE9">
        <w:rPr>
          <w:sz w:val="20"/>
          <w:szCs w:val="20"/>
          <w:lang w:val="en-US"/>
        </w:rPr>
        <w:t xml:space="preserve">B’s </w:t>
      </w:r>
      <w:r w:rsidR="003A162D" w:rsidRPr="00A22DE9">
        <w:rPr>
          <w:sz w:val="20"/>
          <w:szCs w:val="20"/>
          <w:lang w:val="en-US"/>
        </w:rPr>
        <w:t>M</w:t>
      </w:r>
      <w:r w:rsidR="00C0587D" w:rsidRPr="00A22DE9">
        <w:rPr>
          <w:sz w:val="20"/>
          <w:szCs w:val="20"/>
          <w:lang w:val="en-US"/>
        </w:rPr>
        <w:t>acro</w:t>
      </w:r>
      <w:r w:rsidR="003A162D" w:rsidRPr="00A22DE9">
        <w:rPr>
          <w:sz w:val="20"/>
          <w:szCs w:val="20"/>
          <w:lang w:val="en-US"/>
        </w:rPr>
        <w:t>-</w:t>
      </w:r>
      <w:r>
        <w:rPr>
          <w:sz w:val="20"/>
          <w:szCs w:val="20"/>
          <w:lang w:val="en-US"/>
        </w:rPr>
        <w:t>P</w:t>
      </w:r>
      <w:r w:rsidR="00C0587D" w:rsidRPr="00A22DE9">
        <w:rPr>
          <w:sz w:val="20"/>
          <w:szCs w:val="20"/>
          <w:lang w:val="en-US"/>
        </w:rPr>
        <w:t xml:space="preserve">rudential </w:t>
      </w:r>
      <w:r>
        <w:rPr>
          <w:sz w:val="20"/>
          <w:szCs w:val="20"/>
          <w:lang w:val="en-US"/>
        </w:rPr>
        <w:t>A</w:t>
      </w:r>
      <w:r w:rsidR="00C0587D" w:rsidRPr="00A22DE9">
        <w:rPr>
          <w:sz w:val="20"/>
          <w:szCs w:val="20"/>
          <w:lang w:val="en-US"/>
        </w:rPr>
        <w:t xml:space="preserve">nalysis </w:t>
      </w:r>
      <w:r>
        <w:rPr>
          <w:sz w:val="20"/>
          <w:szCs w:val="20"/>
          <w:lang w:val="en-US"/>
        </w:rPr>
        <w:t>G</w:t>
      </w:r>
      <w:r w:rsidR="00C0587D" w:rsidRPr="00A22DE9">
        <w:rPr>
          <w:sz w:val="20"/>
          <w:szCs w:val="20"/>
          <w:lang w:val="en-US"/>
        </w:rPr>
        <w:t xml:space="preserve">roup </w:t>
      </w:r>
      <w:r w:rsidR="003A162D" w:rsidRPr="00A22DE9">
        <w:rPr>
          <w:sz w:val="20"/>
          <w:szCs w:val="20"/>
          <w:lang w:val="en-US"/>
        </w:rPr>
        <w:t xml:space="preserve">(MPAG) </w:t>
      </w:r>
      <w:r w:rsidR="00E41B15" w:rsidRPr="00A22DE9">
        <w:rPr>
          <w:sz w:val="20"/>
          <w:szCs w:val="20"/>
          <w:lang w:val="en-US"/>
        </w:rPr>
        <w:t>WS-B</w:t>
      </w:r>
      <w:r w:rsidR="00C0083D">
        <w:rPr>
          <w:sz w:val="20"/>
          <w:szCs w:val="20"/>
          <w:lang w:val="en-US"/>
        </w:rPr>
        <w:t>,</w:t>
      </w:r>
      <w:r w:rsidR="00463B44" w:rsidRPr="00A22DE9">
        <w:rPr>
          <w:sz w:val="20"/>
          <w:szCs w:val="20"/>
          <w:lang w:val="en-US"/>
        </w:rPr>
        <w:t xml:space="preserve"> </w:t>
      </w:r>
      <w:r w:rsidR="00FE6898" w:rsidRPr="00A22DE9">
        <w:rPr>
          <w:sz w:val="20"/>
          <w:szCs w:val="20"/>
          <w:lang w:val="en-US"/>
        </w:rPr>
        <w:t>the I</w:t>
      </w:r>
      <w:r w:rsidR="005928E2" w:rsidRPr="00A22DE9">
        <w:rPr>
          <w:sz w:val="20"/>
          <w:szCs w:val="20"/>
          <w:lang w:val="en-US"/>
        </w:rPr>
        <w:t>IF’s 2016 I</w:t>
      </w:r>
      <w:r w:rsidR="00FE6898" w:rsidRPr="00A22DE9">
        <w:rPr>
          <w:sz w:val="20"/>
          <w:szCs w:val="20"/>
          <w:lang w:val="en-US"/>
        </w:rPr>
        <w:t xml:space="preserve">nternational </w:t>
      </w:r>
      <w:r w:rsidR="005928E2" w:rsidRPr="00A22DE9">
        <w:rPr>
          <w:sz w:val="20"/>
          <w:szCs w:val="20"/>
          <w:lang w:val="en-US"/>
        </w:rPr>
        <w:t xml:space="preserve">Symposium </w:t>
      </w:r>
      <w:r w:rsidR="00FE6898" w:rsidRPr="00A22DE9">
        <w:rPr>
          <w:sz w:val="20"/>
          <w:szCs w:val="20"/>
          <w:lang w:val="en-US"/>
        </w:rPr>
        <w:t xml:space="preserve">on </w:t>
      </w:r>
      <w:r w:rsidR="005928E2" w:rsidRPr="00A22DE9">
        <w:rPr>
          <w:sz w:val="20"/>
          <w:szCs w:val="20"/>
          <w:lang w:val="en-US"/>
        </w:rPr>
        <w:t xml:space="preserve">Forecasting </w:t>
      </w:r>
      <w:r w:rsidR="003A162D" w:rsidRPr="00A22DE9">
        <w:rPr>
          <w:sz w:val="20"/>
          <w:szCs w:val="20"/>
          <w:lang w:val="en-US"/>
        </w:rPr>
        <w:t xml:space="preserve">(ISF) </w:t>
      </w:r>
      <w:r w:rsidR="00FE6898" w:rsidRPr="00A22DE9">
        <w:rPr>
          <w:sz w:val="20"/>
          <w:szCs w:val="20"/>
          <w:lang w:val="en-US"/>
        </w:rPr>
        <w:t>in Santander</w:t>
      </w:r>
      <w:r w:rsidR="00463B44" w:rsidRPr="00A22DE9">
        <w:rPr>
          <w:sz w:val="20"/>
          <w:szCs w:val="20"/>
          <w:lang w:val="en-US"/>
        </w:rPr>
        <w:t>, the 2016 RiskLab/BOF/ESRB Conference on Systemic Risk Analytics in Helsinki</w:t>
      </w:r>
      <w:r w:rsidR="00684D84">
        <w:rPr>
          <w:sz w:val="20"/>
          <w:szCs w:val="20"/>
          <w:lang w:val="en-US"/>
        </w:rPr>
        <w:t>, and the International Conference of Computational and Financial Econometrics (CFE 2017) in London</w:t>
      </w:r>
      <w:r w:rsidR="003D2B6B">
        <w:rPr>
          <w:sz w:val="20"/>
          <w:szCs w:val="20"/>
          <w:lang w:val="en-US"/>
        </w:rPr>
        <w:t>, for their helpful comments.</w:t>
      </w:r>
    </w:p>
    <w:p w14:paraId="40DCB154" w14:textId="77777777" w:rsidR="00F3091D" w:rsidRPr="00A22DE9" w:rsidRDefault="00F3091D" w:rsidP="00E45E76">
      <w:pPr>
        <w:pStyle w:val="Otsikko1"/>
        <w:spacing w:line="360" w:lineRule="auto"/>
      </w:pPr>
      <w:r w:rsidRPr="00A22DE9">
        <w:lastRenderedPageBreak/>
        <w:t xml:space="preserve">Introduction </w:t>
      </w:r>
    </w:p>
    <w:p w14:paraId="6D8BB689" w14:textId="0EEBF2EB" w:rsidR="00252DE1" w:rsidRDefault="009F6934" w:rsidP="00684D84">
      <w:pPr>
        <w:spacing w:line="360" w:lineRule="auto"/>
        <w:rPr>
          <w:lang w:val="en-US"/>
        </w:rPr>
      </w:pPr>
      <w:r w:rsidRPr="00995DA5">
        <w:rPr>
          <w:lang w:val="en-US"/>
        </w:rPr>
        <w:t xml:space="preserve">Due </w:t>
      </w:r>
      <w:r w:rsidR="00A15BC9" w:rsidRPr="00995DA5">
        <w:rPr>
          <w:lang w:val="en-US"/>
        </w:rPr>
        <w:t xml:space="preserve">to </w:t>
      </w:r>
      <w:r w:rsidRPr="00995DA5">
        <w:rPr>
          <w:lang w:val="en-US"/>
        </w:rPr>
        <w:t xml:space="preserve">the high costs of 2007–2009 Great Recession </w:t>
      </w:r>
      <w:r w:rsidR="004E4EC0" w:rsidRPr="00995DA5">
        <w:rPr>
          <w:lang w:val="en-US"/>
        </w:rPr>
        <w:t xml:space="preserve">and its aftermath, </w:t>
      </w:r>
      <w:r w:rsidRPr="00995DA5">
        <w:rPr>
          <w:lang w:val="en-US"/>
        </w:rPr>
        <w:t xml:space="preserve">policymakers </w:t>
      </w:r>
      <w:r w:rsidR="00BE1B93">
        <w:rPr>
          <w:lang w:val="en-US"/>
        </w:rPr>
        <w:t xml:space="preserve">in many countries </w:t>
      </w:r>
      <w:r w:rsidR="004E4EC0" w:rsidRPr="00995DA5">
        <w:rPr>
          <w:lang w:val="en-US"/>
        </w:rPr>
        <w:t xml:space="preserve">are keen to understand factors that </w:t>
      </w:r>
      <w:r w:rsidR="008376FF" w:rsidRPr="00995DA5">
        <w:rPr>
          <w:rFonts w:cs="Times New Roman"/>
          <w:lang w:val="en-US"/>
        </w:rPr>
        <w:t>predict financial crises</w:t>
      </w:r>
      <w:r w:rsidR="00426488" w:rsidRPr="00995DA5">
        <w:rPr>
          <w:lang w:val="en-US"/>
        </w:rPr>
        <w:t>.</w:t>
      </w:r>
      <w:r w:rsidR="00224976" w:rsidRPr="00995DA5">
        <w:rPr>
          <w:rStyle w:val="Alaviitteenviite"/>
          <w:lang w:val="en-US"/>
        </w:rPr>
        <w:footnoteReference w:id="1"/>
      </w:r>
      <w:r w:rsidR="00224976" w:rsidRPr="00995DA5">
        <w:rPr>
          <w:rFonts w:cs="Times New Roman"/>
          <w:lang w:val="en-US"/>
        </w:rPr>
        <w:t xml:space="preserve"> </w:t>
      </w:r>
      <w:r w:rsidR="004E4EC0" w:rsidRPr="00995DA5">
        <w:rPr>
          <w:rFonts w:cs="Times New Roman"/>
          <w:lang w:val="en-US"/>
        </w:rPr>
        <w:t>A</w:t>
      </w:r>
      <w:r w:rsidR="00426488" w:rsidRPr="00995DA5">
        <w:rPr>
          <w:rFonts w:cs="Times New Roman"/>
          <w:lang w:val="en-US"/>
        </w:rPr>
        <w:t xml:space="preserve"> </w:t>
      </w:r>
      <w:r w:rsidR="00A44CFD" w:rsidRPr="00995DA5">
        <w:rPr>
          <w:rFonts w:cs="Times New Roman"/>
          <w:lang w:val="en-US"/>
        </w:rPr>
        <w:t>survey</w:t>
      </w:r>
      <w:r w:rsidR="00371824" w:rsidRPr="00995DA5">
        <w:rPr>
          <w:rFonts w:cs="Times New Roman"/>
          <w:lang w:val="en-US"/>
        </w:rPr>
        <w:t xml:space="preserve"> by Kauko (2014)</w:t>
      </w:r>
      <w:r w:rsidR="00426488" w:rsidRPr="00995DA5">
        <w:rPr>
          <w:rFonts w:cs="Times New Roman"/>
          <w:lang w:val="en-US"/>
        </w:rPr>
        <w:t xml:space="preserve"> </w:t>
      </w:r>
      <w:r w:rsidR="004E4EC0" w:rsidRPr="00995DA5">
        <w:rPr>
          <w:rFonts w:cs="Times New Roman"/>
          <w:lang w:val="en-US"/>
        </w:rPr>
        <w:t xml:space="preserve">suggests that hefty rises asset prices and indebtedness are among the most reliable predictors </w:t>
      </w:r>
      <w:r w:rsidR="00BE1B93">
        <w:rPr>
          <w:rFonts w:cs="Times New Roman"/>
          <w:lang w:val="en-US"/>
        </w:rPr>
        <w:t xml:space="preserve">of </w:t>
      </w:r>
      <w:r w:rsidR="00426488" w:rsidRPr="00995DA5">
        <w:rPr>
          <w:rFonts w:cs="Times New Roman"/>
          <w:lang w:val="en-US"/>
        </w:rPr>
        <w:t>factors foreshadow</w:t>
      </w:r>
      <w:r w:rsidR="004E4EC0" w:rsidRPr="00995DA5">
        <w:rPr>
          <w:rFonts w:cs="Times New Roman"/>
          <w:lang w:val="en-US"/>
        </w:rPr>
        <w:t>ing</w:t>
      </w:r>
      <w:r w:rsidR="00426488" w:rsidRPr="00995DA5">
        <w:rPr>
          <w:rFonts w:cs="Times New Roman"/>
          <w:lang w:val="en-US"/>
        </w:rPr>
        <w:t xml:space="preserve"> </w:t>
      </w:r>
      <w:r w:rsidR="00EA174B" w:rsidRPr="00995DA5">
        <w:rPr>
          <w:rFonts w:cs="Times New Roman"/>
          <w:lang w:val="en-US"/>
        </w:rPr>
        <w:t>banking crises</w:t>
      </w:r>
      <w:r w:rsidR="00770773" w:rsidRPr="00995DA5">
        <w:rPr>
          <w:rFonts w:cs="Times New Roman"/>
          <w:lang w:val="en-US"/>
        </w:rPr>
        <w:t>.</w:t>
      </w:r>
      <w:r w:rsidR="00426488" w:rsidRPr="00995DA5">
        <w:rPr>
          <w:rFonts w:cs="Times New Roman"/>
          <w:lang w:val="en-US"/>
        </w:rPr>
        <w:t xml:space="preserve"> Schularick and Taylor (2012), who characterize f</w:t>
      </w:r>
      <w:r w:rsidR="00946E1A" w:rsidRPr="00995DA5">
        <w:rPr>
          <w:rFonts w:cs="Times New Roman"/>
          <w:lang w:val="en-US"/>
        </w:rPr>
        <w:t xml:space="preserve">inancial crises </w:t>
      </w:r>
      <w:r w:rsidR="00426488" w:rsidRPr="00995DA5">
        <w:rPr>
          <w:rFonts w:cs="Times New Roman"/>
          <w:lang w:val="en-US"/>
        </w:rPr>
        <w:t xml:space="preserve">as </w:t>
      </w:r>
      <w:r w:rsidR="00946E1A" w:rsidRPr="00995DA5">
        <w:rPr>
          <w:rFonts w:cs="Times New Roman"/>
          <w:lang w:val="en-US"/>
        </w:rPr>
        <w:t>credit booms gone</w:t>
      </w:r>
      <w:r w:rsidR="00426488" w:rsidRPr="00995DA5">
        <w:rPr>
          <w:rFonts w:cs="Times New Roman"/>
          <w:lang w:val="en-US"/>
        </w:rPr>
        <w:t xml:space="preserve"> bust, </w:t>
      </w:r>
      <w:r w:rsidR="004E4EC0" w:rsidRPr="00995DA5">
        <w:rPr>
          <w:rFonts w:cs="Times New Roman"/>
          <w:lang w:val="en-US"/>
        </w:rPr>
        <w:t xml:space="preserve">further </w:t>
      </w:r>
      <w:r w:rsidR="00BD242D" w:rsidRPr="00995DA5">
        <w:rPr>
          <w:rFonts w:cs="Times New Roman"/>
          <w:lang w:val="en-US"/>
        </w:rPr>
        <w:t xml:space="preserve">note that bubbles </w:t>
      </w:r>
      <w:r w:rsidR="00070F66" w:rsidRPr="00995DA5">
        <w:rPr>
          <w:rFonts w:cs="Times New Roman"/>
          <w:lang w:val="en-US"/>
        </w:rPr>
        <w:t xml:space="preserve">and their temporal arc </w:t>
      </w:r>
      <w:r w:rsidR="00BD242D" w:rsidRPr="00995DA5">
        <w:rPr>
          <w:rFonts w:cs="Times New Roman"/>
          <w:lang w:val="en-US"/>
        </w:rPr>
        <w:t xml:space="preserve">are often apparent in </w:t>
      </w:r>
      <w:r w:rsidR="004E4EC0" w:rsidRPr="00995DA5">
        <w:rPr>
          <w:rFonts w:cs="Times New Roman"/>
          <w:lang w:val="en-US"/>
        </w:rPr>
        <w:t xml:space="preserve">hindsight </w:t>
      </w:r>
      <w:r w:rsidR="00A15BC9" w:rsidRPr="00995DA5">
        <w:rPr>
          <w:rFonts w:cs="Times New Roman"/>
          <w:lang w:val="en-US"/>
        </w:rPr>
        <w:t xml:space="preserve">from </w:t>
      </w:r>
      <w:r w:rsidR="00BD242D" w:rsidRPr="00995DA5">
        <w:rPr>
          <w:rFonts w:cs="Times New Roman"/>
          <w:lang w:val="en-US"/>
        </w:rPr>
        <w:t xml:space="preserve">relevant </w:t>
      </w:r>
      <w:r w:rsidR="00426488" w:rsidRPr="00995DA5">
        <w:rPr>
          <w:rFonts w:cs="Times New Roman"/>
          <w:lang w:val="en-US"/>
        </w:rPr>
        <w:t xml:space="preserve">time series. </w:t>
      </w:r>
      <w:r w:rsidR="004E4EC0" w:rsidRPr="00995DA5">
        <w:rPr>
          <w:rFonts w:cs="Times New Roman"/>
          <w:lang w:val="en-US"/>
        </w:rPr>
        <w:t xml:space="preserve">For </w:t>
      </w:r>
      <w:r w:rsidR="004C38A9" w:rsidRPr="00995DA5">
        <w:rPr>
          <w:rFonts w:cs="Times New Roman"/>
          <w:lang w:val="en-US"/>
        </w:rPr>
        <w:t>policymakers</w:t>
      </w:r>
      <w:r w:rsidR="004E4EC0" w:rsidRPr="00995DA5">
        <w:rPr>
          <w:rFonts w:cs="Times New Roman"/>
          <w:lang w:val="en-US"/>
        </w:rPr>
        <w:t xml:space="preserve">, </w:t>
      </w:r>
      <w:r w:rsidR="00070F66" w:rsidRPr="00995DA5">
        <w:rPr>
          <w:rFonts w:cs="Times New Roman"/>
          <w:lang w:val="en-US"/>
        </w:rPr>
        <w:t xml:space="preserve">however, </w:t>
      </w:r>
      <w:r w:rsidR="004E4EC0" w:rsidRPr="00995DA5">
        <w:rPr>
          <w:rFonts w:cs="Times New Roman"/>
          <w:lang w:val="en-US"/>
        </w:rPr>
        <w:t xml:space="preserve">the </w:t>
      </w:r>
      <w:r w:rsidR="00C10793" w:rsidRPr="00995DA5">
        <w:rPr>
          <w:rFonts w:cs="Times New Roman"/>
          <w:lang w:val="en-US"/>
        </w:rPr>
        <w:t>challenge</w:t>
      </w:r>
      <w:r w:rsidR="004E4EC0" w:rsidRPr="00995DA5">
        <w:rPr>
          <w:rFonts w:cs="Times New Roman"/>
          <w:lang w:val="en-US"/>
        </w:rPr>
        <w:t xml:space="preserve"> to financial </w:t>
      </w:r>
      <w:r w:rsidR="002440C8" w:rsidRPr="00995DA5">
        <w:rPr>
          <w:rFonts w:cs="Times New Roman"/>
          <w:lang w:val="en-US"/>
        </w:rPr>
        <w:t xml:space="preserve">stability policy </w:t>
      </w:r>
      <w:r w:rsidR="004E4EC0" w:rsidRPr="00995DA5">
        <w:rPr>
          <w:rFonts w:cs="Times New Roman"/>
          <w:lang w:val="en-US"/>
        </w:rPr>
        <w:t xml:space="preserve">is not characterizing </w:t>
      </w:r>
      <w:r w:rsidR="00BE1B93">
        <w:rPr>
          <w:rFonts w:cs="Times New Roman"/>
          <w:lang w:val="en-US"/>
        </w:rPr>
        <w:t xml:space="preserve">the </w:t>
      </w:r>
      <w:r w:rsidR="004E4EC0" w:rsidRPr="00995DA5">
        <w:rPr>
          <w:rFonts w:cs="Times New Roman"/>
          <w:lang w:val="en-US"/>
        </w:rPr>
        <w:t xml:space="preserve">bubble </w:t>
      </w:r>
      <w:r w:rsidR="00BE1B93">
        <w:rPr>
          <w:rFonts w:cs="Times New Roman"/>
          <w:lang w:val="en-US"/>
        </w:rPr>
        <w:t xml:space="preserve">or </w:t>
      </w:r>
      <w:r w:rsidR="004E4EC0" w:rsidRPr="00995DA5">
        <w:rPr>
          <w:rFonts w:cs="Times New Roman"/>
          <w:lang w:val="en-US"/>
        </w:rPr>
        <w:t xml:space="preserve">its collapse after the fact, but </w:t>
      </w:r>
      <w:r w:rsidR="002440C8" w:rsidRPr="00995DA5">
        <w:rPr>
          <w:rFonts w:cs="Times New Roman"/>
          <w:lang w:val="en-US"/>
        </w:rPr>
        <w:t xml:space="preserve">real-time </w:t>
      </w:r>
      <w:r w:rsidR="00BD242D" w:rsidRPr="00995DA5">
        <w:rPr>
          <w:rFonts w:cs="Times New Roman"/>
          <w:lang w:val="en-US"/>
        </w:rPr>
        <w:t xml:space="preserve">determination of whether </w:t>
      </w:r>
      <w:r w:rsidR="002440C8" w:rsidRPr="00995DA5">
        <w:rPr>
          <w:rFonts w:cs="Times New Roman"/>
          <w:lang w:val="en-US"/>
        </w:rPr>
        <w:t>a bubble</w:t>
      </w:r>
      <w:r w:rsidR="00BD242D" w:rsidRPr="00995DA5">
        <w:rPr>
          <w:rFonts w:cs="Times New Roman"/>
          <w:lang w:val="en-US"/>
        </w:rPr>
        <w:t xml:space="preserve"> </w:t>
      </w:r>
      <w:r w:rsidR="004E4EC0" w:rsidRPr="00995DA5">
        <w:rPr>
          <w:rFonts w:cs="Times New Roman"/>
          <w:lang w:val="en-US"/>
        </w:rPr>
        <w:t xml:space="preserve">is </w:t>
      </w:r>
      <w:r w:rsidR="00BD242D" w:rsidRPr="00995DA5">
        <w:rPr>
          <w:rFonts w:cs="Times New Roman"/>
          <w:lang w:val="en-US"/>
        </w:rPr>
        <w:t>developing</w:t>
      </w:r>
      <w:r w:rsidR="00EA174B" w:rsidRPr="00995DA5">
        <w:rPr>
          <w:rFonts w:cs="Times New Roman"/>
          <w:lang w:val="en-US"/>
        </w:rPr>
        <w:t>.</w:t>
      </w:r>
    </w:p>
    <w:p w14:paraId="16FE9782" w14:textId="2F5C018A" w:rsidR="00070F66" w:rsidRPr="003D2B6B" w:rsidRDefault="003D3327" w:rsidP="002133DE">
      <w:pPr>
        <w:spacing w:line="360" w:lineRule="auto"/>
        <w:rPr>
          <w:lang w:val="en-US"/>
        </w:rPr>
      </w:pPr>
      <w:r>
        <w:rPr>
          <w:lang w:val="en-US"/>
        </w:rPr>
        <w:t>I</w:t>
      </w:r>
      <w:r w:rsidR="00946E1A">
        <w:rPr>
          <w:lang w:val="en-US"/>
        </w:rPr>
        <w:t>dentifying</w:t>
      </w:r>
      <w:r w:rsidR="00946E1A" w:rsidRPr="00E45E76">
        <w:rPr>
          <w:lang w:val="en-US"/>
        </w:rPr>
        <w:t xml:space="preserve"> </w:t>
      </w:r>
      <w:r>
        <w:rPr>
          <w:lang w:val="en-US"/>
        </w:rPr>
        <w:t xml:space="preserve">leveraged </w:t>
      </w:r>
      <w:r w:rsidR="00371824" w:rsidRPr="003D2B6B">
        <w:rPr>
          <w:lang w:val="en-US"/>
        </w:rPr>
        <w:t>bubble</w:t>
      </w:r>
      <w:r w:rsidRPr="003D2B6B">
        <w:rPr>
          <w:lang w:val="en-US"/>
        </w:rPr>
        <w:t xml:space="preserve">s </w:t>
      </w:r>
      <w:r w:rsidR="00371824" w:rsidRPr="003D2B6B">
        <w:rPr>
          <w:lang w:val="en-US"/>
        </w:rPr>
        <w:t xml:space="preserve">is </w:t>
      </w:r>
      <w:r w:rsidR="00070F66" w:rsidRPr="003D2B6B">
        <w:rPr>
          <w:lang w:val="en-US"/>
        </w:rPr>
        <w:t xml:space="preserve">an alien </w:t>
      </w:r>
      <w:r w:rsidRPr="003D2B6B">
        <w:rPr>
          <w:lang w:val="en-US"/>
        </w:rPr>
        <w:t xml:space="preserve">exercise </w:t>
      </w:r>
      <w:r w:rsidR="00070F66" w:rsidRPr="003D2B6B">
        <w:rPr>
          <w:lang w:val="en-US"/>
        </w:rPr>
        <w:t xml:space="preserve">to </w:t>
      </w:r>
      <w:r w:rsidR="00BD242D" w:rsidRPr="003D2B6B">
        <w:rPr>
          <w:lang w:val="en-US"/>
        </w:rPr>
        <w:t xml:space="preserve">most </w:t>
      </w:r>
      <w:r w:rsidRPr="003D2B6B">
        <w:rPr>
          <w:lang w:val="en-US"/>
        </w:rPr>
        <w:t>economic forecast</w:t>
      </w:r>
      <w:r w:rsidR="00070F66" w:rsidRPr="003D2B6B">
        <w:rPr>
          <w:lang w:val="en-US"/>
        </w:rPr>
        <w:t>ers</w:t>
      </w:r>
      <w:r w:rsidR="00371824" w:rsidRPr="003D2B6B">
        <w:rPr>
          <w:lang w:val="en-US"/>
        </w:rPr>
        <w:t>.</w:t>
      </w:r>
      <w:r w:rsidR="00E25D67" w:rsidRPr="003D2B6B">
        <w:rPr>
          <w:lang w:val="en-US"/>
        </w:rPr>
        <w:t xml:space="preserve"> </w:t>
      </w:r>
      <w:r w:rsidR="00BD242D" w:rsidRPr="003D2B6B">
        <w:rPr>
          <w:lang w:val="en-US"/>
        </w:rPr>
        <w:t xml:space="preserve">Beyond the </w:t>
      </w:r>
      <w:r w:rsidR="00A6635B" w:rsidRPr="003D2B6B">
        <w:rPr>
          <w:lang w:val="en-US"/>
        </w:rPr>
        <w:t xml:space="preserve">long-running discussion on the </w:t>
      </w:r>
      <w:r w:rsidR="002773ED" w:rsidRPr="003D2B6B">
        <w:rPr>
          <w:lang w:val="en-US"/>
        </w:rPr>
        <w:t xml:space="preserve">rational </w:t>
      </w:r>
      <w:r w:rsidR="00A6635B" w:rsidRPr="003D2B6B">
        <w:rPr>
          <w:lang w:val="en-US"/>
        </w:rPr>
        <w:t xml:space="preserve">and </w:t>
      </w:r>
      <w:r w:rsidR="002773ED" w:rsidRPr="003D2B6B">
        <w:rPr>
          <w:lang w:val="en-US"/>
        </w:rPr>
        <w:t>behavioral</w:t>
      </w:r>
      <w:r w:rsidR="00A6635B" w:rsidRPr="003D2B6B">
        <w:rPr>
          <w:lang w:val="en-US"/>
        </w:rPr>
        <w:t xml:space="preserve"> origins of bubbles</w:t>
      </w:r>
      <w:r w:rsidR="002773ED" w:rsidRPr="003D2B6B">
        <w:rPr>
          <w:lang w:val="en-US"/>
        </w:rPr>
        <w:t xml:space="preserve">, </w:t>
      </w:r>
      <w:r w:rsidR="00E25D67" w:rsidRPr="003D2B6B">
        <w:rPr>
          <w:lang w:val="en-US"/>
        </w:rPr>
        <w:t>t</w:t>
      </w:r>
      <w:r w:rsidR="00371824" w:rsidRPr="003D2B6B">
        <w:rPr>
          <w:lang w:val="en-US"/>
        </w:rPr>
        <w:t>here is</w:t>
      </w:r>
      <w:r w:rsidR="00BD242D" w:rsidRPr="003D2B6B">
        <w:rPr>
          <w:lang w:val="en-US"/>
        </w:rPr>
        <w:t xml:space="preserve"> </w:t>
      </w:r>
      <w:r w:rsidR="00070F66" w:rsidRPr="003D2B6B">
        <w:rPr>
          <w:lang w:val="en-US"/>
        </w:rPr>
        <w:t xml:space="preserve">no </w:t>
      </w:r>
      <w:r w:rsidR="00E25D67" w:rsidRPr="003D2B6B">
        <w:rPr>
          <w:lang w:val="en-US"/>
        </w:rPr>
        <w:t>generally</w:t>
      </w:r>
      <w:r w:rsidR="00371824" w:rsidRPr="003D2B6B">
        <w:rPr>
          <w:lang w:val="en-US"/>
        </w:rPr>
        <w:t xml:space="preserve"> accepted definition of financial crisis. </w:t>
      </w:r>
      <w:r w:rsidR="00BD242D" w:rsidRPr="003D2B6B">
        <w:rPr>
          <w:lang w:val="en-US"/>
        </w:rPr>
        <w:t xml:space="preserve">Faced with such </w:t>
      </w:r>
      <w:r w:rsidR="00EA45E3" w:rsidRPr="003D2B6B">
        <w:rPr>
          <w:lang w:val="en-US"/>
        </w:rPr>
        <w:t>complexities</w:t>
      </w:r>
      <w:r w:rsidR="00BD242D" w:rsidRPr="003D2B6B">
        <w:rPr>
          <w:lang w:val="en-US"/>
        </w:rPr>
        <w:t>,</w:t>
      </w:r>
      <w:r w:rsidR="00EA45E3" w:rsidRPr="003D2B6B">
        <w:rPr>
          <w:lang w:val="en-US"/>
        </w:rPr>
        <w:t xml:space="preserve"> </w:t>
      </w:r>
      <w:r w:rsidR="00E25D67" w:rsidRPr="003D2B6B">
        <w:rPr>
          <w:lang w:val="en-US"/>
        </w:rPr>
        <w:t xml:space="preserve">policymakers </w:t>
      </w:r>
      <w:r w:rsidR="00BE1B93" w:rsidRPr="003D2B6B">
        <w:rPr>
          <w:lang w:val="en-US"/>
        </w:rPr>
        <w:t xml:space="preserve">usually </w:t>
      </w:r>
      <w:r w:rsidR="00A6635B" w:rsidRPr="003D2B6B">
        <w:rPr>
          <w:lang w:val="en-US"/>
        </w:rPr>
        <w:t xml:space="preserve">resort to </w:t>
      </w:r>
      <w:r w:rsidR="00C10793" w:rsidRPr="003D2B6B">
        <w:rPr>
          <w:lang w:val="en-US"/>
        </w:rPr>
        <w:t xml:space="preserve">a </w:t>
      </w:r>
      <w:r w:rsidR="00465752" w:rsidRPr="003D2B6B">
        <w:rPr>
          <w:lang w:val="en-US"/>
        </w:rPr>
        <w:t>varied</w:t>
      </w:r>
      <w:r w:rsidR="00A6635B" w:rsidRPr="003D2B6B">
        <w:rPr>
          <w:lang w:val="en-US"/>
        </w:rPr>
        <w:t xml:space="preserve"> </w:t>
      </w:r>
      <w:r w:rsidR="00C10793" w:rsidRPr="003D2B6B">
        <w:rPr>
          <w:lang w:val="en-US"/>
        </w:rPr>
        <w:t>set of</w:t>
      </w:r>
      <w:r w:rsidR="00E30E6C" w:rsidRPr="003D2B6B">
        <w:rPr>
          <w:lang w:val="en-US"/>
        </w:rPr>
        <w:t xml:space="preserve"> </w:t>
      </w:r>
      <w:r w:rsidR="00E25D67" w:rsidRPr="003D2B6B">
        <w:rPr>
          <w:lang w:val="en-US"/>
        </w:rPr>
        <w:t>indicators and models.</w:t>
      </w:r>
      <w:r w:rsidR="00E30E6C" w:rsidRPr="003D2B6B">
        <w:rPr>
          <w:lang w:val="en-US"/>
        </w:rPr>
        <w:t xml:space="preserve"> </w:t>
      </w:r>
      <w:r w:rsidR="00C10793" w:rsidRPr="003D2B6B">
        <w:rPr>
          <w:lang w:val="en-US"/>
        </w:rPr>
        <w:t>P</w:t>
      </w:r>
      <w:r w:rsidR="00E30E6C" w:rsidRPr="003D2B6B">
        <w:rPr>
          <w:lang w:val="en-US"/>
        </w:rPr>
        <w:t xml:space="preserve">riority </w:t>
      </w:r>
      <w:r w:rsidR="00C10793" w:rsidRPr="003D2B6B">
        <w:rPr>
          <w:lang w:val="en-US"/>
        </w:rPr>
        <w:t xml:space="preserve">goes </w:t>
      </w:r>
      <w:r w:rsidR="00E30E6C" w:rsidRPr="003D2B6B">
        <w:rPr>
          <w:lang w:val="en-US"/>
        </w:rPr>
        <w:t xml:space="preserve">to </w:t>
      </w:r>
      <w:r w:rsidR="00C10793" w:rsidRPr="003D2B6B">
        <w:rPr>
          <w:lang w:val="en-US"/>
        </w:rPr>
        <w:t xml:space="preserve">easy-to-interpret </w:t>
      </w:r>
      <w:r w:rsidR="00E30E6C" w:rsidRPr="003D2B6B">
        <w:rPr>
          <w:lang w:val="en-US"/>
        </w:rPr>
        <w:t xml:space="preserve">analytical frameworks </w:t>
      </w:r>
      <w:r w:rsidR="00465752" w:rsidRPr="003D2B6B">
        <w:rPr>
          <w:lang w:val="en-US"/>
        </w:rPr>
        <w:t>that incorporate new information with minimal time lags</w:t>
      </w:r>
      <w:r w:rsidR="005B2916" w:rsidRPr="003D2B6B">
        <w:rPr>
          <w:lang w:val="en-US"/>
        </w:rPr>
        <w:t>.</w:t>
      </w:r>
    </w:p>
    <w:p w14:paraId="23E6A081" w14:textId="1CD8D939" w:rsidR="005B2916" w:rsidRPr="003D2B6B" w:rsidRDefault="005B2916" w:rsidP="002133DE">
      <w:pPr>
        <w:spacing w:line="360" w:lineRule="auto"/>
        <w:rPr>
          <w:lang w:val="en-US"/>
        </w:rPr>
      </w:pPr>
      <w:r w:rsidRPr="003D2B6B">
        <w:rPr>
          <w:lang w:val="en-US"/>
        </w:rPr>
        <w:t xml:space="preserve">This does </w:t>
      </w:r>
      <w:r w:rsidR="002133DE" w:rsidRPr="003D2B6B">
        <w:rPr>
          <w:lang w:val="en-US"/>
        </w:rPr>
        <w:t>not mean that we should adopt a</w:t>
      </w:r>
      <w:r w:rsidR="00465752" w:rsidRPr="003D2B6B">
        <w:rPr>
          <w:lang w:val="en-US"/>
        </w:rPr>
        <w:t xml:space="preserve"> completely </w:t>
      </w:r>
      <w:r w:rsidRPr="003D2B6B">
        <w:rPr>
          <w:lang w:val="en-US"/>
        </w:rPr>
        <w:t xml:space="preserve">atheoretical </w:t>
      </w:r>
      <w:r w:rsidR="00465752" w:rsidRPr="003D2B6B">
        <w:rPr>
          <w:lang w:val="en-US"/>
        </w:rPr>
        <w:t xml:space="preserve">approach. </w:t>
      </w:r>
      <w:r w:rsidR="00A6635B" w:rsidRPr="003D2B6B">
        <w:rPr>
          <w:lang w:val="en-US"/>
        </w:rPr>
        <w:t xml:space="preserve">In the following we </w:t>
      </w:r>
      <w:r w:rsidR="00EA45E3" w:rsidRPr="003D2B6B">
        <w:rPr>
          <w:lang w:val="en-US"/>
        </w:rPr>
        <w:t xml:space="preserve">test </w:t>
      </w:r>
      <w:r w:rsidRPr="003D2B6B">
        <w:rPr>
          <w:lang w:val="en-US"/>
        </w:rPr>
        <w:t>early</w:t>
      </w:r>
      <w:r w:rsidR="00A6635B" w:rsidRPr="003D2B6B">
        <w:rPr>
          <w:lang w:val="en-US"/>
        </w:rPr>
        <w:t>-</w:t>
      </w:r>
      <w:r w:rsidRPr="003D2B6B">
        <w:rPr>
          <w:lang w:val="en-US"/>
        </w:rPr>
        <w:t xml:space="preserve">warning </w:t>
      </w:r>
      <w:r w:rsidR="00EA45E3" w:rsidRPr="003D2B6B">
        <w:rPr>
          <w:lang w:val="en-US"/>
        </w:rPr>
        <w:t xml:space="preserve">applications of the rational </w:t>
      </w:r>
      <w:r w:rsidR="00CA67ED" w:rsidRPr="003D2B6B">
        <w:rPr>
          <w:lang w:val="en-US"/>
        </w:rPr>
        <w:t xml:space="preserve">bubble </w:t>
      </w:r>
      <w:r w:rsidR="00EA45E3" w:rsidRPr="003D2B6B">
        <w:rPr>
          <w:lang w:val="en-US"/>
        </w:rPr>
        <w:t xml:space="preserve">theory </w:t>
      </w:r>
      <w:r w:rsidRPr="003D2B6B">
        <w:rPr>
          <w:lang w:val="en-US"/>
        </w:rPr>
        <w:t>elaborated by</w:t>
      </w:r>
      <w:r w:rsidR="00CA67ED" w:rsidRPr="003D2B6B">
        <w:rPr>
          <w:lang w:val="en-US"/>
        </w:rPr>
        <w:t xml:space="preserve"> </w:t>
      </w:r>
      <w:r w:rsidR="00635082" w:rsidRPr="003D2B6B">
        <w:rPr>
          <w:lang w:val="en-US"/>
        </w:rPr>
        <w:t>Campbell, Lo</w:t>
      </w:r>
      <w:r w:rsidR="00BE1B93" w:rsidRPr="003D2B6B">
        <w:rPr>
          <w:lang w:val="en-US"/>
        </w:rPr>
        <w:t>,</w:t>
      </w:r>
      <w:r w:rsidR="00635082" w:rsidRPr="003D2B6B">
        <w:rPr>
          <w:lang w:val="en-US"/>
        </w:rPr>
        <w:t xml:space="preserve"> and McKinlay</w:t>
      </w:r>
      <w:r w:rsidR="00CA67ED" w:rsidRPr="003D2B6B">
        <w:rPr>
          <w:lang w:val="en-US"/>
        </w:rPr>
        <w:t xml:space="preserve"> (</w:t>
      </w:r>
      <w:r w:rsidR="00635082" w:rsidRPr="003D2B6B">
        <w:rPr>
          <w:lang w:val="en-US"/>
        </w:rPr>
        <w:t>1997</w:t>
      </w:r>
      <w:r w:rsidR="00CA67ED" w:rsidRPr="003D2B6B">
        <w:rPr>
          <w:lang w:val="en-US"/>
        </w:rPr>
        <w:t>),</w:t>
      </w:r>
      <w:r w:rsidR="00635082" w:rsidRPr="003D2B6B">
        <w:rPr>
          <w:lang w:val="en-US"/>
        </w:rPr>
        <w:t xml:space="preserve"> Campbell and Shiller</w:t>
      </w:r>
      <w:r w:rsidR="00CA67ED" w:rsidRPr="003D2B6B">
        <w:rPr>
          <w:lang w:val="en-US"/>
        </w:rPr>
        <w:t xml:space="preserve"> (</w:t>
      </w:r>
      <w:r w:rsidR="00635082" w:rsidRPr="003D2B6B">
        <w:rPr>
          <w:lang w:val="en-US"/>
        </w:rPr>
        <w:t>1988</w:t>
      </w:r>
      <w:r w:rsidR="00CA67ED" w:rsidRPr="003D2B6B">
        <w:rPr>
          <w:lang w:val="en-US"/>
        </w:rPr>
        <w:t>),</w:t>
      </w:r>
      <w:r w:rsidR="00635082" w:rsidRPr="003D2B6B">
        <w:rPr>
          <w:lang w:val="en-US"/>
        </w:rPr>
        <w:t xml:space="preserve"> Craine</w:t>
      </w:r>
      <w:r w:rsidR="00CA67ED" w:rsidRPr="003D2B6B">
        <w:rPr>
          <w:lang w:val="en-US"/>
        </w:rPr>
        <w:t xml:space="preserve"> (</w:t>
      </w:r>
      <w:r w:rsidR="00635082" w:rsidRPr="003D2B6B">
        <w:rPr>
          <w:lang w:val="en-US"/>
        </w:rPr>
        <w:t>1993</w:t>
      </w:r>
      <w:r w:rsidR="00CA67ED" w:rsidRPr="003D2B6B">
        <w:rPr>
          <w:lang w:val="en-US"/>
        </w:rPr>
        <w:t>),</w:t>
      </w:r>
      <w:r w:rsidR="00635082" w:rsidRPr="003D2B6B">
        <w:rPr>
          <w:lang w:val="en-US"/>
        </w:rPr>
        <w:t xml:space="preserve"> Koustas </w:t>
      </w:r>
      <w:r w:rsidR="0012104F" w:rsidRPr="003D2B6B">
        <w:rPr>
          <w:lang w:val="en-US"/>
        </w:rPr>
        <w:t xml:space="preserve">and </w:t>
      </w:r>
      <w:r w:rsidR="00635082" w:rsidRPr="003D2B6B">
        <w:rPr>
          <w:lang w:val="en-US"/>
        </w:rPr>
        <w:t>Serletis</w:t>
      </w:r>
      <w:r w:rsidR="00CA67ED" w:rsidRPr="003D2B6B">
        <w:rPr>
          <w:lang w:val="en-US"/>
        </w:rPr>
        <w:t xml:space="preserve"> (</w:t>
      </w:r>
      <w:r w:rsidR="00635082" w:rsidRPr="003D2B6B">
        <w:rPr>
          <w:lang w:val="en-US"/>
        </w:rPr>
        <w:t>2005)</w:t>
      </w:r>
      <w:r w:rsidR="00A6635B" w:rsidRPr="003D2B6B">
        <w:rPr>
          <w:lang w:val="en-US"/>
        </w:rPr>
        <w:t>, and others</w:t>
      </w:r>
      <w:r w:rsidR="00635082" w:rsidRPr="003D2B6B">
        <w:rPr>
          <w:lang w:val="en-US"/>
        </w:rPr>
        <w:t>.</w:t>
      </w:r>
      <w:r w:rsidRPr="003D2B6B">
        <w:rPr>
          <w:lang w:val="en-US"/>
        </w:rPr>
        <w:t xml:space="preserve"> </w:t>
      </w:r>
      <w:r w:rsidR="000E2CCC" w:rsidRPr="003D2B6B">
        <w:rPr>
          <w:lang w:val="en-US"/>
        </w:rPr>
        <w:t xml:space="preserve">As a benchmark, we </w:t>
      </w:r>
      <w:r w:rsidR="00C10793" w:rsidRPr="003D2B6B">
        <w:rPr>
          <w:lang w:val="en-US"/>
        </w:rPr>
        <w:t xml:space="preserve">draw upon the </w:t>
      </w:r>
      <w:r w:rsidR="000E2CCC" w:rsidRPr="003D2B6B">
        <w:rPr>
          <w:lang w:val="en-US"/>
        </w:rPr>
        <w:t xml:space="preserve">methodologies </w:t>
      </w:r>
      <w:r w:rsidR="00C10793" w:rsidRPr="003D2B6B">
        <w:rPr>
          <w:lang w:val="en-US"/>
        </w:rPr>
        <w:t xml:space="preserve">of </w:t>
      </w:r>
      <w:r w:rsidR="000E2CCC" w:rsidRPr="003D2B6B">
        <w:rPr>
          <w:lang w:val="en-US"/>
        </w:rPr>
        <w:t xml:space="preserve">Alessi </w:t>
      </w:r>
      <w:r w:rsidR="000B2E8F" w:rsidRPr="003D2B6B">
        <w:rPr>
          <w:lang w:val="en-US"/>
        </w:rPr>
        <w:t>et al.</w:t>
      </w:r>
      <w:r w:rsidR="000E2CCC" w:rsidRPr="003D2B6B">
        <w:rPr>
          <w:lang w:val="en-US"/>
        </w:rPr>
        <w:t xml:space="preserve"> (2015) and Detken </w:t>
      </w:r>
      <w:r w:rsidR="000B2E8F" w:rsidRPr="003D2B6B">
        <w:rPr>
          <w:lang w:val="en-US"/>
        </w:rPr>
        <w:t>et al.</w:t>
      </w:r>
      <w:r w:rsidR="000E2CCC" w:rsidRPr="003D2B6B">
        <w:rPr>
          <w:lang w:val="en-US"/>
        </w:rPr>
        <w:t xml:space="preserve"> (2014)</w:t>
      </w:r>
      <w:r w:rsidR="00C10793" w:rsidRPr="003D2B6B">
        <w:rPr>
          <w:lang w:val="en-US"/>
        </w:rPr>
        <w:t>. These approaches</w:t>
      </w:r>
      <w:r w:rsidR="000E2CCC" w:rsidRPr="003D2B6B">
        <w:rPr>
          <w:lang w:val="en-US"/>
        </w:rPr>
        <w:t xml:space="preserve"> include Bayesian methods, decision trees, and logit/probit models</w:t>
      </w:r>
      <w:r w:rsidR="00204B40" w:rsidRPr="003D2B6B">
        <w:rPr>
          <w:lang w:val="en-US"/>
        </w:rPr>
        <w:t>.</w:t>
      </w:r>
      <w:r w:rsidR="00A6635B" w:rsidRPr="003D2B6B">
        <w:rPr>
          <w:rStyle w:val="Alaviitteenviite"/>
          <w:lang w:val="en-US"/>
        </w:rPr>
        <w:footnoteReference w:id="2"/>
      </w:r>
    </w:p>
    <w:p w14:paraId="61A83CB8" w14:textId="1E8EFEDE" w:rsidR="00BD29AD" w:rsidRPr="00A22DE9" w:rsidRDefault="00C10793" w:rsidP="00465752">
      <w:pPr>
        <w:spacing w:line="360" w:lineRule="auto"/>
        <w:rPr>
          <w:lang w:val="en-US"/>
        </w:rPr>
      </w:pPr>
      <w:r w:rsidRPr="003D2B6B">
        <w:rPr>
          <w:lang w:val="en-US"/>
        </w:rPr>
        <w:t>R</w:t>
      </w:r>
      <w:r w:rsidR="00D50986" w:rsidRPr="003D2B6B">
        <w:rPr>
          <w:lang w:val="en-US"/>
        </w:rPr>
        <w:t xml:space="preserve">ational bubble theory </w:t>
      </w:r>
      <w:r w:rsidR="000E2CCC" w:rsidRPr="003D2B6B">
        <w:rPr>
          <w:lang w:val="en-US"/>
        </w:rPr>
        <w:t xml:space="preserve">reveals </w:t>
      </w:r>
      <w:r w:rsidR="00D50986" w:rsidRPr="003D2B6B">
        <w:rPr>
          <w:lang w:val="en-US"/>
        </w:rPr>
        <w:t xml:space="preserve">the existence of asset bubbles </w:t>
      </w:r>
      <w:r w:rsidRPr="003D2B6B">
        <w:rPr>
          <w:lang w:val="en-US"/>
        </w:rPr>
        <w:t xml:space="preserve">through </w:t>
      </w:r>
      <w:r w:rsidR="002440C8" w:rsidRPr="003D2B6B">
        <w:rPr>
          <w:lang w:val="en-US"/>
        </w:rPr>
        <w:t>examin</w:t>
      </w:r>
      <w:r w:rsidRPr="003D2B6B">
        <w:rPr>
          <w:lang w:val="en-US"/>
        </w:rPr>
        <w:t>ation of</w:t>
      </w:r>
      <w:r w:rsidR="00D50986" w:rsidRPr="003D2B6B">
        <w:rPr>
          <w:lang w:val="en-US"/>
        </w:rPr>
        <w:t xml:space="preserve"> </w:t>
      </w:r>
      <w:r w:rsidRPr="003D2B6B">
        <w:rPr>
          <w:lang w:val="en-US"/>
        </w:rPr>
        <w:t xml:space="preserve">the </w:t>
      </w:r>
      <w:r w:rsidR="00D50986" w:rsidRPr="003D2B6B">
        <w:rPr>
          <w:lang w:val="en-US"/>
        </w:rPr>
        <w:t>time</w:t>
      </w:r>
      <w:r w:rsidRPr="003D2B6B">
        <w:rPr>
          <w:lang w:val="en-US"/>
        </w:rPr>
        <w:t xml:space="preserve"> </w:t>
      </w:r>
      <w:r w:rsidR="00D50986" w:rsidRPr="003D2B6B">
        <w:rPr>
          <w:lang w:val="en-US"/>
        </w:rPr>
        <w:t xml:space="preserve">series behavior of </w:t>
      </w:r>
      <w:r w:rsidR="00605269" w:rsidRPr="003D2B6B">
        <w:rPr>
          <w:lang w:val="en-US"/>
        </w:rPr>
        <w:t xml:space="preserve">stock </w:t>
      </w:r>
      <w:r w:rsidR="00D50986" w:rsidRPr="003D2B6B">
        <w:rPr>
          <w:lang w:val="en-US"/>
        </w:rPr>
        <w:t>prices</w:t>
      </w:r>
      <w:r w:rsidR="00605269" w:rsidRPr="003D2B6B">
        <w:rPr>
          <w:lang w:val="en-US"/>
        </w:rPr>
        <w:t xml:space="preserve"> and dividends</w:t>
      </w:r>
      <w:r w:rsidR="00635082" w:rsidRPr="003D2B6B">
        <w:rPr>
          <w:lang w:val="en-US"/>
        </w:rPr>
        <w:t xml:space="preserve">. </w:t>
      </w:r>
      <w:r w:rsidR="00BE1B93" w:rsidRPr="003D2B6B">
        <w:rPr>
          <w:lang w:val="en-US"/>
        </w:rPr>
        <w:t xml:space="preserve">While the </w:t>
      </w:r>
      <w:r w:rsidR="00240FCC" w:rsidRPr="003D2B6B">
        <w:rPr>
          <w:lang w:val="en-US"/>
        </w:rPr>
        <w:t>early literature</w:t>
      </w:r>
      <w:r w:rsidR="00BD29AD" w:rsidRPr="003D2B6B">
        <w:rPr>
          <w:lang w:val="en-US"/>
        </w:rPr>
        <w:t xml:space="preserve"> </w:t>
      </w:r>
      <w:r w:rsidR="00BE1B93" w:rsidRPr="003D2B6B">
        <w:rPr>
          <w:lang w:val="en-US"/>
        </w:rPr>
        <w:t xml:space="preserve">in this area </w:t>
      </w:r>
      <w:r w:rsidR="00BD29AD" w:rsidRPr="003D2B6B">
        <w:rPr>
          <w:lang w:val="en-US"/>
        </w:rPr>
        <w:t xml:space="preserve">deals with </w:t>
      </w:r>
      <w:r w:rsidR="002440C8" w:rsidRPr="003D2B6B">
        <w:rPr>
          <w:lang w:val="en-US"/>
        </w:rPr>
        <w:t>stock price indices</w:t>
      </w:r>
      <w:r w:rsidR="00CA67ED" w:rsidRPr="003D2B6B">
        <w:rPr>
          <w:lang w:val="en-US"/>
        </w:rPr>
        <w:t>,</w:t>
      </w:r>
      <w:r w:rsidR="00BD29AD" w:rsidRPr="003D2B6B">
        <w:rPr>
          <w:lang w:val="en-US"/>
        </w:rPr>
        <w:t xml:space="preserve"> </w:t>
      </w:r>
      <w:r w:rsidR="00605269" w:rsidRPr="003D2B6B">
        <w:rPr>
          <w:lang w:val="en-US"/>
        </w:rPr>
        <w:t xml:space="preserve">rational bubbles </w:t>
      </w:r>
      <w:r w:rsidR="00BD7F80" w:rsidRPr="003D2B6B">
        <w:rPr>
          <w:lang w:val="en-US"/>
        </w:rPr>
        <w:t xml:space="preserve">tests </w:t>
      </w:r>
      <w:r w:rsidRPr="003D2B6B">
        <w:rPr>
          <w:lang w:val="en-US"/>
        </w:rPr>
        <w:t xml:space="preserve">have since been </w:t>
      </w:r>
      <w:r w:rsidR="00BD7F80" w:rsidRPr="003D2B6B">
        <w:rPr>
          <w:lang w:val="en-US"/>
        </w:rPr>
        <w:t>adapted</w:t>
      </w:r>
      <w:r w:rsidR="00BD29AD" w:rsidRPr="003D2B6B">
        <w:rPr>
          <w:lang w:val="en-US"/>
        </w:rPr>
        <w:t xml:space="preserve"> </w:t>
      </w:r>
      <w:r w:rsidR="00B25337" w:rsidRPr="003D2B6B">
        <w:rPr>
          <w:lang w:val="en-US"/>
        </w:rPr>
        <w:t>for other asset</w:t>
      </w:r>
      <w:r w:rsidR="00605269" w:rsidRPr="003D2B6B">
        <w:rPr>
          <w:lang w:val="en-US"/>
        </w:rPr>
        <w:t xml:space="preserve"> classe</w:t>
      </w:r>
      <w:r w:rsidR="00B25337" w:rsidRPr="003D2B6B">
        <w:rPr>
          <w:lang w:val="en-US"/>
        </w:rPr>
        <w:t>s</w:t>
      </w:r>
      <w:r w:rsidR="00CA67ED" w:rsidRPr="003D2B6B">
        <w:rPr>
          <w:lang w:val="en-US"/>
        </w:rPr>
        <w:t xml:space="preserve">. </w:t>
      </w:r>
      <w:r w:rsidR="002440C8" w:rsidRPr="003D2B6B">
        <w:rPr>
          <w:lang w:val="en-US"/>
        </w:rPr>
        <w:t>Escobari and Jafarinejad (2016)</w:t>
      </w:r>
      <w:r w:rsidR="00BE1B93" w:rsidRPr="003D2B6B">
        <w:rPr>
          <w:lang w:val="en-US"/>
        </w:rPr>
        <w:t xml:space="preserve">, for example, </w:t>
      </w:r>
      <w:r w:rsidR="002440C8" w:rsidRPr="003D2B6B">
        <w:rPr>
          <w:lang w:val="en-US"/>
        </w:rPr>
        <w:t>date</w:t>
      </w:r>
      <w:r w:rsidR="0033737B" w:rsidRPr="003D2B6B">
        <w:rPr>
          <w:lang w:val="en-US"/>
        </w:rPr>
        <w:t>-</w:t>
      </w:r>
      <w:r w:rsidR="002440C8" w:rsidRPr="003D2B6B">
        <w:rPr>
          <w:lang w:val="en-US"/>
        </w:rPr>
        <w:t>stamp bubbles in REITs. A</w:t>
      </w:r>
      <w:r w:rsidR="00605269" w:rsidRPr="003D2B6B">
        <w:rPr>
          <w:lang w:val="en-US"/>
        </w:rPr>
        <w:t xml:space="preserve"> number of papers</w:t>
      </w:r>
      <w:r w:rsidR="00DB61B2" w:rsidRPr="003D2B6B">
        <w:rPr>
          <w:lang w:val="en-US"/>
        </w:rPr>
        <w:t xml:space="preserve"> </w:t>
      </w:r>
      <w:r w:rsidR="007F14C2" w:rsidRPr="003D2B6B">
        <w:rPr>
          <w:lang w:val="en-US"/>
        </w:rPr>
        <w:t xml:space="preserve">substitute </w:t>
      </w:r>
      <w:r w:rsidR="00BD29AD" w:rsidRPr="003D2B6B">
        <w:rPr>
          <w:lang w:val="en-US"/>
        </w:rPr>
        <w:t xml:space="preserve">rents </w:t>
      </w:r>
      <w:r w:rsidR="007F14C2" w:rsidRPr="003D2B6B">
        <w:rPr>
          <w:lang w:val="en-US"/>
        </w:rPr>
        <w:t xml:space="preserve">for </w:t>
      </w:r>
      <w:r w:rsidR="00BD29AD" w:rsidRPr="003D2B6B">
        <w:rPr>
          <w:lang w:val="en-US"/>
        </w:rPr>
        <w:t>dividends</w:t>
      </w:r>
      <w:r w:rsidR="00605269" w:rsidRPr="003D2B6B">
        <w:rPr>
          <w:lang w:val="en-US"/>
        </w:rPr>
        <w:t xml:space="preserve"> </w:t>
      </w:r>
      <w:r w:rsidR="002440C8" w:rsidRPr="003D2B6B">
        <w:rPr>
          <w:lang w:val="en-US"/>
        </w:rPr>
        <w:t xml:space="preserve">to study house price bubbles </w:t>
      </w:r>
      <w:r w:rsidR="00605269" w:rsidRPr="003D2B6B">
        <w:rPr>
          <w:lang w:val="en-US"/>
        </w:rPr>
        <w:t xml:space="preserve">(e.g. Anundsen </w:t>
      </w:r>
      <w:r w:rsidR="000B2E8F" w:rsidRPr="003D2B6B">
        <w:rPr>
          <w:lang w:val="en-US"/>
        </w:rPr>
        <w:t>et al.</w:t>
      </w:r>
      <w:r w:rsidR="0033737B" w:rsidRPr="003D2B6B">
        <w:rPr>
          <w:lang w:val="en-US"/>
        </w:rPr>
        <w:t xml:space="preserve">, </w:t>
      </w:r>
      <w:r w:rsidR="00605269" w:rsidRPr="003D2B6B">
        <w:rPr>
          <w:lang w:val="en-US"/>
        </w:rPr>
        <w:t>2016</w:t>
      </w:r>
      <w:r w:rsidR="0033737B" w:rsidRPr="003D2B6B">
        <w:rPr>
          <w:lang w:val="en-US"/>
        </w:rPr>
        <w:t>;</w:t>
      </w:r>
      <w:r w:rsidR="00605269" w:rsidRPr="003D2B6B">
        <w:rPr>
          <w:lang w:val="en-US"/>
        </w:rPr>
        <w:t xml:space="preserve"> Efthymios </w:t>
      </w:r>
      <w:r w:rsidR="000B2E8F" w:rsidRPr="003D2B6B">
        <w:rPr>
          <w:lang w:val="en-US"/>
        </w:rPr>
        <w:t>et al.</w:t>
      </w:r>
      <w:r w:rsidR="0033737B" w:rsidRPr="003D2B6B">
        <w:rPr>
          <w:lang w:val="en-US"/>
        </w:rPr>
        <w:t xml:space="preserve">, </w:t>
      </w:r>
      <w:r w:rsidR="00605269" w:rsidRPr="003D2B6B">
        <w:rPr>
          <w:lang w:val="en-US"/>
        </w:rPr>
        <w:t>2016</w:t>
      </w:r>
      <w:r w:rsidR="0033737B" w:rsidRPr="003D2B6B">
        <w:rPr>
          <w:lang w:val="en-US"/>
        </w:rPr>
        <w:t xml:space="preserve">; </w:t>
      </w:r>
      <w:r w:rsidR="00D35775" w:rsidRPr="003D2B6B">
        <w:rPr>
          <w:lang w:val="en-US"/>
        </w:rPr>
        <w:t xml:space="preserve">Pavlidis </w:t>
      </w:r>
      <w:r w:rsidR="000B2E8F" w:rsidRPr="003D2B6B">
        <w:rPr>
          <w:lang w:val="en-US"/>
        </w:rPr>
        <w:t>et al.</w:t>
      </w:r>
      <w:r w:rsidR="0033737B" w:rsidRPr="003D2B6B">
        <w:rPr>
          <w:lang w:val="en-US"/>
        </w:rPr>
        <w:t xml:space="preserve">, </w:t>
      </w:r>
      <w:r w:rsidR="00D35775" w:rsidRPr="003D2B6B">
        <w:rPr>
          <w:lang w:val="en-US"/>
        </w:rPr>
        <w:t>2016</w:t>
      </w:r>
      <w:r w:rsidR="0033737B" w:rsidRPr="003D2B6B">
        <w:rPr>
          <w:lang w:val="en-US"/>
        </w:rPr>
        <w:t>;</w:t>
      </w:r>
      <w:r w:rsidR="00D35775" w:rsidRPr="003D2B6B">
        <w:rPr>
          <w:lang w:val="en-US"/>
        </w:rPr>
        <w:t xml:space="preserve"> </w:t>
      </w:r>
      <w:r w:rsidR="00D31149" w:rsidRPr="003D2B6B">
        <w:rPr>
          <w:lang w:val="en-US"/>
        </w:rPr>
        <w:t>Wan, 2015</w:t>
      </w:r>
      <w:r w:rsidR="00605269" w:rsidRPr="003D2B6B">
        <w:rPr>
          <w:lang w:val="en-US"/>
        </w:rPr>
        <w:t>)</w:t>
      </w:r>
      <w:r w:rsidR="00BD29AD" w:rsidRPr="003D2B6B">
        <w:rPr>
          <w:lang w:val="en-US"/>
        </w:rPr>
        <w:t>.</w:t>
      </w:r>
      <w:r w:rsidR="00D31149" w:rsidRPr="003D2B6B">
        <w:rPr>
          <w:lang w:val="en-US"/>
        </w:rPr>
        <w:t xml:space="preserve"> </w:t>
      </w:r>
      <w:r w:rsidR="0033737B" w:rsidRPr="003D2B6B">
        <w:rPr>
          <w:lang w:val="en-US"/>
        </w:rPr>
        <w:t xml:space="preserve">Anundsen et al. (2016) </w:t>
      </w:r>
      <w:r w:rsidR="00BD29AD" w:rsidRPr="003D2B6B">
        <w:rPr>
          <w:lang w:val="en-US"/>
        </w:rPr>
        <w:t xml:space="preserve">even </w:t>
      </w:r>
      <w:r w:rsidR="00DB61B2" w:rsidRPr="003D2B6B">
        <w:rPr>
          <w:lang w:val="en-US"/>
        </w:rPr>
        <w:t>extend</w:t>
      </w:r>
      <w:r w:rsidR="00BE1B93" w:rsidRPr="003D2B6B">
        <w:rPr>
          <w:lang w:val="en-US"/>
        </w:rPr>
        <w:t>s</w:t>
      </w:r>
      <w:r w:rsidR="00DB61B2" w:rsidRPr="003D2B6B">
        <w:rPr>
          <w:lang w:val="en-US"/>
        </w:rPr>
        <w:t xml:space="preserve"> </w:t>
      </w:r>
      <w:r w:rsidR="0033737B" w:rsidRPr="003D2B6B">
        <w:rPr>
          <w:lang w:val="en-US"/>
        </w:rPr>
        <w:t xml:space="preserve">the method </w:t>
      </w:r>
      <w:r w:rsidR="00600071" w:rsidRPr="003D2B6B">
        <w:rPr>
          <w:lang w:val="en-US"/>
        </w:rPr>
        <w:t xml:space="preserve">to </w:t>
      </w:r>
      <w:r w:rsidR="0033737B" w:rsidRPr="003D2B6B">
        <w:rPr>
          <w:lang w:val="en-US"/>
        </w:rPr>
        <w:t xml:space="preserve">the </w:t>
      </w:r>
      <w:r w:rsidR="00B25337" w:rsidRPr="003D2B6B">
        <w:rPr>
          <w:lang w:val="en-US"/>
        </w:rPr>
        <w:t>debt-to-</w:t>
      </w:r>
      <w:r w:rsidR="00BD29AD" w:rsidRPr="003D2B6B">
        <w:rPr>
          <w:lang w:val="en-US"/>
        </w:rPr>
        <w:t>GDP ratio</w:t>
      </w:r>
      <w:r w:rsidR="0033737B" w:rsidRPr="003D2B6B">
        <w:rPr>
          <w:lang w:val="en-US"/>
        </w:rPr>
        <w:t xml:space="preserve">, with </w:t>
      </w:r>
      <w:r w:rsidR="00BD29AD" w:rsidRPr="003D2B6B">
        <w:rPr>
          <w:lang w:val="en-US"/>
        </w:rPr>
        <w:t xml:space="preserve">income growth </w:t>
      </w:r>
      <w:r w:rsidR="007F14C2" w:rsidRPr="003D2B6B">
        <w:rPr>
          <w:lang w:val="en-US"/>
        </w:rPr>
        <w:t xml:space="preserve">in a macro-setting </w:t>
      </w:r>
      <w:r w:rsidR="00BD29AD" w:rsidRPr="003D2B6B">
        <w:rPr>
          <w:lang w:val="en-US"/>
        </w:rPr>
        <w:t>play</w:t>
      </w:r>
      <w:r w:rsidR="0033737B" w:rsidRPr="003D2B6B">
        <w:rPr>
          <w:lang w:val="en-US"/>
        </w:rPr>
        <w:t>ing</w:t>
      </w:r>
      <w:r w:rsidR="00BD29AD" w:rsidRPr="003D2B6B">
        <w:rPr>
          <w:lang w:val="en-US"/>
        </w:rPr>
        <w:t xml:space="preserve"> </w:t>
      </w:r>
      <w:r w:rsidR="007F14C2" w:rsidRPr="003D2B6B">
        <w:rPr>
          <w:lang w:val="en-US"/>
        </w:rPr>
        <w:t xml:space="preserve">a similar </w:t>
      </w:r>
      <w:r w:rsidR="00BD29AD" w:rsidRPr="003D2B6B">
        <w:rPr>
          <w:lang w:val="en-US"/>
        </w:rPr>
        <w:t xml:space="preserve">role </w:t>
      </w:r>
      <w:r w:rsidR="007F14C2" w:rsidRPr="003D2B6B">
        <w:rPr>
          <w:lang w:val="en-US"/>
        </w:rPr>
        <w:t xml:space="preserve">to </w:t>
      </w:r>
      <w:r w:rsidR="00BD29AD" w:rsidRPr="003D2B6B">
        <w:rPr>
          <w:lang w:val="en-US"/>
        </w:rPr>
        <w:t>dividend growth</w:t>
      </w:r>
      <w:r w:rsidR="00A72C2D" w:rsidRPr="003D2B6B">
        <w:rPr>
          <w:lang w:val="en-US"/>
        </w:rPr>
        <w:t>.</w:t>
      </w:r>
      <w:r w:rsidR="00F552D8" w:rsidRPr="003D2B6B">
        <w:rPr>
          <w:lang w:val="en-US"/>
        </w:rPr>
        <w:t xml:space="preserve"> </w:t>
      </w:r>
      <w:r w:rsidR="00C96011" w:rsidRPr="003D2B6B">
        <w:rPr>
          <w:color w:val="000000" w:themeColor="text1"/>
          <w:lang w:val="en-US"/>
        </w:rPr>
        <w:t xml:space="preserve">This is obviously true in </w:t>
      </w:r>
      <w:r w:rsidR="00F552D8" w:rsidRPr="003D2B6B">
        <w:rPr>
          <w:color w:val="000000" w:themeColor="text1"/>
          <w:lang w:val="en-US"/>
        </w:rPr>
        <w:t xml:space="preserve">a world </w:t>
      </w:r>
      <w:r w:rsidR="007F14C2" w:rsidRPr="003D2B6B">
        <w:rPr>
          <w:color w:val="000000" w:themeColor="text1"/>
          <w:lang w:val="en-US"/>
        </w:rPr>
        <w:t xml:space="preserve">where </w:t>
      </w:r>
      <w:r w:rsidR="00F552D8" w:rsidRPr="003D2B6B">
        <w:rPr>
          <w:color w:val="000000" w:themeColor="text1"/>
          <w:lang w:val="en-US"/>
        </w:rPr>
        <w:t>the functional distribution of income is constant.</w:t>
      </w:r>
      <w:r w:rsidR="00F552D8" w:rsidRPr="00A22DE9">
        <w:rPr>
          <w:color w:val="000000" w:themeColor="text1"/>
          <w:lang w:val="en-US"/>
        </w:rPr>
        <w:t xml:space="preserve"> </w:t>
      </w:r>
    </w:p>
    <w:p w14:paraId="713BD119" w14:textId="6AA34573" w:rsidR="00A15BC9" w:rsidRPr="003D2B6B" w:rsidRDefault="004F1467">
      <w:pPr>
        <w:spacing w:line="360" w:lineRule="auto"/>
        <w:rPr>
          <w:lang w:val="en-US"/>
        </w:rPr>
      </w:pPr>
      <w:r>
        <w:rPr>
          <w:lang w:val="en-US"/>
        </w:rPr>
        <w:lastRenderedPageBreak/>
        <w:t xml:space="preserve">The </w:t>
      </w:r>
      <w:r w:rsidR="00A15BC9">
        <w:rPr>
          <w:lang w:val="en-US"/>
        </w:rPr>
        <w:t xml:space="preserve">purpose </w:t>
      </w:r>
      <w:r>
        <w:rPr>
          <w:lang w:val="en-US"/>
        </w:rPr>
        <w:t>of t</w:t>
      </w:r>
      <w:r w:rsidR="00802CD0" w:rsidRPr="00A22DE9">
        <w:rPr>
          <w:lang w:val="en-US"/>
        </w:rPr>
        <w:t>his study</w:t>
      </w:r>
      <w:r w:rsidR="00085E40" w:rsidRPr="00A22DE9">
        <w:rPr>
          <w:lang w:val="en-US"/>
        </w:rPr>
        <w:t xml:space="preserve"> </w:t>
      </w:r>
      <w:r>
        <w:rPr>
          <w:lang w:val="en-US"/>
        </w:rPr>
        <w:t xml:space="preserve">is to </w:t>
      </w:r>
      <w:r w:rsidR="00465752">
        <w:rPr>
          <w:lang w:val="en-US"/>
        </w:rPr>
        <w:t>probe</w:t>
      </w:r>
      <w:r>
        <w:rPr>
          <w:lang w:val="en-US"/>
        </w:rPr>
        <w:t xml:space="preserve"> </w:t>
      </w:r>
      <w:r w:rsidR="00085E40" w:rsidRPr="00465752">
        <w:rPr>
          <w:lang w:val="en-US"/>
        </w:rPr>
        <w:t>ex</w:t>
      </w:r>
      <w:r w:rsidR="00A15BC9" w:rsidRPr="00465752">
        <w:rPr>
          <w:lang w:val="en-US"/>
        </w:rPr>
        <w:t>-</w:t>
      </w:r>
      <w:r w:rsidR="00085E40" w:rsidRPr="00465752">
        <w:rPr>
          <w:lang w:val="en-US"/>
        </w:rPr>
        <w:t>ante</w:t>
      </w:r>
      <w:r w:rsidR="00085E40" w:rsidRPr="00A22DE9">
        <w:rPr>
          <w:lang w:val="en-US"/>
        </w:rPr>
        <w:t xml:space="preserve"> </w:t>
      </w:r>
      <w:r w:rsidR="000E2CCC">
        <w:rPr>
          <w:lang w:val="en-US"/>
        </w:rPr>
        <w:t xml:space="preserve">financial </w:t>
      </w:r>
      <w:r>
        <w:rPr>
          <w:lang w:val="en-US"/>
        </w:rPr>
        <w:t xml:space="preserve">crisis prediction </w:t>
      </w:r>
      <w:r w:rsidR="00085E40" w:rsidRPr="00A22DE9">
        <w:rPr>
          <w:lang w:val="en-US"/>
        </w:rPr>
        <w:t xml:space="preserve">performance of </w:t>
      </w:r>
      <w:r w:rsidR="0056357E">
        <w:rPr>
          <w:lang w:val="en-US"/>
        </w:rPr>
        <w:t xml:space="preserve">exuberance indicators </w:t>
      </w:r>
      <w:r w:rsidR="00561B5E">
        <w:rPr>
          <w:lang w:val="en-US"/>
        </w:rPr>
        <w:t xml:space="preserve">on </w:t>
      </w:r>
      <w:r w:rsidR="00286904">
        <w:rPr>
          <w:lang w:val="en-US"/>
        </w:rPr>
        <w:t xml:space="preserve">a set </w:t>
      </w:r>
      <w:r>
        <w:rPr>
          <w:lang w:val="en-US"/>
        </w:rPr>
        <w:t>of 15 European advanced economies in the period 1980–</w:t>
      </w:r>
      <w:r w:rsidR="00622956">
        <w:rPr>
          <w:lang w:val="en-US"/>
        </w:rPr>
        <w:t>2012</w:t>
      </w:r>
      <w:r w:rsidR="00286904">
        <w:rPr>
          <w:lang w:val="en-US"/>
        </w:rPr>
        <w:t>.</w:t>
      </w:r>
      <w:r w:rsidR="0056357E">
        <w:rPr>
          <w:lang w:val="en-US"/>
        </w:rPr>
        <w:t xml:space="preserve"> </w:t>
      </w:r>
      <w:r w:rsidRPr="00A22DE9">
        <w:rPr>
          <w:lang w:val="en-US"/>
        </w:rPr>
        <w:t xml:space="preserve">The performance </w:t>
      </w:r>
      <w:r w:rsidRPr="003D2B6B">
        <w:rPr>
          <w:lang w:val="en-US"/>
        </w:rPr>
        <w:t xml:space="preserve">evaluation is based on the </w:t>
      </w:r>
      <w:r w:rsidR="00A15BC9" w:rsidRPr="003D2B6B">
        <w:rPr>
          <w:lang w:val="en-US"/>
        </w:rPr>
        <w:t xml:space="preserve">two </w:t>
      </w:r>
      <w:r w:rsidRPr="003D2B6B">
        <w:rPr>
          <w:lang w:val="en-US"/>
        </w:rPr>
        <w:t xml:space="preserve">standard measures </w:t>
      </w:r>
      <w:r w:rsidR="00A15BC9" w:rsidRPr="003D2B6B">
        <w:rPr>
          <w:lang w:val="en-US"/>
        </w:rPr>
        <w:t xml:space="preserve">from </w:t>
      </w:r>
      <w:r w:rsidRPr="003D2B6B">
        <w:rPr>
          <w:lang w:val="en-US"/>
        </w:rPr>
        <w:t>the early</w:t>
      </w:r>
      <w:r w:rsidR="00A15BC9" w:rsidRPr="003D2B6B">
        <w:rPr>
          <w:lang w:val="en-US"/>
        </w:rPr>
        <w:t>-</w:t>
      </w:r>
      <w:r w:rsidRPr="003D2B6B">
        <w:rPr>
          <w:lang w:val="en-US"/>
        </w:rPr>
        <w:t>warning literature</w:t>
      </w:r>
      <w:r w:rsidR="008C4BD5" w:rsidRPr="003D2B6B">
        <w:rPr>
          <w:lang w:val="en-US"/>
        </w:rPr>
        <w:t>:</w:t>
      </w:r>
      <w:r w:rsidR="00734131" w:rsidRPr="003D2B6B">
        <w:rPr>
          <w:lang w:val="en-US"/>
        </w:rPr>
        <w:t xml:space="preserve"> </w:t>
      </w:r>
      <w:r w:rsidR="009E2088" w:rsidRPr="003D2B6B">
        <w:rPr>
          <w:lang w:val="en-US"/>
        </w:rPr>
        <w:t>R</w:t>
      </w:r>
      <w:r w:rsidR="00734131" w:rsidRPr="003D2B6B">
        <w:rPr>
          <w:lang w:val="en-US"/>
        </w:rPr>
        <w:t xml:space="preserve">elative </w:t>
      </w:r>
      <w:r w:rsidR="009E2088" w:rsidRPr="003D2B6B">
        <w:rPr>
          <w:lang w:val="en-US"/>
        </w:rPr>
        <w:t>U</w:t>
      </w:r>
      <w:r w:rsidR="008C4BD5" w:rsidRPr="003D2B6B">
        <w:rPr>
          <w:lang w:val="en-US"/>
        </w:rPr>
        <w:t xml:space="preserve">sefulness </w:t>
      </w:r>
      <w:r w:rsidR="00496F93" w:rsidRPr="003D2B6B">
        <w:rPr>
          <w:lang w:val="en-US"/>
        </w:rPr>
        <w:t>(RU) and Area Under the Receiver Operating Characteristic curve (</w:t>
      </w:r>
      <w:r w:rsidR="00734131" w:rsidRPr="003D2B6B">
        <w:rPr>
          <w:lang w:val="en-US"/>
        </w:rPr>
        <w:t>AUROC</w:t>
      </w:r>
      <w:r w:rsidR="00496F93" w:rsidRPr="003D2B6B">
        <w:rPr>
          <w:lang w:val="en-US"/>
        </w:rPr>
        <w:t>)</w:t>
      </w:r>
      <w:r w:rsidR="00B77209" w:rsidRPr="003D2B6B">
        <w:rPr>
          <w:lang w:val="en-US"/>
        </w:rPr>
        <w:t>.</w:t>
      </w:r>
      <w:r w:rsidR="002C17B3" w:rsidRPr="003D2B6B">
        <w:rPr>
          <w:lang w:val="en-US"/>
        </w:rPr>
        <w:t xml:space="preserve"> </w:t>
      </w:r>
      <w:r w:rsidR="00B77209" w:rsidRPr="003D2B6B">
        <w:rPr>
          <w:lang w:val="en-US"/>
        </w:rPr>
        <w:t xml:space="preserve">Both measures </w:t>
      </w:r>
      <w:r w:rsidRPr="003D2B6B">
        <w:rPr>
          <w:lang w:val="en-US"/>
        </w:rPr>
        <w:t xml:space="preserve">rely on the </w:t>
      </w:r>
      <w:r w:rsidR="00734131" w:rsidRPr="003D2B6B">
        <w:rPr>
          <w:lang w:val="en-US"/>
        </w:rPr>
        <w:t xml:space="preserve">frequency </w:t>
      </w:r>
      <w:r w:rsidRPr="003D2B6B">
        <w:rPr>
          <w:lang w:val="en-US"/>
        </w:rPr>
        <w:t xml:space="preserve">of </w:t>
      </w:r>
      <w:r w:rsidR="00734131" w:rsidRPr="003D2B6B">
        <w:rPr>
          <w:lang w:val="en-US"/>
        </w:rPr>
        <w:t>missed crises</w:t>
      </w:r>
      <w:r w:rsidRPr="003D2B6B">
        <w:rPr>
          <w:lang w:val="en-US"/>
        </w:rPr>
        <w:t xml:space="preserve"> and </w:t>
      </w:r>
      <w:r w:rsidR="00734131" w:rsidRPr="003D2B6B">
        <w:rPr>
          <w:lang w:val="en-US"/>
        </w:rPr>
        <w:t>false alarms</w:t>
      </w:r>
      <w:r w:rsidRPr="003D2B6B">
        <w:rPr>
          <w:lang w:val="en-US"/>
        </w:rPr>
        <w:t xml:space="preserve">. </w:t>
      </w:r>
      <w:r w:rsidR="00A15BC9" w:rsidRPr="003D2B6B">
        <w:rPr>
          <w:lang w:val="en-US"/>
        </w:rPr>
        <w:t xml:space="preserve">Our </w:t>
      </w:r>
      <w:r w:rsidR="00734131" w:rsidRPr="003D2B6B">
        <w:rPr>
          <w:lang w:val="en-US"/>
        </w:rPr>
        <w:t xml:space="preserve">crisis dating </w:t>
      </w:r>
      <w:r w:rsidR="00A15BC9" w:rsidRPr="003D2B6B">
        <w:rPr>
          <w:lang w:val="en-US"/>
        </w:rPr>
        <w:t xml:space="preserve">is taken from data of </w:t>
      </w:r>
      <w:r w:rsidR="00734131" w:rsidRPr="003D2B6B">
        <w:rPr>
          <w:lang w:val="en-US"/>
        </w:rPr>
        <w:t xml:space="preserve">the European Systemic Risk Board (Detken </w:t>
      </w:r>
      <w:r w:rsidR="000B2E8F" w:rsidRPr="003D2B6B">
        <w:rPr>
          <w:lang w:val="en-US"/>
        </w:rPr>
        <w:t>et al.</w:t>
      </w:r>
      <w:r w:rsidR="00A15BC9" w:rsidRPr="003D2B6B">
        <w:rPr>
          <w:lang w:val="en-US"/>
        </w:rPr>
        <w:t xml:space="preserve">, </w:t>
      </w:r>
      <w:r w:rsidR="0062595D" w:rsidRPr="003D2B6B">
        <w:rPr>
          <w:lang w:val="en-US"/>
        </w:rPr>
        <w:t>2014</w:t>
      </w:r>
      <w:r w:rsidR="00734131" w:rsidRPr="003D2B6B">
        <w:rPr>
          <w:lang w:val="en-US"/>
        </w:rPr>
        <w:t>)</w:t>
      </w:r>
      <w:r w:rsidR="00465752" w:rsidRPr="003D2B6B">
        <w:rPr>
          <w:lang w:val="en-US"/>
        </w:rPr>
        <w:t>.</w:t>
      </w:r>
      <w:r w:rsidR="00FC4954" w:rsidRPr="003D2B6B">
        <w:rPr>
          <w:lang w:val="en-US"/>
        </w:rPr>
        <w:t xml:space="preserve"> Moreover, we use</w:t>
      </w:r>
      <w:r w:rsidR="00734131" w:rsidRPr="003D2B6B">
        <w:rPr>
          <w:lang w:val="en-US"/>
        </w:rPr>
        <w:t xml:space="preserve"> </w:t>
      </w:r>
      <w:r w:rsidR="00A15BC9" w:rsidRPr="003D2B6B">
        <w:rPr>
          <w:lang w:val="en-US"/>
        </w:rPr>
        <w:t xml:space="preserve">a </w:t>
      </w:r>
      <w:r w:rsidR="00734131" w:rsidRPr="003D2B6B">
        <w:rPr>
          <w:lang w:val="en-US"/>
        </w:rPr>
        <w:t>one</w:t>
      </w:r>
      <w:r w:rsidR="00A15BC9" w:rsidRPr="003D2B6B">
        <w:rPr>
          <w:lang w:val="en-US"/>
        </w:rPr>
        <w:t>-</w:t>
      </w:r>
      <w:r w:rsidR="00734131" w:rsidRPr="003D2B6B">
        <w:rPr>
          <w:lang w:val="en-US"/>
        </w:rPr>
        <w:t xml:space="preserve"> to </w:t>
      </w:r>
      <w:r w:rsidR="00EA2169" w:rsidRPr="003D2B6B">
        <w:rPr>
          <w:lang w:val="en-US"/>
        </w:rPr>
        <w:t>three-year</w:t>
      </w:r>
      <w:r w:rsidR="00734131" w:rsidRPr="003D2B6B">
        <w:rPr>
          <w:lang w:val="en-US"/>
        </w:rPr>
        <w:t xml:space="preserve"> prediction horizon and two</w:t>
      </w:r>
      <w:r w:rsidR="00A15BC9" w:rsidRPr="003D2B6B">
        <w:rPr>
          <w:lang w:val="en-US"/>
        </w:rPr>
        <w:t>-</w:t>
      </w:r>
      <w:r w:rsidR="00734131" w:rsidRPr="003D2B6B">
        <w:rPr>
          <w:lang w:val="en-US"/>
        </w:rPr>
        <w:t>quarter publication lags</w:t>
      </w:r>
      <w:r w:rsidR="00A15BC9" w:rsidRPr="003D2B6B">
        <w:rPr>
          <w:lang w:val="en-US"/>
        </w:rPr>
        <w:t xml:space="preserve">. Our </w:t>
      </w:r>
      <w:r w:rsidR="00734131" w:rsidRPr="003D2B6B">
        <w:rPr>
          <w:lang w:val="en-US"/>
        </w:rPr>
        <w:t xml:space="preserve"> robustness checks </w:t>
      </w:r>
      <w:r w:rsidR="00A15BC9" w:rsidRPr="003D2B6B">
        <w:rPr>
          <w:lang w:val="en-US"/>
        </w:rPr>
        <w:t xml:space="preserve">use </w:t>
      </w:r>
      <w:r w:rsidR="00734131" w:rsidRPr="003D2B6B">
        <w:rPr>
          <w:lang w:val="en-US"/>
        </w:rPr>
        <w:t>alternative prediction horizons</w:t>
      </w:r>
      <w:r w:rsidR="0059784D" w:rsidRPr="003D2B6B">
        <w:rPr>
          <w:lang w:val="en-US"/>
        </w:rPr>
        <w:t xml:space="preserve"> and </w:t>
      </w:r>
      <w:r w:rsidR="00A15BC9" w:rsidRPr="003D2B6B">
        <w:rPr>
          <w:lang w:val="en-US"/>
        </w:rPr>
        <w:t xml:space="preserve">two alternative </w:t>
      </w:r>
      <w:r w:rsidR="0059784D" w:rsidRPr="003D2B6B">
        <w:rPr>
          <w:lang w:val="en-US"/>
        </w:rPr>
        <w:t>crisis datasets</w:t>
      </w:r>
      <w:r w:rsidR="00B77209" w:rsidRPr="003D2B6B">
        <w:rPr>
          <w:lang w:val="en-US"/>
        </w:rPr>
        <w:t>,</w:t>
      </w:r>
      <w:r w:rsidR="00A15BC9" w:rsidRPr="003D2B6B">
        <w:rPr>
          <w:lang w:val="en-US"/>
        </w:rPr>
        <w:t xml:space="preserve"> the </w:t>
      </w:r>
      <w:r w:rsidR="00734131" w:rsidRPr="003D2B6B">
        <w:rPr>
          <w:lang w:val="en-US"/>
        </w:rPr>
        <w:t>Laeven and Valencia (201</w:t>
      </w:r>
      <w:r w:rsidR="0096544E" w:rsidRPr="003D2B6B">
        <w:rPr>
          <w:lang w:val="en-US"/>
        </w:rPr>
        <w:t>2</w:t>
      </w:r>
      <w:r w:rsidR="00734131" w:rsidRPr="003D2B6B">
        <w:rPr>
          <w:lang w:val="en-US"/>
        </w:rPr>
        <w:t>) crisis dataset</w:t>
      </w:r>
      <w:r w:rsidR="00064ABC" w:rsidRPr="003D2B6B">
        <w:rPr>
          <w:lang w:val="en-US"/>
        </w:rPr>
        <w:t xml:space="preserve"> and the </w:t>
      </w:r>
      <w:r w:rsidR="00A15BC9" w:rsidRPr="003D2B6B">
        <w:rPr>
          <w:lang w:val="en-US"/>
        </w:rPr>
        <w:t xml:space="preserve">recent </w:t>
      </w:r>
      <w:r w:rsidR="00064ABC" w:rsidRPr="003D2B6B">
        <w:rPr>
          <w:lang w:val="en-US"/>
        </w:rPr>
        <w:t>ECB/ESRB EU cris</w:t>
      </w:r>
      <w:r w:rsidR="00A15BC9" w:rsidRPr="003D2B6B">
        <w:rPr>
          <w:lang w:val="en-US"/>
        </w:rPr>
        <w:t>i</w:t>
      </w:r>
      <w:r w:rsidR="00064ABC" w:rsidRPr="003D2B6B">
        <w:rPr>
          <w:lang w:val="en-US"/>
        </w:rPr>
        <w:t>s database (2017)</w:t>
      </w:r>
      <w:r w:rsidR="00A15BC9" w:rsidRPr="003D2B6B">
        <w:rPr>
          <w:lang w:val="en-US"/>
        </w:rPr>
        <w:t>.</w:t>
      </w:r>
    </w:p>
    <w:p w14:paraId="0E2E401B" w14:textId="3B2A5213" w:rsidR="007A4E7B" w:rsidRDefault="00A15BC9">
      <w:pPr>
        <w:spacing w:line="360" w:lineRule="auto"/>
        <w:rPr>
          <w:lang w:val="en-US"/>
        </w:rPr>
      </w:pPr>
      <w:r w:rsidRPr="003D2B6B">
        <w:rPr>
          <w:lang w:val="en-US"/>
        </w:rPr>
        <w:t xml:space="preserve">Our </w:t>
      </w:r>
      <w:r w:rsidR="007A4E7B" w:rsidRPr="003D2B6B">
        <w:rPr>
          <w:lang w:val="en-US"/>
        </w:rPr>
        <w:t xml:space="preserve">approach is similar </w:t>
      </w:r>
      <w:r w:rsidRPr="003D2B6B">
        <w:rPr>
          <w:lang w:val="en-US"/>
        </w:rPr>
        <w:t>in many ways to that</w:t>
      </w:r>
      <w:r>
        <w:rPr>
          <w:lang w:val="en-US"/>
        </w:rPr>
        <w:t xml:space="preserve"> of </w:t>
      </w:r>
      <w:r w:rsidR="007A4E7B">
        <w:rPr>
          <w:lang w:val="en-US"/>
        </w:rPr>
        <w:t xml:space="preserve">Anundsen </w:t>
      </w:r>
      <w:r w:rsidR="000B2E8F" w:rsidRPr="00FC4954">
        <w:rPr>
          <w:lang w:val="en-US"/>
        </w:rPr>
        <w:t>et al.</w:t>
      </w:r>
      <w:r>
        <w:rPr>
          <w:lang w:val="en-US"/>
        </w:rPr>
        <w:t xml:space="preserve"> </w:t>
      </w:r>
      <w:r w:rsidR="007A4E7B">
        <w:rPr>
          <w:lang w:val="en-US"/>
        </w:rPr>
        <w:t xml:space="preserve">(2016), who employ exuberance indicators </w:t>
      </w:r>
      <w:r w:rsidR="00853B1E">
        <w:rPr>
          <w:lang w:val="en-US"/>
        </w:rPr>
        <w:t xml:space="preserve">as a conditioning variable </w:t>
      </w:r>
      <w:r w:rsidR="007A4E7B">
        <w:rPr>
          <w:lang w:val="en-US"/>
        </w:rPr>
        <w:t xml:space="preserve">in a logit model that predicts financial crises. </w:t>
      </w:r>
      <w:r>
        <w:rPr>
          <w:lang w:val="en-US"/>
        </w:rPr>
        <w:t>W</w:t>
      </w:r>
      <w:r w:rsidR="00734131">
        <w:rPr>
          <w:lang w:val="en-US"/>
        </w:rPr>
        <w:t>e</w:t>
      </w:r>
      <w:r w:rsidR="00F50E6A">
        <w:rPr>
          <w:lang w:val="en-US"/>
        </w:rPr>
        <w:t xml:space="preserve"> </w:t>
      </w:r>
      <w:r w:rsidR="00622956">
        <w:rPr>
          <w:lang w:val="en-US"/>
        </w:rPr>
        <w:t xml:space="preserve">include </w:t>
      </w:r>
      <w:r w:rsidR="007E1DF4">
        <w:rPr>
          <w:lang w:val="en-US"/>
        </w:rPr>
        <w:t>more</w:t>
      </w:r>
      <w:r w:rsidR="00F50E6A">
        <w:rPr>
          <w:lang w:val="en-US"/>
        </w:rPr>
        <w:t xml:space="preserve"> </w:t>
      </w:r>
      <w:r w:rsidR="005D65F6">
        <w:rPr>
          <w:lang w:val="en-US"/>
        </w:rPr>
        <w:t>variables</w:t>
      </w:r>
      <w:r>
        <w:rPr>
          <w:lang w:val="en-US"/>
        </w:rPr>
        <w:t xml:space="preserve">, however, </w:t>
      </w:r>
      <w:r w:rsidR="007A4E7B">
        <w:rPr>
          <w:lang w:val="en-US"/>
        </w:rPr>
        <w:t xml:space="preserve">and </w:t>
      </w:r>
      <w:r w:rsidR="00622956">
        <w:rPr>
          <w:lang w:val="en-US"/>
        </w:rPr>
        <w:t xml:space="preserve">directly test the </w:t>
      </w:r>
      <w:r w:rsidR="006F1E70">
        <w:rPr>
          <w:lang w:val="en-US"/>
        </w:rPr>
        <w:t xml:space="preserve">performance </w:t>
      </w:r>
      <w:r w:rsidR="007A4E7B">
        <w:rPr>
          <w:lang w:val="en-US"/>
        </w:rPr>
        <w:t>of the exuberance indicators</w:t>
      </w:r>
      <w:r w:rsidR="006F1E70">
        <w:rPr>
          <w:lang w:val="en-US"/>
        </w:rPr>
        <w:t xml:space="preserve"> </w:t>
      </w:r>
      <w:r w:rsidR="00622956">
        <w:rPr>
          <w:lang w:val="en-US"/>
        </w:rPr>
        <w:t xml:space="preserve">instead of </w:t>
      </w:r>
      <w:r w:rsidR="006F1E70">
        <w:rPr>
          <w:lang w:val="en-US"/>
        </w:rPr>
        <w:t>including them as part of a larger model.</w:t>
      </w:r>
    </w:p>
    <w:p w14:paraId="2543F003" w14:textId="77777777" w:rsidR="00FC4954" w:rsidRDefault="006F1E70" w:rsidP="00AB2A12">
      <w:pPr>
        <w:spacing w:line="360" w:lineRule="auto"/>
        <w:rPr>
          <w:lang w:val="en-US"/>
        </w:rPr>
      </w:pPr>
      <w:r>
        <w:rPr>
          <w:lang w:val="en-US"/>
        </w:rPr>
        <w:t xml:space="preserve">We </w:t>
      </w:r>
      <w:r w:rsidR="00812800">
        <w:rPr>
          <w:lang w:val="en-US"/>
        </w:rPr>
        <w:t xml:space="preserve">first compare our results to Detken </w:t>
      </w:r>
      <w:r w:rsidR="000B2E8F" w:rsidRPr="00FC4954">
        <w:rPr>
          <w:lang w:val="en-US"/>
        </w:rPr>
        <w:t>et al.</w:t>
      </w:r>
      <w:r w:rsidR="00812800">
        <w:rPr>
          <w:lang w:val="en-US"/>
        </w:rPr>
        <w:t xml:space="preserve"> (2014)</w:t>
      </w:r>
      <w:r w:rsidR="0053716C">
        <w:rPr>
          <w:lang w:val="en-US"/>
        </w:rPr>
        <w:t xml:space="preserve">, </w:t>
      </w:r>
      <w:r w:rsidR="00812800">
        <w:rPr>
          <w:lang w:val="en-US"/>
        </w:rPr>
        <w:t>replicat</w:t>
      </w:r>
      <w:r w:rsidR="0053716C">
        <w:rPr>
          <w:lang w:val="en-US"/>
        </w:rPr>
        <w:t>ing</w:t>
      </w:r>
      <w:r w:rsidR="00812800">
        <w:rPr>
          <w:lang w:val="en-US"/>
        </w:rPr>
        <w:t xml:space="preserve"> the</w:t>
      </w:r>
      <w:r w:rsidR="0053716C">
        <w:rPr>
          <w:lang w:val="en-US"/>
        </w:rPr>
        <w:t>ir</w:t>
      </w:r>
      <w:r w:rsidR="00812800">
        <w:rPr>
          <w:lang w:val="en-US"/>
        </w:rPr>
        <w:t xml:space="preserve"> methodology with our dataset. We </w:t>
      </w:r>
      <w:r>
        <w:rPr>
          <w:lang w:val="en-US"/>
        </w:rPr>
        <w:t xml:space="preserve">find </w:t>
      </w:r>
      <w:r w:rsidR="00812800">
        <w:rPr>
          <w:lang w:val="en-US"/>
        </w:rPr>
        <w:t xml:space="preserve">an </w:t>
      </w:r>
      <w:r>
        <w:rPr>
          <w:lang w:val="en-US"/>
        </w:rPr>
        <w:t xml:space="preserve">improvement in performance compared with the standard signaling and logit models. </w:t>
      </w:r>
      <w:r w:rsidR="00812800">
        <w:rPr>
          <w:lang w:val="en-US"/>
        </w:rPr>
        <w:t xml:space="preserve">The performance difference is quite small for in-sample results </w:t>
      </w:r>
      <w:r w:rsidR="0053716C">
        <w:rPr>
          <w:lang w:val="en-US"/>
        </w:rPr>
        <w:t xml:space="preserve">and larger for </w:t>
      </w:r>
      <w:r w:rsidR="00812800">
        <w:rPr>
          <w:lang w:val="en-US"/>
        </w:rPr>
        <w:t>out-of-sample results.</w:t>
      </w:r>
      <w:r w:rsidR="00087068">
        <w:rPr>
          <w:rStyle w:val="Alaviitteenviite"/>
          <w:lang w:val="en-US"/>
        </w:rPr>
        <w:footnoteReference w:id="3"/>
      </w:r>
      <w:r w:rsidR="00812800">
        <w:rPr>
          <w:lang w:val="en-US"/>
        </w:rPr>
        <w:t xml:space="preserve"> </w:t>
      </w:r>
    </w:p>
    <w:p w14:paraId="1F5DF672" w14:textId="30E62020" w:rsidR="00812800" w:rsidRDefault="00375262" w:rsidP="00AB2A12">
      <w:pPr>
        <w:spacing w:line="360" w:lineRule="auto"/>
        <w:rPr>
          <w:lang w:val="en-US"/>
        </w:rPr>
      </w:pPr>
      <w:r>
        <w:rPr>
          <w:lang w:val="en-US"/>
        </w:rPr>
        <w:t xml:space="preserve">A </w:t>
      </w:r>
      <w:r w:rsidR="00812800">
        <w:rPr>
          <w:lang w:val="en-US"/>
        </w:rPr>
        <w:t xml:space="preserve">comparison </w:t>
      </w:r>
      <w:r w:rsidR="00A55771">
        <w:rPr>
          <w:lang w:val="en-US"/>
        </w:rPr>
        <w:t xml:space="preserve">of a </w:t>
      </w:r>
      <w:r w:rsidR="00C05A2C">
        <w:rPr>
          <w:lang w:val="en-US"/>
        </w:rPr>
        <w:t xml:space="preserve">broader set of </w:t>
      </w:r>
      <w:r w:rsidR="00A55771">
        <w:rPr>
          <w:lang w:val="en-US"/>
        </w:rPr>
        <w:t>metho</w:t>
      </w:r>
      <w:r w:rsidR="000B2E8F">
        <w:rPr>
          <w:lang w:val="en-US"/>
        </w:rPr>
        <w:t>d</w:t>
      </w:r>
      <w:r w:rsidR="00A55771">
        <w:rPr>
          <w:lang w:val="en-US"/>
        </w:rPr>
        <w:t xml:space="preserve">s is </w:t>
      </w:r>
      <w:r>
        <w:rPr>
          <w:lang w:val="en-US"/>
        </w:rPr>
        <w:t xml:space="preserve">also </w:t>
      </w:r>
      <w:r w:rsidR="00C05A2C">
        <w:rPr>
          <w:lang w:val="en-US"/>
        </w:rPr>
        <w:t xml:space="preserve">included in </w:t>
      </w:r>
      <w:r w:rsidR="00812800">
        <w:rPr>
          <w:lang w:val="en-US"/>
        </w:rPr>
        <w:t xml:space="preserve">Alessi </w:t>
      </w:r>
      <w:r w:rsidR="000B2E8F" w:rsidRPr="00FC4954">
        <w:rPr>
          <w:lang w:val="en-US"/>
        </w:rPr>
        <w:t>et al.</w:t>
      </w:r>
      <w:r w:rsidR="00812800">
        <w:rPr>
          <w:lang w:val="en-US"/>
        </w:rPr>
        <w:t xml:space="preserve"> (2015)</w:t>
      </w:r>
      <w:r w:rsidR="0053716C">
        <w:rPr>
          <w:lang w:val="en-US"/>
        </w:rPr>
        <w:t xml:space="preserve">, but </w:t>
      </w:r>
      <w:r w:rsidR="001527B6">
        <w:rPr>
          <w:lang w:val="en-US"/>
        </w:rPr>
        <w:t xml:space="preserve">it relies </w:t>
      </w:r>
      <w:r w:rsidR="0053716C">
        <w:rPr>
          <w:lang w:val="en-US"/>
        </w:rPr>
        <w:t xml:space="preserve">solely </w:t>
      </w:r>
      <w:r w:rsidR="00A55771">
        <w:rPr>
          <w:lang w:val="en-US"/>
        </w:rPr>
        <w:t xml:space="preserve">on </w:t>
      </w:r>
      <w:r w:rsidR="00C05A2C">
        <w:rPr>
          <w:lang w:val="en-US"/>
        </w:rPr>
        <w:t xml:space="preserve">in-sample </w:t>
      </w:r>
      <w:r w:rsidR="00A55771">
        <w:rPr>
          <w:lang w:val="en-US"/>
        </w:rPr>
        <w:t xml:space="preserve">comparisons </w:t>
      </w:r>
      <w:r w:rsidR="001527B6">
        <w:rPr>
          <w:lang w:val="en-US"/>
        </w:rPr>
        <w:t xml:space="preserve">and suffers from </w:t>
      </w:r>
      <w:r w:rsidR="00812800">
        <w:rPr>
          <w:lang w:val="en-US"/>
        </w:rPr>
        <w:t xml:space="preserve">differences </w:t>
      </w:r>
      <w:r w:rsidR="001527B6">
        <w:rPr>
          <w:lang w:val="en-US"/>
        </w:rPr>
        <w:t xml:space="preserve">across </w:t>
      </w:r>
      <w:r w:rsidR="00812800">
        <w:rPr>
          <w:lang w:val="en-US"/>
        </w:rPr>
        <w:t>sample</w:t>
      </w:r>
      <w:r w:rsidR="00A55771">
        <w:rPr>
          <w:lang w:val="en-US"/>
        </w:rPr>
        <w:t>s</w:t>
      </w:r>
      <w:r w:rsidR="00812800">
        <w:rPr>
          <w:lang w:val="en-US"/>
        </w:rPr>
        <w:t xml:space="preserve"> and variables</w:t>
      </w:r>
      <w:r w:rsidR="00C05A2C">
        <w:rPr>
          <w:lang w:val="en-US"/>
        </w:rPr>
        <w:t>.</w:t>
      </w:r>
      <w:r w:rsidR="00FC4954">
        <w:rPr>
          <w:lang w:val="en-US"/>
        </w:rPr>
        <w:t xml:space="preserve"> </w:t>
      </w:r>
      <w:r w:rsidR="001527B6">
        <w:rPr>
          <w:lang w:val="en-US"/>
        </w:rPr>
        <w:t>While ou</w:t>
      </w:r>
      <w:r w:rsidR="0053716C">
        <w:rPr>
          <w:lang w:val="en-US"/>
        </w:rPr>
        <w:t xml:space="preserve">r </w:t>
      </w:r>
      <w:r w:rsidR="00C05A2C">
        <w:rPr>
          <w:lang w:val="en-US"/>
        </w:rPr>
        <w:t xml:space="preserve">exuberance indicators underperform against </w:t>
      </w:r>
      <w:r w:rsidR="00FC4954">
        <w:rPr>
          <w:lang w:val="en-US"/>
        </w:rPr>
        <w:t xml:space="preserve">some </w:t>
      </w:r>
      <w:r w:rsidR="00C05A2C">
        <w:rPr>
          <w:lang w:val="en-US"/>
        </w:rPr>
        <w:t>data</w:t>
      </w:r>
      <w:r w:rsidR="0053716C">
        <w:rPr>
          <w:lang w:val="en-US"/>
        </w:rPr>
        <w:t>-</w:t>
      </w:r>
      <w:r w:rsidR="00C05A2C">
        <w:rPr>
          <w:lang w:val="en-US"/>
        </w:rPr>
        <w:t>driven methods</w:t>
      </w:r>
      <w:r w:rsidR="001527B6">
        <w:rPr>
          <w:lang w:val="en-US"/>
        </w:rPr>
        <w:t xml:space="preserve"> in </w:t>
      </w:r>
      <w:r>
        <w:rPr>
          <w:lang w:val="en-US"/>
        </w:rPr>
        <w:t>our</w:t>
      </w:r>
      <w:r w:rsidR="001527B6">
        <w:rPr>
          <w:lang w:val="en-US"/>
        </w:rPr>
        <w:t xml:space="preserve"> initial comparison</w:t>
      </w:r>
      <w:r w:rsidR="0053716C">
        <w:rPr>
          <w:lang w:val="en-US"/>
        </w:rPr>
        <w:t xml:space="preserve">, </w:t>
      </w:r>
      <w:r w:rsidR="001527B6">
        <w:rPr>
          <w:lang w:val="en-US"/>
        </w:rPr>
        <w:t xml:space="preserve">they reveal a </w:t>
      </w:r>
      <w:r w:rsidR="00C05A2C">
        <w:rPr>
          <w:lang w:val="en-US"/>
        </w:rPr>
        <w:t xml:space="preserve">trade-off between in-sample performance and out-of-sample performance driven by the number </w:t>
      </w:r>
      <w:r w:rsidR="008B2BA0">
        <w:rPr>
          <w:lang w:val="en-US"/>
        </w:rPr>
        <w:t xml:space="preserve">of free parameters of the model. </w:t>
      </w:r>
      <w:r w:rsidR="00142E97">
        <w:rPr>
          <w:lang w:val="en-US"/>
        </w:rPr>
        <w:t xml:space="preserve">When </w:t>
      </w:r>
      <w:r w:rsidR="0053716C">
        <w:rPr>
          <w:lang w:val="en-US"/>
        </w:rPr>
        <w:t xml:space="preserve">we account for this </w:t>
      </w:r>
      <w:r w:rsidR="008B2BA0">
        <w:rPr>
          <w:lang w:val="en-US"/>
        </w:rPr>
        <w:t xml:space="preserve">trade-off, </w:t>
      </w:r>
      <w:r w:rsidR="0053716C">
        <w:rPr>
          <w:lang w:val="en-US"/>
        </w:rPr>
        <w:t xml:space="preserve">our </w:t>
      </w:r>
      <w:r w:rsidR="008B2BA0">
        <w:rPr>
          <w:lang w:val="en-US"/>
        </w:rPr>
        <w:t xml:space="preserve">exuberance indicators </w:t>
      </w:r>
      <w:r w:rsidR="0053716C">
        <w:rPr>
          <w:lang w:val="en-US"/>
        </w:rPr>
        <w:t xml:space="preserve">show </w:t>
      </w:r>
      <w:r w:rsidR="008B2BA0">
        <w:rPr>
          <w:lang w:val="en-US"/>
        </w:rPr>
        <w:t xml:space="preserve">broadly similar </w:t>
      </w:r>
      <w:r w:rsidR="0053716C">
        <w:rPr>
          <w:lang w:val="en-US"/>
        </w:rPr>
        <w:t xml:space="preserve">or superior </w:t>
      </w:r>
      <w:r w:rsidR="008B2BA0">
        <w:rPr>
          <w:lang w:val="en-US"/>
        </w:rPr>
        <w:t xml:space="preserve">performance </w:t>
      </w:r>
      <w:r w:rsidR="0053716C">
        <w:rPr>
          <w:lang w:val="en-US"/>
        </w:rPr>
        <w:t xml:space="preserve">to </w:t>
      </w:r>
      <w:r w:rsidR="008B2BA0">
        <w:rPr>
          <w:lang w:val="en-US"/>
        </w:rPr>
        <w:t>other methods, suggest</w:t>
      </w:r>
      <w:r w:rsidR="0053716C">
        <w:rPr>
          <w:lang w:val="en-US"/>
        </w:rPr>
        <w:t xml:space="preserve">ing they are worth </w:t>
      </w:r>
      <w:r w:rsidR="008B2BA0">
        <w:rPr>
          <w:lang w:val="en-US"/>
        </w:rPr>
        <w:t xml:space="preserve">including in </w:t>
      </w:r>
      <w:r w:rsidR="0053716C">
        <w:rPr>
          <w:lang w:val="en-US"/>
        </w:rPr>
        <w:t xml:space="preserve">the </w:t>
      </w:r>
      <w:r w:rsidR="008B2BA0">
        <w:rPr>
          <w:lang w:val="en-US"/>
        </w:rPr>
        <w:t>toolkit of financial stability supervisors.</w:t>
      </w:r>
    </w:p>
    <w:p w14:paraId="2E3B289C" w14:textId="0F52C854" w:rsidR="001527B6" w:rsidRDefault="0053716C" w:rsidP="00AB2A12">
      <w:pPr>
        <w:spacing w:line="360" w:lineRule="auto"/>
        <w:rPr>
          <w:lang w:val="en-US"/>
        </w:rPr>
      </w:pPr>
      <w:r>
        <w:rPr>
          <w:lang w:val="en-US"/>
        </w:rPr>
        <w:t xml:space="preserve">Our </w:t>
      </w:r>
      <w:r w:rsidR="00AB2A12">
        <w:rPr>
          <w:lang w:val="en-US"/>
        </w:rPr>
        <w:t xml:space="preserve">results corroborate </w:t>
      </w:r>
      <w:r w:rsidR="00375262">
        <w:rPr>
          <w:lang w:val="en-US"/>
        </w:rPr>
        <w:t xml:space="preserve">other </w:t>
      </w:r>
      <w:r w:rsidR="00AB2A12">
        <w:rPr>
          <w:lang w:val="en-US"/>
        </w:rPr>
        <w:t xml:space="preserve">findings in </w:t>
      </w:r>
      <w:r w:rsidR="0003029C">
        <w:rPr>
          <w:lang w:val="en-US"/>
        </w:rPr>
        <w:t>the early</w:t>
      </w:r>
      <w:r w:rsidR="00375262">
        <w:rPr>
          <w:lang w:val="en-US"/>
        </w:rPr>
        <w:t xml:space="preserve"> </w:t>
      </w:r>
      <w:r w:rsidR="0003029C">
        <w:rPr>
          <w:lang w:val="en-US"/>
        </w:rPr>
        <w:t>warning literature</w:t>
      </w:r>
      <w:r w:rsidR="006F1E70">
        <w:rPr>
          <w:lang w:val="en-US"/>
        </w:rPr>
        <w:t>.</w:t>
      </w:r>
      <w:r w:rsidR="0003029C">
        <w:rPr>
          <w:lang w:val="en-US"/>
        </w:rPr>
        <w:t xml:space="preserve"> </w:t>
      </w:r>
      <w:r w:rsidR="00AB2A12">
        <w:rPr>
          <w:lang w:val="en-US"/>
        </w:rPr>
        <w:t>P</w:t>
      </w:r>
      <w:r w:rsidR="0003029C">
        <w:rPr>
          <w:lang w:val="en-US"/>
        </w:rPr>
        <w:t>e</w:t>
      </w:r>
      <w:r w:rsidR="00B22BE1">
        <w:rPr>
          <w:lang w:val="en-US"/>
        </w:rPr>
        <w:t>riods of</w:t>
      </w:r>
      <w:r w:rsidR="00BC09F0">
        <w:rPr>
          <w:lang w:val="en-US"/>
        </w:rPr>
        <w:t xml:space="preserve"> explosive </w:t>
      </w:r>
      <w:r w:rsidR="00B22BE1">
        <w:rPr>
          <w:lang w:val="en-US"/>
        </w:rPr>
        <w:t xml:space="preserve">growth in variables </w:t>
      </w:r>
      <w:r w:rsidR="001527B6">
        <w:rPr>
          <w:lang w:val="en-US"/>
        </w:rPr>
        <w:t xml:space="preserve">such as </w:t>
      </w:r>
      <w:r w:rsidR="00B22BE1">
        <w:rPr>
          <w:lang w:val="en-US"/>
        </w:rPr>
        <w:t xml:space="preserve">real </w:t>
      </w:r>
      <w:r w:rsidR="00B22BE1" w:rsidRPr="003D2B6B">
        <w:rPr>
          <w:lang w:val="en-US"/>
        </w:rPr>
        <w:t>estate</w:t>
      </w:r>
      <w:r w:rsidR="001527B6" w:rsidRPr="003D2B6B">
        <w:rPr>
          <w:lang w:val="en-US"/>
        </w:rPr>
        <w:t xml:space="preserve"> </w:t>
      </w:r>
      <w:r w:rsidR="00B22BE1" w:rsidRPr="003D2B6B">
        <w:rPr>
          <w:lang w:val="en-US"/>
        </w:rPr>
        <w:t>price-to-income</w:t>
      </w:r>
      <w:r w:rsidR="004F1467" w:rsidRPr="003D2B6B">
        <w:rPr>
          <w:lang w:val="en-US"/>
        </w:rPr>
        <w:t>,</w:t>
      </w:r>
      <w:r w:rsidR="00B22BE1" w:rsidRPr="003D2B6B">
        <w:rPr>
          <w:lang w:val="en-US"/>
        </w:rPr>
        <w:t xml:space="preserve"> credit-to-GDP ratio</w:t>
      </w:r>
      <w:r w:rsidR="001527B6" w:rsidRPr="003D2B6B">
        <w:rPr>
          <w:lang w:val="en-US"/>
        </w:rPr>
        <w:t>,</w:t>
      </w:r>
      <w:r w:rsidR="00B22BE1" w:rsidRPr="003D2B6B">
        <w:rPr>
          <w:lang w:val="en-US"/>
        </w:rPr>
        <w:t xml:space="preserve"> </w:t>
      </w:r>
      <w:r w:rsidR="004F1467" w:rsidRPr="003D2B6B">
        <w:rPr>
          <w:lang w:val="en-US"/>
        </w:rPr>
        <w:t>or debt</w:t>
      </w:r>
      <w:r w:rsidR="00375262" w:rsidRPr="003D2B6B">
        <w:rPr>
          <w:lang w:val="en-US"/>
        </w:rPr>
        <w:t xml:space="preserve"> </w:t>
      </w:r>
      <w:r w:rsidR="004F1467" w:rsidRPr="003D2B6B">
        <w:rPr>
          <w:lang w:val="en-US"/>
        </w:rPr>
        <w:t>servic</w:t>
      </w:r>
      <w:r w:rsidR="00375262" w:rsidRPr="003D2B6B">
        <w:rPr>
          <w:lang w:val="en-US"/>
        </w:rPr>
        <w:t>e</w:t>
      </w:r>
      <w:r w:rsidR="004F1467" w:rsidRPr="003D2B6B">
        <w:rPr>
          <w:lang w:val="en-US"/>
        </w:rPr>
        <w:t xml:space="preserve"> costs </w:t>
      </w:r>
      <w:r w:rsidR="001527B6" w:rsidRPr="003D2B6B">
        <w:rPr>
          <w:lang w:val="en-US"/>
        </w:rPr>
        <w:t xml:space="preserve">are linked </w:t>
      </w:r>
      <w:r w:rsidR="00B22BE1" w:rsidRPr="003D2B6B">
        <w:rPr>
          <w:lang w:val="en-US"/>
        </w:rPr>
        <w:t>strong</w:t>
      </w:r>
      <w:r w:rsidR="001527B6" w:rsidRPr="003D2B6B">
        <w:rPr>
          <w:lang w:val="en-US"/>
        </w:rPr>
        <w:t>ly</w:t>
      </w:r>
      <w:r w:rsidR="00B22BE1" w:rsidRPr="003D2B6B">
        <w:rPr>
          <w:lang w:val="en-US"/>
        </w:rPr>
        <w:t xml:space="preserve"> to financial cris</w:t>
      </w:r>
      <w:r w:rsidR="001527B6" w:rsidRPr="003D2B6B">
        <w:rPr>
          <w:lang w:val="en-US"/>
        </w:rPr>
        <w:t>i</w:t>
      </w:r>
      <w:r w:rsidR="00B22BE1" w:rsidRPr="003D2B6B">
        <w:rPr>
          <w:lang w:val="en-US"/>
        </w:rPr>
        <w:t>s.</w:t>
      </w:r>
      <w:r w:rsidR="00853B1E" w:rsidRPr="003D2B6B">
        <w:rPr>
          <w:lang w:val="en-US"/>
        </w:rPr>
        <w:t xml:space="preserve"> The</w:t>
      </w:r>
      <w:r w:rsidR="006F1E70" w:rsidRPr="003D2B6B">
        <w:rPr>
          <w:lang w:val="en-US"/>
        </w:rPr>
        <w:t>se</w:t>
      </w:r>
      <w:r w:rsidR="00853B1E" w:rsidRPr="003D2B6B">
        <w:rPr>
          <w:lang w:val="en-US"/>
        </w:rPr>
        <w:t xml:space="preserve"> findings </w:t>
      </w:r>
      <w:r w:rsidR="001527B6" w:rsidRPr="003D2B6B">
        <w:rPr>
          <w:lang w:val="en-US"/>
        </w:rPr>
        <w:t xml:space="preserve">comport, among others, </w:t>
      </w:r>
      <w:r w:rsidR="00853B1E" w:rsidRPr="003D2B6B">
        <w:rPr>
          <w:lang w:val="en-US"/>
        </w:rPr>
        <w:t>with</w:t>
      </w:r>
      <w:r w:rsidR="006369E0" w:rsidRPr="003D2B6B">
        <w:rPr>
          <w:lang w:val="en-US"/>
        </w:rPr>
        <w:t xml:space="preserve"> </w:t>
      </w:r>
      <w:r w:rsidR="00853B1E" w:rsidRPr="003D2B6B">
        <w:rPr>
          <w:lang w:val="en-US"/>
        </w:rPr>
        <w:t xml:space="preserve">Anundsen </w:t>
      </w:r>
      <w:r w:rsidR="000B2E8F" w:rsidRPr="003D2B6B">
        <w:rPr>
          <w:lang w:val="en-US"/>
        </w:rPr>
        <w:t>et al.</w:t>
      </w:r>
      <w:r w:rsidR="00853B1E" w:rsidRPr="003D2B6B">
        <w:rPr>
          <w:lang w:val="en-US"/>
        </w:rPr>
        <w:t xml:space="preserve"> (2016)</w:t>
      </w:r>
      <w:r w:rsidR="001527B6" w:rsidRPr="003D2B6B">
        <w:rPr>
          <w:lang w:val="en-US"/>
        </w:rPr>
        <w:t xml:space="preserve">, </w:t>
      </w:r>
      <w:r w:rsidR="00853B1E" w:rsidRPr="003D2B6B">
        <w:rPr>
          <w:lang w:val="en-US"/>
        </w:rPr>
        <w:t xml:space="preserve">Jordá </w:t>
      </w:r>
      <w:r w:rsidR="000B2E8F" w:rsidRPr="003D2B6B">
        <w:rPr>
          <w:lang w:val="en-US"/>
        </w:rPr>
        <w:t>et al.</w:t>
      </w:r>
      <w:r w:rsidR="00853B1E" w:rsidRPr="003D2B6B">
        <w:rPr>
          <w:lang w:val="en-US"/>
        </w:rPr>
        <w:t xml:space="preserve"> (2015)</w:t>
      </w:r>
      <w:r w:rsidR="001527B6" w:rsidRPr="003D2B6B">
        <w:rPr>
          <w:lang w:val="en-US"/>
        </w:rPr>
        <w:t xml:space="preserve">, </w:t>
      </w:r>
      <w:r w:rsidR="00375262" w:rsidRPr="003D2B6B">
        <w:rPr>
          <w:lang w:val="en-US"/>
        </w:rPr>
        <w:t xml:space="preserve">and their </w:t>
      </w:r>
      <w:r w:rsidR="00853B1E" w:rsidRPr="003D2B6B">
        <w:rPr>
          <w:lang w:val="en-US"/>
        </w:rPr>
        <w:t>conclu</w:t>
      </w:r>
      <w:r w:rsidR="00375262" w:rsidRPr="003D2B6B">
        <w:rPr>
          <w:lang w:val="en-US"/>
        </w:rPr>
        <w:t>sions</w:t>
      </w:r>
      <w:r w:rsidR="00853B1E" w:rsidRPr="003D2B6B">
        <w:rPr>
          <w:lang w:val="en-US"/>
        </w:rPr>
        <w:t xml:space="preserve"> that asset price bubbles are more dangerous when credit is involved. </w:t>
      </w:r>
      <w:r w:rsidR="00AB2A12" w:rsidRPr="003D2B6B">
        <w:rPr>
          <w:lang w:val="en-US"/>
        </w:rPr>
        <w:t>The time</w:t>
      </w:r>
      <w:r w:rsidR="001527B6" w:rsidRPr="003D2B6B">
        <w:rPr>
          <w:lang w:val="en-US"/>
        </w:rPr>
        <w:t>-</w:t>
      </w:r>
      <w:r w:rsidR="00AB2A12" w:rsidRPr="003D2B6B">
        <w:rPr>
          <w:lang w:val="en-US"/>
        </w:rPr>
        <w:t>ordering is in line with result</w:t>
      </w:r>
      <w:r w:rsidR="0062595D" w:rsidRPr="003D2B6B">
        <w:rPr>
          <w:lang w:val="en-US"/>
        </w:rPr>
        <w:t>s</w:t>
      </w:r>
      <w:r w:rsidR="00AB2A12">
        <w:rPr>
          <w:lang w:val="en-US"/>
        </w:rPr>
        <w:t xml:space="preserve"> obtained for a standard early</w:t>
      </w:r>
      <w:r w:rsidR="001527B6">
        <w:rPr>
          <w:lang w:val="en-US"/>
        </w:rPr>
        <w:t>-</w:t>
      </w:r>
      <w:r w:rsidR="00AB2A12">
        <w:rPr>
          <w:lang w:val="en-US"/>
        </w:rPr>
        <w:t>warning system based on level of the indicators (</w:t>
      </w:r>
      <w:r w:rsidR="00087068">
        <w:rPr>
          <w:lang w:val="en-US"/>
        </w:rPr>
        <w:t xml:space="preserve">see e.g. </w:t>
      </w:r>
      <w:r w:rsidR="00AB2A12">
        <w:rPr>
          <w:lang w:val="en-US"/>
        </w:rPr>
        <w:t>Drehmann and Juselius, 2014)</w:t>
      </w:r>
      <w:r w:rsidR="006F1E70">
        <w:rPr>
          <w:lang w:val="en-US"/>
        </w:rPr>
        <w:t>.</w:t>
      </w:r>
    </w:p>
    <w:p w14:paraId="72C43473" w14:textId="11652C66" w:rsidR="00AB2A12" w:rsidRPr="00760F64" w:rsidRDefault="001527B6" w:rsidP="00AB2A12">
      <w:pPr>
        <w:spacing w:line="360" w:lineRule="auto"/>
        <w:rPr>
          <w:lang w:val="en-US"/>
        </w:rPr>
      </w:pPr>
      <w:r>
        <w:rPr>
          <w:lang w:val="en-US"/>
        </w:rPr>
        <w:lastRenderedPageBreak/>
        <w:t xml:space="preserve">The first </w:t>
      </w:r>
      <w:r w:rsidR="00AB2A12">
        <w:rPr>
          <w:lang w:val="en-US"/>
        </w:rPr>
        <w:t xml:space="preserve">bubble </w:t>
      </w:r>
      <w:r w:rsidR="00AB2A12" w:rsidRPr="00760F64">
        <w:rPr>
          <w:lang w:val="en-US"/>
        </w:rPr>
        <w:t xml:space="preserve">signals are obtained early on when credit and asset prices </w:t>
      </w:r>
      <w:r w:rsidR="0062595D" w:rsidRPr="00760F64">
        <w:rPr>
          <w:lang w:val="en-US"/>
        </w:rPr>
        <w:t>experience rapid growth</w:t>
      </w:r>
      <w:r w:rsidR="00AB2A12" w:rsidRPr="00760F64">
        <w:rPr>
          <w:lang w:val="en-US"/>
        </w:rPr>
        <w:t xml:space="preserve">. </w:t>
      </w:r>
      <w:r w:rsidR="006F1E70" w:rsidRPr="00760F64">
        <w:rPr>
          <w:lang w:val="en-US"/>
        </w:rPr>
        <w:t>In this case</w:t>
      </w:r>
      <w:r w:rsidRPr="00760F64">
        <w:rPr>
          <w:lang w:val="en-US"/>
        </w:rPr>
        <w:t>,</w:t>
      </w:r>
      <w:r w:rsidR="006F1E70" w:rsidRPr="00760F64">
        <w:rPr>
          <w:lang w:val="en-US"/>
        </w:rPr>
        <w:t xml:space="preserve"> t</w:t>
      </w:r>
      <w:r w:rsidR="00AB2A12" w:rsidRPr="00760F64">
        <w:rPr>
          <w:lang w:val="en-US"/>
        </w:rPr>
        <w:t>he alerting lead</w:t>
      </w:r>
      <w:r w:rsidRPr="00760F64">
        <w:rPr>
          <w:lang w:val="en-US"/>
        </w:rPr>
        <w:t xml:space="preserve"> (</w:t>
      </w:r>
      <w:r w:rsidR="00AB2A12" w:rsidRPr="00760F64">
        <w:rPr>
          <w:lang w:val="en-US"/>
        </w:rPr>
        <w:t>time between the warning signal and the incoming crisis</w:t>
      </w:r>
      <w:r w:rsidRPr="00760F64">
        <w:rPr>
          <w:lang w:val="en-US"/>
        </w:rPr>
        <w:t>)</w:t>
      </w:r>
      <w:r w:rsidR="00AB2A12" w:rsidRPr="00760F64">
        <w:rPr>
          <w:lang w:val="en-US"/>
        </w:rPr>
        <w:t xml:space="preserve"> is typically </w:t>
      </w:r>
      <w:r w:rsidR="00D9534F" w:rsidRPr="00760F64">
        <w:rPr>
          <w:lang w:val="en-US"/>
        </w:rPr>
        <w:t>ten to twelve quarters.</w:t>
      </w:r>
      <w:r w:rsidR="00AB2A12" w:rsidRPr="00760F64">
        <w:rPr>
          <w:lang w:val="en-US"/>
        </w:rPr>
        <w:t xml:space="preserve"> </w:t>
      </w:r>
      <w:r w:rsidRPr="00760F64">
        <w:rPr>
          <w:lang w:val="en-US"/>
        </w:rPr>
        <w:t>A</w:t>
      </w:r>
      <w:r w:rsidR="006F1E70" w:rsidRPr="00760F64">
        <w:rPr>
          <w:lang w:val="en-US"/>
        </w:rPr>
        <w:t xml:space="preserve">bout </w:t>
      </w:r>
      <w:r w:rsidR="00D9534F" w:rsidRPr="00760F64">
        <w:rPr>
          <w:lang w:val="en-US"/>
        </w:rPr>
        <w:t>eight quarters</w:t>
      </w:r>
      <w:r w:rsidR="006F1E70" w:rsidRPr="00760F64">
        <w:rPr>
          <w:lang w:val="en-US"/>
        </w:rPr>
        <w:t xml:space="preserve"> before the crisis</w:t>
      </w:r>
      <w:r w:rsidR="00AB2A12" w:rsidRPr="00760F64">
        <w:rPr>
          <w:lang w:val="en-US"/>
        </w:rPr>
        <w:t xml:space="preserve"> </w:t>
      </w:r>
      <w:r w:rsidRPr="00760F64">
        <w:rPr>
          <w:lang w:val="en-US"/>
        </w:rPr>
        <w:t xml:space="preserve">arrives, </w:t>
      </w:r>
      <w:r w:rsidR="00AB2A12" w:rsidRPr="00760F64">
        <w:rPr>
          <w:lang w:val="en-US"/>
        </w:rPr>
        <w:t>debt</w:t>
      </w:r>
      <w:r w:rsidRPr="00760F64">
        <w:rPr>
          <w:lang w:val="en-US"/>
        </w:rPr>
        <w:t>-</w:t>
      </w:r>
      <w:r w:rsidR="00AB2A12" w:rsidRPr="00760F64">
        <w:rPr>
          <w:lang w:val="en-US"/>
        </w:rPr>
        <w:t xml:space="preserve">servicing costs </w:t>
      </w:r>
      <w:r w:rsidRPr="00760F64">
        <w:rPr>
          <w:lang w:val="en-US"/>
        </w:rPr>
        <w:t xml:space="preserve">embark on an </w:t>
      </w:r>
      <w:r w:rsidR="00AB2A12" w:rsidRPr="00760F64">
        <w:rPr>
          <w:lang w:val="en-US"/>
        </w:rPr>
        <w:t xml:space="preserve">explosive growth path. The </w:t>
      </w:r>
      <w:r w:rsidR="006F1E70" w:rsidRPr="00760F64">
        <w:rPr>
          <w:lang w:val="en-US"/>
        </w:rPr>
        <w:t xml:space="preserve">probability </w:t>
      </w:r>
      <w:r w:rsidR="00AB2A12" w:rsidRPr="00760F64">
        <w:rPr>
          <w:lang w:val="en-US"/>
        </w:rPr>
        <w:t xml:space="preserve">of financial </w:t>
      </w:r>
      <w:r w:rsidRPr="00760F64">
        <w:rPr>
          <w:lang w:val="en-US"/>
        </w:rPr>
        <w:t xml:space="preserve">meltdown hits its peak </w:t>
      </w:r>
      <w:r w:rsidR="00E01281" w:rsidRPr="00760F64">
        <w:rPr>
          <w:lang w:val="en-US"/>
        </w:rPr>
        <w:t xml:space="preserve">after </w:t>
      </w:r>
      <w:r w:rsidRPr="00760F64">
        <w:rPr>
          <w:lang w:val="en-US"/>
        </w:rPr>
        <w:t xml:space="preserve">the </w:t>
      </w:r>
      <w:r w:rsidR="0074246C" w:rsidRPr="00760F64">
        <w:rPr>
          <w:lang w:val="en-US"/>
        </w:rPr>
        <w:t xml:space="preserve">debt bubble has been building </w:t>
      </w:r>
      <w:r w:rsidR="00E01281" w:rsidRPr="00760F64">
        <w:rPr>
          <w:lang w:val="en-US"/>
        </w:rPr>
        <w:t xml:space="preserve">on average </w:t>
      </w:r>
      <w:r w:rsidR="0074246C" w:rsidRPr="00760F64">
        <w:rPr>
          <w:lang w:val="en-US"/>
        </w:rPr>
        <w:t>for 20 quarters</w:t>
      </w:r>
      <w:r w:rsidR="00AB2A12" w:rsidRPr="00760F64">
        <w:rPr>
          <w:lang w:val="en-US"/>
        </w:rPr>
        <w:t>.</w:t>
      </w:r>
    </w:p>
    <w:p w14:paraId="6C1D1317" w14:textId="4879F50D" w:rsidR="003F6CE6" w:rsidRDefault="003F6CE6" w:rsidP="00E45E76">
      <w:pPr>
        <w:spacing w:line="360" w:lineRule="auto"/>
        <w:rPr>
          <w:lang w:val="en-US"/>
        </w:rPr>
      </w:pPr>
      <w:r w:rsidRPr="00760F64">
        <w:rPr>
          <w:lang w:val="en-US"/>
        </w:rPr>
        <w:t xml:space="preserve">The rest of this paper is organized as follows. </w:t>
      </w:r>
      <w:r w:rsidR="00A94E8F" w:rsidRPr="00760F64">
        <w:rPr>
          <w:lang w:val="en-US"/>
        </w:rPr>
        <w:t xml:space="preserve">Section 2 </w:t>
      </w:r>
      <w:r w:rsidR="001B16BC" w:rsidRPr="00760F64">
        <w:rPr>
          <w:lang w:val="en-US"/>
        </w:rPr>
        <w:t xml:space="preserve">reviews the relevant </w:t>
      </w:r>
      <w:r w:rsidR="00A94E8F" w:rsidRPr="00760F64">
        <w:rPr>
          <w:lang w:val="en-US"/>
        </w:rPr>
        <w:t>literature and theory</w:t>
      </w:r>
      <w:r w:rsidR="001B16BC" w:rsidRPr="00760F64">
        <w:rPr>
          <w:lang w:val="en-US"/>
        </w:rPr>
        <w:t>, with S</w:t>
      </w:r>
      <w:r w:rsidR="00A94E8F" w:rsidRPr="00760F64">
        <w:rPr>
          <w:lang w:val="en-US"/>
        </w:rPr>
        <w:t xml:space="preserve">ection </w:t>
      </w:r>
      <w:r w:rsidR="00622675" w:rsidRPr="00760F64">
        <w:rPr>
          <w:lang w:val="en-US"/>
        </w:rPr>
        <w:t>2</w:t>
      </w:r>
      <w:r w:rsidR="00A94E8F" w:rsidRPr="00760F64">
        <w:rPr>
          <w:lang w:val="en-US"/>
        </w:rPr>
        <w:t xml:space="preserve">A </w:t>
      </w:r>
      <w:r w:rsidR="001B16BC" w:rsidRPr="00760F64">
        <w:rPr>
          <w:lang w:val="en-US"/>
        </w:rPr>
        <w:t xml:space="preserve">focusing on </w:t>
      </w:r>
      <w:r w:rsidR="009E2983" w:rsidRPr="00760F64">
        <w:rPr>
          <w:lang w:val="en-US"/>
        </w:rPr>
        <w:t xml:space="preserve">general </w:t>
      </w:r>
      <w:r w:rsidR="00A94E8F" w:rsidRPr="00760F64">
        <w:rPr>
          <w:lang w:val="en-US"/>
        </w:rPr>
        <w:t xml:space="preserve">literature on </w:t>
      </w:r>
      <w:r w:rsidR="009E2983" w:rsidRPr="00760F64">
        <w:rPr>
          <w:lang w:val="en-US"/>
        </w:rPr>
        <w:t xml:space="preserve">testing for </w:t>
      </w:r>
      <w:r w:rsidR="00A94E8F" w:rsidRPr="00760F64">
        <w:rPr>
          <w:lang w:val="en-US"/>
        </w:rPr>
        <w:t>financial bubbles</w:t>
      </w:r>
      <w:r w:rsidR="001B16BC" w:rsidRPr="00760F64">
        <w:rPr>
          <w:lang w:val="en-US"/>
        </w:rPr>
        <w:t>, and S</w:t>
      </w:r>
      <w:r w:rsidR="00A94E8F" w:rsidRPr="00760F64">
        <w:rPr>
          <w:lang w:val="en-US"/>
        </w:rPr>
        <w:t xml:space="preserve">ection </w:t>
      </w:r>
      <w:r w:rsidR="00622675" w:rsidRPr="00760F64">
        <w:rPr>
          <w:lang w:val="en-US"/>
        </w:rPr>
        <w:t>2</w:t>
      </w:r>
      <w:r w:rsidR="00A94E8F" w:rsidRPr="00760F64">
        <w:rPr>
          <w:lang w:val="en-US"/>
        </w:rPr>
        <w:t>B detail</w:t>
      </w:r>
      <w:r w:rsidR="001B16BC" w:rsidRPr="00760F64">
        <w:rPr>
          <w:lang w:val="en-US"/>
        </w:rPr>
        <w:t>ing</w:t>
      </w:r>
      <w:r w:rsidR="00A94E8F" w:rsidRPr="00760F64">
        <w:rPr>
          <w:lang w:val="en-US"/>
        </w:rPr>
        <w:t xml:space="preserve"> </w:t>
      </w:r>
      <w:r w:rsidR="001B16BC" w:rsidRPr="00760F64">
        <w:rPr>
          <w:lang w:val="en-US"/>
        </w:rPr>
        <w:t xml:space="preserve">the linkage of </w:t>
      </w:r>
      <w:r w:rsidR="00A94E8F" w:rsidRPr="00760F64">
        <w:rPr>
          <w:lang w:val="en-US"/>
        </w:rPr>
        <w:t xml:space="preserve">rational bubbles </w:t>
      </w:r>
      <w:r w:rsidR="001B16BC" w:rsidRPr="00760F64">
        <w:rPr>
          <w:lang w:val="en-US"/>
        </w:rPr>
        <w:t xml:space="preserve">to </w:t>
      </w:r>
      <w:r w:rsidR="00C80612" w:rsidRPr="00760F64">
        <w:rPr>
          <w:lang w:val="en-US"/>
        </w:rPr>
        <w:t>unit root</w:t>
      </w:r>
      <w:r w:rsidR="00A94E8F" w:rsidRPr="00760F64">
        <w:rPr>
          <w:lang w:val="en-US"/>
        </w:rPr>
        <w:t xml:space="preserve">s and explosive processes. Section 3 </w:t>
      </w:r>
      <w:r w:rsidR="009E2983" w:rsidRPr="00760F64">
        <w:rPr>
          <w:lang w:val="en-US"/>
        </w:rPr>
        <w:t xml:space="preserve">sets forth </w:t>
      </w:r>
      <w:r w:rsidR="00A94E8F" w:rsidRPr="00760F64">
        <w:rPr>
          <w:lang w:val="en-US"/>
        </w:rPr>
        <w:t>our empirical approach</w:t>
      </w:r>
      <w:r w:rsidR="00F53646" w:rsidRPr="00760F64">
        <w:rPr>
          <w:lang w:val="en-US"/>
        </w:rPr>
        <w:t xml:space="preserve">. </w:t>
      </w:r>
      <w:r w:rsidR="00A94E8F" w:rsidRPr="00760F64">
        <w:rPr>
          <w:lang w:val="en-US"/>
        </w:rPr>
        <w:t>Section</w:t>
      </w:r>
      <w:r w:rsidR="00F53646" w:rsidRPr="00760F64">
        <w:rPr>
          <w:lang w:val="en-US"/>
        </w:rPr>
        <w:t xml:space="preserve">s 3A and 3B </w:t>
      </w:r>
      <w:r w:rsidR="00A94E8F" w:rsidRPr="00760F64">
        <w:rPr>
          <w:lang w:val="en-US"/>
        </w:rPr>
        <w:t xml:space="preserve">explain </w:t>
      </w:r>
      <w:r w:rsidR="00F53646" w:rsidRPr="00760F64">
        <w:rPr>
          <w:lang w:val="en-US"/>
        </w:rPr>
        <w:t xml:space="preserve">our </w:t>
      </w:r>
      <w:r w:rsidR="00A94E8F" w:rsidRPr="00760F64">
        <w:rPr>
          <w:lang w:val="en-US"/>
        </w:rPr>
        <w:t>implement</w:t>
      </w:r>
      <w:r w:rsidR="00F53646" w:rsidRPr="00760F64">
        <w:rPr>
          <w:lang w:val="en-US"/>
        </w:rPr>
        <w:t>ation of</w:t>
      </w:r>
      <w:r w:rsidR="00A94E8F" w:rsidRPr="00760F64">
        <w:rPr>
          <w:lang w:val="en-US"/>
        </w:rPr>
        <w:t xml:space="preserve"> </w:t>
      </w:r>
      <w:r w:rsidR="0096544E" w:rsidRPr="00760F64">
        <w:rPr>
          <w:lang w:val="en-US"/>
        </w:rPr>
        <w:t>exuberance</w:t>
      </w:r>
      <w:r w:rsidR="00A94E8F" w:rsidRPr="00760F64">
        <w:rPr>
          <w:lang w:val="en-US"/>
        </w:rPr>
        <w:t xml:space="preserve"> tests and </w:t>
      </w:r>
      <w:r w:rsidR="00F53646" w:rsidRPr="00760F64">
        <w:rPr>
          <w:lang w:val="en-US"/>
        </w:rPr>
        <w:t xml:space="preserve">their application to a range of </w:t>
      </w:r>
      <w:r w:rsidR="00A94E8F" w:rsidRPr="00760F64">
        <w:rPr>
          <w:lang w:val="en-US"/>
        </w:rPr>
        <w:t xml:space="preserve">variables. Section </w:t>
      </w:r>
      <w:r w:rsidR="00622675" w:rsidRPr="00760F64">
        <w:rPr>
          <w:lang w:val="en-US"/>
        </w:rPr>
        <w:t>3</w:t>
      </w:r>
      <w:r w:rsidR="00485BC2" w:rsidRPr="00760F64">
        <w:rPr>
          <w:lang w:val="en-US"/>
        </w:rPr>
        <w:t>C</w:t>
      </w:r>
      <w:r w:rsidR="00A94E8F" w:rsidRPr="00760F64">
        <w:rPr>
          <w:lang w:val="en-US"/>
        </w:rPr>
        <w:t xml:space="preserve"> describes the performance evaluation framework</w:t>
      </w:r>
      <w:r w:rsidR="00F53646" w:rsidRPr="00760F64">
        <w:rPr>
          <w:lang w:val="en-US"/>
        </w:rPr>
        <w:t xml:space="preserve">, </w:t>
      </w:r>
      <w:r w:rsidR="00A94E8F" w:rsidRPr="00760F64">
        <w:rPr>
          <w:lang w:val="en-US"/>
        </w:rPr>
        <w:t xml:space="preserve">including usefulness and AUROC measures. Section 4 </w:t>
      </w:r>
      <w:r w:rsidR="00A55771" w:rsidRPr="00760F64">
        <w:rPr>
          <w:lang w:val="en-US"/>
        </w:rPr>
        <w:t xml:space="preserve">reviews </w:t>
      </w:r>
      <w:r w:rsidR="00087068" w:rsidRPr="00760F64">
        <w:rPr>
          <w:lang w:val="en-US"/>
        </w:rPr>
        <w:t>the</w:t>
      </w:r>
      <w:r w:rsidR="00A94E8F" w:rsidRPr="00760F64">
        <w:rPr>
          <w:lang w:val="en-US"/>
        </w:rPr>
        <w:t xml:space="preserve"> data</w:t>
      </w:r>
      <w:r w:rsidR="00F53646" w:rsidRPr="00760F64">
        <w:rPr>
          <w:lang w:val="en-US"/>
        </w:rPr>
        <w:t xml:space="preserve">. </w:t>
      </w:r>
      <w:r w:rsidRPr="00760F64">
        <w:rPr>
          <w:lang w:val="en-US"/>
        </w:rPr>
        <w:t xml:space="preserve">Section </w:t>
      </w:r>
      <w:r w:rsidR="003B36E8" w:rsidRPr="00760F64">
        <w:rPr>
          <w:lang w:val="en-US"/>
        </w:rPr>
        <w:t>5</w:t>
      </w:r>
      <w:r w:rsidR="00622675" w:rsidRPr="00760F64">
        <w:rPr>
          <w:lang w:val="en-US"/>
        </w:rPr>
        <w:t xml:space="preserve"> </w:t>
      </w:r>
      <w:r w:rsidR="00087068" w:rsidRPr="00760F64">
        <w:rPr>
          <w:lang w:val="en-US"/>
        </w:rPr>
        <w:t xml:space="preserve">presents </w:t>
      </w:r>
      <w:r w:rsidR="00622675" w:rsidRPr="00760F64">
        <w:rPr>
          <w:lang w:val="en-US"/>
        </w:rPr>
        <w:t>the results</w:t>
      </w:r>
      <w:r w:rsidR="00F53646" w:rsidRPr="00760F64">
        <w:rPr>
          <w:lang w:val="en-US"/>
        </w:rPr>
        <w:t xml:space="preserve">, with </w:t>
      </w:r>
      <w:r w:rsidR="00622675" w:rsidRPr="00760F64">
        <w:rPr>
          <w:lang w:val="en-US"/>
        </w:rPr>
        <w:t>Sections 5</w:t>
      </w:r>
      <w:r w:rsidR="00BF33ED" w:rsidRPr="00760F64">
        <w:rPr>
          <w:lang w:val="en-US"/>
        </w:rPr>
        <w:t>A</w:t>
      </w:r>
      <w:r w:rsidR="006F6FE5" w:rsidRPr="00760F64">
        <w:rPr>
          <w:lang w:val="en-US"/>
        </w:rPr>
        <w:t xml:space="preserve"> </w:t>
      </w:r>
      <w:r w:rsidR="00622675" w:rsidRPr="00760F64">
        <w:rPr>
          <w:lang w:val="en-US"/>
        </w:rPr>
        <w:t xml:space="preserve">and 5B </w:t>
      </w:r>
      <w:r w:rsidR="00F53646" w:rsidRPr="00760F64">
        <w:rPr>
          <w:lang w:val="en-US"/>
        </w:rPr>
        <w:t xml:space="preserve">examining </w:t>
      </w:r>
      <w:r w:rsidR="00622675" w:rsidRPr="00760F64">
        <w:rPr>
          <w:lang w:val="en-US"/>
        </w:rPr>
        <w:t>single</w:t>
      </w:r>
      <w:r w:rsidR="00F53646" w:rsidRPr="00760F64">
        <w:rPr>
          <w:lang w:val="en-US"/>
        </w:rPr>
        <w:t>-</w:t>
      </w:r>
      <w:r w:rsidR="00087068" w:rsidRPr="00760F64">
        <w:rPr>
          <w:lang w:val="en-US"/>
        </w:rPr>
        <w:t xml:space="preserve">variable </w:t>
      </w:r>
      <w:r w:rsidR="00F53646" w:rsidRPr="00760F64">
        <w:rPr>
          <w:lang w:val="en-US"/>
        </w:rPr>
        <w:t xml:space="preserve">and composite </w:t>
      </w:r>
      <w:r w:rsidR="00087068" w:rsidRPr="00760F64">
        <w:rPr>
          <w:lang w:val="en-US"/>
        </w:rPr>
        <w:t>exuberance indicators</w:t>
      </w:r>
      <w:r w:rsidR="00F53646" w:rsidRPr="00760F64">
        <w:rPr>
          <w:lang w:val="en-US"/>
        </w:rPr>
        <w:t xml:space="preserve">. </w:t>
      </w:r>
      <w:r w:rsidR="00622675" w:rsidRPr="00760F64">
        <w:rPr>
          <w:lang w:val="en-US"/>
        </w:rPr>
        <w:t xml:space="preserve">Section </w:t>
      </w:r>
      <w:r w:rsidR="00C05023" w:rsidRPr="00760F64">
        <w:rPr>
          <w:lang w:val="en-US"/>
        </w:rPr>
        <w:t>5</w:t>
      </w:r>
      <w:r w:rsidR="006B4971" w:rsidRPr="00760F64">
        <w:rPr>
          <w:lang w:val="en-US"/>
        </w:rPr>
        <w:t xml:space="preserve">C </w:t>
      </w:r>
      <w:r w:rsidR="004F5134" w:rsidRPr="00760F64">
        <w:rPr>
          <w:lang w:val="en-US"/>
        </w:rPr>
        <w:t xml:space="preserve">discusses signal timing and patterns of signals, </w:t>
      </w:r>
      <w:r w:rsidR="008311E0" w:rsidRPr="00760F64">
        <w:rPr>
          <w:lang w:val="en-US"/>
        </w:rPr>
        <w:t>and</w:t>
      </w:r>
      <w:r w:rsidR="004F5134" w:rsidRPr="00760F64">
        <w:rPr>
          <w:lang w:val="en-US"/>
        </w:rPr>
        <w:t xml:space="preserve"> Section 5D</w:t>
      </w:r>
      <w:r w:rsidR="004F5134" w:rsidRPr="00760F64" w:rsidDel="006B4971">
        <w:rPr>
          <w:lang w:val="en-US"/>
        </w:rPr>
        <w:t xml:space="preserve"> </w:t>
      </w:r>
      <w:r w:rsidR="00087068" w:rsidRPr="00760F64">
        <w:rPr>
          <w:lang w:val="en-US"/>
        </w:rPr>
        <w:t xml:space="preserve">includes </w:t>
      </w:r>
      <w:r w:rsidR="00622675" w:rsidRPr="00760F64">
        <w:rPr>
          <w:lang w:val="en-US"/>
        </w:rPr>
        <w:t xml:space="preserve">robustness checks against </w:t>
      </w:r>
      <w:r w:rsidR="00087068" w:rsidRPr="00760F64">
        <w:rPr>
          <w:lang w:val="en-US"/>
        </w:rPr>
        <w:t>implementation</w:t>
      </w:r>
      <w:r w:rsidR="00087068">
        <w:rPr>
          <w:lang w:val="en-US"/>
        </w:rPr>
        <w:t xml:space="preserve"> parameters and </w:t>
      </w:r>
      <w:r w:rsidR="0062595D">
        <w:rPr>
          <w:lang w:val="en-US"/>
        </w:rPr>
        <w:t xml:space="preserve">two </w:t>
      </w:r>
      <w:r w:rsidR="00622675">
        <w:rPr>
          <w:lang w:val="en-US"/>
        </w:rPr>
        <w:t>alternative crisis dataset</w:t>
      </w:r>
      <w:r w:rsidR="0062595D">
        <w:rPr>
          <w:lang w:val="en-US"/>
        </w:rPr>
        <w:t>s</w:t>
      </w:r>
      <w:r w:rsidR="00622675">
        <w:rPr>
          <w:lang w:val="en-US"/>
        </w:rPr>
        <w:t xml:space="preserve">. Section 6 </w:t>
      </w:r>
      <w:r w:rsidR="00F53646">
        <w:rPr>
          <w:lang w:val="en-US"/>
        </w:rPr>
        <w:t>concludes</w:t>
      </w:r>
      <w:r w:rsidR="00622675">
        <w:rPr>
          <w:lang w:val="en-US"/>
        </w:rPr>
        <w:t>.</w:t>
      </w:r>
    </w:p>
    <w:p w14:paraId="3272482D" w14:textId="77777777" w:rsidR="00F90185" w:rsidRPr="00A22DE9" w:rsidRDefault="00F90185" w:rsidP="00E45E76">
      <w:pPr>
        <w:spacing w:line="360" w:lineRule="auto"/>
        <w:rPr>
          <w:lang w:val="en-US"/>
        </w:rPr>
      </w:pPr>
    </w:p>
    <w:p w14:paraId="6547B2B3" w14:textId="77777777" w:rsidR="007C2F21" w:rsidRDefault="00E373D0" w:rsidP="00F90185">
      <w:pPr>
        <w:pStyle w:val="Otsikko1"/>
        <w:spacing w:line="360" w:lineRule="auto"/>
        <w:ind w:left="357" w:hanging="357"/>
      </w:pPr>
      <w:r w:rsidRPr="00E373D0">
        <w:t>Theory</w:t>
      </w:r>
    </w:p>
    <w:p w14:paraId="1E5B6E3F" w14:textId="2B757E66" w:rsidR="00F90185" w:rsidRPr="00CF2134" w:rsidRDefault="008C4BD5" w:rsidP="008311E0">
      <w:pPr>
        <w:pStyle w:val="Otsikko2"/>
      </w:pPr>
      <w:r>
        <w:t xml:space="preserve">A. </w:t>
      </w:r>
      <w:r w:rsidR="008311E0">
        <w:t>Origin of bubbles and t</w:t>
      </w:r>
      <w:r w:rsidR="009E2983" w:rsidRPr="008311E0">
        <w:t xml:space="preserve">esting for </w:t>
      </w:r>
      <w:r w:rsidR="00F90185" w:rsidRPr="008311E0">
        <w:t>bubbles</w:t>
      </w:r>
    </w:p>
    <w:p w14:paraId="34A1180A" w14:textId="1CB061B8" w:rsidR="00F90185" w:rsidRPr="00F90185" w:rsidRDefault="0039573E" w:rsidP="008311E0">
      <w:pPr>
        <w:spacing w:line="360" w:lineRule="auto"/>
        <w:rPr>
          <w:lang w:val="en-US"/>
        </w:rPr>
      </w:pPr>
      <w:r>
        <w:rPr>
          <w:lang w:val="en-US"/>
        </w:rPr>
        <w:t xml:space="preserve">Several salient features emerge in the extensive </w:t>
      </w:r>
      <w:r w:rsidR="009E2983">
        <w:rPr>
          <w:lang w:val="en-US"/>
        </w:rPr>
        <w:t>l</w:t>
      </w:r>
      <w:r w:rsidR="00F90185" w:rsidRPr="00F90185">
        <w:rPr>
          <w:lang w:val="en-US"/>
        </w:rPr>
        <w:t>iterature on financial bubbles</w:t>
      </w:r>
      <w:r w:rsidR="009E2983">
        <w:rPr>
          <w:lang w:val="en-US"/>
        </w:rPr>
        <w:t xml:space="preserve"> (e.g. Scherbina, 2013;</w:t>
      </w:r>
      <w:r w:rsidR="009E2983" w:rsidRPr="00F90185">
        <w:rPr>
          <w:lang w:val="en-US"/>
        </w:rPr>
        <w:t xml:space="preserve"> Scherbina </w:t>
      </w:r>
      <w:r w:rsidR="009E2983">
        <w:rPr>
          <w:lang w:val="en-US"/>
        </w:rPr>
        <w:t>and</w:t>
      </w:r>
      <w:r w:rsidR="009E2983" w:rsidRPr="00F90185">
        <w:rPr>
          <w:lang w:val="en-US"/>
        </w:rPr>
        <w:t xml:space="preserve"> </w:t>
      </w:r>
      <w:r w:rsidR="009E2983">
        <w:rPr>
          <w:lang w:val="en-US"/>
        </w:rPr>
        <w:t>Schlusche, 2014;</w:t>
      </w:r>
      <w:r w:rsidR="009E2983" w:rsidRPr="00F90185">
        <w:rPr>
          <w:lang w:val="en-US"/>
        </w:rPr>
        <w:t xml:space="preserve"> Brunnerm</w:t>
      </w:r>
      <w:r w:rsidR="009E2983">
        <w:rPr>
          <w:lang w:val="en-US"/>
        </w:rPr>
        <w:t>eier, 2008;</w:t>
      </w:r>
      <w:r w:rsidR="009E2983" w:rsidRPr="00F90185">
        <w:rPr>
          <w:lang w:val="en-US"/>
        </w:rPr>
        <w:t xml:space="preserve"> and Brunnermeier </w:t>
      </w:r>
      <w:r w:rsidR="009E2983" w:rsidRPr="008311E0">
        <w:rPr>
          <w:lang w:val="en-US"/>
        </w:rPr>
        <w:t>et al.</w:t>
      </w:r>
      <w:r w:rsidR="009E2983">
        <w:rPr>
          <w:lang w:val="en-US"/>
        </w:rPr>
        <w:t xml:space="preserve">, </w:t>
      </w:r>
      <w:r w:rsidR="009E2983" w:rsidRPr="00F90185">
        <w:rPr>
          <w:lang w:val="en-US"/>
        </w:rPr>
        <w:t>2013)</w:t>
      </w:r>
      <w:r w:rsidR="008311E0">
        <w:rPr>
          <w:lang w:val="en-US"/>
        </w:rPr>
        <w:t>. We</w:t>
      </w:r>
      <w:r w:rsidR="00F90185" w:rsidRPr="00F90185">
        <w:rPr>
          <w:lang w:val="en-US"/>
        </w:rPr>
        <w:t xml:space="preserve"> cannot really cover </w:t>
      </w:r>
      <w:r w:rsidR="00E46B05">
        <w:rPr>
          <w:lang w:val="en-US"/>
        </w:rPr>
        <w:t>more than some key features</w:t>
      </w:r>
      <w:r w:rsidR="00F90185" w:rsidRPr="00F90185">
        <w:rPr>
          <w:lang w:val="en-US"/>
        </w:rPr>
        <w:t xml:space="preserve"> here. </w:t>
      </w:r>
    </w:p>
    <w:p w14:paraId="23241778" w14:textId="2F34E12A" w:rsidR="00F90185" w:rsidRPr="00F90185" w:rsidRDefault="00F90185">
      <w:pPr>
        <w:spacing w:line="360" w:lineRule="auto"/>
        <w:rPr>
          <w:lang w:val="en-US"/>
        </w:rPr>
      </w:pPr>
      <w:r w:rsidRPr="00F90185">
        <w:rPr>
          <w:lang w:val="en-US"/>
        </w:rPr>
        <w:t xml:space="preserve">The generation of </w:t>
      </w:r>
      <w:r w:rsidR="00616BDE">
        <w:rPr>
          <w:lang w:val="en-US"/>
        </w:rPr>
        <w:t xml:space="preserve">a </w:t>
      </w:r>
      <w:r w:rsidRPr="00F90185">
        <w:rPr>
          <w:lang w:val="en-US"/>
        </w:rPr>
        <w:t xml:space="preserve">bubble </w:t>
      </w:r>
      <w:r w:rsidR="00467BB8">
        <w:rPr>
          <w:lang w:val="en-US"/>
        </w:rPr>
        <w:t xml:space="preserve">is </w:t>
      </w:r>
      <w:r w:rsidRPr="00F90185">
        <w:rPr>
          <w:lang w:val="en-US"/>
        </w:rPr>
        <w:t xml:space="preserve">generally </w:t>
      </w:r>
      <w:r w:rsidR="00467BB8">
        <w:rPr>
          <w:lang w:val="en-US"/>
        </w:rPr>
        <w:t xml:space="preserve">seen to </w:t>
      </w:r>
      <w:r w:rsidRPr="00F90185">
        <w:rPr>
          <w:lang w:val="en-US"/>
        </w:rPr>
        <w:t xml:space="preserve">require some </w:t>
      </w:r>
      <w:r w:rsidRPr="008311E0">
        <w:rPr>
          <w:i/>
          <w:lang w:val="en-US"/>
        </w:rPr>
        <w:t>heterogeneity of agents and formation of expectations</w:t>
      </w:r>
      <w:r w:rsidRPr="00F90185">
        <w:rPr>
          <w:lang w:val="en-US"/>
        </w:rPr>
        <w:t xml:space="preserve">. </w:t>
      </w:r>
      <w:r w:rsidR="0039573E">
        <w:rPr>
          <w:lang w:val="en-US"/>
        </w:rPr>
        <w:t xml:space="preserve">The </w:t>
      </w:r>
      <w:r w:rsidRPr="00F90185">
        <w:rPr>
          <w:lang w:val="en-US"/>
        </w:rPr>
        <w:t>typical set</w:t>
      </w:r>
      <w:r w:rsidR="000B2E8F">
        <w:rPr>
          <w:lang w:val="en-US"/>
        </w:rPr>
        <w:t>-</w:t>
      </w:r>
      <w:r w:rsidRPr="00F90185">
        <w:rPr>
          <w:lang w:val="en-US"/>
        </w:rPr>
        <w:t xml:space="preserve">up (e.g. Barberis </w:t>
      </w:r>
      <w:r w:rsidR="000B2E8F" w:rsidRPr="008311E0">
        <w:rPr>
          <w:lang w:val="en-US"/>
        </w:rPr>
        <w:t>et al.</w:t>
      </w:r>
      <w:r w:rsidR="00616BDE">
        <w:rPr>
          <w:lang w:val="en-US"/>
        </w:rPr>
        <w:t xml:space="preserve">, </w:t>
      </w:r>
      <w:r w:rsidRPr="00F90185">
        <w:rPr>
          <w:lang w:val="en-US"/>
        </w:rPr>
        <w:t xml:space="preserve">2017) </w:t>
      </w:r>
      <w:r w:rsidR="00A87118">
        <w:rPr>
          <w:lang w:val="en-US"/>
        </w:rPr>
        <w:t>uses</w:t>
      </w:r>
      <w:r w:rsidRPr="00F90185">
        <w:rPr>
          <w:lang w:val="en-US"/>
        </w:rPr>
        <w:t xml:space="preserve"> two sets of agents</w:t>
      </w:r>
      <w:r w:rsidR="00A87118">
        <w:rPr>
          <w:lang w:val="en-US"/>
        </w:rPr>
        <w:t xml:space="preserve">; </w:t>
      </w:r>
      <w:r w:rsidR="00467BB8">
        <w:rPr>
          <w:lang w:val="en-US"/>
        </w:rPr>
        <w:t xml:space="preserve">the first set </w:t>
      </w:r>
      <w:r w:rsidRPr="00F90185">
        <w:rPr>
          <w:lang w:val="en-US"/>
        </w:rPr>
        <w:t xml:space="preserve">with rational expectations (fundamental traders) and </w:t>
      </w:r>
      <w:r w:rsidR="00467BB8">
        <w:rPr>
          <w:lang w:val="en-US"/>
        </w:rPr>
        <w:t xml:space="preserve">the second </w:t>
      </w:r>
      <w:r w:rsidRPr="00F90185">
        <w:rPr>
          <w:lang w:val="en-US"/>
        </w:rPr>
        <w:t xml:space="preserve">with backward-looking expectations (extrapolators). </w:t>
      </w:r>
      <w:r w:rsidR="00A87118">
        <w:rPr>
          <w:lang w:val="en-US"/>
        </w:rPr>
        <w:t xml:space="preserve">While it is unremarkable </w:t>
      </w:r>
      <w:r w:rsidRPr="00F90185">
        <w:rPr>
          <w:lang w:val="en-US"/>
        </w:rPr>
        <w:t xml:space="preserve">that </w:t>
      </w:r>
      <w:r w:rsidR="00E46B05">
        <w:rPr>
          <w:lang w:val="en-US"/>
        </w:rPr>
        <w:t xml:space="preserve">extrapolators tend to bid </w:t>
      </w:r>
      <w:r w:rsidR="000B2E8F">
        <w:rPr>
          <w:lang w:val="en-US"/>
        </w:rPr>
        <w:t xml:space="preserve">up </w:t>
      </w:r>
      <w:r w:rsidR="00E46B05">
        <w:rPr>
          <w:lang w:val="en-US"/>
        </w:rPr>
        <w:t>price</w:t>
      </w:r>
      <w:r w:rsidR="00A87118">
        <w:rPr>
          <w:lang w:val="en-US"/>
        </w:rPr>
        <w:t>s</w:t>
      </w:r>
      <w:r w:rsidR="00E46B05">
        <w:rPr>
          <w:lang w:val="en-US"/>
        </w:rPr>
        <w:t xml:space="preserve"> and cause bubbles</w:t>
      </w:r>
      <w:r w:rsidR="00A87118" w:rsidRPr="00A87118">
        <w:rPr>
          <w:lang w:val="en-US"/>
        </w:rPr>
        <w:t xml:space="preserve"> </w:t>
      </w:r>
      <w:r w:rsidR="00A87118">
        <w:rPr>
          <w:lang w:val="en-US"/>
        </w:rPr>
        <w:t xml:space="preserve">in such a </w:t>
      </w:r>
      <w:r w:rsidR="00A87118" w:rsidRPr="00F90185">
        <w:rPr>
          <w:lang w:val="en-US"/>
        </w:rPr>
        <w:t>setting</w:t>
      </w:r>
      <w:r w:rsidR="00A87118">
        <w:rPr>
          <w:lang w:val="en-US"/>
        </w:rPr>
        <w:t xml:space="preserve">, </w:t>
      </w:r>
      <w:r w:rsidRPr="00F90185">
        <w:rPr>
          <w:lang w:val="en-US"/>
        </w:rPr>
        <w:t>fundamental traders</w:t>
      </w:r>
      <w:r w:rsidR="00467BB8">
        <w:rPr>
          <w:lang w:val="en-US"/>
        </w:rPr>
        <w:t xml:space="preserve"> (somewhat surprisingly)</w:t>
      </w:r>
      <w:r w:rsidRPr="00F90185">
        <w:rPr>
          <w:lang w:val="en-US"/>
        </w:rPr>
        <w:t xml:space="preserve"> do not necessarily arbitrage away bubbles (</w:t>
      </w:r>
      <w:r w:rsidR="00A87118">
        <w:rPr>
          <w:lang w:val="en-US"/>
        </w:rPr>
        <w:t xml:space="preserve">see </w:t>
      </w:r>
      <w:r w:rsidRPr="00F90185">
        <w:rPr>
          <w:lang w:val="en-US"/>
        </w:rPr>
        <w:t>Scherbina</w:t>
      </w:r>
      <w:r w:rsidR="000B2E8F">
        <w:rPr>
          <w:lang w:val="en-US"/>
        </w:rPr>
        <w:t>,</w:t>
      </w:r>
      <w:r w:rsidRPr="00F90185">
        <w:rPr>
          <w:lang w:val="en-US"/>
        </w:rPr>
        <w:t xml:space="preserve"> 2013).</w:t>
      </w:r>
    </w:p>
    <w:p w14:paraId="3AA51649" w14:textId="2C8ACF2C" w:rsidR="00F90185" w:rsidRPr="00F90185" w:rsidRDefault="0039573E" w:rsidP="00701B05">
      <w:pPr>
        <w:spacing w:line="360" w:lineRule="auto"/>
        <w:rPr>
          <w:lang w:val="en-US"/>
        </w:rPr>
      </w:pPr>
      <w:r>
        <w:rPr>
          <w:lang w:val="en-US"/>
        </w:rPr>
        <w:t>B</w:t>
      </w:r>
      <w:r w:rsidR="00F90185" w:rsidRPr="00F90185">
        <w:rPr>
          <w:lang w:val="en-US"/>
        </w:rPr>
        <w:t xml:space="preserve">ubbles also originate from </w:t>
      </w:r>
      <w:r w:rsidR="00F90185" w:rsidRPr="008311E0">
        <w:rPr>
          <w:i/>
          <w:lang w:val="en-US"/>
        </w:rPr>
        <w:t>behavioral patterns</w:t>
      </w:r>
      <w:r w:rsidR="00F90185" w:rsidRPr="00F90185">
        <w:rPr>
          <w:lang w:val="en-US"/>
        </w:rPr>
        <w:t xml:space="preserve"> (e.g. biased self-attribution, representativeness heuristic bias</w:t>
      </w:r>
      <w:r>
        <w:rPr>
          <w:lang w:val="en-US"/>
        </w:rPr>
        <w:t xml:space="preserve">, </w:t>
      </w:r>
      <w:r w:rsidR="00F90185" w:rsidRPr="00F90185">
        <w:rPr>
          <w:lang w:val="en-US"/>
        </w:rPr>
        <w:t xml:space="preserve">or </w:t>
      </w:r>
      <w:r>
        <w:rPr>
          <w:lang w:val="en-US"/>
        </w:rPr>
        <w:t>a “</w:t>
      </w:r>
      <w:r w:rsidR="00F90185" w:rsidRPr="00F90185">
        <w:rPr>
          <w:lang w:val="en-US"/>
        </w:rPr>
        <w:t>conservatism bias</w:t>
      </w:r>
      <w:r>
        <w:rPr>
          <w:lang w:val="en-US"/>
        </w:rPr>
        <w:t xml:space="preserve">”) that </w:t>
      </w:r>
      <w:r w:rsidR="00F90185" w:rsidRPr="00F90185">
        <w:rPr>
          <w:lang w:val="en-US"/>
        </w:rPr>
        <w:t>lead to deviations from optimal Bayesian ways of processing information. The</w:t>
      </w:r>
      <w:r>
        <w:rPr>
          <w:lang w:val="en-US"/>
        </w:rPr>
        <w:t xml:space="preserve">se </w:t>
      </w:r>
      <w:r w:rsidR="00F90185" w:rsidRPr="00F90185">
        <w:rPr>
          <w:lang w:val="en-US"/>
        </w:rPr>
        <w:t>hypothes</w:t>
      </w:r>
      <w:r>
        <w:rPr>
          <w:lang w:val="en-US"/>
        </w:rPr>
        <w:t xml:space="preserve">es, while </w:t>
      </w:r>
      <w:r w:rsidR="00F90185" w:rsidRPr="00F90185">
        <w:rPr>
          <w:lang w:val="en-US"/>
        </w:rPr>
        <w:t>appealing</w:t>
      </w:r>
      <w:r>
        <w:rPr>
          <w:lang w:val="en-US"/>
        </w:rPr>
        <w:t>,</w:t>
      </w:r>
      <w:r w:rsidR="00F90185" w:rsidRPr="00F90185">
        <w:rPr>
          <w:lang w:val="en-US"/>
        </w:rPr>
        <w:t xml:space="preserve"> pose serious challenges to empirical testing</w:t>
      </w:r>
      <w:r w:rsidR="00CA3E19">
        <w:rPr>
          <w:lang w:val="en-US"/>
        </w:rPr>
        <w:t xml:space="preserve"> </w:t>
      </w:r>
      <w:r w:rsidR="00F54265">
        <w:rPr>
          <w:lang w:val="en-US"/>
        </w:rPr>
        <w:t xml:space="preserve">in light of available </w:t>
      </w:r>
      <w:r w:rsidR="00F90185" w:rsidRPr="00F90185">
        <w:rPr>
          <w:lang w:val="en-US"/>
        </w:rPr>
        <w:t>data.</w:t>
      </w:r>
    </w:p>
    <w:p w14:paraId="6A54B121" w14:textId="247B0B27" w:rsidR="004134AA" w:rsidRDefault="00E704E1" w:rsidP="004134AA">
      <w:pPr>
        <w:spacing w:line="360" w:lineRule="auto"/>
        <w:rPr>
          <w:rFonts w:eastAsiaTheme="minorEastAsia"/>
          <w:lang w:val="en-US"/>
        </w:rPr>
      </w:pPr>
      <w:r w:rsidRPr="0009388A">
        <w:rPr>
          <w:lang w:val="en-US"/>
        </w:rPr>
        <w:lastRenderedPageBreak/>
        <w:t>Testing for bubbles</w:t>
      </w:r>
      <w:r>
        <w:rPr>
          <w:lang w:val="en-US"/>
        </w:rPr>
        <w:t xml:space="preserve"> </w:t>
      </w:r>
      <w:r w:rsidRPr="008311E0">
        <w:rPr>
          <w:i/>
          <w:lang w:val="en-US"/>
        </w:rPr>
        <w:t>itself</w:t>
      </w:r>
      <w:r>
        <w:rPr>
          <w:lang w:val="en-US"/>
        </w:rPr>
        <w:t xml:space="preserve"> is a challenge. </w:t>
      </w:r>
      <w:r w:rsidR="00EA2169" w:rsidRPr="00F90185">
        <w:rPr>
          <w:lang w:val="en-US"/>
        </w:rPr>
        <w:t>Despite</w:t>
      </w:r>
      <w:r w:rsidR="00F90185" w:rsidRPr="00F90185">
        <w:rPr>
          <w:lang w:val="en-US"/>
        </w:rPr>
        <w:t xml:space="preserve"> </w:t>
      </w:r>
      <w:r>
        <w:rPr>
          <w:lang w:val="en-US"/>
        </w:rPr>
        <w:t xml:space="preserve">years of work, </w:t>
      </w:r>
      <w:r w:rsidR="00F90185" w:rsidRPr="00F90185">
        <w:rPr>
          <w:lang w:val="en-US"/>
        </w:rPr>
        <w:t>no dominant strategy in setting up a proper test</w:t>
      </w:r>
      <w:r>
        <w:rPr>
          <w:lang w:val="en-US"/>
        </w:rPr>
        <w:t xml:space="preserve"> has emerged</w:t>
      </w:r>
      <w:r w:rsidR="00F90185" w:rsidRPr="00F90185">
        <w:rPr>
          <w:lang w:val="en-US"/>
        </w:rPr>
        <w:t xml:space="preserve">. </w:t>
      </w:r>
      <w:r>
        <w:rPr>
          <w:lang w:val="en-US"/>
        </w:rPr>
        <w:t>T</w:t>
      </w:r>
      <w:r w:rsidR="00F90185" w:rsidRPr="00F90185">
        <w:rPr>
          <w:lang w:val="en-US"/>
        </w:rPr>
        <w:t>est</w:t>
      </w:r>
      <w:r w:rsidR="004134AA">
        <w:rPr>
          <w:lang w:val="en-US"/>
        </w:rPr>
        <w:t>s</w:t>
      </w:r>
      <w:r w:rsidR="00F90185" w:rsidRPr="00F90185">
        <w:rPr>
          <w:lang w:val="en-US"/>
        </w:rPr>
        <w:t xml:space="preserve"> </w:t>
      </w:r>
      <w:r>
        <w:rPr>
          <w:lang w:val="en-US"/>
        </w:rPr>
        <w:t xml:space="preserve">often </w:t>
      </w:r>
      <w:r w:rsidR="00F90185" w:rsidRPr="00F90185">
        <w:rPr>
          <w:lang w:val="en-US"/>
        </w:rPr>
        <w:t>try to exploit the basic time-series properties of relevant time</w:t>
      </w:r>
      <w:r w:rsidR="00F454D6">
        <w:rPr>
          <w:lang w:val="en-US"/>
        </w:rPr>
        <w:t xml:space="preserve"> </w:t>
      </w:r>
      <w:r w:rsidR="00F90185" w:rsidRPr="00F90185">
        <w:rPr>
          <w:lang w:val="en-US"/>
        </w:rPr>
        <w:t>s</w:t>
      </w:r>
      <w:r w:rsidR="00F454D6">
        <w:rPr>
          <w:lang w:val="en-US"/>
        </w:rPr>
        <w:t>eries</w:t>
      </w:r>
      <w:r w:rsidR="00F90185" w:rsidRPr="00F90185">
        <w:rPr>
          <w:lang w:val="en-US"/>
        </w:rPr>
        <w:t xml:space="preserve">. </w:t>
      </w:r>
      <w:r w:rsidR="004134AA" w:rsidRPr="00A22DE9">
        <w:rPr>
          <w:lang w:val="en-US"/>
        </w:rPr>
        <w:t>Empirical tests that deal with the presumed bubble properties of financial time series include</w:t>
      </w:r>
      <w:r w:rsidR="004134AA" w:rsidRPr="00A22DE9">
        <w:rPr>
          <w:rFonts w:eastAsiaTheme="minorEastAsia"/>
          <w:lang w:val="en-US"/>
        </w:rPr>
        <w:t xml:space="preserve"> Elliot (1996) and Elliot </w:t>
      </w:r>
      <w:r w:rsidR="000B2E8F" w:rsidRPr="008311E0">
        <w:rPr>
          <w:rFonts w:eastAsiaTheme="minorEastAsia"/>
          <w:lang w:val="en-US"/>
        </w:rPr>
        <w:t>et al.</w:t>
      </w:r>
      <w:r w:rsidR="004134AA" w:rsidRPr="00A22DE9">
        <w:rPr>
          <w:rFonts w:eastAsiaTheme="minorEastAsia"/>
          <w:lang w:val="en-US"/>
        </w:rPr>
        <w:t xml:space="preserve"> (1999), which deal with the power of unit</w:t>
      </w:r>
      <w:r>
        <w:rPr>
          <w:rFonts w:eastAsiaTheme="minorEastAsia"/>
          <w:lang w:val="en-US"/>
        </w:rPr>
        <w:t>-</w:t>
      </w:r>
      <w:r w:rsidR="004134AA" w:rsidRPr="00A22DE9">
        <w:rPr>
          <w:rFonts w:eastAsiaTheme="minorEastAsia"/>
          <w:lang w:val="en-US"/>
        </w:rPr>
        <w:t xml:space="preserve"> root tests (specifically) with different initial observations; Kim </w:t>
      </w:r>
      <w:r w:rsidR="000B2E8F" w:rsidRPr="008311E0">
        <w:rPr>
          <w:rFonts w:eastAsiaTheme="minorEastAsia"/>
          <w:lang w:val="en-US"/>
        </w:rPr>
        <w:t>et al.</w:t>
      </w:r>
      <w:r w:rsidR="004134AA" w:rsidRPr="00A22DE9">
        <w:rPr>
          <w:rFonts w:eastAsiaTheme="minorEastAsia"/>
          <w:lang w:val="en-US"/>
        </w:rPr>
        <w:t xml:space="preserve"> (2002), Busetti and Taylor (2004), Leybourne (1995), and Leybourne </w:t>
      </w:r>
      <w:r w:rsidR="000B2E8F" w:rsidRPr="008311E0">
        <w:rPr>
          <w:rFonts w:eastAsiaTheme="minorEastAsia"/>
          <w:lang w:val="en-US"/>
        </w:rPr>
        <w:t>et al.</w:t>
      </w:r>
      <w:r w:rsidR="004134AA" w:rsidRPr="00A22DE9">
        <w:rPr>
          <w:rFonts w:eastAsiaTheme="minorEastAsia"/>
          <w:lang w:val="en-US"/>
        </w:rPr>
        <w:t xml:space="preserve"> (2004), which deal with testing changes in the persistence of time series; and </w:t>
      </w:r>
      <w:r w:rsidR="004134AA" w:rsidRPr="00A22DE9">
        <w:rPr>
          <w:lang w:val="en-US"/>
        </w:rPr>
        <w:t>Homm and Breitung (2012), whose method considers stock market applications of unit root tests.</w:t>
      </w:r>
      <w:r w:rsidR="00C80612">
        <w:rPr>
          <w:lang w:val="en-US"/>
        </w:rPr>
        <w:t xml:space="preserve"> </w:t>
      </w:r>
      <w:r w:rsidR="004134AA" w:rsidRPr="00A22DE9">
        <w:rPr>
          <w:rFonts w:eastAsiaTheme="minorEastAsia"/>
          <w:lang w:val="en-US"/>
        </w:rPr>
        <w:t xml:space="preserve">Phillips </w:t>
      </w:r>
      <w:r w:rsidR="000B2E8F" w:rsidRPr="008311E0">
        <w:rPr>
          <w:rFonts w:eastAsiaTheme="minorEastAsia"/>
          <w:lang w:val="en-US"/>
        </w:rPr>
        <w:t>et al.</w:t>
      </w:r>
      <w:r w:rsidR="004134AA" w:rsidRPr="00A22DE9">
        <w:rPr>
          <w:rFonts w:eastAsiaTheme="minorEastAsia"/>
          <w:lang w:val="en-US"/>
        </w:rPr>
        <w:t xml:space="preserve"> (2011 and 201</w:t>
      </w:r>
      <w:r w:rsidR="004134AA">
        <w:rPr>
          <w:rFonts w:eastAsiaTheme="minorEastAsia"/>
          <w:lang w:val="en-US"/>
        </w:rPr>
        <w:t>5</w:t>
      </w:r>
      <w:r w:rsidR="004134AA" w:rsidRPr="00A22DE9">
        <w:rPr>
          <w:rFonts w:eastAsiaTheme="minorEastAsia"/>
          <w:lang w:val="en-US"/>
        </w:rPr>
        <w:t>) use a right-tailed unit root test for detecting bubble-type behavior in time serie</w:t>
      </w:r>
      <w:r w:rsidR="00375262">
        <w:rPr>
          <w:rFonts w:eastAsiaTheme="minorEastAsia"/>
          <w:lang w:val="en-US"/>
        </w:rPr>
        <w:t>s</w:t>
      </w:r>
      <w:r w:rsidR="000936A0">
        <w:rPr>
          <w:rFonts w:eastAsiaTheme="minorEastAsia"/>
          <w:lang w:val="en-US"/>
        </w:rPr>
        <w:t>,</w:t>
      </w:r>
      <w:r w:rsidR="004134AA" w:rsidRPr="00A22DE9">
        <w:rPr>
          <w:rFonts w:eastAsiaTheme="minorEastAsia"/>
          <w:lang w:val="en-US"/>
        </w:rPr>
        <w:t xml:space="preserve"> as well as develop a s</w:t>
      </w:r>
      <w:r w:rsidR="004134AA" w:rsidRPr="00A22DE9">
        <w:rPr>
          <w:rFonts w:eastAsiaTheme="minorEastAsia"/>
          <w:bCs/>
          <w:lang w:val="en-US"/>
        </w:rPr>
        <w:t xml:space="preserve">up ADF (SADF) </w:t>
      </w:r>
      <w:r w:rsidR="004134AA" w:rsidRPr="00A22DE9">
        <w:rPr>
          <w:rFonts w:eastAsiaTheme="minorEastAsia"/>
          <w:lang w:val="en-US"/>
        </w:rPr>
        <w:t>test statistic and derive its (limiting) distribution. The authors apply their testing procedure to several financial times series, demonstrat</w:t>
      </w:r>
      <w:r w:rsidR="000936A0">
        <w:rPr>
          <w:rFonts w:eastAsiaTheme="minorEastAsia"/>
          <w:lang w:val="en-US"/>
        </w:rPr>
        <w:t>ing</w:t>
      </w:r>
      <w:r w:rsidR="004134AA" w:rsidRPr="00A22DE9">
        <w:rPr>
          <w:rFonts w:eastAsiaTheme="minorEastAsia"/>
          <w:lang w:val="en-US"/>
        </w:rPr>
        <w:t xml:space="preserve"> reasonably good </w:t>
      </w:r>
      <w:r w:rsidR="004134AA" w:rsidRPr="008311E0">
        <w:rPr>
          <w:rFonts w:eastAsiaTheme="minorEastAsia"/>
          <w:lang w:val="en-US"/>
        </w:rPr>
        <w:t>ex-post</w:t>
      </w:r>
      <w:r w:rsidR="004134AA" w:rsidRPr="00A22DE9">
        <w:rPr>
          <w:rFonts w:eastAsiaTheme="minorEastAsia"/>
          <w:lang w:val="en-US"/>
        </w:rPr>
        <w:t xml:space="preserve"> prediction performance. A similar approach relying on standard </w:t>
      </w:r>
      <w:r w:rsidR="004134AA">
        <w:rPr>
          <w:rFonts w:eastAsiaTheme="minorEastAsia"/>
          <w:lang w:val="en-US"/>
        </w:rPr>
        <w:t xml:space="preserve">ADF </w:t>
      </w:r>
      <w:r w:rsidR="004134AA" w:rsidRPr="00A22DE9">
        <w:rPr>
          <w:rFonts w:eastAsiaTheme="minorEastAsia"/>
          <w:lang w:val="en-US"/>
        </w:rPr>
        <w:t>tests with a rolling window is found in Taipalus (2006a) and Taipalus and Virtanen (201</w:t>
      </w:r>
      <w:r w:rsidR="004134AA" w:rsidRPr="00FF052A">
        <w:rPr>
          <w:rFonts w:eastAsiaTheme="minorEastAsia"/>
          <w:lang w:val="en-US"/>
        </w:rPr>
        <w:t>6</w:t>
      </w:r>
      <w:r w:rsidR="004134AA" w:rsidRPr="00A22DE9">
        <w:rPr>
          <w:rFonts w:eastAsiaTheme="minorEastAsia"/>
          <w:lang w:val="en-US"/>
        </w:rPr>
        <w:t>).</w:t>
      </w:r>
    </w:p>
    <w:p w14:paraId="4E1C2B2F" w14:textId="7AF24D0A" w:rsidR="00F90185" w:rsidRPr="00F90185" w:rsidRDefault="00DA3884" w:rsidP="00701B05">
      <w:pPr>
        <w:spacing w:line="360" w:lineRule="auto"/>
        <w:rPr>
          <w:lang w:val="en-US"/>
        </w:rPr>
      </w:pPr>
      <w:r w:rsidRPr="005D54FD">
        <w:rPr>
          <w:lang w:val="en-US"/>
        </w:rPr>
        <w:t xml:space="preserve">Although some studies (e.g. Corsi and Sornette, 2014) attempt a general model of bubbles, the empirical work usually relies on some form of </w:t>
      </w:r>
      <w:r w:rsidRPr="0059756B">
        <w:rPr>
          <w:lang w:val="en-US"/>
        </w:rPr>
        <w:t>unit root</w:t>
      </w:r>
      <w:r w:rsidRPr="005D54FD">
        <w:rPr>
          <w:lang w:val="en-US"/>
        </w:rPr>
        <w:t xml:space="preserve"> testing.</w:t>
      </w:r>
      <w:r w:rsidR="00B80254">
        <w:rPr>
          <w:lang w:val="en-US"/>
        </w:rPr>
        <w:t xml:space="preserve"> The </w:t>
      </w:r>
      <w:r w:rsidR="005D54FD">
        <w:rPr>
          <w:lang w:val="en-US"/>
        </w:rPr>
        <w:t>few exceptions</w:t>
      </w:r>
      <w:r w:rsidR="00B80254">
        <w:rPr>
          <w:lang w:val="en-US"/>
        </w:rPr>
        <w:t xml:space="preserve"> include </w:t>
      </w:r>
      <w:r w:rsidR="00082EE0" w:rsidRPr="00046403">
        <w:rPr>
          <w:lang w:val="en-US"/>
        </w:rPr>
        <w:t xml:space="preserve">Banerjee </w:t>
      </w:r>
      <w:r w:rsidR="000B2E8F" w:rsidRPr="008311E0">
        <w:rPr>
          <w:lang w:val="en-US"/>
        </w:rPr>
        <w:t>et al.</w:t>
      </w:r>
      <w:r w:rsidR="00082EE0" w:rsidRPr="00046403">
        <w:rPr>
          <w:lang w:val="en-US"/>
        </w:rPr>
        <w:t xml:space="preserve"> (2013)</w:t>
      </w:r>
      <w:r w:rsidR="00B80254">
        <w:rPr>
          <w:lang w:val="en-US"/>
        </w:rPr>
        <w:t>, who</w:t>
      </w:r>
      <w:r w:rsidR="00082EE0" w:rsidRPr="00046403">
        <w:rPr>
          <w:lang w:val="en-US"/>
        </w:rPr>
        <w:t xml:space="preserve"> use a random coefficient autoregressive model, </w:t>
      </w:r>
      <w:r w:rsidR="00B80254">
        <w:rPr>
          <w:lang w:val="en-US"/>
        </w:rPr>
        <w:t xml:space="preserve">and </w:t>
      </w:r>
      <w:r w:rsidR="00082EE0" w:rsidRPr="00046403">
        <w:rPr>
          <w:lang w:val="en-US"/>
        </w:rPr>
        <w:t>Frans</w:t>
      </w:r>
      <w:r w:rsidR="00082EE0">
        <w:rPr>
          <w:lang w:val="en-US"/>
        </w:rPr>
        <w:t>e</w:t>
      </w:r>
      <w:r w:rsidR="00082EE0" w:rsidRPr="00046403">
        <w:rPr>
          <w:lang w:val="en-US"/>
        </w:rPr>
        <w:t>s (</w:t>
      </w:r>
      <w:r w:rsidR="00082EE0">
        <w:rPr>
          <w:lang w:val="en-US"/>
        </w:rPr>
        <w:t>2016</w:t>
      </w:r>
      <w:r w:rsidR="00082EE0" w:rsidRPr="00046403">
        <w:rPr>
          <w:lang w:val="en-US"/>
        </w:rPr>
        <w:t>)</w:t>
      </w:r>
      <w:r w:rsidR="00B80254">
        <w:rPr>
          <w:lang w:val="en-US"/>
        </w:rPr>
        <w:t xml:space="preserve">, who </w:t>
      </w:r>
      <w:r w:rsidR="00082EE0" w:rsidRPr="00046403">
        <w:rPr>
          <w:lang w:val="en-US"/>
        </w:rPr>
        <w:t xml:space="preserve">tests the feedback between first and second differences of time series, </w:t>
      </w:r>
      <w:r w:rsidR="00B80254">
        <w:rPr>
          <w:lang w:val="en-US"/>
        </w:rPr>
        <w:t xml:space="preserve">thereby causing the </w:t>
      </w:r>
      <w:r w:rsidR="00082EE0" w:rsidRPr="00046403">
        <w:rPr>
          <w:lang w:val="en-US"/>
        </w:rPr>
        <w:t>time series to explode.</w:t>
      </w:r>
      <w:r w:rsidR="00082EE0">
        <w:rPr>
          <w:lang w:val="en-US"/>
        </w:rPr>
        <w:t xml:space="preserve"> </w:t>
      </w:r>
      <w:r w:rsidR="00F90185" w:rsidRPr="00F90185">
        <w:rPr>
          <w:lang w:val="en-US"/>
        </w:rPr>
        <w:t>In addition, variance bounds tests (e.g. Gurkaynak</w:t>
      </w:r>
      <w:r w:rsidR="009D6CDB">
        <w:rPr>
          <w:lang w:val="en-US"/>
        </w:rPr>
        <w:t xml:space="preserve">, </w:t>
      </w:r>
      <w:r w:rsidR="00F90185" w:rsidRPr="00F90185">
        <w:rPr>
          <w:lang w:val="en-US"/>
        </w:rPr>
        <w:t xml:space="preserve">2008) have been used in the context of asset price formation. </w:t>
      </w:r>
      <w:r w:rsidR="00B80254">
        <w:rPr>
          <w:lang w:val="en-US"/>
        </w:rPr>
        <w:t xml:space="preserve">The </w:t>
      </w:r>
      <w:r w:rsidR="00F90185" w:rsidRPr="00F90185">
        <w:rPr>
          <w:lang w:val="en-US"/>
        </w:rPr>
        <w:t xml:space="preserve">sophisticated specification test </w:t>
      </w:r>
      <w:r w:rsidR="00B80254">
        <w:rPr>
          <w:lang w:val="en-US"/>
        </w:rPr>
        <w:t xml:space="preserve">proposed </w:t>
      </w:r>
      <w:r w:rsidR="00F90185" w:rsidRPr="00F90185">
        <w:rPr>
          <w:lang w:val="en-US"/>
        </w:rPr>
        <w:t xml:space="preserve">by West (1987) </w:t>
      </w:r>
      <w:r w:rsidR="00F54265">
        <w:rPr>
          <w:lang w:val="en-US"/>
        </w:rPr>
        <w:t>has only been</w:t>
      </w:r>
      <w:r w:rsidR="00B80254">
        <w:rPr>
          <w:lang w:val="en-US"/>
        </w:rPr>
        <w:t xml:space="preserve"> </w:t>
      </w:r>
      <w:r w:rsidR="00F90185" w:rsidRPr="00F90185">
        <w:rPr>
          <w:lang w:val="en-US"/>
        </w:rPr>
        <w:t xml:space="preserve">applied </w:t>
      </w:r>
      <w:r w:rsidR="00B80254">
        <w:rPr>
          <w:lang w:val="en-US"/>
        </w:rPr>
        <w:t xml:space="preserve">in </w:t>
      </w:r>
      <w:r w:rsidR="00F90185" w:rsidRPr="00F90185">
        <w:rPr>
          <w:lang w:val="en-US"/>
        </w:rPr>
        <w:t xml:space="preserve">a few studies. </w:t>
      </w:r>
      <w:r w:rsidR="00B80254">
        <w:rPr>
          <w:lang w:val="en-US"/>
        </w:rPr>
        <w:t>In any case, t</w:t>
      </w:r>
      <w:r w:rsidR="00F90185" w:rsidRPr="00F90185">
        <w:rPr>
          <w:lang w:val="en-US"/>
        </w:rPr>
        <w:t xml:space="preserve">here is </w:t>
      </w:r>
      <w:r w:rsidR="000936A0">
        <w:rPr>
          <w:lang w:val="en-US"/>
        </w:rPr>
        <w:t xml:space="preserve">still </w:t>
      </w:r>
      <w:r w:rsidR="00F90185" w:rsidRPr="00F90185">
        <w:rPr>
          <w:lang w:val="en-US"/>
        </w:rPr>
        <w:t xml:space="preserve">plenty of room for </w:t>
      </w:r>
      <w:r w:rsidR="00B80254">
        <w:rPr>
          <w:lang w:val="en-US"/>
        </w:rPr>
        <w:t xml:space="preserve">developing better </w:t>
      </w:r>
      <w:r w:rsidR="00F90185" w:rsidRPr="00F90185">
        <w:rPr>
          <w:lang w:val="en-US"/>
        </w:rPr>
        <w:t>tests and testing strategies.</w:t>
      </w:r>
    </w:p>
    <w:p w14:paraId="29B18F01" w14:textId="77777777" w:rsidR="00F90185" w:rsidRDefault="00F90185" w:rsidP="00F90185">
      <w:pPr>
        <w:ind w:firstLine="0"/>
        <w:rPr>
          <w:lang w:val="en-US"/>
        </w:rPr>
      </w:pPr>
    </w:p>
    <w:p w14:paraId="145AEB9F" w14:textId="5CC381F2" w:rsidR="0059756B" w:rsidRDefault="008C4BD5" w:rsidP="008311E0">
      <w:pPr>
        <w:pStyle w:val="Otsikko2"/>
      </w:pPr>
      <w:r>
        <w:t xml:space="preserve">B. </w:t>
      </w:r>
      <w:r w:rsidR="00B80254" w:rsidRPr="008311E0">
        <w:t>E</w:t>
      </w:r>
      <w:r w:rsidR="00CA04A8" w:rsidRPr="008311E0">
        <w:t>xplosive processes</w:t>
      </w:r>
    </w:p>
    <w:p w14:paraId="6FAFFD2D" w14:textId="6F799915" w:rsidR="00F90185" w:rsidRDefault="000936A0" w:rsidP="00F90185">
      <w:pPr>
        <w:spacing w:line="360" w:lineRule="auto"/>
        <w:rPr>
          <w:lang w:val="en-US"/>
        </w:rPr>
      </w:pPr>
      <w:r>
        <w:rPr>
          <w:lang w:val="en-US"/>
        </w:rPr>
        <w:t>E</w:t>
      </w:r>
      <w:r w:rsidR="009D6CDB">
        <w:rPr>
          <w:lang w:val="en-US"/>
        </w:rPr>
        <w:t>arly</w:t>
      </w:r>
      <w:r w:rsidR="009D6CDB" w:rsidRPr="00A22DE9">
        <w:rPr>
          <w:lang w:val="en-US"/>
        </w:rPr>
        <w:t xml:space="preserve"> </w:t>
      </w:r>
      <w:r>
        <w:rPr>
          <w:lang w:val="en-US"/>
        </w:rPr>
        <w:t xml:space="preserve">bubble </w:t>
      </w:r>
      <w:r w:rsidR="009D6CDB">
        <w:rPr>
          <w:lang w:val="en-US"/>
        </w:rPr>
        <w:t>theory</w:t>
      </w:r>
      <w:r>
        <w:rPr>
          <w:lang w:val="en-US"/>
        </w:rPr>
        <w:t xml:space="preserve">, </w:t>
      </w:r>
      <w:r w:rsidR="009D6CDB">
        <w:rPr>
          <w:lang w:val="en-US"/>
        </w:rPr>
        <w:t>elaborated</w:t>
      </w:r>
      <w:r w:rsidR="00F54265">
        <w:rPr>
          <w:lang w:val="en-US"/>
        </w:rPr>
        <w:t>, among others,</w:t>
      </w:r>
      <w:r w:rsidR="009D6CDB">
        <w:rPr>
          <w:lang w:val="en-US"/>
        </w:rPr>
        <w:t xml:space="preserve"> by</w:t>
      </w:r>
      <w:r w:rsidR="009D6CDB" w:rsidRPr="00A22DE9">
        <w:rPr>
          <w:lang w:val="en-US"/>
        </w:rPr>
        <w:t xml:space="preserve"> Campbell, Lo</w:t>
      </w:r>
      <w:r w:rsidR="00F54265">
        <w:rPr>
          <w:lang w:val="en-US"/>
        </w:rPr>
        <w:t>,</w:t>
      </w:r>
      <w:r w:rsidR="009D6CDB" w:rsidRPr="00A22DE9">
        <w:rPr>
          <w:lang w:val="en-US"/>
        </w:rPr>
        <w:t xml:space="preserve"> and McKinlay (1997), Campbell and Shiller (1988), Craine (1993), Koustas and Serletis (2005)</w:t>
      </w:r>
      <w:r w:rsidR="009D6CDB">
        <w:rPr>
          <w:lang w:val="en-US"/>
        </w:rPr>
        <w:t xml:space="preserve">, </w:t>
      </w:r>
      <w:r w:rsidR="00F54265">
        <w:rPr>
          <w:lang w:val="en-US"/>
        </w:rPr>
        <w:t xml:space="preserve">is </w:t>
      </w:r>
      <w:r w:rsidR="009D6CDB">
        <w:rPr>
          <w:lang w:val="en-US"/>
        </w:rPr>
        <w:t>concerned with bubbles in stock prices</w:t>
      </w:r>
      <w:r w:rsidR="009D6CDB" w:rsidRPr="00A22DE9">
        <w:rPr>
          <w:lang w:val="en-US"/>
        </w:rPr>
        <w:t>.</w:t>
      </w:r>
      <w:r w:rsidR="009D6CDB">
        <w:rPr>
          <w:lang w:val="en-US"/>
        </w:rPr>
        <w:t xml:space="preserve"> </w:t>
      </w:r>
      <w:r>
        <w:rPr>
          <w:lang w:val="en-US"/>
        </w:rPr>
        <w:t>Specifically, a</w:t>
      </w:r>
      <w:r w:rsidR="00F90185" w:rsidRPr="004735FB">
        <w:rPr>
          <w:lang w:val="en-US"/>
        </w:rPr>
        <w:t xml:space="preserve"> constantly demising dividend yield </w:t>
      </w:r>
      <w:r w:rsidR="00F54265">
        <w:rPr>
          <w:lang w:val="en-US"/>
        </w:rPr>
        <w:t xml:space="preserve">is treated </w:t>
      </w:r>
      <w:r>
        <w:rPr>
          <w:lang w:val="en-US"/>
        </w:rPr>
        <w:t xml:space="preserve">as </w:t>
      </w:r>
      <w:r w:rsidR="00F90185" w:rsidRPr="004735FB">
        <w:rPr>
          <w:lang w:val="en-US"/>
        </w:rPr>
        <w:t>a sign of worsening overpricing</w:t>
      </w:r>
      <w:r>
        <w:rPr>
          <w:lang w:val="en-US"/>
        </w:rPr>
        <w:t xml:space="preserve">. </w:t>
      </w:r>
      <w:r w:rsidR="00F54265">
        <w:rPr>
          <w:lang w:val="en-US"/>
        </w:rPr>
        <w:t xml:space="preserve">As </w:t>
      </w:r>
      <w:r>
        <w:rPr>
          <w:lang w:val="en-US"/>
        </w:rPr>
        <w:t>prices r</w:t>
      </w:r>
      <w:r w:rsidR="00F90185" w:rsidRPr="004735FB">
        <w:rPr>
          <w:lang w:val="en-US"/>
        </w:rPr>
        <w:t>is</w:t>
      </w:r>
      <w:r>
        <w:rPr>
          <w:lang w:val="en-US"/>
        </w:rPr>
        <w:t xml:space="preserve">e, they </w:t>
      </w:r>
      <w:r w:rsidR="00F90185" w:rsidRPr="004735FB">
        <w:rPr>
          <w:lang w:val="en-US"/>
        </w:rPr>
        <w:t xml:space="preserve">should </w:t>
      </w:r>
      <w:r w:rsidR="00F54265">
        <w:rPr>
          <w:lang w:val="en-US"/>
        </w:rPr>
        <w:t xml:space="preserve">eventually </w:t>
      </w:r>
      <w:r w:rsidR="00F90185" w:rsidRPr="004735FB">
        <w:rPr>
          <w:lang w:val="en-US"/>
        </w:rPr>
        <w:t xml:space="preserve">be realized as higher dividends. If not, the price rise is not </w:t>
      </w:r>
      <w:r w:rsidR="00F54265">
        <w:rPr>
          <w:lang w:val="en-US"/>
        </w:rPr>
        <w:t xml:space="preserve">considered to be </w:t>
      </w:r>
      <w:r w:rsidR="00F90185" w:rsidRPr="004735FB">
        <w:rPr>
          <w:lang w:val="en-US"/>
        </w:rPr>
        <w:t xml:space="preserve">based on fundamentals. This </w:t>
      </w:r>
      <w:r w:rsidR="00F54265">
        <w:rPr>
          <w:lang w:val="en-US"/>
        </w:rPr>
        <w:t xml:space="preserve">is </w:t>
      </w:r>
      <w:r w:rsidR="00F90185" w:rsidRPr="004735FB">
        <w:rPr>
          <w:lang w:val="en-US"/>
        </w:rPr>
        <w:t>apparent from the log dividend-price ratio model derived by Campbell and Shiller (1988):</w:t>
      </w:r>
    </w:p>
    <w:p w14:paraId="4D90A959" w14:textId="77777777" w:rsidR="00BC56B6" w:rsidRDefault="00BC56B6" w:rsidP="00F90185">
      <w:pPr>
        <w:spacing w:line="360" w:lineRule="auto"/>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125"/>
        <w:gridCol w:w="730"/>
      </w:tblGrid>
      <w:tr w:rsidR="009707AF" w14:paraId="395754DF" w14:textId="77777777" w:rsidTr="00D06C83">
        <w:tc>
          <w:tcPr>
            <w:tcW w:w="2155" w:type="dxa"/>
            <w:vAlign w:val="center"/>
          </w:tcPr>
          <w:p w14:paraId="41BD9ADE" w14:textId="77777777" w:rsidR="009707AF" w:rsidRDefault="009707AF" w:rsidP="009707AF">
            <w:pPr>
              <w:spacing w:line="360" w:lineRule="auto"/>
              <w:ind w:firstLine="0"/>
              <w:rPr>
                <w:lang w:val="en-US"/>
              </w:rPr>
            </w:pPr>
          </w:p>
        </w:tc>
        <w:tc>
          <w:tcPr>
            <w:tcW w:w="6125" w:type="dxa"/>
            <w:vAlign w:val="center"/>
          </w:tcPr>
          <w:p w14:paraId="21EB00D4" w14:textId="77777777" w:rsidR="009707AF" w:rsidRPr="00BC56B6" w:rsidRDefault="00182CAB" w:rsidP="009707AF">
            <w:pPr>
              <w:spacing w:line="360" w:lineRule="auto"/>
              <w:ind w:firstLine="0"/>
              <w:rPr>
                <w:lang w:val="en-US"/>
              </w:rPr>
            </w:pPr>
            <m:oMathPara>
              <m:oMathParaPr>
                <m:jc m:val="left"/>
              </m:oMathParaPr>
              <m:oMath>
                <m:sSub>
                  <m:sSubPr>
                    <m:ctrlPr>
                      <w:rPr>
                        <w:rFonts w:ascii="Cambria Math" w:hAnsi="Cambria Math"/>
                        <w:noProof/>
                        <w:lang w:val="en-US" w:eastAsia="fi-FI"/>
                      </w:rPr>
                    </m:ctrlPr>
                  </m:sSubPr>
                  <m:e>
                    <m:r>
                      <w:rPr>
                        <w:rFonts w:ascii="Cambria Math" w:hAnsi="Cambria Math"/>
                        <w:noProof/>
                        <w:lang w:val="en-US" w:eastAsia="fi-FI"/>
                      </w:rPr>
                      <m:t>d</m:t>
                    </m:r>
                  </m:e>
                  <m:sub>
                    <m:r>
                      <w:rPr>
                        <w:rFonts w:ascii="Cambria Math" w:hAnsi="Cambria Math"/>
                        <w:noProof/>
                        <w:lang w:val="en-US" w:eastAsia="fi-FI"/>
                      </w:rPr>
                      <m:t>t</m:t>
                    </m:r>
                  </m:sub>
                </m:sSub>
                <m:r>
                  <m:rPr>
                    <m:sty m:val="p"/>
                  </m:rPr>
                  <w:rPr>
                    <w:rFonts w:ascii="Cambria Math" w:hAnsi="Cambria Math"/>
                    <w:noProof/>
                    <w:lang w:val="en-US" w:eastAsia="fi-FI"/>
                  </w:rPr>
                  <m:t>-</m:t>
                </m:r>
                <m:sSub>
                  <m:sSubPr>
                    <m:ctrlPr>
                      <w:rPr>
                        <w:rFonts w:ascii="Cambria Math" w:hAnsi="Cambria Math"/>
                        <w:noProof/>
                        <w:lang w:val="en-US" w:eastAsia="fi-FI"/>
                      </w:rPr>
                    </m:ctrlPr>
                  </m:sSubPr>
                  <m:e>
                    <m:r>
                      <w:rPr>
                        <w:rFonts w:ascii="Cambria Math" w:hAnsi="Cambria Math"/>
                        <w:noProof/>
                        <w:lang w:val="en-US" w:eastAsia="fi-FI"/>
                      </w:rPr>
                      <m:t>p</m:t>
                    </m:r>
                  </m:e>
                  <m:sub>
                    <m:r>
                      <w:rPr>
                        <w:rFonts w:ascii="Cambria Math" w:hAnsi="Cambria Math"/>
                        <w:noProof/>
                        <w:lang w:val="en-US" w:eastAsia="fi-FI"/>
                      </w:rPr>
                      <m:t>t</m:t>
                    </m:r>
                  </m:sub>
                </m:sSub>
                <m:r>
                  <m:rPr>
                    <m:sty m:val="p"/>
                  </m:rPr>
                  <w:rPr>
                    <w:rFonts w:ascii="Cambria Math" w:hAnsi="Cambria Math"/>
                    <w:noProof/>
                    <w:lang w:val="en-US" w:eastAsia="fi-FI"/>
                  </w:rPr>
                  <m:t>=</m:t>
                </m:r>
                <m:sSub>
                  <m:sSubPr>
                    <m:ctrlPr>
                      <w:rPr>
                        <w:rFonts w:ascii="Cambria Math" w:hAnsi="Cambria Math"/>
                        <w:noProof/>
                        <w:lang w:val="en-US" w:eastAsia="fi-FI"/>
                      </w:rPr>
                    </m:ctrlPr>
                  </m:sSubPr>
                  <m:e>
                    <m:r>
                      <m:rPr>
                        <m:scr m:val="double-struck"/>
                        <m:sty m:val="p"/>
                      </m:rPr>
                      <w:rPr>
                        <w:rFonts w:ascii="Cambria Math" w:hAnsi="Cambria Math"/>
                        <w:noProof/>
                        <w:lang w:val="en-US" w:eastAsia="fi-FI"/>
                      </w:rPr>
                      <m:t>E</m:t>
                    </m:r>
                  </m:e>
                  <m:sub>
                    <m:r>
                      <w:rPr>
                        <w:rFonts w:ascii="Cambria Math" w:hAnsi="Cambria Math"/>
                        <w:noProof/>
                        <w:lang w:val="en-US" w:eastAsia="fi-FI"/>
                      </w:rPr>
                      <m:t>t</m:t>
                    </m:r>
                  </m:sub>
                </m:sSub>
                <m:d>
                  <m:dPr>
                    <m:begChr m:val="["/>
                    <m:endChr m:val="]"/>
                    <m:ctrlPr>
                      <w:rPr>
                        <w:rFonts w:ascii="Cambria Math" w:hAnsi="Cambria Math"/>
                        <w:noProof/>
                        <w:lang w:val="en-US" w:eastAsia="fi-FI"/>
                      </w:rPr>
                    </m:ctrlPr>
                  </m:dPr>
                  <m:e>
                    <m:nary>
                      <m:naryPr>
                        <m:chr m:val="∑"/>
                        <m:grow m:val="1"/>
                        <m:ctrlPr>
                          <w:rPr>
                            <w:rFonts w:ascii="Cambria Math" w:hAnsi="Cambria Math"/>
                            <w:noProof/>
                            <w:lang w:val="en-US" w:eastAsia="fi-FI"/>
                          </w:rPr>
                        </m:ctrlPr>
                      </m:naryPr>
                      <m:sub>
                        <m:r>
                          <w:rPr>
                            <w:rFonts w:ascii="Cambria Math" w:hAnsi="Cambria Math"/>
                            <w:noProof/>
                            <w:lang w:val="en-US" w:eastAsia="fi-FI"/>
                          </w:rPr>
                          <m:t>j</m:t>
                        </m:r>
                        <m:r>
                          <m:rPr>
                            <m:sty m:val="p"/>
                          </m:rPr>
                          <w:rPr>
                            <w:rFonts w:ascii="Cambria Math" w:hAnsi="Cambria Math"/>
                            <w:noProof/>
                            <w:lang w:val="en-US" w:eastAsia="fi-FI"/>
                          </w:rPr>
                          <m:t>=0</m:t>
                        </m:r>
                      </m:sub>
                      <m:sup>
                        <m:r>
                          <m:rPr>
                            <m:sty m:val="p"/>
                          </m:rPr>
                          <w:rPr>
                            <w:rFonts w:ascii="Cambria Math" w:hAnsi="Cambria Math"/>
                            <w:noProof/>
                            <w:lang w:val="en-US" w:eastAsia="fi-FI"/>
                          </w:rPr>
                          <m:t>∞</m:t>
                        </m:r>
                      </m:sup>
                      <m:e>
                        <m:sSup>
                          <m:sSupPr>
                            <m:ctrlPr>
                              <w:rPr>
                                <w:rFonts w:ascii="Cambria Math" w:hAnsi="Cambria Math"/>
                                <w:noProof/>
                                <w:lang w:val="en-US" w:eastAsia="fi-FI"/>
                              </w:rPr>
                            </m:ctrlPr>
                          </m:sSupPr>
                          <m:e>
                            <m:r>
                              <w:rPr>
                                <w:rFonts w:ascii="Cambria Math" w:hAnsi="Cambria Math"/>
                                <w:noProof/>
                                <w:lang w:val="en-US" w:eastAsia="fi-FI"/>
                              </w:rPr>
                              <m:t>ρ</m:t>
                            </m:r>
                          </m:e>
                          <m:sup>
                            <m:r>
                              <w:rPr>
                                <w:rFonts w:ascii="Cambria Math" w:hAnsi="Cambria Math"/>
                                <w:noProof/>
                                <w:lang w:val="en-US" w:eastAsia="fi-FI"/>
                              </w:rPr>
                              <m:t>j</m:t>
                            </m:r>
                          </m:sup>
                        </m:sSup>
                        <m:d>
                          <m:dPr>
                            <m:ctrlPr>
                              <w:rPr>
                                <w:rFonts w:ascii="Cambria Math" w:hAnsi="Cambria Math"/>
                                <w:noProof/>
                                <w:lang w:val="en-US" w:eastAsia="fi-FI"/>
                              </w:rPr>
                            </m:ctrlPr>
                          </m:dPr>
                          <m:e>
                            <m:sSub>
                              <m:sSubPr>
                                <m:ctrlPr>
                                  <w:rPr>
                                    <w:rFonts w:ascii="Cambria Math" w:hAnsi="Cambria Math"/>
                                    <w:noProof/>
                                    <w:lang w:val="en-US" w:eastAsia="fi-FI"/>
                                  </w:rPr>
                                </m:ctrlPr>
                              </m:sSubPr>
                              <m:e>
                                <m:r>
                                  <w:rPr>
                                    <w:rFonts w:ascii="Cambria Math" w:hAnsi="Cambria Math"/>
                                    <w:noProof/>
                                    <w:lang w:val="en-US" w:eastAsia="fi-FI"/>
                                  </w:rPr>
                                  <m:t>r</m:t>
                                </m:r>
                              </m:e>
                              <m:sub>
                                <m:r>
                                  <w:rPr>
                                    <w:rFonts w:ascii="Cambria Math" w:hAnsi="Cambria Math"/>
                                    <w:noProof/>
                                    <w:lang w:val="en-US" w:eastAsia="fi-FI"/>
                                  </w:rPr>
                                  <m:t>t</m:t>
                                </m:r>
                                <m:r>
                                  <m:rPr>
                                    <m:sty m:val="p"/>
                                  </m:rPr>
                                  <w:rPr>
                                    <w:rFonts w:ascii="Cambria Math" w:hAnsi="Cambria Math"/>
                                    <w:noProof/>
                                    <w:lang w:val="en-US" w:eastAsia="fi-FI"/>
                                  </w:rPr>
                                  <m:t>+</m:t>
                                </m:r>
                                <m:r>
                                  <w:rPr>
                                    <w:rFonts w:ascii="Cambria Math" w:hAnsi="Cambria Math"/>
                                    <w:noProof/>
                                    <w:lang w:val="en-US" w:eastAsia="fi-FI"/>
                                  </w:rPr>
                                  <m:t>j</m:t>
                                </m:r>
                              </m:sub>
                            </m:sSub>
                            <m:r>
                              <m:rPr>
                                <m:sty m:val="p"/>
                              </m:rPr>
                              <w:rPr>
                                <w:rFonts w:ascii="Cambria Math" w:hAnsi="Cambria Math"/>
                                <w:noProof/>
                                <w:lang w:val="en-US" w:eastAsia="fi-FI"/>
                              </w:rPr>
                              <m:t>-</m:t>
                            </m:r>
                            <m:r>
                              <m:rPr>
                                <m:sty m:val="p"/>
                              </m:rPr>
                              <w:rPr>
                                <w:rFonts w:ascii="Cambria Math" w:hAnsi="Cambria Math" w:hint="eastAsia"/>
                                <w:noProof/>
                                <w:lang w:val="en-US" w:eastAsia="fi-FI"/>
                              </w:rPr>
                              <m:t>Δ</m:t>
                            </m:r>
                            <m:sSub>
                              <m:sSubPr>
                                <m:ctrlPr>
                                  <w:rPr>
                                    <w:rFonts w:ascii="Cambria Math" w:hAnsi="Cambria Math"/>
                                    <w:noProof/>
                                    <w:lang w:val="en-US" w:eastAsia="fi-FI"/>
                                  </w:rPr>
                                </m:ctrlPr>
                              </m:sSubPr>
                              <m:e>
                                <m:r>
                                  <w:rPr>
                                    <w:rFonts w:ascii="Cambria Math" w:hAnsi="Cambria Math"/>
                                    <w:noProof/>
                                    <w:lang w:val="en-US" w:eastAsia="fi-FI"/>
                                  </w:rPr>
                                  <m:t>d</m:t>
                                </m:r>
                              </m:e>
                              <m:sub>
                                <m:r>
                                  <w:rPr>
                                    <w:rFonts w:ascii="Cambria Math" w:hAnsi="Cambria Math"/>
                                    <w:noProof/>
                                    <w:lang w:val="en-US" w:eastAsia="fi-FI"/>
                                  </w:rPr>
                                  <m:t>t</m:t>
                                </m:r>
                                <m:r>
                                  <m:rPr>
                                    <m:sty m:val="p"/>
                                  </m:rPr>
                                  <w:rPr>
                                    <w:rFonts w:ascii="Cambria Math" w:hAnsi="Cambria Math"/>
                                    <w:noProof/>
                                    <w:lang w:val="en-US" w:eastAsia="fi-FI"/>
                                  </w:rPr>
                                  <m:t>+</m:t>
                                </m:r>
                                <m:r>
                                  <w:rPr>
                                    <w:rFonts w:ascii="Cambria Math" w:hAnsi="Cambria Math"/>
                                    <w:noProof/>
                                    <w:lang w:val="en-US" w:eastAsia="fi-FI"/>
                                  </w:rPr>
                                  <m:t>j</m:t>
                                </m:r>
                              </m:sub>
                            </m:sSub>
                          </m:e>
                        </m:d>
                      </m:e>
                    </m:nary>
                  </m:e>
                </m:d>
                <m:r>
                  <m:rPr>
                    <m:sty m:val="p"/>
                  </m:rPr>
                  <w:rPr>
                    <w:rFonts w:ascii="Cambria Math" w:hAnsi="Cambria Math"/>
                    <w:noProof/>
                    <w:lang w:val="en-US" w:eastAsia="fi-FI"/>
                  </w:rPr>
                  <m:t>-</m:t>
                </m:r>
                <m:f>
                  <m:fPr>
                    <m:ctrlPr>
                      <w:rPr>
                        <w:rFonts w:ascii="Cambria Math" w:hAnsi="Cambria Math"/>
                        <w:noProof/>
                        <w:lang w:val="en-US" w:eastAsia="fi-FI"/>
                      </w:rPr>
                    </m:ctrlPr>
                  </m:fPr>
                  <m:num>
                    <m:r>
                      <w:rPr>
                        <w:rFonts w:ascii="Cambria Math" w:hAnsi="Cambria Math"/>
                        <w:noProof/>
                        <w:lang w:val="en-US" w:eastAsia="fi-FI"/>
                      </w:rPr>
                      <m:t>c-k</m:t>
                    </m:r>
                  </m:num>
                  <m:den>
                    <m:r>
                      <m:rPr>
                        <m:sty m:val="p"/>
                      </m:rPr>
                      <w:rPr>
                        <w:rFonts w:ascii="Cambria Math" w:hAnsi="Cambria Math"/>
                        <w:noProof/>
                        <w:lang w:val="en-US" w:eastAsia="fi-FI"/>
                      </w:rPr>
                      <m:t>1-</m:t>
                    </m:r>
                    <m:r>
                      <w:rPr>
                        <w:rFonts w:ascii="Cambria Math" w:hAnsi="Cambria Math"/>
                        <w:noProof/>
                        <w:lang w:val="en-US" w:eastAsia="fi-FI"/>
                      </w:rPr>
                      <m:t>ρ</m:t>
                    </m:r>
                  </m:den>
                </m:f>
                <m:r>
                  <w:rPr>
                    <w:rFonts w:ascii="Cambria Math" w:hAnsi="Cambria Math"/>
                    <w:noProof/>
                    <w:lang w:val="en-US" w:eastAsia="fi-FI"/>
                  </w:rPr>
                  <m:t xml:space="preserve"> ,</m:t>
                </m:r>
              </m:oMath>
            </m:oMathPara>
          </w:p>
        </w:tc>
        <w:tc>
          <w:tcPr>
            <w:tcW w:w="730" w:type="dxa"/>
            <w:vAlign w:val="center"/>
          </w:tcPr>
          <w:p w14:paraId="4F8B981C" w14:textId="77777777" w:rsidR="009707AF" w:rsidRDefault="009707AF" w:rsidP="009707AF">
            <w:pPr>
              <w:spacing w:line="360" w:lineRule="auto"/>
              <w:ind w:firstLine="0"/>
              <w:rPr>
                <w:lang w:val="en-US"/>
              </w:rPr>
            </w:pPr>
            <w:r w:rsidRPr="004735FB">
              <w:rPr>
                <w:lang w:val="en-US"/>
              </w:rPr>
              <w:t>(</w:t>
            </w:r>
            <w:r>
              <w:rPr>
                <w:lang w:val="en-US"/>
              </w:rPr>
              <w:fldChar w:fldCharType="begin"/>
            </w:r>
            <w:r>
              <w:rPr>
                <w:lang w:val="en-US"/>
              </w:rPr>
              <w:instrText xml:space="preserve"> SEQ Eq \* MERGEFORMAT </w:instrText>
            </w:r>
            <w:r>
              <w:rPr>
                <w:lang w:val="en-US"/>
              </w:rPr>
              <w:fldChar w:fldCharType="separate"/>
            </w:r>
            <w:r w:rsidR="003050F5">
              <w:rPr>
                <w:noProof/>
                <w:lang w:val="en-US"/>
              </w:rPr>
              <w:t>1</w:t>
            </w:r>
            <w:r>
              <w:rPr>
                <w:lang w:val="en-US"/>
              </w:rPr>
              <w:fldChar w:fldCharType="end"/>
            </w:r>
            <w:r w:rsidRPr="004735FB">
              <w:rPr>
                <w:lang w:val="en-US"/>
              </w:rPr>
              <w:t>)</w:t>
            </w:r>
          </w:p>
        </w:tc>
      </w:tr>
    </w:tbl>
    <w:p w14:paraId="665FBBA9" w14:textId="77777777" w:rsidR="009707AF" w:rsidRPr="004735FB" w:rsidRDefault="009707AF" w:rsidP="00F90185">
      <w:pPr>
        <w:spacing w:line="360" w:lineRule="auto"/>
        <w:rPr>
          <w:lang w:val="en-US"/>
        </w:rPr>
      </w:pPr>
    </w:p>
    <w:p w14:paraId="01AF3BA2" w14:textId="3AD9405B" w:rsidR="00F90185" w:rsidRDefault="00F90185" w:rsidP="00F90185">
      <w:pPr>
        <w:spacing w:line="360" w:lineRule="auto"/>
        <w:ind w:firstLine="0"/>
        <w:rPr>
          <w:lang w:val="en-US"/>
        </w:rPr>
      </w:pPr>
      <w:r w:rsidRPr="004735FB">
        <w:rPr>
          <w:lang w:val="en-US"/>
        </w:rPr>
        <w:t xml:space="preserve">where </w:t>
      </w:r>
      <w:r w:rsidRPr="004735FB">
        <w:rPr>
          <w:i/>
          <w:lang w:val="en-US"/>
        </w:rPr>
        <w:t>d</w:t>
      </w:r>
      <w:r w:rsidRPr="004735FB">
        <w:rPr>
          <w:lang w:val="en-US"/>
        </w:rPr>
        <w:t xml:space="preserve"> is </w:t>
      </w:r>
      <w:r w:rsidR="00142E97">
        <w:rPr>
          <w:lang w:val="en-US"/>
        </w:rPr>
        <w:t xml:space="preserve">the </w:t>
      </w:r>
      <w:r w:rsidRPr="004735FB">
        <w:rPr>
          <w:lang w:val="en-US"/>
        </w:rPr>
        <w:t xml:space="preserve">log dividend, </w:t>
      </w:r>
      <w:r w:rsidRPr="004735FB">
        <w:rPr>
          <w:i/>
          <w:lang w:val="en-US"/>
        </w:rPr>
        <w:t>p</w:t>
      </w:r>
      <w:r w:rsidRPr="004735FB">
        <w:rPr>
          <w:lang w:val="en-US"/>
        </w:rPr>
        <w:t xml:space="preserve"> </w:t>
      </w:r>
      <w:r w:rsidR="00142E97">
        <w:rPr>
          <w:lang w:val="en-US"/>
        </w:rPr>
        <w:t>the</w:t>
      </w:r>
      <w:r w:rsidRPr="004735FB">
        <w:rPr>
          <w:lang w:val="en-US"/>
        </w:rPr>
        <w:t xml:space="preserve"> log price, and </w:t>
      </w:r>
      <w:r w:rsidRPr="004735FB">
        <w:rPr>
          <w:i/>
          <w:lang w:val="en-US"/>
        </w:rPr>
        <w:t>r</w:t>
      </w:r>
      <w:r w:rsidRPr="004735FB">
        <w:rPr>
          <w:lang w:val="en-US"/>
        </w:rPr>
        <w:t xml:space="preserve"> the discount rate. Constants </w:t>
      </w:r>
      <w:r w:rsidRPr="004735FB">
        <w:rPr>
          <w:i/>
          <w:lang w:val="en-US"/>
        </w:rPr>
        <w:t>ρ,</w:t>
      </w:r>
      <w:r w:rsidRPr="004735FB" w:rsidDel="00E45E76">
        <w:rPr>
          <w:i/>
          <w:lang w:val="en-US"/>
        </w:rPr>
        <w:t xml:space="preserve"> </w:t>
      </w:r>
      <w:r w:rsidRPr="004735FB">
        <w:rPr>
          <w:i/>
          <w:lang w:val="en-US"/>
        </w:rPr>
        <w:t>c</w:t>
      </w:r>
      <w:r w:rsidR="000936A0">
        <w:rPr>
          <w:i/>
          <w:lang w:val="en-US"/>
        </w:rPr>
        <w:t xml:space="preserve">, </w:t>
      </w:r>
      <w:r w:rsidRPr="004735FB">
        <w:rPr>
          <w:lang w:val="en-US"/>
        </w:rPr>
        <w:t>and</w:t>
      </w:r>
      <w:r w:rsidRPr="004735FB">
        <w:rPr>
          <w:i/>
          <w:lang w:val="en-US"/>
        </w:rPr>
        <w:t xml:space="preserve"> k</w:t>
      </w:r>
      <w:r w:rsidRPr="004735FB">
        <w:rPr>
          <w:lang w:val="en-US"/>
        </w:rPr>
        <w:t xml:space="preserve"> are parameters from log-linear approximation. </w:t>
      </w:r>
      <w:r w:rsidR="00082EE0" w:rsidRPr="00D439D2">
        <w:rPr>
          <w:lang w:val="en-US"/>
        </w:rPr>
        <w:t>Th</w:t>
      </w:r>
      <w:r w:rsidR="00F54265">
        <w:rPr>
          <w:lang w:val="en-US"/>
        </w:rPr>
        <w:t>e</w:t>
      </w:r>
      <w:r w:rsidR="00082EE0" w:rsidRPr="00D439D2">
        <w:rPr>
          <w:lang w:val="en-US"/>
        </w:rPr>
        <w:t xml:space="preserve"> formula is a generalization of the Gordon (1962) growth </w:t>
      </w:r>
      <w:r w:rsidR="00082EE0" w:rsidRPr="00082EE0">
        <w:rPr>
          <w:lang w:val="en-US"/>
        </w:rPr>
        <w:t xml:space="preserve">model for the case where dividend growth and rates of return change over time. </w:t>
      </w:r>
      <w:r w:rsidR="000936A0">
        <w:rPr>
          <w:lang w:val="en-US"/>
        </w:rPr>
        <w:t xml:space="preserve">Moreover, the </w:t>
      </w:r>
      <w:r w:rsidR="00082EE0" w:rsidRPr="00082EE0">
        <w:rPr>
          <w:lang w:val="en-US"/>
        </w:rPr>
        <w:t xml:space="preserve">equation </w:t>
      </w:r>
      <w:r w:rsidR="000936A0">
        <w:rPr>
          <w:lang w:val="en-US"/>
        </w:rPr>
        <w:t xml:space="preserve">is </w:t>
      </w:r>
      <w:r w:rsidR="00F54265">
        <w:rPr>
          <w:lang w:val="en-US"/>
        </w:rPr>
        <w:t xml:space="preserve">itself </w:t>
      </w:r>
      <w:r w:rsidR="00082EE0" w:rsidRPr="00082EE0">
        <w:rPr>
          <w:lang w:val="en-US"/>
        </w:rPr>
        <w:t>a solution to a linearized stochastic difference equation. The solution implicitly assumes a transversality condition lim</w:t>
      </w:r>
      <w:r w:rsidR="00082EE0" w:rsidRPr="00082EE0">
        <w:rPr>
          <w:vertAlign w:val="subscript"/>
          <w:lang w:val="en-US"/>
        </w:rPr>
        <w:t>t</w:t>
      </w:r>
      <w:r w:rsidR="00082EE0" w:rsidRPr="00082EE0">
        <w:rPr>
          <w:rFonts w:cs="Times New Roman"/>
          <w:vertAlign w:val="subscript"/>
          <w:lang w:val="en-US"/>
        </w:rPr>
        <w:t>→∞</w:t>
      </w:r>
      <w:r w:rsidR="00082EE0" w:rsidRPr="00082EE0">
        <w:rPr>
          <w:rFonts w:cs="Times New Roman"/>
          <w:i/>
          <w:lang w:val="en-US"/>
        </w:rPr>
        <w:t>ρ</w:t>
      </w:r>
      <w:r w:rsidR="00082EE0" w:rsidRPr="00082EE0">
        <w:rPr>
          <w:rFonts w:cs="Times New Roman"/>
          <w:i/>
          <w:vertAlign w:val="superscript"/>
          <w:lang w:val="en-US"/>
        </w:rPr>
        <w:t>t</w:t>
      </w:r>
      <w:r w:rsidR="00082EE0" w:rsidRPr="00082EE0">
        <w:rPr>
          <w:i/>
          <w:lang w:val="en-US"/>
        </w:rPr>
        <w:t>(d</w:t>
      </w:r>
      <w:r w:rsidR="00082EE0" w:rsidRPr="00082EE0">
        <w:rPr>
          <w:i/>
          <w:vertAlign w:val="subscript"/>
          <w:lang w:val="en-US"/>
        </w:rPr>
        <w:t xml:space="preserve">t </w:t>
      </w:r>
      <w:r w:rsidR="00082EE0" w:rsidRPr="00082EE0">
        <w:rPr>
          <w:i/>
          <w:lang w:val="en-US"/>
        </w:rPr>
        <w:t>- p</w:t>
      </w:r>
      <w:r w:rsidR="00082EE0" w:rsidRPr="00082EE0">
        <w:rPr>
          <w:i/>
          <w:vertAlign w:val="subscript"/>
          <w:lang w:val="en-US"/>
        </w:rPr>
        <w:t>t</w:t>
      </w:r>
      <w:r w:rsidR="00082EE0" w:rsidRPr="00082EE0">
        <w:rPr>
          <w:i/>
          <w:lang w:val="en-US"/>
        </w:rPr>
        <w:t xml:space="preserve">) </w:t>
      </w:r>
      <w:r w:rsidR="00082EE0" w:rsidRPr="00082EE0">
        <w:rPr>
          <w:lang w:val="en-US"/>
        </w:rPr>
        <w:t xml:space="preserve">= 0 </w:t>
      </w:r>
      <w:r w:rsidR="000936A0">
        <w:rPr>
          <w:lang w:val="en-US"/>
        </w:rPr>
        <w:t xml:space="preserve">that </w:t>
      </w:r>
      <w:r w:rsidR="00082EE0" w:rsidRPr="00082EE0">
        <w:rPr>
          <w:lang w:val="en-US"/>
        </w:rPr>
        <w:t xml:space="preserve">requires both </w:t>
      </w:r>
      <w:r w:rsidR="00082EE0" w:rsidRPr="00082EE0">
        <w:rPr>
          <w:rFonts w:cs="Times New Roman"/>
          <w:lang w:val="en-US"/>
        </w:rPr>
        <w:t xml:space="preserve">ρ&lt;1 and a stationary </w:t>
      </w:r>
      <w:r w:rsidR="00082EE0" w:rsidRPr="00082EE0">
        <w:rPr>
          <w:rFonts w:cs="Times New Roman"/>
          <w:i/>
          <w:lang w:val="en-US"/>
        </w:rPr>
        <w:t>d</w:t>
      </w:r>
      <w:r w:rsidR="00082EE0">
        <w:rPr>
          <w:rFonts w:cs="Times New Roman"/>
          <w:i/>
          <w:lang w:val="en-US"/>
        </w:rPr>
        <w:t xml:space="preserve"> – </w:t>
      </w:r>
      <w:r w:rsidR="00082EE0" w:rsidRPr="00082EE0">
        <w:rPr>
          <w:rFonts w:cs="Times New Roman"/>
          <w:i/>
          <w:lang w:val="en-US"/>
        </w:rPr>
        <w:t>p</w:t>
      </w:r>
      <w:r w:rsidR="00082EE0" w:rsidRPr="00082EE0">
        <w:rPr>
          <w:rFonts w:cs="Times New Roman"/>
          <w:lang w:val="en-US"/>
        </w:rPr>
        <w:t xml:space="preserve">. </w:t>
      </w:r>
      <w:r w:rsidRPr="00082EE0">
        <w:rPr>
          <w:lang w:val="en-US"/>
        </w:rPr>
        <w:t xml:space="preserve">The stationarity </w:t>
      </w:r>
      <w:r w:rsidRPr="004735FB">
        <w:rPr>
          <w:lang w:val="en-US"/>
        </w:rPr>
        <w:t xml:space="preserve">of </w:t>
      </w:r>
      <w:r w:rsidRPr="004735FB">
        <w:rPr>
          <w:i/>
          <w:lang w:val="en-US"/>
        </w:rPr>
        <w:t>r</w:t>
      </w:r>
      <w:r w:rsidRPr="004735FB">
        <w:rPr>
          <w:lang w:val="en-US"/>
        </w:rPr>
        <w:t xml:space="preserve"> and </w:t>
      </w:r>
      <w:r w:rsidRPr="004735FB">
        <w:rPr>
          <w:i/>
          <w:lang w:val="en-US"/>
        </w:rPr>
        <w:t>∆d</w:t>
      </w:r>
      <w:r w:rsidRPr="004735FB">
        <w:rPr>
          <w:lang w:val="en-US"/>
        </w:rPr>
        <w:t xml:space="preserve"> implies that the log dividend yield must also be stationary (for details, see Cochrane, 1992; and Craine, 1993).</w:t>
      </w:r>
    </w:p>
    <w:p w14:paraId="07EDC741" w14:textId="1FE6022D" w:rsidR="00D62992" w:rsidRDefault="00F90185" w:rsidP="00F90185">
      <w:pPr>
        <w:spacing w:line="360" w:lineRule="auto"/>
        <w:rPr>
          <w:lang w:val="en-US"/>
        </w:rPr>
      </w:pPr>
      <w:r w:rsidRPr="004735FB">
        <w:rPr>
          <w:lang w:val="en-US"/>
        </w:rPr>
        <w:t xml:space="preserve">Presence of a unit root in the log dividend yield means that agents or their expectations are not rational (assuming no other fundamental market failures). </w:t>
      </w:r>
      <w:r w:rsidR="00D62992">
        <w:rPr>
          <w:lang w:val="en-US"/>
        </w:rPr>
        <w:t xml:space="preserve">A </w:t>
      </w:r>
      <w:r w:rsidRPr="004735FB">
        <w:rPr>
          <w:lang w:val="en-US"/>
        </w:rPr>
        <w:t xml:space="preserve">possible interpretation is a rational bubble. Indeed, this view has spawned </w:t>
      </w:r>
      <w:r w:rsidR="00D62992">
        <w:rPr>
          <w:lang w:val="en-US"/>
        </w:rPr>
        <w:t xml:space="preserve">numerous </w:t>
      </w:r>
      <w:r w:rsidRPr="004735FB">
        <w:rPr>
          <w:lang w:val="en-US"/>
        </w:rPr>
        <w:t xml:space="preserve">studies </w:t>
      </w:r>
      <w:r w:rsidR="00D62992">
        <w:rPr>
          <w:lang w:val="en-US"/>
        </w:rPr>
        <w:t xml:space="preserve">in which </w:t>
      </w:r>
      <w:r w:rsidRPr="004735FB">
        <w:rPr>
          <w:lang w:val="en-US"/>
        </w:rPr>
        <w:t>the stationarity properties of stock prices are examined using unit root testing procedures.</w:t>
      </w:r>
    </w:p>
    <w:p w14:paraId="3A8F6548" w14:textId="3638D91F" w:rsidR="00F56D59" w:rsidRDefault="0096544E">
      <w:pPr>
        <w:spacing w:line="360" w:lineRule="auto"/>
        <w:rPr>
          <w:lang w:val="en-US"/>
        </w:rPr>
      </w:pPr>
      <w:r>
        <w:rPr>
          <w:lang w:val="en-US"/>
        </w:rPr>
        <w:t xml:space="preserve">More recently, the </w:t>
      </w:r>
      <w:r w:rsidR="00F56D59" w:rsidRPr="00CA04A8">
        <w:rPr>
          <w:lang w:val="en-US"/>
        </w:rPr>
        <w:t>bubble</w:t>
      </w:r>
      <w:r w:rsidR="00BB22E2">
        <w:rPr>
          <w:lang w:val="en-US"/>
        </w:rPr>
        <w:t>-</w:t>
      </w:r>
      <w:r w:rsidR="00F56D59" w:rsidRPr="00CA04A8">
        <w:rPr>
          <w:lang w:val="en-US"/>
        </w:rPr>
        <w:t xml:space="preserve">testing </w:t>
      </w:r>
      <w:r w:rsidR="00C31742">
        <w:rPr>
          <w:lang w:val="en-US"/>
        </w:rPr>
        <w:t xml:space="preserve">literature </w:t>
      </w:r>
      <w:r w:rsidR="00CA04A8" w:rsidRPr="00CA04A8">
        <w:rPr>
          <w:lang w:val="en-US"/>
        </w:rPr>
        <w:t xml:space="preserve">has </w:t>
      </w:r>
      <w:r w:rsidR="00F258F0" w:rsidRPr="00CA04A8">
        <w:rPr>
          <w:lang w:val="en-US"/>
        </w:rPr>
        <w:t>introduced</w:t>
      </w:r>
      <w:r w:rsidR="00F258F0">
        <w:rPr>
          <w:lang w:val="en-US"/>
        </w:rPr>
        <w:t xml:space="preserve"> </w:t>
      </w:r>
      <w:r w:rsidR="004560D0">
        <w:rPr>
          <w:lang w:val="en-US"/>
        </w:rPr>
        <w:t xml:space="preserve">methods that detect the change of dynamics </w:t>
      </w:r>
      <w:r w:rsidR="00042C30">
        <w:rPr>
          <w:lang w:val="en-US"/>
        </w:rPr>
        <w:t xml:space="preserve">from I(1) to an explosive process </w:t>
      </w:r>
      <w:r w:rsidR="004560D0">
        <w:rPr>
          <w:lang w:val="en-US"/>
        </w:rPr>
        <w:t>in the asset price time series</w:t>
      </w:r>
      <w:r>
        <w:rPr>
          <w:lang w:val="en-US"/>
        </w:rPr>
        <w:t xml:space="preserve"> </w:t>
      </w:r>
      <w:r w:rsidR="009F613C">
        <w:rPr>
          <w:lang w:val="en-US"/>
        </w:rPr>
        <w:t xml:space="preserve">(e.g. </w:t>
      </w:r>
      <w:r>
        <w:rPr>
          <w:lang w:val="en-US"/>
        </w:rPr>
        <w:t xml:space="preserve">Phillips </w:t>
      </w:r>
      <w:r w:rsidR="000B2E8F" w:rsidRPr="008311E0">
        <w:rPr>
          <w:lang w:val="en-US"/>
        </w:rPr>
        <w:t>et al.</w:t>
      </w:r>
      <w:r w:rsidR="009F613C">
        <w:rPr>
          <w:lang w:val="en-US"/>
        </w:rPr>
        <w:t xml:space="preserve">, </w:t>
      </w:r>
      <w:r>
        <w:rPr>
          <w:lang w:val="en-US"/>
        </w:rPr>
        <w:t>2011 and 2015)</w:t>
      </w:r>
      <w:r w:rsidR="004560D0">
        <w:rPr>
          <w:lang w:val="en-US"/>
        </w:rPr>
        <w:t xml:space="preserve">. </w:t>
      </w:r>
      <w:r w:rsidR="00D62992">
        <w:rPr>
          <w:lang w:val="en-US"/>
        </w:rPr>
        <w:t xml:space="preserve">These </w:t>
      </w:r>
      <w:r w:rsidR="004560D0">
        <w:rPr>
          <w:lang w:val="en-US"/>
        </w:rPr>
        <w:t>methods</w:t>
      </w:r>
      <w:r>
        <w:rPr>
          <w:lang w:val="en-US"/>
        </w:rPr>
        <w:t xml:space="preserve"> </w:t>
      </w:r>
      <w:r w:rsidR="00D62992">
        <w:rPr>
          <w:lang w:val="en-US"/>
        </w:rPr>
        <w:t xml:space="preserve">can </w:t>
      </w:r>
      <w:r>
        <w:rPr>
          <w:lang w:val="en-US"/>
        </w:rPr>
        <w:t>be understood through the present value theory of the asset price</w:t>
      </w:r>
      <w:r w:rsidR="00D62992">
        <w:rPr>
          <w:lang w:val="en-US"/>
        </w:rPr>
        <w:t>, whereby we first d</w:t>
      </w:r>
      <w:r w:rsidR="004B0CA0">
        <w:rPr>
          <w:lang w:val="en-US"/>
        </w:rPr>
        <w:t>efin</w:t>
      </w:r>
      <w:r w:rsidR="00D62992">
        <w:rPr>
          <w:lang w:val="en-US"/>
        </w:rPr>
        <w:t>e</w:t>
      </w:r>
      <w:r w:rsidR="004B0CA0">
        <w:rPr>
          <w:lang w:val="en-US"/>
        </w:rPr>
        <w:t xml:space="preserve"> the fundamental asset price as the present value </w:t>
      </w:r>
      <w:r w:rsidR="00B82189">
        <w:rPr>
          <w:lang w:val="en-US"/>
        </w:rPr>
        <w:t xml:space="preserve">(discounted by some interest rate </w:t>
      </w:r>
      <m:oMath>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f</m:t>
            </m:r>
          </m:sub>
        </m:sSub>
      </m:oMath>
      <w:r w:rsidR="00B82189">
        <w:rPr>
          <w:lang w:val="en-US"/>
        </w:rPr>
        <w:t xml:space="preserve">) </w:t>
      </w:r>
      <w:r w:rsidR="004B0CA0">
        <w:rPr>
          <w:lang w:val="en-US"/>
        </w:rPr>
        <w:t xml:space="preserve">of expected future dividends and denote it by </w:t>
      </w:r>
      <m:oMath>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en-US"/>
              </w:rPr>
              <m:t>t</m:t>
            </m:r>
          </m:sub>
          <m:sup>
            <m:r>
              <w:rPr>
                <w:rFonts w:ascii="Cambria Math" w:hAnsi="Cambria Math"/>
                <w:lang w:val="en-US"/>
              </w:rPr>
              <m:t>f</m:t>
            </m:r>
          </m:sup>
        </m:sSubSup>
      </m:oMath>
      <w:r w:rsidR="004B0CA0">
        <w:rPr>
          <w:rFonts w:eastAsiaTheme="minorEastAsia"/>
          <w:lang w:val="en-US"/>
        </w:rPr>
        <w:t xml:space="preserve">. </w:t>
      </w:r>
      <w:r w:rsidR="00D62992">
        <w:rPr>
          <w:rFonts w:eastAsiaTheme="minorEastAsia"/>
          <w:lang w:val="en-US"/>
        </w:rPr>
        <w:t xml:space="preserve">We then </w:t>
      </w:r>
      <w:r w:rsidR="004B0CA0">
        <w:rPr>
          <w:rFonts w:eastAsiaTheme="minorEastAsia"/>
          <w:lang w:val="en-US"/>
        </w:rPr>
        <w:t xml:space="preserve">define a bubble as any deviation from the fundamental price so that the market price </w:t>
      </w:r>
      <w:r w:rsidR="00B82189">
        <w:rPr>
          <w:rFonts w:eastAsiaTheme="minorEastAsia"/>
          <w:lang w:val="en-US"/>
        </w:rPr>
        <w:t xml:space="preserve">of an asset </w:t>
      </w:r>
      <w:r w:rsidR="004B0CA0">
        <w:rPr>
          <w:rFonts w:eastAsiaTheme="minorEastAsia"/>
          <w:lang w:val="en-US"/>
        </w:rPr>
        <w:t>can be decomposed as</w:t>
      </w:r>
      <w:r w:rsidR="000936A0">
        <w:rPr>
          <w:rFonts w:eastAsiaTheme="minorEastAsia"/>
          <w:lang w:val="en-US"/>
        </w:rPr>
        <w:t>:</w:t>
      </w:r>
    </w:p>
    <w:p w14:paraId="2A2D542D" w14:textId="77777777" w:rsidR="009B4292" w:rsidRDefault="009B4292" w:rsidP="00A01142">
      <w:pPr>
        <w:spacing w:line="360" w:lineRule="auto"/>
        <w:ind w:firstLine="0"/>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D22032" w14:paraId="7F843911" w14:textId="77777777" w:rsidTr="00D06C83">
        <w:tc>
          <w:tcPr>
            <w:tcW w:w="2155" w:type="dxa"/>
          </w:tcPr>
          <w:p w14:paraId="280304BC" w14:textId="77777777" w:rsidR="009B4292" w:rsidRDefault="009B4292" w:rsidP="00A01142">
            <w:pPr>
              <w:spacing w:line="360" w:lineRule="auto"/>
              <w:ind w:firstLine="0"/>
              <w:rPr>
                <w:lang w:val="en-US"/>
              </w:rPr>
            </w:pPr>
          </w:p>
        </w:tc>
        <w:tc>
          <w:tcPr>
            <w:tcW w:w="6210" w:type="dxa"/>
          </w:tcPr>
          <w:p w14:paraId="16D97797" w14:textId="77777777" w:rsidR="00D22032" w:rsidRPr="009B4292" w:rsidRDefault="00182CAB" w:rsidP="00A01142">
            <w:pPr>
              <w:spacing w:line="360" w:lineRule="auto"/>
              <w:ind w:firstLine="0"/>
              <w:rPr>
                <w:lang w:val="en-US"/>
              </w:rPr>
            </w:pPr>
            <m:oMathPara>
              <m:oMathParaPr>
                <m:jc m:val="left"/>
              </m:oMathParaPr>
              <m:oMath>
                <m:sSub>
                  <m:sSubPr>
                    <m:ctrlPr>
                      <w:rPr>
                        <w:rFonts w:ascii="Cambria Math" w:hAnsi="Cambria Math"/>
                        <w:lang w:val="en-US"/>
                      </w:rPr>
                    </m:ctrlPr>
                  </m:sSubPr>
                  <m:e>
                    <m:r>
                      <w:rPr>
                        <w:rFonts w:ascii="Cambria Math" w:hAnsi="Cambria Math"/>
                        <w:lang w:val="en-US"/>
                      </w:rPr>
                      <m:t>P</m:t>
                    </m:r>
                  </m:e>
                  <m:sub>
                    <m:r>
                      <w:rPr>
                        <w:rFonts w:ascii="Cambria Math" w:hAnsi="Cambria Math"/>
                        <w:lang w:val="en-US"/>
                      </w:rPr>
                      <m:t>t</m:t>
                    </m:r>
                  </m:sub>
                </m:sSub>
                <m:r>
                  <m:rPr>
                    <m:sty m:val="p"/>
                  </m:rPr>
                  <w:rPr>
                    <w:rFonts w:ascii="Cambria Math" w:hAnsi="Cambria Math"/>
                    <w:lang w:val="en-US"/>
                  </w:rPr>
                  <m:t>=</m:t>
                </m:r>
                <m:sSubSup>
                  <m:sSubSupPr>
                    <m:ctrlPr>
                      <w:rPr>
                        <w:rFonts w:ascii="Cambria Math" w:hAnsi="Cambria Math"/>
                        <w:lang w:val="en-US"/>
                      </w:rPr>
                    </m:ctrlPr>
                  </m:sSubSupPr>
                  <m:e>
                    <m:r>
                      <w:rPr>
                        <w:rFonts w:ascii="Cambria Math" w:hAnsi="Cambria Math"/>
                        <w:lang w:val="en-US"/>
                      </w:rPr>
                      <m:t>P</m:t>
                    </m:r>
                  </m:e>
                  <m:sub>
                    <m:r>
                      <w:rPr>
                        <w:rFonts w:ascii="Cambria Math" w:hAnsi="Cambria Math"/>
                        <w:lang w:val="en-US"/>
                      </w:rPr>
                      <m:t>t</m:t>
                    </m:r>
                  </m:sub>
                  <m:sup>
                    <m:r>
                      <w:rPr>
                        <w:rFonts w:ascii="Cambria Math" w:hAnsi="Cambria Math"/>
                        <w:lang w:val="en-US"/>
                      </w:rPr>
                      <m:t>f</m:t>
                    </m:r>
                  </m:sup>
                </m:sSubSup>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B</m:t>
                    </m:r>
                  </m:e>
                  <m:sub>
                    <m:r>
                      <w:rPr>
                        <w:rFonts w:ascii="Cambria Math" w:hAnsi="Cambria Math"/>
                        <w:lang w:val="en-US"/>
                      </w:rPr>
                      <m:t>t</m:t>
                    </m:r>
                  </m:sub>
                </m:sSub>
                <m:r>
                  <w:rPr>
                    <w:rFonts w:ascii="Cambria Math" w:hAnsi="Cambria Math"/>
                    <w:lang w:val="en-US"/>
                  </w:rPr>
                  <m:t xml:space="preserve"> ,</m:t>
                </m:r>
              </m:oMath>
            </m:oMathPara>
          </w:p>
        </w:tc>
        <w:tc>
          <w:tcPr>
            <w:tcW w:w="645" w:type="dxa"/>
          </w:tcPr>
          <w:p w14:paraId="2FCDA6C9" w14:textId="77777777" w:rsidR="00D22032" w:rsidRDefault="009B4292" w:rsidP="00A01142">
            <w:pPr>
              <w:spacing w:line="360" w:lineRule="auto"/>
              <w:ind w:firstLine="0"/>
              <w:rPr>
                <w:lang w:val="en-US"/>
              </w:rPr>
            </w:pPr>
            <w:r w:rsidRPr="004735FB">
              <w:rPr>
                <w:lang w:val="en-US"/>
              </w:rPr>
              <w:t>(</w:t>
            </w:r>
            <w:r>
              <w:rPr>
                <w:lang w:val="en-US"/>
              </w:rPr>
              <w:fldChar w:fldCharType="begin"/>
            </w:r>
            <w:r>
              <w:rPr>
                <w:lang w:val="en-US"/>
              </w:rPr>
              <w:instrText xml:space="preserve"> SEQ Eq \* MERGEFORMAT </w:instrText>
            </w:r>
            <w:r>
              <w:rPr>
                <w:lang w:val="en-US"/>
              </w:rPr>
              <w:fldChar w:fldCharType="separate"/>
            </w:r>
            <w:r w:rsidR="003050F5">
              <w:rPr>
                <w:noProof/>
                <w:lang w:val="en-US"/>
              </w:rPr>
              <w:t>2</w:t>
            </w:r>
            <w:r>
              <w:rPr>
                <w:lang w:val="en-US"/>
              </w:rPr>
              <w:fldChar w:fldCharType="end"/>
            </w:r>
            <w:r w:rsidRPr="004735FB">
              <w:rPr>
                <w:lang w:val="en-US"/>
              </w:rPr>
              <w:t>)</w:t>
            </w:r>
          </w:p>
        </w:tc>
      </w:tr>
    </w:tbl>
    <w:p w14:paraId="0E8E4F65" w14:textId="77777777" w:rsidR="00D22032" w:rsidRDefault="00D22032" w:rsidP="00D06C83">
      <w:pPr>
        <w:spacing w:line="360" w:lineRule="auto"/>
        <w:ind w:firstLine="0"/>
        <w:rPr>
          <w:lang w:val="en-US"/>
        </w:rPr>
      </w:pPr>
    </w:p>
    <w:p w14:paraId="04887FE1" w14:textId="3DEE4351" w:rsidR="009D6CDB" w:rsidRDefault="009D6CDB" w:rsidP="009D6CDB">
      <w:pPr>
        <w:spacing w:line="360" w:lineRule="auto"/>
        <w:ind w:firstLine="0"/>
        <w:rPr>
          <w:lang w:val="en-US"/>
        </w:rPr>
      </w:pPr>
      <w:r>
        <w:rPr>
          <w:lang w:val="en-US"/>
        </w:rPr>
        <w:t xml:space="preserve">where </w:t>
      </w:r>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t</m:t>
            </m:r>
          </m:sub>
        </m:sSub>
      </m:oMath>
      <w:r>
        <w:rPr>
          <w:lang w:val="en-US"/>
        </w:rPr>
        <w:t xml:space="preserve"> is the price bubble component. A rational buyer is only willing to pay </w:t>
      </w:r>
      <m:oMath>
        <m:sSubSup>
          <m:sSubSupPr>
            <m:ctrlPr>
              <w:rPr>
                <w:rFonts w:ascii="Cambria Math" w:hAnsi="Cambria Math"/>
                <w:lang w:val="en-US"/>
              </w:rPr>
            </m:ctrlPr>
          </m:sSubSupPr>
          <m:e>
            <m:r>
              <w:rPr>
                <w:rFonts w:ascii="Cambria Math" w:hAnsi="Cambria Math"/>
                <w:lang w:val="en-US"/>
              </w:rPr>
              <m:t>P</m:t>
            </m:r>
          </m:e>
          <m:sub>
            <m:r>
              <w:rPr>
                <w:rFonts w:ascii="Cambria Math" w:hAnsi="Cambria Math"/>
                <w:lang w:val="en-US"/>
              </w:rPr>
              <m:t>t</m:t>
            </m:r>
          </m:sub>
          <m:sup>
            <m:r>
              <w:rPr>
                <w:rFonts w:ascii="Cambria Math" w:hAnsi="Cambria Math"/>
                <w:lang w:val="en-US"/>
              </w:rPr>
              <m:t>f</m:t>
            </m:r>
          </m:sup>
        </m:sSubSup>
      </m:oMath>
      <w:r>
        <w:rPr>
          <w:rFonts w:eastAsiaTheme="minorEastAsia"/>
          <w:lang w:val="en-US"/>
        </w:rPr>
        <w:t xml:space="preserve"> for the asset unless the expected future value of the bubble component satisfies</w:t>
      </w:r>
      <w:r w:rsidR="009F613C">
        <w:rPr>
          <w:lang w:val="en-US"/>
        </w:rPr>
        <w:t>:</w:t>
      </w:r>
    </w:p>
    <w:p w14:paraId="039E9855" w14:textId="77777777" w:rsidR="009D6CDB" w:rsidRDefault="009D6CDB" w:rsidP="009D6CDB">
      <w:pPr>
        <w:spacing w:line="360" w:lineRule="auto"/>
        <w:ind w:firstLine="0"/>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9D6CDB" w14:paraId="69301D6A" w14:textId="77777777" w:rsidTr="009D6CDB">
        <w:tc>
          <w:tcPr>
            <w:tcW w:w="2155" w:type="dxa"/>
          </w:tcPr>
          <w:p w14:paraId="7646B431" w14:textId="77777777" w:rsidR="009D6CDB" w:rsidRDefault="009D6CDB">
            <w:pPr>
              <w:spacing w:line="360" w:lineRule="auto"/>
              <w:ind w:firstLine="0"/>
              <w:rPr>
                <w:lang w:val="en-US"/>
              </w:rPr>
            </w:pPr>
          </w:p>
        </w:tc>
        <w:tc>
          <w:tcPr>
            <w:tcW w:w="6210" w:type="dxa"/>
            <w:hideMark/>
          </w:tcPr>
          <w:p w14:paraId="117BA84D" w14:textId="77777777" w:rsidR="009D6CDB" w:rsidRDefault="00182CAB">
            <w:pPr>
              <w:spacing w:line="360" w:lineRule="auto"/>
              <w:ind w:firstLine="0"/>
              <w:rPr>
                <w:lang w:val="en-US"/>
              </w:rPr>
            </w:pPr>
            <m:oMath>
              <m:sSub>
                <m:sSubPr>
                  <m:ctrlPr>
                    <w:rPr>
                      <w:rFonts w:ascii="Cambria Math" w:hAnsi="Cambria Math"/>
                      <w:lang w:val="en-US"/>
                    </w:rPr>
                  </m:ctrlPr>
                </m:sSubPr>
                <m:e>
                  <m:r>
                    <m:rPr>
                      <m:scr m:val="double-struck"/>
                      <m:sty m:val="p"/>
                    </m:rPr>
                    <w:rPr>
                      <w:rFonts w:ascii="Cambria Math" w:hAnsi="Cambria Math"/>
                      <w:lang w:val="en-US"/>
                    </w:rPr>
                    <m:t>E</m:t>
                  </m:r>
                </m:e>
                <m:sub>
                  <m:r>
                    <w:rPr>
                      <w:rFonts w:ascii="Cambria Math" w:hAnsi="Cambria Math"/>
                      <w:lang w:val="en-US"/>
                    </w:rPr>
                    <m:t>t</m:t>
                  </m:r>
                </m:sub>
              </m:sSub>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B</m:t>
                      </m:r>
                    </m:e>
                    <m:sub>
                      <m:r>
                        <w:rPr>
                          <w:rFonts w:ascii="Cambria Math" w:hAnsi="Cambria Math"/>
                          <w:lang w:val="en-US"/>
                        </w:rPr>
                        <m:t>t</m:t>
                      </m:r>
                      <m:r>
                        <m:rPr>
                          <m:sty m:val="p"/>
                        </m:rPr>
                        <w:rPr>
                          <w:rFonts w:ascii="Cambria Math" w:hAnsi="Cambria Math"/>
                          <w:lang w:val="en-US"/>
                        </w:rPr>
                        <m:t>+1</m:t>
                      </m:r>
                    </m:sub>
                  </m:sSub>
                </m:e>
              </m:d>
              <m:r>
                <m:rPr>
                  <m:sty m:val="p"/>
                </m:rPr>
                <w:rPr>
                  <w:rFonts w:ascii="Cambria Math" w:hAnsi="Cambria Math"/>
                  <w:lang w:val="en-US"/>
                </w:rPr>
                <m:t>=(1+</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f</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B</m:t>
                  </m:r>
                </m:e>
                <m:sub>
                  <m:r>
                    <w:rPr>
                      <w:rFonts w:ascii="Cambria Math" w:hAnsi="Cambria Math"/>
                      <w:lang w:val="en-US"/>
                    </w:rPr>
                    <m:t>t</m:t>
                  </m:r>
                </m:sub>
              </m:sSub>
              <m:r>
                <w:rPr>
                  <w:rFonts w:ascii="Cambria Math" w:hAnsi="Cambria Math"/>
                  <w:lang w:val="en-US"/>
                </w:rPr>
                <m:t xml:space="preserve"> </m:t>
              </m:r>
            </m:oMath>
            <w:r w:rsidR="00426866">
              <w:rPr>
                <w:rFonts w:eastAsiaTheme="minorEastAsia"/>
                <w:lang w:val="en-US"/>
              </w:rPr>
              <w:t>,</w:t>
            </w:r>
          </w:p>
        </w:tc>
        <w:tc>
          <w:tcPr>
            <w:tcW w:w="645" w:type="dxa"/>
            <w:hideMark/>
          </w:tcPr>
          <w:p w14:paraId="4FF4460C" w14:textId="77777777" w:rsidR="009D6CDB" w:rsidRDefault="009D6CDB">
            <w:pPr>
              <w:spacing w:line="360" w:lineRule="auto"/>
              <w:ind w:firstLine="0"/>
              <w:rPr>
                <w:lang w:val="en-US"/>
              </w:rPr>
            </w:pPr>
            <w:r>
              <w:rPr>
                <w:lang w:val="en-US"/>
              </w:rPr>
              <w:t>(</w:t>
            </w:r>
            <w:r>
              <w:fldChar w:fldCharType="begin"/>
            </w:r>
            <w:r>
              <w:rPr>
                <w:lang w:val="en-US"/>
              </w:rPr>
              <w:instrText xml:space="preserve"> SEQ Eq \* MERGEFORMAT </w:instrText>
            </w:r>
            <w:r>
              <w:fldChar w:fldCharType="separate"/>
            </w:r>
            <w:r w:rsidR="003050F5">
              <w:rPr>
                <w:noProof/>
                <w:lang w:val="en-US"/>
              </w:rPr>
              <w:t>3</w:t>
            </w:r>
            <w:r>
              <w:fldChar w:fldCharType="end"/>
            </w:r>
            <w:r>
              <w:rPr>
                <w:lang w:val="en-US"/>
              </w:rPr>
              <w:t>)</w:t>
            </w:r>
          </w:p>
        </w:tc>
      </w:tr>
    </w:tbl>
    <w:p w14:paraId="75E54A4A" w14:textId="77777777" w:rsidR="009D6CDB" w:rsidRDefault="009D6CDB" w:rsidP="009D6CDB">
      <w:pPr>
        <w:spacing w:line="360" w:lineRule="auto"/>
        <w:ind w:firstLine="0"/>
        <w:rPr>
          <w:lang w:val="en-US"/>
        </w:rPr>
      </w:pPr>
    </w:p>
    <w:p w14:paraId="785FF077" w14:textId="2DD51FC8" w:rsidR="009D6CDB" w:rsidRDefault="009D6CDB" w:rsidP="009D6CDB">
      <w:pPr>
        <w:spacing w:line="360" w:lineRule="auto"/>
        <w:ind w:firstLine="0"/>
        <w:rPr>
          <w:lang w:val="en-US"/>
        </w:rPr>
      </w:pPr>
      <w:r>
        <w:rPr>
          <w:lang w:val="en-US"/>
        </w:rPr>
        <w:t>i.e. the existence of a rational bubble is based on expectations of future price growth. If (</w:t>
      </w:r>
      <w:r w:rsidR="00897FE2">
        <w:rPr>
          <w:lang w:val="en-US"/>
        </w:rPr>
        <w:t>3</w:t>
      </w:r>
      <w:r>
        <w:rPr>
          <w:lang w:val="en-US"/>
        </w:rPr>
        <w:t xml:space="preserve">) does not hold, </w:t>
      </w:r>
      <m:oMath>
        <m:sSub>
          <m:sSubPr>
            <m:ctrlPr>
              <w:rPr>
                <w:rFonts w:ascii="Cambria Math" w:hAnsi="Cambria Math"/>
                <w:lang w:val="en-US"/>
              </w:rPr>
            </m:ctrlPr>
          </m:sSubPr>
          <m:e>
            <m:r>
              <w:rPr>
                <w:rFonts w:ascii="Cambria Math" w:hAnsi="Cambria Math"/>
                <w:lang w:val="en-US"/>
              </w:rPr>
              <m:t>B</m:t>
            </m:r>
          </m:e>
          <m:sub>
            <m:r>
              <w:rPr>
                <w:rFonts w:ascii="Cambria Math" w:hAnsi="Cambria Math"/>
                <w:lang w:val="en-US"/>
              </w:rPr>
              <m:t>t</m:t>
            </m:r>
          </m:sub>
        </m:sSub>
      </m:oMath>
      <w:r>
        <w:rPr>
          <w:rFonts w:eastAsiaTheme="minorEastAsia"/>
          <w:lang w:val="en-US"/>
        </w:rPr>
        <w:t xml:space="preserve"> collapse</w:t>
      </w:r>
      <w:r w:rsidR="00D62992">
        <w:rPr>
          <w:rFonts w:eastAsiaTheme="minorEastAsia"/>
          <w:lang w:val="en-US"/>
        </w:rPr>
        <w:t>s</w:t>
      </w:r>
      <w:r>
        <w:rPr>
          <w:rFonts w:eastAsiaTheme="minorEastAsia"/>
          <w:lang w:val="en-US"/>
        </w:rPr>
        <w:t xml:space="preserve"> to zero</w:t>
      </w:r>
      <w:r>
        <w:rPr>
          <w:lang w:val="en-US"/>
        </w:rPr>
        <w:t>.</w:t>
      </w:r>
      <w:r w:rsidR="00D62992">
        <w:rPr>
          <w:rStyle w:val="Alaviitteenviite"/>
          <w:lang w:val="en-US"/>
        </w:rPr>
        <w:footnoteReference w:id="4"/>
      </w:r>
      <w:r>
        <w:rPr>
          <w:lang w:val="en-US"/>
        </w:rPr>
        <w:t xml:space="preserve"> </w:t>
      </w:r>
    </w:p>
    <w:p w14:paraId="1399018A" w14:textId="4F40ECD8" w:rsidR="009D6CDB" w:rsidRDefault="009D6CDB" w:rsidP="00897FE2">
      <w:pPr>
        <w:spacing w:line="360" w:lineRule="auto"/>
        <w:ind w:firstLine="576"/>
        <w:rPr>
          <w:lang w:val="en-US"/>
        </w:rPr>
      </w:pPr>
      <w:r>
        <w:rPr>
          <w:lang w:val="en-US"/>
        </w:rPr>
        <w:t xml:space="preserve">The evolution of the asset price depends on the assumed evolution of the fundamentals. A usual assumption is that the fundamentals (e.g. dividends) follow a random walk process </w:t>
      </w:r>
      <w:r w:rsidRPr="00874BFE">
        <w:rPr>
          <w:lang w:val="en-US"/>
        </w:rPr>
        <w:t xml:space="preserve">with </w:t>
      </w:r>
      <w:r w:rsidR="009F613C" w:rsidRPr="00874BFE">
        <w:rPr>
          <w:lang w:val="en-US"/>
        </w:rPr>
        <w:t xml:space="preserve">a </w:t>
      </w:r>
      <w:r w:rsidR="00CF27D7" w:rsidRPr="00874BFE">
        <w:rPr>
          <w:lang w:val="en-US"/>
        </w:rPr>
        <w:t xml:space="preserve">negligible </w:t>
      </w:r>
      <w:r w:rsidRPr="00874BFE">
        <w:rPr>
          <w:lang w:val="en-US"/>
        </w:rPr>
        <w:t xml:space="preserve">drift. In </w:t>
      </w:r>
      <w:r w:rsidR="009F613C" w:rsidRPr="00874BFE">
        <w:rPr>
          <w:lang w:val="en-US"/>
        </w:rPr>
        <w:t xml:space="preserve">such </w:t>
      </w:r>
      <w:r w:rsidRPr="00874BFE">
        <w:rPr>
          <w:lang w:val="en-US"/>
        </w:rPr>
        <w:t>case, the fundamental</w:t>
      </w:r>
      <w:r>
        <w:rPr>
          <w:lang w:val="en-US"/>
        </w:rPr>
        <w:t xml:space="preserve"> asset price will also follow random walk with a drift. On the other hand, when a bubble is present, </w:t>
      </w:r>
      <w:r w:rsidR="00142E97">
        <w:rPr>
          <w:lang w:val="en-US"/>
        </w:rPr>
        <w:t>it</w:t>
      </w:r>
      <w:r>
        <w:rPr>
          <w:lang w:val="en-US"/>
        </w:rPr>
        <w:t xml:space="preserve"> implies that the asset price process becomes explosive </w:t>
      </w:r>
      <w:r w:rsidR="009F613C">
        <w:rPr>
          <w:rFonts w:eastAsiaTheme="minorEastAsia"/>
          <w:lang w:val="en-US"/>
        </w:rPr>
        <w:t xml:space="preserve">as </w:t>
      </w:r>
      <m:oMath>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f</m:t>
            </m:r>
          </m:sub>
        </m:sSub>
        <m:r>
          <w:rPr>
            <w:rFonts w:ascii="Cambria Math" w:hAnsi="Cambria Math"/>
            <w:lang w:val="en-US"/>
          </w:rPr>
          <m:t>&gt;0</m:t>
        </m:r>
      </m:oMath>
      <w:r>
        <w:rPr>
          <w:lang w:val="en-US"/>
        </w:rPr>
        <w:t>. The econometric bubble test is designed to detect this change in the time series process.</w:t>
      </w:r>
    </w:p>
    <w:p w14:paraId="6FDCCBCB" w14:textId="77777777" w:rsidR="00426866" w:rsidRDefault="00426866" w:rsidP="009D6CDB">
      <w:pPr>
        <w:spacing w:line="360" w:lineRule="auto"/>
        <w:ind w:firstLine="576"/>
        <w:rPr>
          <w:lang w:val="en-US"/>
        </w:rPr>
      </w:pPr>
    </w:p>
    <w:p w14:paraId="04832196" w14:textId="77777777" w:rsidR="0046264C" w:rsidRDefault="0046264C" w:rsidP="00F90185">
      <w:pPr>
        <w:pStyle w:val="Otsikko1"/>
        <w:spacing w:line="360" w:lineRule="auto"/>
        <w:ind w:left="357" w:hanging="357"/>
      </w:pPr>
      <w:r w:rsidRPr="00F90185">
        <w:t>Emp</w:t>
      </w:r>
      <w:r w:rsidRPr="002A1A27">
        <w:t>irical analysis</w:t>
      </w:r>
    </w:p>
    <w:p w14:paraId="1A0243AA" w14:textId="20DB94DA" w:rsidR="0059756B" w:rsidRDefault="008C4BD5" w:rsidP="008311E0">
      <w:pPr>
        <w:pStyle w:val="Otsikko2"/>
      </w:pPr>
      <w:r w:rsidRPr="00FA78F6">
        <w:t>A</w:t>
      </w:r>
      <w:r>
        <w:t xml:space="preserve">. </w:t>
      </w:r>
      <w:r w:rsidR="00955228">
        <w:t xml:space="preserve">Selecting </w:t>
      </w:r>
      <w:r w:rsidR="0059756B" w:rsidRPr="00FA78F6">
        <w:t>the</w:t>
      </w:r>
      <w:r w:rsidR="0059756B">
        <w:t xml:space="preserve"> </w:t>
      </w:r>
      <w:r w:rsidR="00955228">
        <w:t>set of variables</w:t>
      </w:r>
    </w:p>
    <w:p w14:paraId="70DD94C7" w14:textId="4649297A" w:rsidR="00955228" w:rsidRPr="008311E0" w:rsidRDefault="00B82189" w:rsidP="008311E0">
      <w:pPr>
        <w:spacing w:line="360" w:lineRule="auto"/>
        <w:rPr>
          <w:b/>
          <w:lang w:val="en-US"/>
        </w:rPr>
      </w:pPr>
      <w:r w:rsidRPr="009F613C">
        <w:rPr>
          <w:lang w:val="en-US"/>
        </w:rPr>
        <w:t xml:space="preserve">The derivations in the previous </w:t>
      </w:r>
      <w:r w:rsidR="00141A2E">
        <w:rPr>
          <w:lang w:val="en-US"/>
        </w:rPr>
        <w:t xml:space="preserve">section </w:t>
      </w:r>
      <w:r w:rsidR="005D0669" w:rsidRPr="009F613C">
        <w:rPr>
          <w:lang w:val="en-US"/>
        </w:rPr>
        <w:t xml:space="preserve">directly </w:t>
      </w:r>
      <w:r w:rsidR="00955228" w:rsidRPr="009F613C">
        <w:rPr>
          <w:lang w:val="en-US"/>
        </w:rPr>
        <w:t>appl</w:t>
      </w:r>
      <w:r w:rsidRPr="009F613C">
        <w:rPr>
          <w:lang w:val="en-US"/>
        </w:rPr>
        <w:t>y</w:t>
      </w:r>
      <w:r w:rsidR="00955228" w:rsidRPr="009F613C">
        <w:rPr>
          <w:lang w:val="en-US"/>
        </w:rPr>
        <w:t xml:space="preserve"> </w:t>
      </w:r>
      <w:r w:rsidR="005D0669" w:rsidRPr="009F613C">
        <w:rPr>
          <w:lang w:val="en-US"/>
        </w:rPr>
        <w:t xml:space="preserve">to </w:t>
      </w:r>
      <w:r w:rsidR="00955228" w:rsidRPr="009F613C">
        <w:rPr>
          <w:lang w:val="en-US"/>
        </w:rPr>
        <w:t xml:space="preserve">asset price </w:t>
      </w:r>
      <w:r w:rsidR="005D0669" w:rsidRPr="009F613C">
        <w:rPr>
          <w:lang w:val="en-US"/>
        </w:rPr>
        <w:t xml:space="preserve">time series </w:t>
      </w:r>
      <w:r w:rsidR="00955228" w:rsidRPr="009F613C">
        <w:rPr>
          <w:lang w:val="en-US"/>
        </w:rPr>
        <w:t xml:space="preserve">such </w:t>
      </w:r>
      <w:r w:rsidR="005D0669" w:rsidRPr="009F613C">
        <w:rPr>
          <w:lang w:val="en-US"/>
        </w:rPr>
        <w:t xml:space="preserve">as </w:t>
      </w:r>
      <w:r w:rsidR="00470B0C" w:rsidRPr="009F613C">
        <w:rPr>
          <w:lang w:val="en-US"/>
        </w:rPr>
        <w:t xml:space="preserve">stock </w:t>
      </w:r>
      <w:r w:rsidR="005D0669" w:rsidRPr="009F613C">
        <w:rPr>
          <w:lang w:val="en-US"/>
        </w:rPr>
        <w:t>price</w:t>
      </w:r>
      <w:r w:rsidR="00955228" w:rsidRPr="009F613C">
        <w:rPr>
          <w:lang w:val="en-US"/>
        </w:rPr>
        <w:t>s,</w:t>
      </w:r>
      <w:r w:rsidR="00470B0C" w:rsidRPr="009F613C">
        <w:rPr>
          <w:lang w:val="en-US"/>
        </w:rPr>
        <w:t xml:space="preserve"> </w:t>
      </w:r>
      <w:r w:rsidR="005D0669" w:rsidRPr="009F613C">
        <w:rPr>
          <w:lang w:val="en-US"/>
        </w:rPr>
        <w:t>hous</w:t>
      </w:r>
      <w:r w:rsidR="00D55457">
        <w:rPr>
          <w:lang w:val="en-US"/>
        </w:rPr>
        <w:t>ing</w:t>
      </w:r>
      <w:r w:rsidR="005D0669" w:rsidRPr="009F613C">
        <w:rPr>
          <w:lang w:val="en-US"/>
        </w:rPr>
        <w:t xml:space="preserve"> price</w:t>
      </w:r>
      <w:r w:rsidR="00955228" w:rsidRPr="009F613C">
        <w:rPr>
          <w:lang w:val="en-US"/>
        </w:rPr>
        <w:t>s (</w:t>
      </w:r>
      <w:r w:rsidR="00D55457">
        <w:rPr>
          <w:lang w:val="en-US"/>
        </w:rPr>
        <w:t xml:space="preserve">with </w:t>
      </w:r>
      <w:r w:rsidR="00955228" w:rsidRPr="009F613C">
        <w:rPr>
          <w:lang w:val="en-US"/>
        </w:rPr>
        <w:t>rents play</w:t>
      </w:r>
      <w:r w:rsidR="00D55457">
        <w:rPr>
          <w:lang w:val="en-US"/>
        </w:rPr>
        <w:t>ing</w:t>
      </w:r>
      <w:r w:rsidR="00955228" w:rsidRPr="009F613C">
        <w:rPr>
          <w:lang w:val="en-US"/>
        </w:rPr>
        <w:t xml:space="preserve"> the role of dividend)</w:t>
      </w:r>
      <w:r w:rsidR="00D55457">
        <w:rPr>
          <w:lang w:val="en-US"/>
        </w:rPr>
        <w:t>,</w:t>
      </w:r>
      <w:r w:rsidR="00470B0C" w:rsidRPr="009F613C">
        <w:rPr>
          <w:lang w:val="en-US"/>
        </w:rPr>
        <w:t xml:space="preserve"> </w:t>
      </w:r>
      <w:r w:rsidR="00D55457">
        <w:rPr>
          <w:lang w:val="en-US"/>
        </w:rPr>
        <w:t xml:space="preserve">and </w:t>
      </w:r>
      <w:r w:rsidR="005D0669" w:rsidRPr="009F613C">
        <w:rPr>
          <w:lang w:val="en-US"/>
        </w:rPr>
        <w:t>land price</w:t>
      </w:r>
      <w:r w:rsidR="00955228" w:rsidRPr="009F613C">
        <w:rPr>
          <w:lang w:val="en-US"/>
        </w:rPr>
        <w:t>s</w:t>
      </w:r>
      <w:r w:rsidR="0025543E" w:rsidRPr="009F613C">
        <w:rPr>
          <w:lang w:val="en-US"/>
        </w:rPr>
        <w:t xml:space="preserve">. </w:t>
      </w:r>
      <w:r w:rsidR="00D55457">
        <w:rPr>
          <w:lang w:val="en-US"/>
        </w:rPr>
        <w:t>I</w:t>
      </w:r>
      <w:r w:rsidR="00D55457" w:rsidRPr="00F3362E">
        <w:rPr>
          <w:lang w:val="en-US"/>
        </w:rPr>
        <w:t xml:space="preserve">t is usual practice </w:t>
      </w:r>
      <w:r w:rsidR="00D55457">
        <w:rPr>
          <w:lang w:val="en-US"/>
        </w:rPr>
        <w:t>i</w:t>
      </w:r>
      <w:r w:rsidR="00D55457" w:rsidRPr="009F613C">
        <w:rPr>
          <w:lang w:val="en-US"/>
        </w:rPr>
        <w:t xml:space="preserve">n </w:t>
      </w:r>
      <w:r w:rsidR="009541CB" w:rsidRPr="009F613C">
        <w:rPr>
          <w:lang w:val="en-US"/>
        </w:rPr>
        <w:t>empirical work</w:t>
      </w:r>
      <w:r w:rsidR="00955228" w:rsidRPr="009F613C">
        <w:rPr>
          <w:lang w:val="en-US"/>
        </w:rPr>
        <w:t xml:space="preserve"> to control for explosive fundamentals </w:t>
      </w:r>
      <w:r w:rsidR="00D55457">
        <w:rPr>
          <w:lang w:val="en-US"/>
        </w:rPr>
        <w:t xml:space="preserve">that </w:t>
      </w:r>
      <w:r w:rsidR="009541CB" w:rsidRPr="009F613C">
        <w:rPr>
          <w:lang w:val="en-US"/>
        </w:rPr>
        <w:t xml:space="preserve">would temporarily justify explosive asset prices </w:t>
      </w:r>
      <w:r w:rsidR="00955228" w:rsidRPr="009F613C">
        <w:rPr>
          <w:lang w:val="en-US"/>
        </w:rPr>
        <w:t>by testing the price</w:t>
      </w:r>
      <w:r w:rsidR="00D55457">
        <w:rPr>
          <w:lang w:val="en-US"/>
        </w:rPr>
        <w:t>-</w:t>
      </w:r>
      <w:r w:rsidR="00955228" w:rsidRPr="009F613C">
        <w:rPr>
          <w:lang w:val="en-US"/>
        </w:rPr>
        <w:t>to</w:t>
      </w:r>
      <w:r w:rsidR="00D55457">
        <w:rPr>
          <w:lang w:val="en-US"/>
        </w:rPr>
        <w:t>-</w:t>
      </w:r>
      <w:r w:rsidR="00955228" w:rsidRPr="009F613C">
        <w:rPr>
          <w:lang w:val="en-US"/>
        </w:rPr>
        <w:t xml:space="preserve">fundamentals ratio (e.g. stock price index divided by the dividends index). </w:t>
      </w:r>
      <w:r w:rsidR="00D55457">
        <w:rPr>
          <w:lang w:val="en-US"/>
        </w:rPr>
        <w:t xml:space="preserve">Sometimes </w:t>
      </w:r>
      <w:r w:rsidR="00955228" w:rsidRPr="009F613C">
        <w:rPr>
          <w:lang w:val="en-US"/>
        </w:rPr>
        <w:t xml:space="preserve">the fundamentals </w:t>
      </w:r>
      <w:r w:rsidR="00D55457">
        <w:rPr>
          <w:lang w:val="en-US"/>
        </w:rPr>
        <w:t xml:space="preserve">are hard to </w:t>
      </w:r>
      <w:r w:rsidR="00955228" w:rsidRPr="009F613C">
        <w:rPr>
          <w:lang w:val="en-US"/>
        </w:rPr>
        <w:t>measure</w:t>
      </w:r>
      <w:r w:rsidR="00D55457">
        <w:rPr>
          <w:lang w:val="en-US"/>
        </w:rPr>
        <w:t xml:space="preserve">. For example, </w:t>
      </w:r>
      <w:r w:rsidR="00955228" w:rsidRPr="009F613C">
        <w:rPr>
          <w:lang w:val="en-US"/>
        </w:rPr>
        <w:t xml:space="preserve">it is often difficult to find reliable data on rents when </w:t>
      </w:r>
      <w:r w:rsidR="00D55457">
        <w:rPr>
          <w:lang w:val="en-US"/>
        </w:rPr>
        <w:t xml:space="preserve">dealing with </w:t>
      </w:r>
      <w:r w:rsidR="00955228" w:rsidRPr="009F613C">
        <w:rPr>
          <w:lang w:val="en-US"/>
        </w:rPr>
        <w:t>real estate markets</w:t>
      </w:r>
      <w:r w:rsidR="00D55457">
        <w:rPr>
          <w:lang w:val="en-US"/>
        </w:rPr>
        <w:t xml:space="preserve">, so a </w:t>
      </w:r>
      <w:r w:rsidR="00955228" w:rsidRPr="009F613C">
        <w:rPr>
          <w:lang w:val="en-US"/>
        </w:rPr>
        <w:t xml:space="preserve">proxy measure </w:t>
      </w:r>
      <w:r w:rsidR="00D55457">
        <w:rPr>
          <w:lang w:val="en-US"/>
        </w:rPr>
        <w:t xml:space="preserve">might </w:t>
      </w:r>
      <w:r w:rsidR="00955228" w:rsidRPr="009F613C">
        <w:rPr>
          <w:lang w:val="en-US"/>
        </w:rPr>
        <w:t>be considered</w:t>
      </w:r>
      <w:r w:rsidR="00D55457">
        <w:rPr>
          <w:lang w:val="en-US"/>
        </w:rPr>
        <w:t xml:space="preserve">. </w:t>
      </w:r>
      <w:r w:rsidR="00470B0C" w:rsidRPr="009F613C">
        <w:rPr>
          <w:lang w:val="en-US"/>
        </w:rPr>
        <w:t xml:space="preserve">Pavlidis </w:t>
      </w:r>
      <w:r w:rsidR="000B2E8F" w:rsidRPr="008311E0">
        <w:rPr>
          <w:lang w:val="en-US"/>
        </w:rPr>
        <w:t>et al.</w:t>
      </w:r>
      <w:r w:rsidR="00470B0C" w:rsidRPr="009F613C">
        <w:rPr>
          <w:lang w:val="en-US"/>
        </w:rPr>
        <w:t xml:space="preserve"> (2016) suggest </w:t>
      </w:r>
      <w:r w:rsidR="00D55457">
        <w:rPr>
          <w:lang w:val="en-US"/>
        </w:rPr>
        <w:t xml:space="preserve">using the ratio of </w:t>
      </w:r>
      <w:r w:rsidR="00470B0C" w:rsidRPr="009F613C">
        <w:rPr>
          <w:lang w:val="en-US"/>
        </w:rPr>
        <w:t>house price</w:t>
      </w:r>
      <w:r w:rsidR="00D55457">
        <w:rPr>
          <w:lang w:val="en-US"/>
        </w:rPr>
        <w:t>s</w:t>
      </w:r>
      <w:r w:rsidR="00470B0C" w:rsidRPr="009F613C">
        <w:rPr>
          <w:lang w:val="en-US"/>
        </w:rPr>
        <w:t xml:space="preserve"> to personal disposable income </w:t>
      </w:r>
      <w:r w:rsidR="00D55457">
        <w:rPr>
          <w:lang w:val="en-US"/>
        </w:rPr>
        <w:t xml:space="preserve">when </w:t>
      </w:r>
      <w:r w:rsidR="00470B0C" w:rsidRPr="009F613C">
        <w:rPr>
          <w:lang w:val="en-US"/>
        </w:rPr>
        <w:t>reliable statistic</w:t>
      </w:r>
      <w:r w:rsidR="00D55457">
        <w:rPr>
          <w:lang w:val="en-US"/>
        </w:rPr>
        <w:t>al</w:t>
      </w:r>
      <w:r w:rsidR="00470B0C" w:rsidRPr="009F613C">
        <w:rPr>
          <w:lang w:val="en-US"/>
        </w:rPr>
        <w:t xml:space="preserve"> data on rents</w:t>
      </w:r>
      <w:r w:rsidR="00D55457">
        <w:rPr>
          <w:lang w:val="en-US"/>
        </w:rPr>
        <w:t xml:space="preserve"> is lacking</w:t>
      </w:r>
      <w:r w:rsidR="00470B0C" w:rsidRPr="009F613C">
        <w:rPr>
          <w:lang w:val="en-US"/>
        </w:rPr>
        <w:t xml:space="preserve">. </w:t>
      </w:r>
      <w:r w:rsidR="00955228" w:rsidRPr="009F613C">
        <w:rPr>
          <w:lang w:val="en-US"/>
        </w:rPr>
        <w:t xml:space="preserve">Thus, we include data on real stock and house prices, as well as </w:t>
      </w:r>
      <w:r w:rsidR="00D55457">
        <w:rPr>
          <w:lang w:val="en-US"/>
        </w:rPr>
        <w:t xml:space="preserve">the ratios of </w:t>
      </w:r>
      <w:r w:rsidR="00955228" w:rsidRPr="009F613C">
        <w:rPr>
          <w:lang w:val="en-US"/>
        </w:rPr>
        <w:t>house price</w:t>
      </w:r>
      <w:r w:rsidR="00D55457">
        <w:rPr>
          <w:lang w:val="en-US"/>
        </w:rPr>
        <w:t>s</w:t>
      </w:r>
      <w:r w:rsidR="00955228" w:rsidRPr="009F613C">
        <w:rPr>
          <w:lang w:val="en-US"/>
        </w:rPr>
        <w:t xml:space="preserve"> to rent and income in our set of potential predictor variables.</w:t>
      </w:r>
    </w:p>
    <w:p w14:paraId="7FA19B5D" w14:textId="55367AE9" w:rsidR="00955228" w:rsidRDefault="0025543E">
      <w:pPr>
        <w:spacing w:line="360" w:lineRule="auto"/>
        <w:ind w:firstLine="576"/>
        <w:rPr>
          <w:lang w:val="en-US"/>
        </w:rPr>
      </w:pPr>
      <w:r>
        <w:rPr>
          <w:lang w:val="en-US"/>
        </w:rPr>
        <w:t xml:space="preserve">Anundsen </w:t>
      </w:r>
      <w:r w:rsidR="000B2E8F" w:rsidRPr="008311E0">
        <w:rPr>
          <w:lang w:val="en-US"/>
        </w:rPr>
        <w:t>et al.</w:t>
      </w:r>
      <w:r>
        <w:rPr>
          <w:lang w:val="en-US"/>
        </w:rPr>
        <w:t xml:space="preserve"> (2016) </w:t>
      </w:r>
      <w:r w:rsidR="00470B0C">
        <w:rPr>
          <w:lang w:val="en-US"/>
        </w:rPr>
        <w:t>extend the use of exuberance tests</w:t>
      </w:r>
      <w:r w:rsidRPr="00A22DE9">
        <w:rPr>
          <w:rFonts w:eastAsiaTheme="minorEastAsia"/>
          <w:lang w:val="en-US"/>
        </w:rPr>
        <w:t xml:space="preserve"> </w:t>
      </w:r>
      <w:r>
        <w:rPr>
          <w:lang w:val="en-US"/>
        </w:rPr>
        <w:t xml:space="preserve">to </w:t>
      </w:r>
      <w:r w:rsidR="00470B0C">
        <w:rPr>
          <w:lang w:val="en-US"/>
        </w:rPr>
        <w:t xml:space="preserve">the </w:t>
      </w:r>
      <w:r>
        <w:rPr>
          <w:lang w:val="en-US"/>
        </w:rPr>
        <w:t>debt-to-GDP ratio</w:t>
      </w:r>
      <w:r w:rsidR="005D0669">
        <w:rPr>
          <w:lang w:val="en-US"/>
        </w:rPr>
        <w:t xml:space="preserve">. Intuitively, an explosively </w:t>
      </w:r>
      <w:r w:rsidR="00D55457">
        <w:rPr>
          <w:lang w:val="en-US"/>
        </w:rPr>
        <w:t xml:space="preserve">increasing </w:t>
      </w:r>
      <w:r w:rsidR="005D0669">
        <w:rPr>
          <w:lang w:val="en-US"/>
        </w:rPr>
        <w:t>credit stock or credit</w:t>
      </w:r>
      <w:r w:rsidR="00D55457">
        <w:rPr>
          <w:lang w:val="en-US"/>
        </w:rPr>
        <w:t>-</w:t>
      </w:r>
      <w:r w:rsidR="005D0669">
        <w:rPr>
          <w:lang w:val="en-US"/>
        </w:rPr>
        <w:t>to</w:t>
      </w:r>
      <w:r w:rsidR="00D55457">
        <w:rPr>
          <w:lang w:val="en-US"/>
        </w:rPr>
        <w:t>-</w:t>
      </w:r>
      <w:r w:rsidR="005D0669">
        <w:rPr>
          <w:lang w:val="en-US"/>
        </w:rPr>
        <w:t xml:space="preserve">GDP ratio can be </w:t>
      </w:r>
      <w:r w:rsidR="009D6CDB">
        <w:rPr>
          <w:lang w:val="en-US"/>
        </w:rPr>
        <w:t xml:space="preserve">regarded </w:t>
      </w:r>
      <w:r w:rsidR="005D0669">
        <w:rPr>
          <w:lang w:val="en-US"/>
        </w:rPr>
        <w:t>as an economic bubble</w:t>
      </w:r>
      <w:r w:rsidR="00D55457">
        <w:rPr>
          <w:lang w:val="en-US"/>
        </w:rPr>
        <w:t xml:space="preserve">, i.e. </w:t>
      </w:r>
      <w:r w:rsidR="005D0669">
        <w:rPr>
          <w:lang w:val="en-US"/>
        </w:rPr>
        <w:t xml:space="preserve">debt used </w:t>
      </w:r>
      <w:r w:rsidR="006B5D48">
        <w:rPr>
          <w:lang w:val="en-US"/>
        </w:rPr>
        <w:t xml:space="preserve">excessively </w:t>
      </w:r>
      <w:r w:rsidR="005D0669">
        <w:rPr>
          <w:lang w:val="en-US"/>
        </w:rPr>
        <w:t xml:space="preserve">to finance production and/or consumption of assets in </w:t>
      </w:r>
      <w:r w:rsidR="00D55457">
        <w:rPr>
          <w:lang w:val="en-US"/>
        </w:rPr>
        <w:t xml:space="preserve">an </w:t>
      </w:r>
      <w:r w:rsidR="005D0669">
        <w:rPr>
          <w:lang w:val="en-US"/>
        </w:rPr>
        <w:t>economy.</w:t>
      </w:r>
      <w:r w:rsidR="00EE221C">
        <w:rPr>
          <w:lang w:val="en-US"/>
        </w:rPr>
        <w:t xml:space="preserve"> </w:t>
      </w:r>
      <w:r>
        <w:rPr>
          <w:lang w:val="en-US"/>
        </w:rPr>
        <w:t>I</w:t>
      </w:r>
      <w:r w:rsidRPr="00A22DE9">
        <w:rPr>
          <w:lang w:val="en-US"/>
        </w:rPr>
        <w:t>ncome growth plays a similar role to dividend growth.</w:t>
      </w:r>
      <w:r>
        <w:rPr>
          <w:lang w:val="en-US"/>
        </w:rPr>
        <w:t xml:space="preserve"> </w:t>
      </w:r>
      <w:r w:rsidRPr="00D06C83">
        <w:rPr>
          <w:lang w:val="en-US"/>
        </w:rPr>
        <w:t>Moreover, we know from conventional government debt account</w:t>
      </w:r>
      <w:r w:rsidRPr="00D06C83">
        <w:rPr>
          <w:color w:val="000000" w:themeColor="text1"/>
          <w:lang w:val="en-US"/>
        </w:rPr>
        <w:t>ing</w:t>
      </w:r>
      <w:r w:rsidRPr="00D06C83">
        <w:rPr>
          <w:lang w:val="en-US"/>
        </w:rPr>
        <w:t xml:space="preserve"> models (see Wilcox, 1989) that stationary growth rate of taxable income is incompatible with a continuously increasing (nonstationary) debt-to-GDP ratio</w:t>
      </w:r>
      <w:r w:rsidRPr="007E1DF4">
        <w:rPr>
          <w:lang w:val="en-US"/>
        </w:rPr>
        <w:t>.</w:t>
      </w:r>
      <w:r>
        <w:rPr>
          <w:lang w:val="en-US"/>
        </w:rPr>
        <w:t xml:space="preserve"> </w:t>
      </w:r>
      <w:r w:rsidR="00485BC2">
        <w:rPr>
          <w:lang w:val="en-US"/>
        </w:rPr>
        <w:t>We</w:t>
      </w:r>
      <w:r w:rsidR="009D6CDB">
        <w:rPr>
          <w:lang w:val="en-US"/>
        </w:rPr>
        <w:t xml:space="preserve"> also</w:t>
      </w:r>
      <w:r w:rsidR="00485BC2">
        <w:rPr>
          <w:lang w:val="en-US"/>
        </w:rPr>
        <w:t xml:space="preserve"> include measures of credit, bank credit</w:t>
      </w:r>
      <w:r w:rsidR="00EE221C">
        <w:rPr>
          <w:lang w:val="en-US"/>
        </w:rPr>
        <w:t>,</w:t>
      </w:r>
      <w:r w:rsidR="00485BC2">
        <w:rPr>
          <w:lang w:val="en-US"/>
        </w:rPr>
        <w:t xml:space="preserve"> and household credit</w:t>
      </w:r>
      <w:r w:rsidR="00EE221C">
        <w:rPr>
          <w:lang w:val="en-US"/>
        </w:rPr>
        <w:t>,</w:t>
      </w:r>
      <w:r w:rsidR="00485BC2">
        <w:rPr>
          <w:lang w:val="en-US"/>
        </w:rPr>
        <w:t xml:space="preserve"> as well as their ratio</w:t>
      </w:r>
      <w:r w:rsidR="00EE221C">
        <w:rPr>
          <w:lang w:val="en-US"/>
        </w:rPr>
        <w:t>s</w:t>
      </w:r>
      <w:r w:rsidR="00485BC2">
        <w:rPr>
          <w:lang w:val="en-US"/>
        </w:rPr>
        <w:t xml:space="preserve"> to GDP to test which </w:t>
      </w:r>
      <w:r w:rsidR="00EE221C">
        <w:rPr>
          <w:lang w:val="en-US"/>
        </w:rPr>
        <w:t xml:space="preserve">of these </w:t>
      </w:r>
      <w:r w:rsidR="00485BC2">
        <w:rPr>
          <w:lang w:val="en-US"/>
        </w:rPr>
        <w:t>has the best predictive power.</w:t>
      </w:r>
    </w:p>
    <w:p w14:paraId="75D22F66" w14:textId="2C1C0B4B" w:rsidR="005D0669" w:rsidRDefault="00EE221C" w:rsidP="005D0669">
      <w:pPr>
        <w:spacing w:line="360" w:lineRule="auto"/>
        <w:ind w:firstLine="576"/>
        <w:rPr>
          <w:lang w:val="en-US"/>
        </w:rPr>
      </w:pPr>
      <w:r>
        <w:rPr>
          <w:lang w:val="en-US"/>
        </w:rPr>
        <w:t>T</w:t>
      </w:r>
      <w:r w:rsidR="005D0669" w:rsidRPr="00D06C83">
        <w:rPr>
          <w:lang w:val="en-US"/>
        </w:rPr>
        <w:t xml:space="preserve">he use of variables such </w:t>
      </w:r>
      <w:r w:rsidR="00485BC2">
        <w:rPr>
          <w:lang w:val="en-US"/>
        </w:rPr>
        <w:t>as</w:t>
      </w:r>
      <w:r w:rsidR="00485BC2" w:rsidRPr="00D06C83">
        <w:rPr>
          <w:lang w:val="en-US"/>
        </w:rPr>
        <w:t xml:space="preserve"> </w:t>
      </w:r>
      <w:r w:rsidR="005D0669" w:rsidRPr="00D06C83">
        <w:rPr>
          <w:lang w:val="en-US"/>
        </w:rPr>
        <w:t>interest rates and debt-</w:t>
      </w:r>
      <w:r>
        <w:rPr>
          <w:lang w:val="en-US"/>
        </w:rPr>
        <w:t>to-</w:t>
      </w:r>
      <w:r w:rsidR="005D0669" w:rsidRPr="00D06C83">
        <w:rPr>
          <w:lang w:val="en-US"/>
        </w:rPr>
        <w:t xml:space="preserve">income ratios is </w:t>
      </w:r>
      <w:r w:rsidR="00E902F6">
        <w:rPr>
          <w:lang w:val="en-US"/>
        </w:rPr>
        <w:t xml:space="preserve">also </w:t>
      </w:r>
      <w:r w:rsidR="005D0669" w:rsidRPr="00D06C83">
        <w:rPr>
          <w:lang w:val="en-US"/>
        </w:rPr>
        <w:t>customary</w:t>
      </w:r>
      <w:r w:rsidRPr="00EE221C">
        <w:rPr>
          <w:lang w:val="en-US"/>
        </w:rPr>
        <w:t xml:space="preserve"> </w:t>
      </w:r>
      <w:r>
        <w:rPr>
          <w:lang w:val="en-US"/>
        </w:rPr>
        <w:t>i</w:t>
      </w:r>
      <w:r w:rsidRPr="00D06C83">
        <w:rPr>
          <w:lang w:val="en-US"/>
        </w:rPr>
        <w:t>n financial bubble prediction</w:t>
      </w:r>
      <w:r w:rsidR="005D0669" w:rsidRPr="00D06C83">
        <w:rPr>
          <w:lang w:val="en-US"/>
        </w:rPr>
        <w:t>.</w:t>
      </w:r>
      <w:r w:rsidR="00E902F6">
        <w:rPr>
          <w:rStyle w:val="Alaviitteenviite"/>
          <w:lang w:val="en-US"/>
        </w:rPr>
        <w:footnoteReference w:id="5"/>
      </w:r>
      <w:r w:rsidR="005D0669" w:rsidRPr="00D06C83">
        <w:rPr>
          <w:lang w:val="en-US"/>
        </w:rPr>
        <w:t xml:space="preserve"> </w:t>
      </w:r>
      <w:r w:rsidR="00E902F6">
        <w:rPr>
          <w:lang w:val="en-US"/>
        </w:rPr>
        <w:t xml:space="preserve">Technically speaking, use of </w:t>
      </w:r>
      <w:r w:rsidR="005D0669" w:rsidRPr="00D06C83">
        <w:rPr>
          <w:lang w:val="en-US"/>
        </w:rPr>
        <w:t>unit root methods with some of th</w:t>
      </w:r>
      <w:r w:rsidR="00E902F6">
        <w:rPr>
          <w:lang w:val="en-US"/>
        </w:rPr>
        <w:t>ese</w:t>
      </w:r>
      <w:r w:rsidR="005D0669" w:rsidRPr="00D06C83">
        <w:rPr>
          <w:lang w:val="en-US"/>
        </w:rPr>
        <w:t xml:space="preserve"> </w:t>
      </w:r>
      <w:r w:rsidR="00E902F6">
        <w:rPr>
          <w:lang w:val="en-US"/>
        </w:rPr>
        <w:t xml:space="preserve">is defensible under </w:t>
      </w:r>
      <w:r w:rsidR="005D0669" w:rsidRPr="00D06C83">
        <w:rPr>
          <w:lang w:val="en-US"/>
        </w:rPr>
        <w:t>the stationarity argument. Clearly debt</w:t>
      </w:r>
      <w:r w:rsidR="00E902F6">
        <w:rPr>
          <w:lang w:val="en-US"/>
        </w:rPr>
        <w:t>-</w:t>
      </w:r>
      <w:r w:rsidR="005D0669" w:rsidRPr="00D06C83">
        <w:rPr>
          <w:lang w:val="en-US"/>
        </w:rPr>
        <w:t>servic</w:t>
      </w:r>
      <w:r w:rsidR="00E902F6">
        <w:rPr>
          <w:lang w:val="en-US"/>
        </w:rPr>
        <w:t>ing</w:t>
      </w:r>
      <w:r w:rsidR="005D0669" w:rsidRPr="00D06C83">
        <w:rPr>
          <w:lang w:val="en-US"/>
        </w:rPr>
        <w:t xml:space="preserve"> costs cannot exceed disposable income</w:t>
      </w:r>
      <w:r w:rsidR="00E902F6">
        <w:rPr>
          <w:lang w:val="en-US"/>
        </w:rPr>
        <w:t xml:space="preserve">, so </w:t>
      </w:r>
      <w:r w:rsidR="005D0669" w:rsidRPr="00D06C83">
        <w:rPr>
          <w:lang w:val="en-US"/>
        </w:rPr>
        <w:t xml:space="preserve">the ratio of these variables </w:t>
      </w:r>
      <w:r w:rsidR="00E902F6">
        <w:rPr>
          <w:lang w:val="en-US"/>
        </w:rPr>
        <w:t xml:space="preserve">at least </w:t>
      </w:r>
      <w:r w:rsidR="00F80588">
        <w:rPr>
          <w:lang w:val="en-US"/>
        </w:rPr>
        <w:t xml:space="preserve">should </w:t>
      </w:r>
      <w:r w:rsidR="005D0669" w:rsidRPr="00D06C83">
        <w:rPr>
          <w:lang w:val="en-US"/>
        </w:rPr>
        <w:t>be stationar</w:t>
      </w:r>
      <w:r w:rsidR="00F80588">
        <w:rPr>
          <w:lang w:val="en-US"/>
        </w:rPr>
        <w:t>y</w:t>
      </w:r>
      <w:r w:rsidR="00E902F6">
        <w:rPr>
          <w:lang w:val="en-US"/>
        </w:rPr>
        <w:t xml:space="preserve"> and </w:t>
      </w:r>
      <w:r w:rsidR="005D0669" w:rsidRPr="00D06C83">
        <w:rPr>
          <w:lang w:val="en-US"/>
        </w:rPr>
        <w:t xml:space="preserve">probably </w:t>
      </w:r>
      <w:r w:rsidR="00E902F6">
        <w:rPr>
          <w:lang w:val="en-US"/>
        </w:rPr>
        <w:t xml:space="preserve">well </w:t>
      </w:r>
      <w:r w:rsidR="005D0669" w:rsidRPr="00D06C83">
        <w:rPr>
          <w:lang w:val="en-US"/>
        </w:rPr>
        <w:t>below the value of unity (cf. Wilcox</w:t>
      </w:r>
      <w:r w:rsidR="00E902F6">
        <w:rPr>
          <w:lang w:val="en-US"/>
        </w:rPr>
        <w:t xml:space="preserve">, </w:t>
      </w:r>
      <w:r w:rsidR="005D0669" w:rsidRPr="00D06C83">
        <w:rPr>
          <w:lang w:val="en-US"/>
        </w:rPr>
        <w:t>1989).</w:t>
      </w:r>
    </w:p>
    <w:p w14:paraId="1B715C8F" w14:textId="77777777" w:rsidR="00355D63" w:rsidRDefault="00355D63" w:rsidP="005D0669">
      <w:pPr>
        <w:spacing w:line="360" w:lineRule="auto"/>
        <w:ind w:firstLine="576"/>
        <w:rPr>
          <w:lang w:val="en-US"/>
        </w:rPr>
      </w:pPr>
    </w:p>
    <w:p w14:paraId="6B4D3E20" w14:textId="1083A57F" w:rsidR="00955228" w:rsidRPr="00FA78F6" w:rsidRDefault="008C4BD5" w:rsidP="007F0753">
      <w:pPr>
        <w:pStyle w:val="Otsikko2"/>
      </w:pPr>
      <w:r>
        <w:t xml:space="preserve">B. </w:t>
      </w:r>
      <w:r w:rsidR="00E902F6">
        <w:t>E</w:t>
      </w:r>
      <w:r w:rsidR="00955228">
        <w:t xml:space="preserve">conometric </w:t>
      </w:r>
      <w:r w:rsidR="00955228" w:rsidRPr="00470B0C">
        <w:t>exuberance test</w:t>
      </w:r>
    </w:p>
    <w:p w14:paraId="0D554398" w14:textId="0F217D91" w:rsidR="005C6750" w:rsidRPr="00D06C83" w:rsidRDefault="0064763C" w:rsidP="00D06C83">
      <w:pPr>
        <w:spacing w:line="360" w:lineRule="auto"/>
        <w:ind w:firstLine="576"/>
        <w:rPr>
          <w:lang w:val="en-US"/>
        </w:rPr>
      </w:pPr>
      <w:r>
        <w:rPr>
          <w:lang w:val="en-US"/>
        </w:rPr>
        <w:t>O</w:t>
      </w:r>
      <w:r w:rsidR="009D6CDB">
        <w:rPr>
          <w:lang w:val="en-US"/>
        </w:rPr>
        <w:t>u</w:t>
      </w:r>
      <w:r>
        <w:rPr>
          <w:lang w:val="en-US"/>
        </w:rPr>
        <w:t xml:space="preserve">r </w:t>
      </w:r>
      <w:r w:rsidR="00EE221C">
        <w:rPr>
          <w:lang w:val="en-US"/>
        </w:rPr>
        <w:t xml:space="preserve">empirical </w:t>
      </w:r>
      <w:r w:rsidR="005C6750">
        <w:rPr>
          <w:lang w:val="en-US"/>
        </w:rPr>
        <w:t>investigat</w:t>
      </w:r>
      <w:r w:rsidR="00EE221C">
        <w:rPr>
          <w:lang w:val="en-US"/>
        </w:rPr>
        <w:t xml:space="preserve">ion into </w:t>
      </w:r>
      <w:r w:rsidR="005C6750">
        <w:rPr>
          <w:lang w:val="en-US"/>
        </w:rPr>
        <w:t>the link between financial bubbles and crises</w:t>
      </w:r>
      <w:r w:rsidR="00EE221C">
        <w:rPr>
          <w:lang w:val="en-US"/>
        </w:rPr>
        <w:t xml:space="preserve"> raises the issue of </w:t>
      </w:r>
      <w:r w:rsidR="005C6750">
        <w:rPr>
          <w:lang w:val="en-US"/>
        </w:rPr>
        <w:t xml:space="preserve">whether </w:t>
      </w:r>
      <w:r w:rsidR="009F2BD3">
        <w:rPr>
          <w:lang w:val="en-US"/>
        </w:rPr>
        <w:t xml:space="preserve">particular </w:t>
      </w:r>
      <w:r w:rsidR="005C6750">
        <w:rPr>
          <w:lang w:val="en-US"/>
        </w:rPr>
        <w:t xml:space="preserve">bubble signals derived from </w:t>
      </w:r>
      <w:r w:rsidR="00E902F6">
        <w:rPr>
          <w:lang w:val="en-US"/>
        </w:rPr>
        <w:t xml:space="preserve">an </w:t>
      </w:r>
      <w:r w:rsidR="005C6750">
        <w:rPr>
          <w:lang w:val="en-US"/>
        </w:rPr>
        <w:t xml:space="preserve">asset price time series </w:t>
      </w:r>
      <w:r w:rsidR="00E902F6">
        <w:rPr>
          <w:lang w:val="en-US"/>
        </w:rPr>
        <w:t xml:space="preserve">are </w:t>
      </w:r>
      <w:r w:rsidR="005C6750">
        <w:rPr>
          <w:lang w:val="en-US"/>
        </w:rPr>
        <w:t>useful as early</w:t>
      </w:r>
      <w:r w:rsidR="00F80588">
        <w:rPr>
          <w:lang w:val="en-US"/>
        </w:rPr>
        <w:t xml:space="preserve"> </w:t>
      </w:r>
      <w:r w:rsidR="005C6750">
        <w:rPr>
          <w:lang w:val="en-US"/>
        </w:rPr>
        <w:t>warning indicators of financial cris</w:t>
      </w:r>
      <w:r w:rsidR="00EE221C">
        <w:rPr>
          <w:lang w:val="en-US"/>
        </w:rPr>
        <w:t>e</w:t>
      </w:r>
      <w:r w:rsidR="005C6750">
        <w:rPr>
          <w:lang w:val="en-US"/>
        </w:rPr>
        <w:t xml:space="preserve">s. </w:t>
      </w:r>
      <w:r w:rsidR="00EE221C">
        <w:rPr>
          <w:lang w:val="en-US"/>
        </w:rPr>
        <w:t xml:space="preserve">For this, </w:t>
      </w:r>
      <w:r w:rsidR="00811AA8">
        <w:rPr>
          <w:lang w:val="en-US"/>
        </w:rPr>
        <w:t xml:space="preserve">we need a test that </w:t>
      </w:r>
      <w:r w:rsidR="00955228">
        <w:rPr>
          <w:lang w:val="en-US"/>
        </w:rPr>
        <w:t>detect</w:t>
      </w:r>
      <w:r w:rsidR="00891A91">
        <w:rPr>
          <w:lang w:val="en-US"/>
        </w:rPr>
        <w:t>s</w:t>
      </w:r>
      <w:r w:rsidR="00955228">
        <w:rPr>
          <w:lang w:val="en-US"/>
        </w:rPr>
        <w:t xml:space="preserve"> the periods within the time series </w:t>
      </w:r>
      <w:r w:rsidR="00891A91">
        <w:rPr>
          <w:lang w:val="en-US"/>
        </w:rPr>
        <w:t xml:space="preserve">when </w:t>
      </w:r>
      <w:r w:rsidR="00955228">
        <w:rPr>
          <w:lang w:val="en-US"/>
        </w:rPr>
        <w:t>asset price growth is explosive.</w:t>
      </w:r>
    </w:p>
    <w:p w14:paraId="1B0EDC56" w14:textId="4992DDC7" w:rsidR="00614919" w:rsidRDefault="00614919" w:rsidP="00D06C83">
      <w:pPr>
        <w:spacing w:line="360" w:lineRule="auto"/>
        <w:ind w:firstLine="576"/>
        <w:rPr>
          <w:lang w:val="en-US"/>
        </w:rPr>
      </w:pPr>
      <w:r>
        <w:rPr>
          <w:lang w:val="en-US"/>
        </w:rPr>
        <w:t>From the rather extensive set of econometric tests designed to detect rational bubble</w:t>
      </w:r>
      <w:r w:rsidR="00F05E43">
        <w:rPr>
          <w:lang w:val="en-US"/>
        </w:rPr>
        <w:t>s</w:t>
      </w:r>
      <w:r>
        <w:rPr>
          <w:lang w:val="en-US"/>
        </w:rPr>
        <w:t xml:space="preserve">, we consider </w:t>
      </w:r>
      <w:r w:rsidR="00315D07">
        <w:rPr>
          <w:lang w:val="en-US"/>
        </w:rPr>
        <w:t>the generalized sup augmented Dickey-Fuller (</w:t>
      </w:r>
      <w:r>
        <w:rPr>
          <w:lang w:val="en-US"/>
        </w:rPr>
        <w:t>GSADF</w:t>
      </w:r>
      <w:r w:rsidR="00315D07">
        <w:rPr>
          <w:lang w:val="en-US"/>
        </w:rPr>
        <w:t>)</w:t>
      </w:r>
      <w:r>
        <w:rPr>
          <w:lang w:val="en-US"/>
        </w:rPr>
        <w:t xml:space="preserve"> test of Phillips, Shi</w:t>
      </w:r>
      <w:r w:rsidR="00EE221C">
        <w:rPr>
          <w:lang w:val="en-US"/>
        </w:rPr>
        <w:t>,</w:t>
      </w:r>
      <w:r>
        <w:rPr>
          <w:lang w:val="en-US"/>
        </w:rPr>
        <w:t xml:space="preserve"> and Yu (2015)</w:t>
      </w:r>
      <w:r w:rsidR="001523B4">
        <w:rPr>
          <w:lang w:val="en-US"/>
        </w:rPr>
        <w:t xml:space="preserve"> due to its </w:t>
      </w:r>
      <w:r w:rsidR="00955228">
        <w:rPr>
          <w:lang w:val="en-US"/>
        </w:rPr>
        <w:t xml:space="preserve">proven </w:t>
      </w:r>
      <w:r w:rsidR="00F05E43">
        <w:rPr>
          <w:lang w:val="en-US"/>
        </w:rPr>
        <w:t xml:space="preserve">ability to date-stamp </w:t>
      </w:r>
      <w:r w:rsidR="00955228">
        <w:rPr>
          <w:lang w:val="en-US"/>
        </w:rPr>
        <w:t xml:space="preserve">bubble </w:t>
      </w:r>
      <w:r w:rsidR="00F05E43">
        <w:rPr>
          <w:lang w:val="en-US"/>
        </w:rPr>
        <w:t>period</w:t>
      </w:r>
      <w:r w:rsidR="00955228">
        <w:rPr>
          <w:lang w:val="en-US"/>
        </w:rPr>
        <w:t>s</w:t>
      </w:r>
      <w:r w:rsidR="00F05E43">
        <w:rPr>
          <w:lang w:val="en-US"/>
        </w:rPr>
        <w:t xml:space="preserve"> </w:t>
      </w:r>
      <w:r w:rsidR="00955228">
        <w:rPr>
          <w:lang w:val="en-US"/>
        </w:rPr>
        <w:t>when multiple bubbles are present in the time series</w:t>
      </w:r>
      <w:r>
        <w:rPr>
          <w:lang w:val="en-US"/>
        </w:rPr>
        <w:t xml:space="preserve">. </w:t>
      </w:r>
      <w:r w:rsidR="00F05E43">
        <w:rPr>
          <w:lang w:val="en-US"/>
        </w:rPr>
        <w:t>The t</w:t>
      </w:r>
      <w:r>
        <w:rPr>
          <w:lang w:val="en-US"/>
        </w:rPr>
        <w:t xml:space="preserve">est </w:t>
      </w:r>
      <w:r w:rsidR="00F05E43">
        <w:rPr>
          <w:lang w:val="en-US"/>
        </w:rPr>
        <w:t>is</w:t>
      </w:r>
      <w:r>
        <w:rPr>
          <w:lang w:val="en-US"/>
        </w:rPr>
        <w:t xml:space="preserve"> based on the </w:t>
      </w:r>
      <w:r w:rsidR="00315D07">
        <w:rPr>
          <w:lang w:val="en-US"/>
        </w:rPr>
        <w:t xml:space="preserve">ADF </w:t>
      </w:r>
      <w:r>
        <w:rPr>
          <w:lang w:val="en-US"/>
        </w:rPr>
        <w:t>regression</w:t>
      </w:r>
      <w:r w:rsidR="00891A91">
        <w:rPr>
          <w:lang w:val="en-US"/>
        </w:rPr>
        <w:t>:</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5"/>
        <w:gridCol w:w="640"/>
      </w:tblGrid>
      <w:tr w:rsidR="00614919" w14:paraId="1A43956B" w14:textId="77777777" w:rsidTr="00D06C83">
        <w:tc>
          <w:tcPr>
            <w:tcW w:w="2155" w:type="dxa"/>
          </w:tcPr>
          <w:p w14:paraId="242798F9" w14:textId="77777777" w:rsidR="00614919" w:rsidRDefault="00614919" w:rsidP="00CA04A8">
            <w:pPr>
              <w:spacing w:line="360" w:lineRule="auto"/>
              <w:ind w:firstLine="0"/>
              <w:rPr>
                <w:lang w:val="en-US"/>
              </w:rPr>
            </w:pPr>
          </w:p>
        </w:tc>
        <w:tc>
          <w:tcPr>
            <w:tcW w:w="6215" w:type="dxa"/>
          </w:tcPr>
          <w:p w14:paraId="1E24581C" w14:textId="77777777" w:rsidR="00614919" w:rsidRPr="00BC3EB8" w:rsidRDefault="00614919" w:rsidP="00CA04A8">
            <w:pPr>
              <w:spacing w:line="360" w:lineRule="auto"/>
              <w:ind w:firstLine="0"/>
              <w:rPr>
                <w:lang w:val="en-US"/>
              </w:rPr>
            </w:pPr>
            <m:oMathPara>
              <m:oMathParaPr>
                <m:jc m:val="left"/>
              </m:oMathParaPr>
              <m:oMath>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t</m:t>
                    </m:r>
                  </m:sub>
                </m:sSub>
                <m:r>
                  <m:rPr>
                    <m:sty m:val="p"/>
                  </m:rPr>
                  <w:rPr>
                    <w:rFonts w:ascii="Cambria Math" w:hAnsi="Cambria Math"/>
                    <w:lang w:val="en-US"/>
                  </w:rPr>
                  <m:t>=</m:t>
                </m:r>
                <m:r>
                  <w:rPr>
                    <w:rFonts w:ascii="Cambria Math" w:hAnsi="Cambria Math"/>
                    <w:lang w:val="en-US"/>
                  </w:rPr>
                  <m:t>α</m:t>
                </m:r>
                <m:r>
                  <m:rPr>
                    <m:sty m:val="p"/>
                  </m:rPr>
                  <w:rPr>
                    <w:rFonts w:ascii="Cambria Math" w:hAnsi="Cambria Math"/>
                    <w:lang w:val="en-US"/>
                  </w:rPr>
                  <m:t>+</m:t>
                </m:r>
                <m:r>
                  <w:rPr>
                    <w:rFonts w:ascii="Cambria Math" w:hAnsi="Cambria Math"/>
                    <w:lang w:val="en-US"/>
                  </w:rPr>
                  <m:t>γ</m:t>
                </m:r>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t</m:t>
                    </m:r>
                    <m:r>
                      <m:rPr>
                        <m:sty m:val="p"/>
                      </m:rPr>
                      <w:rPr>
                        <w:rFonts w:ascii="Cambria Math" w:hAnsi="Cambria Math"/>
                        <w:lang w:val="en-US"/>
                      </w:rPr>
                      <m:t>-1</m:t>
                    </m:r>
                  </m:sub>
                </m:sSub>
                <m:r>
                  <m:rPr>
                    <m:sty m:val="p"/>
                  </m:rPr>
                  <w:rPr>
                    <w:rFonts w:ascii="Cambria Math" w:hAnsi="Cambria Math"/>
                    <w:lang w:val="en-US"/>
                  </w:rPr>
                  <m:t>+</m:t>
                </m:r>
                <m:nary>
                  <m:naryPr>
                    <m:chr m:val="∑"/>
                    <m:limLoc m:val="undOvr"/>
                    <m:ctrlPr>
                      <w:rPr>
                        <w:rFonts w:ascii="Cambria Math" w:hAnsi="Cambria Math"/>
                        <w:lang w:val="en-US"/>
                      </w:rPr>
                    </m:ctrlPr>
                  </m:naryPr>
                  <m:sub>
                    <m:r>
                      <w:rPr>
                        <w:rFonts w:ascii="Cambria Math" w:hAnsi="Cambria Math"/>
                        <w:lang w:val="en-US"/>
                      </w:rPr>
                      <m:t>i</m:t>
                    </m:r>
                    <m:r>
                      <m:rPr>
                        <m:sty m:val="p"/>
                      </m:rPr>
                      <w:rPr>
                        <w:rFonts w:ascii="Cambria Math" w:hAnsi="Cambria Math"/>
                        <w:lang w:val="en-US"/>
                      </w:rPr>
                      <m:t>=1</m:t>
                    </m:r>
                  </m:sub>
                  <m:sup>
                    <m:r>
                      <w:rPr>
                        <w:rFonts w:ascii="Cambria Math" w:hAnsi="Cambria Math"/>
                        <w:lang w:val="en-US"/>
                      </w:rPr>
                      <m:t>p</m:t>
                    </m:r>
                  </m:sup>
                  <m:e>
                    <m:sSub>
                      <m:sSubPr>
                        <m:ctrlPr>
                          <w:rPr>
                            <w:rFonts w:ascii="Cambria Math" w:hAnsi="Cambria Math"/>
                            <w:lang w:val="en-US"/>
                          </w:rPr>
                        </m:ctrlPr>
                      </m:sSubPr>
                      <m:e>
                        <m:r>
                          <w:rPr>
                            <w:rFonts w:ascii="Cambria Math" w:hAnsi="Cambria Math"/>
                            <w:lang w:val="en-US"/>
                          </w:rPr>
                          <m:t>δ</m:t>
                        </m:r>
                      </m:e>
                      <m:sub>
                        <m:r>
                          <w:rPr>
                            <w:rFonts w:ascii="Cambria Math" w:hAnsi="Cambria Math"/>
                            <w:lang w:val="en-US"/>
                          </w:rPr>
                          <m:t>i</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t</m:t>
                        </m:r>
                        <m:r>
                          <m:rPr>
                            <m:sty m:val="p"/>
                          </m:rPr>
                          <w:rPr>
                            <w:rFonts w:ascii="Cambria Math" w:hAnsi="Cambria Math"/>
                            <w:lang w:val="en-US"/>
                          </w:rPr>
                          <m:t>-</m:t>
                        </m:r>
                        <m:r>
                          <w:rPr>
                            <w:rFonts w:ascii="Cambria Math" w:hAnsi="Cambria Math"/>
                            <w:lang w:val="en-US"/>
                          </w:rPr>
                          <m:t>i</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ε</m:t>
                        </m:r>
                      </m:e>
                      <m:sub>
                        <m:r>
                          <w:rPr>
                            <w:rFonts w:ascii="Cambria Math" w:hAnsi="Cambria Math"/>
                            <w:lang w:val="en-US"/>
                          </w:rPr>
                          <m:t>t</m:t>
                        </m:r>
                      </m:sub>
                    </m:sSub>
                    <m:r>
                      <m:rPr>
                        <m:sty m:val="p"/>
                      </m:rPr>
                      <w:rPr>
                        <w:rFonts w:ascii="Cambria Math" w:hAnsi="Cambria Math"/>
                        <w:lang w:val="en-US"/>
                      </w:rPr>
                      <m:t xml:space="preserve"> .          </m:t>
                    </m:r>
                  </m:e>
                </m:nary>
              </m:oMath>
            </m:oMathPara>
          </w:p>
        </w:tc>
        <w:tc>
          <w:tcPr>
            <w:tcW w:w="640" w:type="dxa"/>
          </w:tcPr>
          <w:p w14:paraId="7354E0DE" w14:textId="77777777" w:rsidR="00614919" w:rsidRDefault="00614919" w:rsidP="00CA04A8">
            <w:pPr>
              <w:spacing w:line="360" w:lineRule="auto"/>
              <w:ind w:firstLine="0"/>
              <w:rPr>
                <w:lang w:val="en-US"/>
              </w:rPr>
            </w:pPr>
            <w:r w:rsidRPr="004735FB">
              <w:rPr>
                <w:rFonts w:eastAsiaTheme="minorEastAsia" w:cs="Times New Roman"/>
                <w:lang w:val="en-US"/>
              </w:rPr>
              <w:tab/>
              <w:t>(</w:t>
            </w:r>
            <w:r>
              <w:rPr>
                <w:rFonts w:eastAsiaTheme="minorEastAsia" w:cs="Times New Roman"/>
                <w:lang w:val="en-US"/>
              </w:rPr>
              <w:fldChar w:fldCharType="begin"/>
            </w:r>
            <w:r>
              <w:rPr>
                <w:rFonts w:eastAsiaTheme="minorEastAsia" w:cs="Times New Roman"/>
                <w:lang w:val="en-US"/>
              </w:rPr>
              <w:instrText xml:space="preserve"> SEQ Eq \* MERGEFORMAT </w:instrText>
            </w:r>
            <w:r>
              <w:rPr>
                <w:rFonts w:eastAsiaTheme="minorEastAsia" w:cs="Times New Roman"/>
                <w:lang w:val="en-US"/>
              </w:rPr>
              <w:fldChar w:fldCharType="separate"/>
            </w:r>
            <w:r w:rsidR="003050F5">
              <w:rPr>
                <w:rFonts w:eastAsiaTheme="minorEastAsia" w:cs="Times New Roman"/>
                <w:noProof/>
                <w:lang w:val="en-US"/>
              </w:rPr>
              <w:t>4</w:t>
            </w:r>
            <w:r>
              <w:rPr>
                <w:rFonts w:eastAsiaTheme="minorEastAsia" w:cs="Times New Roman"/>
                <w:lang w:val="en-US"/>
              </w:rPr>
              <w:fldChar w:fldCharType="end"/>
            </w:r>
            <w:r w:rsidRPr="004735FB">
              <w:rPr>
                <w:rFonts w:eastAsiaTheme="minorEastAsia" w:cs="Times New Roman"/>
                <w:lang w:val="en-US"/>
              </w:rPr>
              <w:t>)</w:t>
            </w:r>
            <w:r w:rsidRPr="004735FB">
              <w:rPr>
                <w:rFonts w:eastAsiaTheme="minorEastAsia" w:cs="Times New Roman"/>
                <w:lang w:val="en-US"/>
              </w:rPr>
              <w:br/>
            </w:r>
          </w:p>
        </w:tc>
      </w:tr>
    </w:tbl>
    <w:p w14:paraId="2DC7EB96" w14:textId="0EB8B538" w:rsidR="00614919" w:rsidRDefault="00506C9D" w:rsidP="00D06C83">
      <w:pPr>
        <w:spacing w:line="360" w:lineRule="auto"/>
        <w:ind w:firstLine="576"/>
        <w:rPr>
          <w:rFonts w:eastAsiaTheme="minorEastAsia"/>
          <w:lang w:val="en-US"/>
        </w:rPr>
      </w:pPr>
      <w:r>
        <w:rPr>
          <w:lang w:val="en-US"/>
        </w:rPr>
        <w:t>I</w:t>
      </w:r>
      <w:r w:rsidR="007D4B81">
        <w:rPr>
          <w:lang w:val="en-US"/>
        </w:rPr>
        <w:t xml:space="preserve">n contrast to the ADF test, the null hypothesis </w:t>
      </w:r>
      <w:r w:rsidR="00315D07">
        <w:rPr>
          <w:lang w:val="en-US"/>
        </w:rPr>
        <w:t xml:space="preserve">here </w:t>
      </w:r>
      <w:r w:rsidR="007D4B81">
        <w:rPr>
          <w:lang w:val="en-US"/>
        </w:rPr>
        <w:t xml:space="preserve">is I(1) and the alternative is an explosive root. </w:t>
      </w:r>
      <w:r w:rsidR="00BD61CD">
        <w:rPr>
          <w:lang w:val="en-US"/>
        </w:rPr>
        <w:t xml:space="preserve">To improve bubble detection </w:t>
      </w:r>
      <w:r w:rsidR="008A72CE">
        <w:rPr>
          <w:lang w:val="en-US"/>
        </w:rPr>
        <w:t xml:space="preserve">in cases </w:t>
      </w:r>
      <w:r>
        <w:rPr>
          <w:lang w:val="en-US"/>
        </w:rPr>
        <w:t xml:space="preserve">involving </w:t>
      </w:r>
      <w:r w:rsidR="008A72CE">
        <w:rPr>
          <w:lang w:val="en-US"/>
        </w:rPr>
        <w:t>multiple bubbles in the time series</w:t>
      </w:r>
      <w:r w:rsidR="00F05E43">
        <w:rPr>
          <w:lang w:val="en-US"/>
        </w:rPr>
        <w:t>, t</w:t>
      </w:r>
      <w:r w:rsidR="00614919">
        <w:rPr>
          <w:lang w:val="en-US"/>
        </w:rPr>
        <w:t xml:space="preserve">he GSADF test uses </w:t>
      </w:r>
      <w:r w:rsidR="00916C10">
        <w:rPr>
          <w:lang w:val="en-US"/>
        </w:rPr>
        <w:t>a windowing scheme where the end</w:t>
      </w:r>
      <w:r w:rsidR="00614919">
        <w:rPr>
          <w:lang w:val="en-US"/>
        </w:rPr>
        <w:t>point of the window is rolled forward and the ADF regression is estimated for backwards</w:t>
      </w:r>
      <w:r>
        <w:rPr>
          <w:lang w:val="en-US"/>
        </w:rPr>
        <w:t>-</w:t>
      </w:r>
      <w:r w:rsidR="00614919">
        <w:rPr>
          <w:lang w:val="en-US"/>
        </w:rPr>
        <w:t xml:space="preserve">expanding subsamples of all possible lengths starting from a minimum size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oMath>
      <w:r w:rsidR="00614919">
        <w:rPr>
          <w:rFonts w:eastAsiaTheme="minorEastAsia"/>
          <w:lang w:val="en-US"/>
        </w:rPr>
        <w:t xml:space="preserve">. (See Phillips </w:t>
      </w:r>
      <w:r w:rsidR="000B2E8F" w:rsidRPr="007F0753">
        <w:rPr>
          <w:rFonts w:eastAsiaTheme="minorEastAsia"/>
          <w:lang w:val="en-US"/>
        </w:rPr>
        <w:t>et al.</w:t>
      </w:r>
      <w:r>
        <w:rPr>
          <w:rFonts w:eastAsiaTheme="minorEastAsia"/>
          <w:lang w:val="en-US"/>
        </w:rPr>
        <w:t xml:space="preserve">, </w:t>
      </w:r>
      <w:r w:rsidR="00614919">
        <w:rPr>
          <w:rFonts w:eastAsiaTheme="minorEastAsia"/>
          <w:lang w:val="en-US"/>
        </w:rPr>
        <w:t>2015 for a</w:t>
      </w:r>
      <w:r w:rsidR="00355D63">
        <w:rPr>
          <w:rFonts w:eastAsiaTheme="minorEastAsia"/>
          <w:lang w:val="en-US"/>
        </w:rPr>
        <w:t>n</w:t>
      </w:r>
      <w:r w:rsidR="00614919">
        <w:rPr>
          <w:rFonts w:eastAsiaTheme="minorEastAsia"/>
          <w:lang w:val="en-US"/>
        </w:rPr>
        <w:t xml:space="preserve"> illustration of th</w:t>
      </w:r>
      <w:r>
        <w:rPr>
          <w:rFonts w:eastAsiaTheme="minorEastAsia"/>
          <w:lang w:val="en-US"/>
        </w:rPr>
        <w:t>is</w:t>
      </w:r>
      <w:r w:rsidR="00614919">
        <w:rPr>
          <w:rFonts w:eastAsiaTheme="minorEastAsia"/>
          <w:lang w:val="en-US"/>
        </w:rPr>
        <w:t xml:space="preserve"> windowing scheme.)</w:t>
      </w:r>
    </w:p>
    <w:p w14:paraId="69A5986E" w14:textId="2BD0EE26" w:rsidR="00614919" w:rsidRDefault="00F05E43" w:rsidP="00D06C83">
      <w:pPr>
        <w:spacing w:line="360" w:lineRule="auto"/>
        <w:ind w:firstLine="576"/>
        <w:rPr>
          <w:rFonts w:eastAsiaTheme="minorEastAsia"/>
          <w:lang w:val="en-US"/>
        </w:rPr>
      </w:pPr>
      <w:r>
        <w:rPr>
          <w:rFonts w:eastAsiaTheme="minorEastAsia"/>
          <w:lang w:val="en-US"/>
        </w:rPr>
        <w:t>T</w:t>
      </w:r>
      <w:r w:rsidR="00614919">
        <w:rPr>
          <w:rFonts w:eastAsiaTheme="minorEastAsia"/>
          <w:lang w:val="en-US"/>
        </w:rPr>
        <w:t xml:space="preserve">he ADF statistic for a window starting at </w:t>
      </w:r>
      <m:oMath>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oMath>
      <w:r w:rsidR="00614919">
        <w:rPr>
          <w:rFonts w:eastAsiaTheme="minorEastAsia"/>
          <w:lang w:val="en-US"/>
        </w:rPr>
        <w:t xml:space="preserve"> and ending at </w:t>
      </w:r>
      <m:oMath>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oMath>
      <w:r w:rsidR="00614919">
        <w:rPr>
          <w:rFonts w:eastAsiaTheme="minorEastAsia"/>
          <w:lang w:val="en-US"/>
        </w:rPr>
        <w:t xml:space="preserve"> </w:t>
      </w:r>
      <w:r>
        <w:rPr>
          <w:rFonts w:eastAsiaTheme="minorEastAsia"/>
          <w:lang w:val="en-US"/>
        </w:rPr>
        <w:t xml:space="preserve">is defined </w:t>
      </w:r>
      <w:r w:rsidR="00614919">
        <w:rPr>
          <w:rFonts w:eastAsiaTheme="minorEastAsia"/>
          <w:lang w:val="en-US"/>
        </w:rPr>
        <w:t>as</w:t>
      </w:r>
      <w:r w:rsidR="00315D07">
        <w:rPr>
          <w:rFonts w:eastAsiaTheme="minorEastAsia"/>
          <w:lang w:val="en-US"/>
        </w:rPr>
        <w:t>:</w:t>
      </w:r>
    </w:p>
    <w:p w14:paraId="10D5A3FB" w14:textId="77777777" w:rsidR="00614919" w:rsidRPr="004735FB" w:rsidRDefault="00614919" w:rsidP="00614919">
      <w:pPr>
        <w:spacing w:line="360" w:lineRule="auto"/>
        <w:ind w:firstLine="0"/>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614919" w14:paraId="4CD67327" w14:textId="77777777" w:rsidTr="00D06C83">
        <w:tc>
          <w:tcPr>
            <w:tcW w:w="2155" w:type="dxa"/>
            <w:vAlign w:val="center"/>
          </w:tcPr>
          <w:p w14:paraId="6F009CDD" w14:textId="77777777" w:rsidR="00614919" w:rsidRDefault="00614919" w:rsidP="00CA04A8">
            <w:pPr>
              <w:spacing w:line="360" w:lineRule="auto"/>
              <w:ind w:firstLine="0"/>
              <w:rPr>
                <w:lang w:val="en-US"/>
              </w:rPr>
            </w:pPr>
          </w:p>
        </w:tc>
        <w:tc>
          <w:tcPr>
            <w:tcW w:w="6210" w:type="dxa"/>
            <w:vAlign w:val="center"/>
          </w:tcPr>
          <w:p w14:paraId="058EAB79" w14:textId="77777777" w:rsidR="00614919" w:rsidRPr="00CF001D" w:rsidRDefault="00182CAB" w:rsidP="00426866">
            <w:pPr>
              <w:spacing w:line="360" w:lineRule="auto"/>
              <w:ind w:firstLine="0"/>
              <w:rPr>
                <w:lang w:val="en-US"/>
              </w:rPr>
            </w:pPr>
            <m:oMathPara>
              <m:oMathParaPr>
                <m:jc m:val="left"/>
              </m:oMathParaPr>
              <m:oMath>
                <m:sSubSup>
                  <m:sSubSupPr>
                    <m:ctrlPr>
                      <w:rPr>
                        <w:rFonts w:ascii="Cambria Math" w:hAnsi="Cambria Math"/>
                        <w:i/>
                        <w:lang w:val="en-US"/>
                      </w:rPr>
                    </m:ctrlPr>
                  </m:sSubSupPr>
                  <m:e>
                    <m:r>
                      <w:rPr>
                        <w:rFonts w:ascii="Cambria Math" w:hAnsi="Cambria Math"/>
                        <w:lang w:val="en-US"/>
                      </w:rPr>
                      <m:t>ADF</m:t>
                    </m:r>
                  </m:e>
                  <m:sub>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sub>
                  <m:sup>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sup>
                </m:sSubSup>
                <m:r>
                  <w:rPr>
                    <w:rFonts w:ascii="Cambria Math" w:eastAsiaTheme="minorEastAsia" w:hAnsi="Cambria Math"/>
                    <w:lang w:val="en-US"/>
                  </w:rPr>
                  <m:t>=</m:t>
                </m:r>
                <m:f>
                  <m:fPr>
                    <m:ctrlPr>
                      <w:rPr>
                        <w:rFonts w:ascii="Cambria Math" w:eastAsiaTheme="minorEastAsia" w:hAnsi="Cambria Math"/>
                        <w:i/>
                        <w:lang w:val="en-US"/>
                      </w:rPr>
                    </m:ctrlPr>
                  </m:fPr>
                  <m:num>
                    <m:sSubSup>
                      <m:sSubSupPr>
                        <m:ctrlPr>
                          <w:rPr>
                            <w:rFonts w:ascii="Cambria Math" w:eastAsiaTheme="minorEastAsia" w:hAnsi="Cambria Math"/>
                            <w:i/>
                            <w:lang w:val="en-US"/>
                          </w:rPr>
                        </m:ctrlPr>
                      </m:sSubSupPr>
                      <m:e>
                        <m:r>
                          <w:rPr>
                            <w:rFonts w:ascii="Cambria Math" w:eastAsiaTheme="minorEastAsia" w:hAnsi="Cambria Math"/>
                            <w:lang w:val="en-US"/>
                          </w:rPr>
                          <m:t>γ̂</m:t>
                        </m:r>
                      </m:e>
                      <m:sub>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sub>
                      <m:sup>
                        <m:r>
                          <m:rPr>
                            <m:sty m:val="p"/>
                          </m:rPr>
                          <w:rPr>
                            <w:rFonts w:ascii="Cambria Math" w:eastAsiaTheme="minorEastAsia" w:hAnsi="Cambria Math"/>
                            <w:lang w:val="en-US"/>
                          </w:rPr>
                          <m:t xml:space="preserve"> </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sup>
                    </m:sSubSup>
                  </m:num>
                  <m:den>
                    <m:r>
                      <w:rPr>
                        <w:rFonts w:ascii="Cambria Math" w:eastAsiaTheme="minorEastAsia" w:hAnsi="Cambria Math"/>
                        <w:lang w:val="en-US"/>
                      </w:rPr>
                      <m:t>s.e.(</m:t>
                    </m:r>
                    <m:sSubSup>
                      <m:sSubSupPr>
                        <m:ctrlPr>
                          <w:rPr>
                            <w:rFonts w:ascii="Cambria Math" w:eastAsiaTheme="minorEastAsia" w:hAnsi="Cambria Math"/>
                            <w:i/>
                            <w:lang w:val="en-US"/>
                          </w:rPr>
                        </m:ctrlPr>
                      </m:sSubSupPr>
                      <m:e>
                        <m:r>
                          <w:rPr>
                            <w:rFonts w:ascii="Cambria Math" w:eastAsiaTheme="minorEastAsia" w:hAnsi="Cambria Math"/>
                            <w:lang w:val="en-US"/>
                          </w:rPr>
                          <m:t>γ̂</m:t>
                        </m:r>
                      </m:e>
                      <m:sub>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sub>
                      <m:sup>
                        <m:r>
                          <m:rPr>
                            <m:sty m:val="p"/>
                          </m:rPr>
                          <w:rPr>
                            <w:rFonts w:ascii="Cambria Math" w:eastAsiaTheme="minorEastAsia" w:hAnsi="Cambria Math"/>
                            <w:lang w:val="en-US"/>
                          </w:rPr>
                          <m:t xml:space="preserve"> </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sup>
                    </m:sSubSup>
                    <m:r>
                      <w:rPr>
                        <w:rFonts w:ascii="Cambria Math" w:eastAsiaTheme="minorEastAsia" w:hAnsi="Cambria Math"/>
                        <w:lang w:val="en-US"/>
                      </w:rPr>
                      <m:t>)</m:t>
                    </m:r>
                  </m:den>
                </m:f>
                <m:r>
                  <w:rPr>
                    <w:rFonts w:ascii="Cambria Math" w:eastAsiaTheme="minorEastAsia" w:hAnsi="Cambria Math"/>
                    <w:lang w:val="en-US"/>
                  </w:rPr>
                  <m:t xml:space="preserve"> ,</m:t>
                </m:r>
              </m:oMath>
            </m:oMathPara>
          </w:p>
        </w:tc>
        <w:tc>
          <w:tcPr>
            <w:tcW w:w="645" w:type="dxa"/>
            <w:vAlign w:val="center"/>
          </w:tcPr>
          <w:p w14:paraId="4D54E4B3" w14:textId="77777777" w:rsidR="00614919" w:rsidRDefault="00614919" w:rsidP="00CA04A8">
            <w:pPr>
              <w:spacing w:line="360" w:lineRule="auto"/>
              <w:ind w:firstLine="0"/>
              <w:rPr>
                <w:lang w:val="en-US"/>
              </w:rPr>
            </w:pPr>
            <w:r>
              <w:rPr>
                <w:rFonts w:eastAsiaTheme="minorEastAsia"/>
                <w:lang w:val="en-US"/>
              </w:rPr>
              <w:t>(</w:t>
            </w:r>
            <w:r>
              <w:rPr>
                <w:rFonts w:eastAsiaTheme="minorEastAsia"/>
                <w:lang w:val="en-US"/>
              </w:rPr>
              <w:fldChar w:fldCharType="begin"/>
            </w:r>
            <w:r>
              <w:rPr>
                <w:rFonts w:eastAsiaTheme="minorEastAsia"/>
                <w:lang w:val="en-US"/>
              </w:rPr>
              <w:instrText xml:space="preserve"> SEQ Eq \* MERGEFORMAT </w:instrText>
            </w:r>
            <w:r>
              <w:rPr>
                <w:rFonts w:eastAsiaTheme="minorEastAsia"/>
                <w:lang w:val="en-US"/>
              </w:rPr>
              <w:fldChar w:fldCharType="separate"/>
            </w:r>
            <w:r w:rsidR="003050F5">
              <w:rPr>
                <w:rFonts w:eastAsiaTheme="minorEastAsia"/>
                <w:noProof/>
                <w:lang w:val="en-US"/>
              </w:rPr>
              <w:t>5</w:t>
            </w:r>
            <w:r>
              <w:rPr>
                <w:rFonts w:eastAsiaTheme="minorEastAsia"/>
                <w:lang w:val="en-US"/>
              </w:rPr>
              <w:fldChar w:fldCharType="end"/>
            </w:r>
            <w:r>
              <w:rPr>
                <w:rFonts w:eastAsiaTheme="minorEastAsia"/>
                <w:lang w:val="en-US"/>
              </w:rPr>
              <w:t>)</w:t>
            </w:r>
          </w:p>
        </w:tc>
      </w:tr>
    </w:tbl>
    <w:p w14:paraId="5A0C8DFC" w14:textId="77777777" w:rsidR="00614919" w:rsidRPr="00D06C83" w:rsidRDefault="00614919" w:rsidP="00D06C83">
      <w:pPr>
        <w:autoSpaceDE w:val="0"/>
        <w:autoSpaceDN w:val="0"/>
        <w:adjustRightInd w:val="0"/>
        <w:spacing w:line="360" w:lineRule="auto"/>
        <w:ind w:firstLine="0"/>
        <w:rPr>
          <w:rFonts w:eastAsia="Times New Roman" w:cs="Times New Roman"/>
          <w:lang w:val="en-US"/>
        </w:rPr>
      </w:pPr>
      <w:r>
        <w:rPr>
          <w:rFonts w:eastAsiaTheme="minorEastAsia"/>
          <w:lang w:val="en-US"/>
        </w:rPr>
        <w:tab/>
      </w:r>
      <w:r>
        <w:rPr>
          <w:lang w:val="en-US"/>
        </w:rPr>
        <w:t xml:space="preserve"> </w:t>
      </w:r>
    </w:p>
    <w:p w14:paraId="2EAFEF30" w14:textId="6C52493F" w:rsidR="00614919" w:rsidRDefault="00F05E43" w:rsidP="00D06C83">
      <w:pPr>
        <w:autoSpaceDE w:val="0"/>
        <w:autoSpaceDN w:val="0"/>
        <w:adjustRightInd w:val="0"/>
        <w:spacing w:line="360" w:lineRule="auto"/>
        <w:ind w:firstLine="0"/>
        <w:rPr>
          <w:lang w:val="en-US"/>
        </w:rPr>
      </w:pPr>
      <w:r>
        <w:rPr>
          <w:lang w:val="en-US"/>
        </w:rPr>
        <w:t>and t</w:t>
      </w:r>
      <w:r w:rsidR="00614919">
        <w:rPr>
          <w:lang w:val="en-US"/>
        </w:rPr>
        <w:t xml:space="preserve">he GSADF test statistic for a given minimum window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oMath>
      <w:r w:rsidR="00614919">
        <w:rPr>
          <w:lang w:val="en-US"/>
        </w:rPr>
        <w:t xml:space="preserve"> </w:t>
      </w:r>
      <w:r>
        <w:rPr>
          <w:lang w:val="en-US"/>
        </w:rPr>
        <w:t>as</w:t>
      </w:r>
      <w:r w:rsidR="00315D07">
        <w:rPr>
          <w:lang w:val="en-US"/>
        </w:rPr>
        <w:t>:</w:t>
      </w:r>
    </w:p>
    <w:p w14:paraId="2E77DAD5" w14:textId="77777777" w:rsidR="00614919" w:rsidRDefault="00614919" w:rsidP="00D06C83">
      <w:pPr>
        <w:autoSpaceDE w:val="0"/>
        <w:autoSpaceDN w:val="0"/>
        <w:adjustRightInd w:val="0"/>
        <w:spacing w:line="360" w:lineRule="auto"/>
        <w:ind w:firstLine="0"/>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1620"/>
        <w:gridCol w:w="1710"/>
        <w:gridCol w:w="2880"/>
        <w:gridCol w:w="645"/>
      </w:tblGrid>
      <w:tr w:rsidR="00614919" w14:paraId="0B49E614" w14:textId="77777777" w:rsidTr="00D06C83">
        <w:tc>
          <w:tcPr>
            <w:tcW w:w="2155" w:type="dxa"/>
          </w:tcPr>
          <w:p w14:paraId="4712E16A" w14:textId="77777777" w:rsidR="00614919" w:rsidRDefault="00614919" w:rsidP="00CA04A8">
            <w:pPr>
              <w:spacing w:line="360" w:lineRule="auto"/>
              <w:ind w:firstLine="0"/>
              <w:rPr>
                <w:lang w:val="en-US"/>
              </w:rPr>
            </w:pPr>
          </w:p>
        </w:tc>
        <w:tc>
          <w:tcPr>
            <w:tcW w:w="1620" w:type="dxa"/>
          </w:tcPr>
          <w:p w14:paraId="3A5E76A6" w14:textId="77777777" w:rsidR="00614919" w:rsidRPr="00D22032" w:rsidRDefault="00614919" w:rsidP="00CA04A8">
            <w:pPr>
              <w:spacing w:line="360" w:lineRule="auto"/>
              <w:ind w:firstLine="0"/>
              <w:rPr>
                <w:lang w:val="en-US"/>
              </w:rPr>
            </w:pPr>
            <m:oMathPara>
              <m:oMathParaPr>
                <m:jc m:val="left"/>
              </m:oMathParaPr>
              <m:oMath>
                <m:r>
                  <w:rPr>
                    <w:rFonts w:ascii="Cambria Math" w:hAnsi="Cambria Math"/>
                    <w:lang w:val="en-US"/>
                  </w:rPr>
                  <m:t>GSADF</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ctrlPr>
                      <w:rPr>
                        <w:rFonts w:ascii="Cambria Math" w:eastAsiaTheme="minorEastAsia" w:hAnsi="Cambria Math"/>
                        <w:i/>
                        <w:lang w:val="en-US"/>
                      </w:rPr>
                    </m:ctrlPr>
                  </m:e>
                </m:d>
                <m:r>
                  <w:rPr>
                    <w:rFonts w:ascii="Cambria Math" w:eastAsiaTheme="minorEastAsia" w:hAnsi="Cambria Math"/>
                    <w:lang w:val="en-US"/>
                  </w:rPr>
                  <m:t>=</m:t>
                </m:r>
              </m:oMath>
            </m:oMathPara>
          </w:p>
        </w:tc>
        <w:tc>
          <w:tcPr>
            <w:tcW w:w="1710" w:type="dxa"/>
          </w:tcPr>
          <w:p w14:paraId="54FAA1A9" w14:textId="77777777" w:rsidR="00614919" w:rsidRDefault="00182CAB" w:rsidP="00CA04A8">
            <w:pPr>
              <w:spacing w:line="360" w:lineRule="auto"/>
              <w:ind w:firstLine="0"/>
              <w:rPr>
                <w:lang w:val="en-US"/>
              </w:rPr>
            </w:pPr>
            <m:oMathPara>
              <m:oMath>
                <m:m>
                  <m:mPr>
                    <m:mcs>
                      <m:mc>
                        <m:mcPr>
                          <m:count m:val="1"/>
                          <m:mcJc m:val="center"/>
                        </m:mcPr>
                      </m:mc>
                    </m:mcs>
                    <m:ctrlPr>
                      <w:rPr>
                        <w:rFonts w:ascii="Cambria Math" w:eastAsiaTheme="minorEastAsia" w:hAnsi="Cambria Math"/>
                        <w:i/>
                        <w:lang w:val="en-US"/>
                      </w:rPr>
                    </m:ctrlPr>
                  </m:mPr>
                  <m:mr>
                    <m:e>
                      <m:m>
                        <m:mPr>
                          <m:mcs>
                            <m:mc>
                              <m:mcPr>
                                <m:count m:val="1"/>
                                <m:mcJc m:val="center"/>
                              </m:mcPr>
                            </m:mc>
                          </m:mcs>
                          <m:ctrlPr>
                            <w:rPr>
                              <w:rFonts w:ascii="Cambria Math" w:eastAsiaTheme="minorEastAsia" w:hAnsi="Cambria Math"/>
                              <w:i/>
                              <w:lang w:val="en-US"/>
                            </w:rPr>
                          </m:ctrlPr>
                        </m:mPr>
                        <m:mr>
                          <m:e>
                            <m:r>
                              <w:rPr>
                                <w:rFonts w:ascii="Cambria Math" w:eastAsiaTheme="minorEastAsia" w:hAnsi="Cambria Math"/>
                                <w:lang w:val="en-US"/>
                              </w:rPr>
                              <m:t>sup</m:t>
                            </m:r>
                          </m:e>
                        </m:mr>
                        <m:mr>
                          <m:e>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r>
                              <w:rPr>
                                <w:rFonts w:ascii="Cambria Math" w:eastAsiaTheme="minorEastAsia"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,1]</m:t>
                            </m:r>
                          </m:e>
                        </m:mr>
                      </m:m>
                    </m:e>
                  </m:mr>
                  <m:mr>
                    <m:e>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r>
                        <w:rPr>
                          <w:rFonts w:ascii="Cambria Math" w:eastAsiaTheme="minorEastAsia" w:hAnsi="Cambria Math"/>
                          <w:lang w:val="en-US"/>
                        </w:rPr>
                        <m:t>∈[0,</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m:t>
                      </m:r>
                    </m:e>
                  </m:mr>
                </m:m>
              </m:oMath>
            </m:oMathPara>
          </w:p>
        </w:tc>
        <w:tc>
          <w:tcPr>
            <w:tcW w:w="2880" w:type="dxa"/>
          </w:tcPr>
          <w:p w14:paraId="2E18A4B1" w14:textId="77777777" w:rsidR="00614919" w:rsidRPr="00D22032" w:rsidRDefault="00182CAB" w:rsidP="00651B70">
            <w:pPr>
              <w:spacing w:line="360" w:lineRule="auto"/>
              <w:ind w:firstLine="0"/>
              <w:rPr>
                <w:lang w:val="en-US"/>
              </w:rPr>
            </w:pPr>
            <m:oMathPara>
              <m:oMathParaPr>
                <m:jc m:val="left"/>
              </m:oMathParaPr>
              <m:oMath>
                <m:d>
                  <m:dPr>
                    <m:begChr m:val="{"/>
                    <m:endChr m:val="}"/>
                    <m:ctrlPr>
                      <w:rPr>
                        <w:rFonts w:ascii="Cambria Math" w:hAnsi="Cambria Math"/>
                        <w:i/>
                        <w:lang w:val="en-US"/>
                      </w:rPr>
                    </m:ctrlPr>
                  </m:dPr>
                  <m:e>
                    <m:sSubSup>
                      <m:sSubSupPr>
                        <m:ctrlPr>
                          <w:rPr>
                            <w:rFonts w:ascii="Cambria Math" w:hAnsi="Cambria Math"/>
                            <w:i/>
                            <w:lang w:val="en-US"/>
                          </w:rPr>
                        </m:ctrlPr>
                      </m:sSubSupPr>
                      <m:e>
                        <m:r>
                          <w:rPr>
                            <w:rFonts w:ascii="Cambria Math" w:hAnsi="Cambria Math"/>
                            <w:lang w:val="en-US"/>
                          </w:rPr>
                          <m:t>ADF</m:t>
                        </m:r>
                      </m:e>
                      <m:sub>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sub>
                      <m:sup>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sup>
                    </m:sSubSup>
                  </m:e>
                </m:d>
                <m:r>
                  <w:rPr>
                    <w:rFonts w:ascii="Cambria Math" w:hAnsi="Cambria Math"/>
                    <w:lang w:val="en-US"/>
                  </w:rPr>
                  <m:t xml:space="preserve"> .</m:t>
                </m:r>
              </m:oMath>
            </m:oMathPara>
          </w:p>
        </w:tc>
        <w:tc>
          <w:tcPr>
            <w:tcW w:w="645" w:type="dxa"/>
          </w:tcPr>
          <w:p w14:paraId="0272DB0B" w14:textId="77777777" w:rsidR="00614919" w:rsidRPr="00FA78F6" w:rsidRDefault="00614919" w:rsidP="00CA04A8">
            <w:pPr>
              <w:spacing w:line="360" w:lineRule="auto"/>
              <w:ind w:firstLine="0"/>
              <w:rPr>
                <w:rFonts w:cs="Times New Roman"/>
                <w:lang w:val="en-US"/>
              </w:rPr>
            </w:pPr>
            <w:r w:rsidRPr="007F0753">
              <w:rPr>
                <w:rFonts w:eastAsia="Calibri" w:cs="Times New Roman"/>
                <w:lang w:val="en-US"/>
              </w:rPr>
              <w:t>(</w:t>
            </w:r>
            <w:r w:rsidRPr="007F0753">
              <w:rPr>
                <w:rFonts w:eastAsia="Calibri" w:cs="Times New Roman"/>
                <w:lang w:val="en-US"/>
              </w:rPr>
              <w:fldChar w:fldCharType="begin"/>
            </w:r>
            <w:r w:rsidRPr="007F0753">
              <w:rPr>
                <w:rFonts w:eastAsia="Calibri" w:cs="Times New Roman"/>
                <w:lang w:val="en-US"/>
              </w:rPr>
              <w:instrText xml:space="preserve"> SEQ Eq \* MERGEFORMAT </w:instrText>
            </w:r>
            <w:r w:rsidRPr="007F0753">
              <w:rPr>
                <w:rFonts w:eastAsia="Calibri" w:cs="Times New Roman"/>
                <w:lang w:val="en-US"/>
              </w:rPr>
              <w:fldChar w:fldCharType="separate"/>
            </w:r>
            <w:r w:rsidR="003050F5" w:rsidRPr="007F0753">
              <w:rPr>
                <w:rFonts w:eastAsia="Calibri" w:cs="Times New Roman"/>
                <w:noProof/>
                <w:lang w:val="en-US"/>
              </w:rPr>
              <w:t>6</w:t>
            </w:r>
            <w:r w:rsidRPr="007F0753">
              <w:rPr>
                <w:rFonts w:eastAsia="Calibri" w:cs="Times New Roman"/>
                <w:lang w:val="en-US"/>
              </w:rPr>
              <w:fldChar w:fldCharType="end"/>
            </w:r>
            <w:r w:rsidRPr="007F0753">
              <w:rPr>
                <w:rFonts w:eastAsia="Calibri" w:cs="Times New Roman"/>
                <w:lang w:val="en-US"/>
              </w:rPr>
              <w:t>)</w:t>
            </w:r>
          </w:p>
        </w:tc>
      </w:tr>
    </w:tbl>
    <w:p w14:paraId="2D0C3FC5" w14:textId="77777777" w:rsidR="00614919" w:rsidRDefault="00614919" w:rsidP="00D06C83">
      <w:pPr>
        <w:autoSpaceDE w:val="0"/>
        <w:autoSpaceDN w:val="0"/>
        <w:adjustRightInd w:val="0"/>
        <w:spacing w:line="360" w:lineRule="auto"/>
        <w:ind w:firstLine="0"/>
        <w:rPr>
          <w:lang w:val="en-US"/>
        </w:rPr>
      </w:pPr>
    </w:p>
    <w:p w14:paraId="49F7435F" w14:textId="5F0CEB2D" w:rsidR="00614919" w:rsidRDefault="002C2A4D" w:rsidP="00D06C83">
      <w:pPr>
        <w:autoSpaceDE w:val="0"/>
        <w:autoSpaceDN w:val="0"/>
        <w:adjustRightInd w:val="0"/>
        <w:spacing w:line="360" w:lineRule="auto"/>
        <w:ind w:firstLine="0"/>
        <w:rPr>
          <w:lang w:val="en-US"/>
        </w:rPr>
      </w:pPr>
      <w:r>
        <w:rPr>
          <w:lang w:val="en-US"/>
        </w:rPr>
        <w:t>Here</w:t>
      </w:r>
      <w:r w:rsidR="00315D07">
        <w:rPr>
          <w:lang w:val="en-US"/>
        </w:rPr>
        <w:t>,</w:t>
      </w:r>
      <w:r>
        <w:rPr>
          <w:lang w:val="en-US"/>
        </w:rPr>
        <w:t xml:space="preserve">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0,1</m:t>
            </m:r>
          </m:e>
        </m:d>
      </m:oMath>
      <w:r w:rsidR="00651B70">
        <w:rPr>
          <w:rFonts w:eastAsiaTheme="minorEastAsia"/>
          <w:lang w:val="en-US"/>
        </w:rPr>
        <w:t xml:space="preserve"> and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r>
          <w:rPr>
            <w:rFonts w:ascii="Cambria Math" w:hAnsi="Cambria Math"/>
            <w:lang w:val="en-US"/>
          </w:rPr>
          <m:t>≠0</m:t>
        </m:r>
      </m:oMath>
      <w:r>
        <w:rPr>
          <w:rFonts w:eastAsiaTheme="minorEastAsia"/>
          <w:lang w:val="en-US"/>
        </w:rPr>
        <w:t xml:space="preserve">. 0 and 1 correspond to the first and last data point, respectively. </w:t>
      </w:r>
      <w:r w:rsidR="00614919">
        <w:rPr>
          <w:lang w:val="en-US"/>
        </w:rPr>
        <w:t xml:space="preserve">The backwards sup ADF (BSADF) test statistic used to date-stamp the bubble periods is defined at the point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oMath>
      <w:r w:rsidR="00614919">
        <w:rPr>
          <w:rFonts w:eastAsiaTheme="minorEastAsia"/>
          <w:lang w:val="en-US"/>
        </w:rPr>
        <w:t xml:space="preserve"> as</w:t>
      </w:r>
      <w:r w:rsidR="00315D07">
        <w:rPr>
          <w:rFonts w:eastAsiaTheme="minorEastAsia"/>
          <w:lang w:val="en-US"/>
        </w:rPr>
        <w:t>:</w:t>
      </w:r>
    </w:p>
    <w:p w14:paraId="2DE063CC" w14:textId="77777777" w:rsidR="00614919" w:rsidRDefault="00614919" w:rsidP="00D06C83">
      <w:pPr>
        <w:autoSpaceDE w:val="0"/>
        <w:autoSpaceDN w:val="0"/>
        <w:adjustRightInd w:val="0"/>
        <w:spacing w:line="360" w:lineRule="auto"/>
        <w:ind w:firstLine="0"/>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1980"/>
        <w:gridCol w:w="1800"/>
        <w:gridCol w:w="2430"/>
        <w:gridCol w:w="645"/>
      </w:tblGrid>
      <w:tr w:rsidR="00614919" w:rsidRPr="002C2A4D" w14:paraId="72DCD4AB" w14:textId="77777777" w:rsidTr="00D06C83">
        <w:tc>
          <w:tcPr>
            <w:tcW w:w="2155" w:type="dxa"/>
          </w:tcPr>
          <w:p w14:paraId="146167D2" w14:textId="77777777" w:rsidR="00614919" w:rsidRDefault="00614919" w:rsidP="00CA04A8">
            <w:pPr>
              <w:spacing w:line="360" w:lineRule="auto"/>
              <w:ind w:firstLine="0"/>
              <w:rPr>
                <w:lang w:val="en-US"/>
              </w:rPr>
            </w:pPr>
          </w:p>
        </w:tc>
        <w:tc>
          <w:tcPr>
            <w:tcW w:w="1980" w:type="dxa"/>
          </w:tcPr>
          <w:p w14:paraId="77D8AD8A" w14:textId="77777777" w:rsidR="00614919" w:rsidRPr="00D22032" w:rsidRDefault="00614919" w:rsidP="00CA04A8">
            <w:pPr>
              <w:spacing w:line="360" w:lineRule="auto"/>
              <w:ind w:firstLine="0"/>
              <w:rPr>
                <w:lang w:val="en-US"/>
              </w:rPr>
            </w:pPr>
            <m:oMathPara>
              <m:oMathParaPr>
                <m:jc m:val="left"/>
              </m:oMathParaPr>
              <m:oMath>
                <m:r>
                  <w:rPr>
                    <w:rFonts w:ascii="Cambria Math" w:hAnsi="Cambria Math"/>
                    <w:lang w:val="en-US"/>
                  </w:rPr>
                  <m:t>BSADF</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ctrlPr>
                      <w:rPr>
                        <w:rFonts w:ascii="Cambria Math" w:eastAsiaTheme="minorEastAsia" w:hAnsi="Cambria Math"/>
                        <w:i/>
                        <w:lang w:val="en-US"/>
                      </w:rPr>
                    </m:ctrlPr>
                  </m:e>
                </m:d>
                <m:r>
                  <w:rPr>
                    <w:rFonts w:ascii="Cambria Math" w:eastAsiaTheme="minorEastAsia" w:hAnsi="Cambria Math"/>
                    <w:lang w:val="en-US"/>
                  </w:rPr>
                  <m:t>=</m:t>
                </m:r>
              </m:oMath>
            </m:oMathPara>
          </w:p>
        </w:tc>
        <w:tc>
          <w:tcPr>
            <w:tcW w:w="1800" w:type="dxa"/>
          </w:tcPr>
          <w:p w14:paraId="4E86878F" w14:textId="77777777" w:rsidR="00614919" w:rsidRDefault="00182CAB" w:rsidP="00CA04A8">
            <w:pPr>
              <w:spacing w:line="360" w:lineRule="auto"/>
              <w:ind w:firstLine="0"/>
              <w:rPr>
                <w:lang w:val="en-US"/>
              </w:rPr>
            </w:pPr>
            <m:oMathPara>
              <m:oMath>
                <m:m>
                  <m:mPr>
                    <m:mcs>
                      <m:mc>
                        <m:mcPr>
                          <m:count m:val="1"/>
                          <m:mcJc m:val="center"/>
                        </m:mcPr>
                      </m:mc>
                    </m:mcs>
                    <m:ctrlPr>
                      <w:rPr>
                        <w:rFonts w:ascii="Cambria Math" w:eastAsiaTheme="minorEastAsia" w:hAnsi="Cambria Math"/>
                        <w:i/>
                        <w:lang w:val="en-US"/>
                      </w:rPr>
                    </m:ctrlPr>
                  </m:mPr>
                  <m:mr>
                    <m:e>
                      <m:r>
                        <w:rPr>
                          <w:rFonts w:ascii="Cambria Math" w:eastAsiaTheme="minorEastAsia" w:hAnsi="Cambria Math"/>
                          <w:lang w:val="en-US"/>
                        </w:rPr>
                        <m:t>sup</m:t>
                      </m:r>
                    </m:e>
                  </m:mr>
                  <m:mr>
                    <m:e>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r>
                        <w:rPr>
                          <w:rFonts w:ascii="Cambria Math" w:eastAsiaTheme="minorEastAsia" w:hAnsi="Cambria Math"/>
                          <w:lang w:val="en-US"/>
                        </w:rPr>
                        <m:t>∈[0,</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m:t>
                      </m:r>
                    </m:e>
                  </m:mr>
                </m:m>
              </m:oMath>
            </m:oMathPara>
          </w:p>
        </w:tc>
        <w:tc>
          <w:tcPr>
            <w:tcW w:w="2430" w:type="dxa"/>
          </w:tcPr>
          <w:p w14:paraId="1A0B5FAE" w14:textId="77777777" w:rsidR="00614919" w:rsidRPr="00D22032" w:rsidRDefault="00182CAB" w:rsidP="00CA04A8">
            <w:pPr>
              <w:spacing w:line="360" w:lineRule="auto"/>
              <w:ind w:firstLine="0"/>
              <w:rPr>
                <w:lang w:val="en-US"/>
              </w:rPr>
            </w:pPr>
            <m:oMathPara>
              <m:oMathParaPr>
                <m:jc m:val="left"/>
              </m:oMathParaPr>
              <m:oMath>
                <m:sSubSup>
                  <m:sSubSupPr>
                    <m:ctrlPr>
                      <w:rPr>
                        <w:rFonts w:ascii="Cambria Math" w:hAnsi="Cambria Math"/>
                        <w:i/>
                        <w:lang w:val="en-US"/>
                      </w:rPr>
                    </m:ctrlPr>
                  </m:sSubSupPr>
                  <m:e>
                    <m:r>
                      <w:rPr>
                        <w:rFonts w:ascii="Cambria Math" w:hAnsi="Cambria Math"/>
                        <w:lang w:val="en-US"/>
                      </w:rPr>
                      <m:t>{ADF</m:t>
                    </m:r>
                  </m:e>
                  <m:sub>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1</m:t>
                        </m:r>
                      </m:sub>
                    </m:sSub>
                  </m:sub>
                  <m:sup>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lang w:val="en-US"/>
                          </w:rPr>
                          <m:t>2</m:t>
                        </m:r>
                      </m:sub>
                    </m:sSub>
                  </m:sup>
                </m:sSubSup>
                <m:r>
                  <w:rPr>
                    <w:rFonts w:ascii="Cambria Math" w:hAnsi="Cambria Math"/>
                    <w:lang w:val="en-US"/>
                  </w:rPr>
                  <m:t>} .</m:t>
                </m:r>
              </m:oMath>
            </m:oMathPara>
          </w:p>
        </w:tc>
        <w:tc>
          <w:tcPr>
            <w:tcW w:w="645" w:type="dxa"/>
          </w:tcPr>
          <w:p w14:paraId="41624AD0" w14:textId="77777777" w:rsidR="00614919" w:rsidRPr="00FA78F6" w:rsidRDefault="00614919" w:rsidP="00CA04A8">
            <w:pPr>
              <w:spacing w:line="360" w:lineRule="auto"/>
              <w:ind w:firstLine="0"/>
              <w:rPr>
                <w:rFonts w:cs="Times New Roman"/>
                <w:lang w:val="en-US"/>
              </w:rPr>
            </w:pPr>
            <w:r w:rsidRPr="007F0753">
              <w:rPr>
                <w:rFonts w:eastAsia="Calibri" w:cs="Times New Roman"/>
                <w:lang w:val="en-US"/>
              </w:rPr>
              <w:t>(</w:t>
            </w:r>
            <w:r w:rsidRPr="007F0753">
              <w:rPr>
                <w:rFonts w:eastAsia="Calibri" w:cs="Times New Roman"/>
                <w:lang w:val="en-US"/>
              </w:rPr>
              <w:fldChar w:fldCharType="begin"/>
            </w:r>
            <w:r w:rsidRPr="007F0753">
              <w:rPr>
                <w:rFonts w:eastAsia="Calibri" w:cs="Times New Roman"/>
                <w:lang w:val="en-US"/>
              </w:rPr>
              <w:instrText xml:space="preserve"> SEQ Eq \* MERGEFORMAT </w:instrText>
            </w:r>
            <w:r w:rsidRPr="007F0753">
              <w:rPr>
                <w:rFonts w:eastAsia="Calibri" w:cs="Times New Roman"/>
                <w:lang w:val="en-US"/>
              </w:rPr>
              <w:fldChar w:fldCharType="separate"/>
            </w:r>
            <w:r w:rsidR="003050F5" w:rsidRPr="007F0753">
              <w:rPr>
                <w:rFonts w:eastAsia="Calibri" w:cs="Times New Roman"/>
                <w:noProof/>
                <w:lang w:val="en-US"/>
              </w:rPr>
              <w:t>7</w:t>
            </w:r>
            <w:r w:rsidRPr="007F0753">
              <w:rPr>
                <w:rFonts w:eastAsia="Calibri" w:cs="Times New Roman"/>
                <w:lang w:val="en-US"/>
              </w:rPr>
              <w:fldChar w:fldCharType="end"/>
            </w:r>
            <w:r w:rsidRPr="007F0753">
              <w:rPr>
                <w:rFonts w:eastAsia="Calibri" w:cs="Times New Roman"/>
                <w:lang w:val="en-US"/>
              </w:rPr>
              <w:t>)</w:t>
            </w:r>
          </w:p>
        </w:tc>
      </w:tr>
    </w:tbl>
    <w:p w14:paraId="1CD78C6C" w14:textId="77777777" w:rsidR="00614919" w:rsidRDefault="00614919" w:rsidP="00D06C83">
      <w:pPr>
        <w:autoSpaceDE w:val="0"/>
        <w:autoSpaceDN w:val="0"/>
        <w:adjustRightInd w:val="0"/>
        <w:spacing w:line="360" w:lineRule="auto"/>
        <w:ind w:firstLine="0"/>
        <w:rPr>
          <w:lang w:val="en-US"/>
        </w:rPr>
      </w:pPr>
    </w:p>
    <w:p w14:paraId="1432DF15" w14:textId="77777777" w:rsidR="00614919" w:rsidRDefault="00F05E43" w:rsidP="00D06C83">
      <w:pPr>
        <w:autoSpaceDE w:val="0"/>
        <w:autoSpaceDN w:val="0"/>
        <w:adjustRightInd w:val="0"/>
        <w:spacing w:line="360" w:lineRule="auto"/>
        <w:ind w:firstLine="0"/>
        <w:rPr>
          <w:lang w:val="en-US"/>
        </w:rPr>
      </w:pPr>
      <w:r>
        <w:rPr>
          <w:lang w:val="en-US"/>
        </w:rPr>
        <w:t>T</w:t>
      </w:r>
      <w:r w:rsidR="00614919">
        <w:rPr>
          <w:lang w:val="en-US"/>
        </w:rPr>
        <w:t xml:space="preserve">he test statistics follow a non-standard distribution. </w:t>
      </w:r>
      <w:r>
        <w:rPr>
          <w:lang w:val="en-US"/>
        </w:rPr>
        <w:t>C</w:t>
      </w:r>
      <w:r w:rsidR="00614919">
        <w:rPr>
          <w:lang w:val="en-US"/>
        </w:rPr>
        <w:t>ritical values are thus obtained through Monte Carlo simulation.</w:t>
      </w:r>
    </w:p>
    <w:p w14:paraId="7EA4E5EB" w14:textId="2569C423" w:rsidR="00614919" w:rsidRDefault="00614919" w:rsidP="00D06C83">
      <w:pPr>
        <w:autoSpaceDE w:val="0"/>
        <w:autoSpaceDN w:val="0"/>
        <w:adjustRightInd w:val="0"/>
        <w:spacing w:line="360" w:lineRule="auto"/>
        <w:ind w:firstLine="576"/>
        <w:rPr>
          <w:lang w:val="en-US"/>
        </w:rPr>
      </w:pPr>
      <w:r>
        <w:rPr>
          <w:lang w:val="en-US"/>
        </w:rPr>
        <w:t xml:space="preserve">The GSADF test statistic provides means for inferring </w:t>
      </w:r>
      <w:r w:rsidR="005D2D60">
        <w:rPr>
          <w:lang w:val="en-US"/>
        </w:rPr>
        <w:t xml:space="preserve">the presence of </w:t>
      </w:r>
      <w:r>
        <w:rPr>
          <w:lang w:val="en-US"/>
        </w:rPr>
        <w:t>one or more bubbles in the time series. In the application at hand</w:t>
      </w:r>
      <w:r w:rsidR="005D2D60">
        <w:rPr>
          <w:lang w:val="en-US"/>
        </w:rPr>
        <w:t>,</w:t>
      </w:r>
      <w:r>
        <w:rPr>
          <w:lang w:val="en-US"/>
        </w:rPr>
        <w:t xml:space="preserve"> we are only interested in date-stamping bubbles</w:t>
      </w:r>
      <w:r w:rsidR="00483430">
        <w:rPr>
          <w:lang w:val="en-US"/>
        </w:rPr>
        <w:t xml:space="preserve">, </w:t>
      </w:r>
      <w:r>
        <w:rPr>
          <w:lang w:val="en-US"/>
        </w:rPr>
        <w:t xml:space="preserve">rather than </w:t>
      </w:r>
      <w:r w:rsidR="00483430">
        <w:rPr>
          <w:lang w:val="en-US"/>
        </w:rPr>
        <w:t xml:space="preserve">achieving </w:t>
      </w:r>
      <w:r>
        <w:rPr>
          <w:lang w:val="en-US"/>
        </w:rPr>
        <w:t>an overall conclusion.</w:t>
      </w:r>
      <w:r w:rsidR="002C2A4D">
        <w:rPr>
          <w:rStyle w:val="Alaviitteenviite"/>
          <w:lang w:val="en-US"/>
        </w:rPr>
        <w:footnoteReference w:id="6"/>
      </w:r>
      <w:r>
        <w:rPr>
          <w:lang w:val="en-US"/>
        </w:rPr>
        <w:t xml:space="preserve"> Hence</w:t>
      </w:r>
      <w:r w:rsidR="005D2D60">
        <w:rPr>
          <w:lang w:val="en-US"/>
        </w:rPr>
        <w:t>,</w:t>
      </w:r>
      <w:r>
        <w:rPr>
          <w:lang w:val="en-US"/>
        </w:rPr>
        <w:t xml:space="preserve"> it suffices to calculate the BSADF statistic</w:t>
      </w:r>
      <w:r w:rsidR="00F05E43">
        <w:rPr>
          <w:lang w:val="en-US"/>
        </w:rPr>
        <w:t xml:space="preserve"> for the time series </w:t>
      </w:r>
      <w:r w:rsidR="005D2D60">
        <w:rPr>
          <w:lang w:val="en-US"/>
        </w:rPr>
        <w:t xml:space="preserve">under </w:t>
      </w:r>
      <w:r w:rsidR="00F05E43">
        <w:rPr>
          <w:lang w:val="en-US"/>
        </w:rPr>
        <w:t>study</w:t>
      </w:r>
      <w:r>
        <w:rPr>
          <w:lang w:val="en-US"/>
        </w:rPr>
        <w:t>.</w:t>
      </w:r>
    </w:p>
    <w:p w14:paraId="1715588B" w14:textId="6596364C" w:rsidR="00614919" w:rsidRDefault="00F05E43" w:rsidP="00614919">
      <w:pPr>
        <w:spacing w:line="360" w:lineRule="auto"/>
        <w:rPr>
          <w:lang w:val="en-US"/>
        </w:rPr>
      </w:pPr>
      <w:r>
        <w:rPr>
          <w:lang w:val="en-US"/>
        </w:rPr>
        <w:t>The test procedure</w:t>
      </w:r>
      <w:r w:rsidR="00614919">
        <w:rPr>
          <w:lang w:val="en-US"/>
        </w:rPr>
        <w:t xml:space="preserve"> ha</w:t>
      </w:r>
      <w:r>
        <w:rPr>
          <w:lang w:val="en-US"/>
        </w:rPr>
        <w:t>s</w:t>
      </w:r>
      <w:r w:rsidR="00614919">
        <w:rPr>
          <w:lang w:val="en-US"/>
        </w:rPr>
        <w:t xml:space="preserve"> three parameters</w:t>
      </w:r>
      <w:r w:rsidR="00614919" w:rsidRPr="004735FB">
        <w:rPr>
          <w:lang w:val="en-US"/>
        </w:rPr>
        <w:t xml:space="preserve">: the </w:t>
      </w:r>
      <w:r w:rsidR="00614919">
        <w:rPr>
          <w:lang w:val="en-US"/>
        </w:rPr>
        <w:t>minimum window length</w:t>
      </w:r>
      <w:r w:rsidR="002C2A4D">
        <w:rPr>
          <w:lang w:val="en-US"/>
        </w:rPr>
        <w:t xml:space="preserve"> </w:t>
      </w:r>
      <w:r w:rsidR="002C2A4D">
        <w:rPr>
          <w:rFonts w:eastAsiaTheme="minorEastAsia"/>
          <w:lang w:val="en-US"/>
        </w:rPr>
        <w:t>(</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T</m:t>
        </m:r>
      </m:oMath>
      <w:r w:rsidR="002C2A4D">
        <w:rPr>
          <w:rFonts w:eastAsiaTheme="minorEastAsia"/>
          <w:lang w:val="en-US"/>
        </w:rPr>
        <w:t>)</w:t>
      </w:r>
      <w:r w:rsidR="00614919">
        <w:rPr>
          <w:lang w:val="en-US"/>
        </w:rPr>
        <w:t>,</w:t>
      </w:r>
      <w:r w:rsidR="00614919" w:rsidRPr="004735FB">
        <w:rPr>
          <w:rStyle w:val="Alaviitteenviite"/>
          <w:rFonts w:eastAsiaTheme="minorEastAsia" w:cs="Times New Roman"/>
          <w:szCs w:val="24"/>
          <w:lang w:val="en-US"/>
        </w:rPr>
        <w:t xml:space="preserve"> </w:t>
      </w:r>
      <w:r w:rsidR="00614919" w:rsidRPr="004735FB">
        <w:rPr>
          <w:lang w:val="en-US"/>
        </w:rPr>
        <w:t>the lag length of the ADF equation (</w:t>
      </w:r>
      <w:r w:rsidR="00614919" w:rsidRPr="004735FB">
        <w:rPr>
          <w:i/>
          <w:lang w:val="en-US"/>
        </w:rPr>
        <w:t>p</w:t>
      </w:r>
      <w:r w:rsidR="00614919" w:rsidRPr="004735FB">
        <w:rPr>
          <w:lang w:val="en-US"/>
        </w:rPr>
        <w:t>), and the significance level of the test (</w:t>
      </w:r>
      <w:r w:rsidR="00614919" w:rsidRPr="004735FB">
        <w:rPr>
          <w:i/>
          <w:lang w:val="en-US"/>
        </w:rPr>
        <w:t>α</w:t>
      </w:r>
      <w:r w:rsidR="00614919" w:rsidRPr="004735FB">
        <w:rPr>
          <w:lang w:val="en-US"/>
        </w:rPr>
        <w:t xml:space="preserve">). </w:t>
      </w:r>
      <w:r w:rsidR="00614919">
        <w:rPr>
          <w:lang w:val="en-US"/>
        </w:rPr>
        <w:t xml:space="preserve">Phillips </w:t>
      </w:r>
      <w:r w:rsidR="000B2E8F" w:rsidRPr="007F0753">
        <w:rPr>
          <w:lang w:val="en-US"/>
        </w:rPr>
        <w:t>et al.</w:t>
      </w:r>
      <w:r w:rsidR="00614919">
        <w:rPr>
          <w:lang w:val="en-US"/>
        </w:rPr>
        <w:t xml:space="preserve"> (2015) suggest selecting the minimum window size as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=0.1+1.8/</m:t>
        </m:r>
        <m:rad>
          <m:radPr>
            <m:degHide m:val="1"/>
            <m:ctrlPr>
              <w:rPr>
                <w:rFonts w:ascii="Cambria Math" w:hAnsi="Cambria Math"/>
                <w:i/>
                <w:lang w:val="en-US"/>
              </w:rPr>
            </m:ctrlPr>
          </m:radPr>
          <m:deg/>
          <m:e>
            <m:r>
              <w:rPr>
                <w:rFonts w:ascii="Cambria Math" w:hAnsi="Cambria Math"/>
                <w:lang w:val="en-US"/>
              </w:rPr>
              <m:t>T</m:t>
            </m:r>
          </m:e>
        </m:rad>
      </m:oMath>
      <w:r w:rsidR="00614919">
        <w:rPr>
          <w:rFonts w:eastAsiaTheme="minorEastAsia"/>
          <w:lang w:val="en-US"/>
        </w:rPr>
        <w:t xml:space="preserve">. We use this as </w:t>
      </w:r>
      <w:r w:rsidR="00483430">
        <w:rPr>
          <w:rFonts w:eastAsiaTheme="minorEastAsia"/>
          <w:lang w:val="en-US"/>
        </w:rPr>
        <w:t xml:space="preserve">a </w:t>
      </w:r>
      <w:r w:rsidR="00614919">
        <w:rPr>
          <w:rFonts w:eastAsiaTheme="minorEastAsia"/>
          <w:lang w:val="en-US"/>
        </w:rPr>
        <w:t xml:space="preserve">starting point, but </w:t>
      </w:r>
      <w:r w:rsidR="00483430">
        <w:rPr>
          <w:rFonts w:eastAsiaTheme="minorEastAsia"/>
          <w:lang w:val="en-US"/>
        </w:rPr>
        <w:t xml:space="preserve">also </w:t>
      </w:r>
      <w:r w:rsidR="00614919">
        <w:rPr>
          <w:rFonts w:eastAsiaTheme="minorEastAsia"/>
          <w:lang w:val="en-US"/>
        </w:rPr>
        <w:t>examine other minimum window sizes to check the robustness of the test procedure.</w:t>
      </w:r>
    </w:p>
    <w:p w14:paraId="28F27CD4" w14:textId="76356883" w:rsidR="00614919" w:rsidRDefault="00614919" w:rsidP="007F0753">
      <w:pPr>
        <w:spacing w:line="360" w:lineRule="auto"/>
        <w:rPr>
          <w:lang w:val="en-US"/>
        </w:rPr>
      </w:pPr>
      <w:r w:rsidRPr="004735FB">
        <w:rPr>
          <w:lang w:val="en-US"/>
        </w:rPr>
        <w:t xml:space="preserve">The AR-lag length can be </w:t>
      </w:r>
      <w:r w:rsidRPr="00760F64">
        <w:rPr>
          <w:lang w:val="en-US"/>
        </w:rPr>
        <w:t xml:space="preserve">fixed or determined based on information criteria. Phillips </w:t>
      </w:r>
      <w:r w:rsidR="005D2D60" w:rsidRPr="00760F64">
        <w:rPr>
          <w:lang w:val="en-US"/>
        </w:rPr>
        <w:t>et al.</w:t>
      </w:r>
      <w:r w:rsidRPr="00760F64">
        <w:rPr>
          <w:lang w:val="en-US"/>
        </w:rPr>
        <w:t xml:space="preserve"> (2015) conclude that the GSADF test suffers from size distortions with longer lag lengths, </w:t>
      </w:r>
      <w:r w:rsidR="00483430" w:rsidRPr="00760F64">
        <w:rPr>
          <w:lang w:val="en-US"/>
        </w:rPr>
        <w:t xml:space="preserve">including </w:t>
      </w:r>
      <w:r w:rsidRPr="00760F64">
        <w:rPr>
          <w:lang w:val="en-US"/>
        </w:rPr>
        <w:t xml:space="preserve">when information criteria such as BIC or sequential significance testing </w:t>
      </w:r>
      <w:r w:rsidR="00483430" w:rsidRPr="00760F64">
        <w:rPr>
          <w:lang w:val="en-US"/>
        </w:rPr>
        <w:t xml:space="preserve">are </w:t>
      </w:r>
      <w:r w:rsidRPr="00760F64">
        <w:rPr>
          <w:lang w:val="en-US"/>
        </w:rPr>
        <w:t xml:space="preserve">used to determine lag length. Thus, they propose using a small, fixed lag length in empirical work. </w:t>
      </w:r>
      <w:r w:rsidR="00483430" w:rsidRPr="00760F64">
        <w:rPr>
          <w:lang w:val="en-US"/>
        </w:rPr>
        <w:t>N</w:t>
      </w:r>
      <w:r w:rsidRPr="00760F64">
        <w:rPr>
          <w:lang w:val="en-US"/>
        </w:rPr>
        <w:t>ot</w:t>
      </w:r>
      <w:r w:rsidR="0085454F" w:rsidRPr="00760F64">
        <w:rPr>
          <w:lang w:val="en-US"/>
        </w:rPr>
        <w:t>ing</w:t>
      </w:r>
      <w:r w:rsidRPr="00760F64">
        <w:rPr>
          <w:lang w:val="en-US"/>
        </w:rPr>
        <w:t xml:space="preserve"> </w:t>
      </w:r>
      <w:r w:rsidR="0085454F" w:rsidRPr="00760F64">
        <w:rPr>
          <w:lang w:val="en-US"/>
        </w:rPr>
        <w:t xml:space="preserve">their </w:t>
      </w:r>
      <w:r w:rsidRPr="00760F64">
        <w:rPr>
          <w:lang w:val="en-US"/>
        </w:rPr>
        <w:t xml:space="preserve">suggestion, </w:t>
      </w:r>
      <w:r w:rsidR="00483430" w:rsidRPr="00760F64">
        <w:rPr>
          <w:lang w:val="en-US"/>
        </w:rPr>
        <w:t xml:space="preserve">we </w:t>
      </w:r>
      <w:r w:rsidRPr="00760F64">
        <w:rPr>
          <w:lang w:val="en-US"/>
        </w:rPr>
        <w:t>report our results using fixed lag lengths of 2 and 4</w:t>
      </w:r>
      <w:r w:rsidR="0085454F" w:rsidRPr="00760F64">
        <w:rPr>
          <w:lang w:val="en-US"/>
        </w:rPr>
        <w:t>, i.e.</w:t>
      </w:r>
      <w:r w:rsidR="00483430" w:rsidRPr="00760F64">
        <w:rPr>
          <w:lang w:val="en-US"/>
        </w:rPr>
        <w:t xml:space="preserve"> </w:t>
      </w:r>
      <w:r w:rsidRPr="00760F64">
        <w:rPr>
          <w:lang w:val="en-US"/>
        </w:rPr>
        <w:t xml:space="preserve">the two most common lag lengths </w:t>
      </w:r>
      <w:r w:rsidR="0085454F" w:rsidRPr="00760F64">
        <w:rPr>
          <w:lang w:val="en-US"/>
        </w:rPr>
        <w:t xml:space="preserve">suggested by data using the </w:t>
      </w:r>
      <w:r w:rsidRPr="00760F64">
        <w:rPr>
          <w:lang w:val="en-US"/>
        </w:rPr>
        <w:t>BIC information criteria.</w:t>
      </w:r>
    </w:p>
    <w:p w14:paraId="79AB8A8F" w14:textId="6AE6A61D" w:rsidR="00614919" w:rsidRDefault="0084784B" w:rsidP="00614919">
      <w:pPr>
        <w:spacing w:line="360" w:lineRule="auto"/>
        <w:rPr>
          <w:lang w:val="en-US"/>
        </w:rPr>
      </w:pPr>
      <w:r>
        <w:rPr>
          <w:lang w:val="en-US"/>
        </w:rPr>
        <w:t xml:space="preserve">With the fixed lag length, serial correlation of the errors may remain an issue that affects the validity of the results. </w:t>
      </w:r>
      <w:r w:rsidR="00614919">
        <w:rPr>
          <w:lang w:val="en-US"/>
        </w:rPr>
        <w:t xml:space="preserve">Pedersen and Schütte (2017) investigate the size properties and effect of serially correlated errors of the GSADF test. They propose a Sieve-bootstrap version of the GSADF test </w:t>
      </w:r>
      <w:r w:rsidR="00483430">
        <w:rPr>
          <w:lang w:val="en-US"/>
        </w:rPr>
        <w:t xml:space="preserve">to </w:t>
      </w:r>
      <w:r w:rsidR="00614919">
        <w:rPr>
          <w:lang w:val="en-US"/>
        </w:rPr>
        <w:t xml:space="preserve">alleviate the size distortions caused by serial correlation. The procedure is computationally </w:t>
      </w:r>
      <w:r w:rsidR="00483430">
        <w:rPr>
          <w:lang w:val="en-US"/>
        </w:rPr>
        <w:t xml:space="preserve">quite </w:t>
      </w:r>
      <w:r w:rsidR="00614919">
        <w:rPr>
          <w:lang w:val="en-US"/>
        </w:rPr>
        <w:t>intensive</w:t>
      </w:r>
      <w:r w:rsidR="00483430">
        <w:rPr>
          <w:lang w:val="en-US"/>
        </w:rPr>
        <w:t>, so</w:t>
      </w:r>
      <w:r w:rsidR="00614919">
        <w:rPr>
          <w:lang w:val="en-US"/>
        </w:rPr>
        <w:t xml:space="preserve"> </w:t>
      </w:r>
      <w:r w:rsidR="00483430">
        <w:rPr>
          <w:lang w:val="en-US"/>
        </w:rPr>
        <w:t xml:space="preserve">we only </w:t>
      </w:r>
      <w:r w:rsidR="00614919">
        <w:rPr>
          <w:lang w:val="en-US"/>
        </w:rPr>
        <w:t xml:space="preserve">test it </w:t>
      </w:r>
      <w:r w:rsidR="00483430">
        <w:rPr>
          <w:lang w:val="en-US"/>
        </w:rPr>
        <w:t xml:space="preserve">on </w:t>
      </w:r>
      <w:r w:rsidR="00614919">
        <w:rPr>
          <w:lang w:val="en-US"/>
        </w:rPr>
        <w:t>a small part of our data</w:t>
      </w:r>
      <w:r w:rsidR="00483430">
        <w:rPr>
          <w:lang w:val="en-US"/>
        </w:rPr>
        <w:t xml:space="preserve">, leaving its </w:t>
      </w:r>
      <w:r w:rsidR="00614919">
        <w:rPr>
          <w:lang w:val="en-US"/>
        </w:rPr>
        <w:t xml:space="preserve">full </w:t>
      </w:r>
      <w:r w:rsidR="00483430">
        <w:rPr>
          <w:lang w:val="en-US"/>
        </w:rPr>
        <w:t xml:space="preserve">application to </w:t>
      </w:r>
      <w:r w:rsidR="00614919">
        <w:rPr>
          <w:lang w:val="en-US"/>
        </w:rPr>
        <w:t xml:space="preserve">further </w:t>
      </w:r>
      <w:r w:rsidR="00483430">
        <w:rPr>
          <w:lang w:val="en-US"/>
        </w:rPr>
        <w:t>studies</w:t>
      </w:r>
      <w:r w:rsidR="00614919">
        <w:rPr>
          <w:lang w:val="en-US"/>
        </w:rPr>
        <w:t>.</w:t>
      </w:r>
    </w:p>
    <w:p w14:paraId="44EF7CF8" w14:textId="151B3330" w:rsidR="00614919" w:rsidRPr="00815100" w:rsidRDefault="002C2A4D" w:rsidP="00614919">
      <w:pPr>
        <w:spacing w:line="360" w:lineRule="auto"/>
        <w:rPr>
          <w:lang w:val="en-US"/>
        </w:rPr>
      </w:pPr>
      <w:r>
        <w:rPr>
          <w:lang w:val="en-US"/>
        </w:rPr>
        <w:t>The s</w:t>
      </w:r>
      <w:r w:rsidR="00614919" w:rsidRPr="004735FB">
        <w:rPr>
          <w:lang w:val="en-US"/>
        </w:rPr>
        <w:t>ignificance level remains a free parameter that can be used to adjust the sensitivity of the test.</w:t>
      </w:r>
      <w:r w:rsidR="00614919">
        <w:rPr>
          <w:lang w:val="en-US"/>
        </w:rPr>
        <w:t xml:space="preserve"> We report the results </w:t>
      </w:r>
      <w:r w:rsidR="0059784D">
        <w:rPr>
          <w:lang w:val="en-US"/>
        </w:rPr>
        <w:t xml:space="preserve">a relative usefulness metric (to be discussed in next section) using </w:t>
      </w:r>
      <w:r w:rsidR="005A6437">
        <w:rPr>
          <w:lang w:val="en-US"/>
        </w:rPr>
        <w:t>the optimal</w:t>
      </w:r>
      <w:r w:rsidR="0059784D">
        <w:rPr>
          <w:lang w:val="en-US"/>
        </w:rPr>
        <w:t xml:space="preserve"> </w:t>
      </w:r>
      <w:r w:rsidR="0059784D" w:rsidRPr="004735FB">
        <w:rPr>
          <w:i/>
          <w:lang w:val="en-US"/>
        </w:rPr>
        <w:t>α</w:t>
      </w:r>
      <w:r w:rsidR="00614919">
        <w:rPr>
          <w:lang w:val="en-US"/>
        </w:rPr>
        <w:t xml:space="preserve"> </w:t>
      </w:r>
      <w:r w:rsidR="0059784D">
        <w:rPr>
          <w:lang w:val="en-US"/>
        </w:rPr>
        <w:t xml:space="preserve">that </w:t>
      </w:r>
      <w:r w:rsidR="00614919">
        <w:rPr>
          <w:lang w:val="en-US"/>
        </w:rPr>
        <w:t>maximize</w:t>
      </w:r>
      <w:r w:rsidR="0059784D">
        <w:rPr>
          <w:lang w:val="en-US"/>
        </w:rPr>
        <w:t>s</w:t>
      </w:r>
      <w:r w:rsidR="00614919">
        <w:rPr>
          <w:lang w:val="en-US"/>
        </w:rPr>
        <w:t xml:space="preserve"> the </w:t>
      </w:r>
      <w:r w:rsidR="0059784D">
        <w:rPr>
          <w:lang w:val="en-US"/>
        </w:rPr>
        <w:t xml:space="preserve">relative </w:t>
      </w:r>
      <w:r w:rsidR="00614919">
        <w:rPr>
          <w:lang w:val="en-US"/>
        </w:rPr>
        <w:t>usefulness of the indicator</w:t>
      </w:r>
      <w:r w:rsidR="00614919" w:rsidRPr="004735FB">
        <w:rPr>
          <w:lang w:val="en-US"/>
        </w:rPr>
        <w:t>.</w:t>
      </w:r>
      <w:r w:rsidR="005A6437">
        <w:rPr>
          <w:lang w:val="en-US"/>
        </w:rPr>
        <w:t xml:space="preserve"> Results for fixed </w:t>
      </w:r>
      <w:r w:rsidR="005A6437" w:rsidRPr="004735FB">
        <w:rPr>
          <w:i/>
          <w:lang w:val="en-US"/>
        </w:rPr>
        <w:t>α</w:t>
      </w:r>
      <w:r w:rsidR="00614919" w:rsidRPr="004735FB">
        <w:rPr>
          <w:lang w:val="en-US"/>
        </w:rPr>
        <w:t xml:space="preserve"> </w:t>
      </w:r>
      <w:r w:rsidR="005A6437">
        <w:rPr>
          <w:lang w:val="en-US"/>
        </w:rPr>
        <w:t>are provided as</w:t>
      </w:r>
      <w:r w:rsidR="00483430">
        <w:rPr>
          <w:lang w:val="en-US"/>
        </w:rPr>
        <w:t xml:space="preserve"> </w:t>
      </w:r>
      <w:r w:rsidR="005A6437">
        <w:rPr>
          <w:lang w:val="en-US"/>
        </w:rPr>
        <w:t xml:space="preserve">a robustness check. </w:t>
      </w:r>
      <w:r w:rsidR="0059784D">
        <w:rPr>
          <w:lang w:val="en-US"/>
        </w:rPr>
        <w:t>The other performance measure, AUROC (</w:t>
      </w:r>
      <w:r w:rsidR="00C83546">
        <w:rPr>
          <w:lang w:val="en-US"/>
        </w:rPr>
        <w:t xml:space="preserve">see </w:t>
      </w:r>
      <w:r w:rsidR="0059784D">
        <w:rPr>
          <w:lang w:val="en-US"/>
        </w:rPr>
        <w:t xml:space="preserve">next section), essentially distills the information from </w:t>
      </w:r>
      <w:r>
        <w:rPr>
          <w:lang w:val="en-US"/>
        </w:rPr>
        <w:t xml:space="preserve">the indicator to a single performance measure considering </w:t>
      </w:r>
      <w:r w:rsidR="0059784D">
        <w:rPr>
          <w:lang w:val="en-US"/>
        </w:rPr>
        <w:t xml:space="preserve">all possible </w:t>
      </w:r>
      <w:r w:rsidR="005A6437">
        <w:rPr>
          <w:lang w:val="en-US"/>
        </w:rPr>
        <w:t xml:space="preserve">values of </w:t>
      </w:r>
      <w:r w:rsidR="0059784D" w:rsidRPr="004735FB">
        <w:rPr>
          <w:i/>
          <w:lang w:val="en-US"/>
        </w:rPr>
        <w:t>α</w:t>
      </w:r>
      <w:r w:rsidR="0059784D">
        <w:rPr>
          <w:lang w:val="en-US"/>
        </w:rPr>
        <w:t>.</w:t>
      </w:r>
    </w:p>
    <w:p w14:paraId="329A1B06" w14:textId="41DFCD51" w:rsidR="00614919" w:rsidRPr="004735FB" w:rsidRDefault="0084784B" w:rsidP="00614919">
      <w:pPr>
        <w:spacing w:line="360" w:lineRule="auto"/>
        <w:rPr>
          <w:lang w:val="en-US"/>
        </w:rPr>
      </w:pPr>
      <w:r>
        <w:rPr>
          <w:lang w:val="en-US"/>
        </w:rPr>
        <w:t>T</w:t>
      </w:r>
      <w:r w:rsidR="00614919">
        <w:rPr>
          <w:lang w:val="en-US"/>
        </w:rPr>
        <w:t>he BSADF test</w:t>
      </w:r>
      <w:r w:rsidR="00614919" w:rsidRPr="004735FB">
        <w:rPr>
          <w:lang w:val="en-US"/>
        </w:rPr>
        <w:t xml:space="preserve"> </w:t>
      </w:r>
      <w:r>
        <w:rPr>
          <w:lang w:val="en-US"/>
        </w:rPr>
        <w:t>may also identify</w:t>
      </w:r>
      <w:r w:rsidR="00614919" w:rsidRPr="004735FB">
        <w:rPr>
          <w:lang w:val="en-US"/>
        </w:rPr>
        <w:t xml:space="preserve"> short-run explosive contractions in </w:t>
      </w:r>
      <w:r>
        <w:rPr>
          <w:lang w:val="en-US"/>
        </w:rPr>
        <w:t xml:space="preserve">the </w:t>
      </w:r>
      <w:r w:rsidR="00614919" w:rsidRPr="004735FB">
        <w:rPr>
          <w:lang w:val="en-US"/>
        </w:rPr>
        <w:t xml:space="preserve">time series (“negative bubbles”) </w:t>
      </w:r>
      <w:r w:rsidR="00F05E43">
        <w:rPr>
          <w:lang w:val="en-US"/>
        </w:rPr>
        <w:t>as bubble periods</w:t>
      </w:r>
      <w:r w:rsidR="00614919" w:rsidRPr="004735FB">
        <w:rPr>
          <w:lang w:val="en-US"/>
        </w:rPr>
        <w:t xml:space="preserve">. In practice, this means that the methods </w:t>
      </w:r>
      <w:r w:rsidR="00A15C46">
        <w:rPr>
          <w:lang w:val="en-US"/>
        </w:rPr>
        <w:t xml:space="preserve">also elicit </w:t>
      </w:r>
      <w:r w:rsidR="00614919" w:rsidRPr="004735FB">
        <w:rPr>
          <w:lang w:val="en-US"/>
        </w:rPr>
        <w:t xml:space="preserve">warning signals from e.g. stock market crashes or contractions in house prices. </w:t>
      </w:r>
      <w:r w:rsidR="00C83546">
        <w:rPr>
          <w:lang w:val="en-US"/>
        </w:rPr>
        <w:t>W</w:t>
      </w:r>
      <w:r w:rsidR="00F05E43">
        <w:rPr>
          <w:lang w:val="en-US"/>
        </w:rPr>
        <w:t xml:space="preserve">e </w:t>
      </w:r>
      <w:r w:rsidR="00A15C46">
        <w:rPr>
          <w:lang w:val="en-US"/>
        </w:rPr>
        <w:t xml:space="preserve">do </w:t>
      </w:r>
      <w:r w:rsidR="00F05E43">
        <w:rPr>
          <w:lang w:val="en-US"/>
        </w:rPr>
        <w:t xml:space="preserve">consider </w:t>
      </w:r>
      <w:r w:rsidR="00614919" w:rsidRPr="004735FB">
        <w:rPr>
          <w:lang w:val="en-US"/>
        </w:rPr>
        <w:t>such signals relevant</w:t>
      </w:r>
      <w:r w:rsidR="00A15C46">
        <w:rPr>
          <w:lang w:val="en-US"/>
        </w:rPr>
        <w:t xml:space="preserve"> </w:t>
      </w:r>
      <w:r w:rsidR="00614919" w:rsidRPr="004735FB">
        <w:rPr>
          <w:lang w:val="en-US"/>
        </w:rPr>
        <w:t xml:space="preserve">as they typically occur after the crisis </w:t>
      </w:r>
      <w:r w:rsidR="00A15C46">
        <w:rPr>
          <w:lang w:val="en-US"/>
        </w:rPr>
        <w:t>is underway</w:t>
      </w:r>
      <w:r w:rsidR="00614919" w:rsidRPr="004735FB">
        <w:rPr>
          <w:lang w:val="en-US"/>
        </w:rPr>
        <w:t xml:space="preserve">. Thus, </w:t>
      </w:r>
      <w:r w:rsidR="00614919">
        <w:rPr>
          <w:lang w:val="en-US"/>
        </w:rPr>
        <w:t>when calculating usefulness values</w:t>
      </w:r>
      <w:r w:rsidR="00614919" w:rsidRPr="004735FB">
        <w:rPr>
          <w:lang w:val="en-US"/>
        </w:rPr>
        <w:t>, we remove all warning signals that occur when the corresponding time series is decreasing in value</w:t>
      </w:r>
      <w:r w:rsidR="00614919" w:rsidRPr="004735FB">
        <w:rPr>
          <w:i/>
          <w:lang w:val="en-US"/>
        </w:rPr>
        <w:t>.</w:t>
      </w:r>
    </w:p>
    <w:p w14:paraId="5D0B825B" w14:textId="77777777" w:rsidR="003E603D" w:rsidRPr="003E603D" w:rsidRDefault="003E603D" w:rsidP="00F90185">
      <w:pPr>
        <w:spacing w:line="360" w:lineRule="auto"/>
        <w:ind w:firstLine="0"/>
        <w:rPr>
          <w:lang w:val="en-US"/>
        </w:rPr>
      </w:pPr>
    </w:p>
    <w:p w14:paraId="1D94BA59" w14:textId="0ADE4393" w:rsidR="00F90185" w:rsidRPr="00FA78F6" w:rsidRDefault="008C4BD5" w:rsidP="007F0753">
      <w:pPr>
        <w:pStyle w:val="Otsikko2"/>
      </w:pPr>
      <w:r w:rsidRPr="00FA78F6">
        <w:t xml:space="preserve">C. </w:t>
      </w:r>
      <w:r w:rsidR="00F90185" w:rsidRPr="00FA78F6">
        <w:t>Performance evaluation</w:t>
      </w:r>
    </w:p>
    <w:p w14:paraId="1EE0FC6F" w14:textId="776428AB" w:rsidR="00F90185" w:rsidRPr="00880056" w:rsidRDefault="00F90185" w:rsidP="007F0753">
      <w:pPr>
        <w:spacing w:line="360" w:lineRule="auto"/>
        <w:rPr>
          <w:lang w:val="en-US"/>
        </w:rPr>
      </w:pPr>
      <w:r w:rsidRPr="00880056">
        <w:rPr>
          <w:lang w:val="en-US"/>
        </w:rPr>
        <w:t xml:space="preserve">To assess the predictive performance of the </w:t>
      </w:r>
      <w:r w:rsidR="00487F85">
        <w:rPr>
          <w:lang w:val="en-US"/>
        </w:rPr>
        <w:t>exuberance tests</w:t>
      </w:r>
      <w:r w:rsidRPr="00880056">
        <w:rPr>
          <w:lang w:val="en-US"/>
        </w:rPr>
        <w:t xml:space="preserve"> in predicting financial crises, we measure how frequently the bubble signals correctly precede known crises in the data. </w:t>
      </w:r>
      <w:r w:rsidR="000F02F0">
        <w:rPr>
          <w:lang w:val="en-US"/>
        </w:rPr>
        <w:t>W</w:t>
      </w:r>
      <w:r w:rsidRPr="00880056">
        <w:rPr>
          <w:lang w:val="en-US"/>
        </w:rPr>
        <w:t xml:space="preserve">e </w:t>
      </w:r>
      <w:r w:rsidR="000F02F0">
        <w:rPr>
          <w:lang w:val="en-US"/>
        </w:rPr>
        <w:t xml:space="preserve">take the </w:t>
      </w:r>
      <w:r w:rsidR="000846E4">
        <w:rPr>
          <w:lang w:val="en-US"/>
        </w:rPr>
        <w:t xml:space="preserve">approach commonly used </w:t>
      </w:r>
      <w:r w:rsidR="00C83546">
        <w:rPr>
          <w:lang w:val="en-US"/>
        </w:rPr>
        <w:t xml:space="preserve">in banking crisis </w:t>
      </w:r>
      <w:r w:rsidR="000846E4">
        <w:rPr>
          <w:lang w:val="en-US"/>
        </w:rPr>
        <w:t xml:space="preserve">early warning literature and </w:t>
      </w:r>
      <w:r w:rsidRPr="00880056">
        <w:rPr>
          <w:lang w:val="en-US"/>
        </w:rPr>
        <w:t xml:space="preserve">define a pre-crisis window </w:t>
      </w:r>
      <w:r w:rsidR="00C83546">
        <w:rPr>
          <w:lang w:val="en-US"/>
        </w:rPr>
        <w:t xml:space="preserve">to start </w:t>
      </w:r>
      <w:r w:rsidR="000846E4">
        <w:rPr>
          <w:lang w:val="en-US"/>
        </w:rPr>
        <w:t xml:space="preserve">at </w:t>
      </w:r>
      <w:r w:rsidRPr="00880056">
        <w:rPr>
          <w:lang w:val="en-US"/>
        </w:rPr>
        <w:t xml:space="preserve">three years </w:t>
      </w:r>
      <w:r w:rsidR="00C83546">
        <w:rPr>
          <w:lang w:val="en-US"/>
        </w:rPr>
        <w:t xml:space="preserve">before </w:t>
      </w:r>
      <w:r w:rsidRPr="00880056">
        <w:rPr>
          <w:lang w:val="en-US"/>
        </w:rPr>
        <w:t xml:space="preserve">and </w:t>
      </w:r>
      <w:r w:rsidR="00C83546">
        <w:rPr>
          <w:lang w:val="en-US"/>
        </w:rPr>
        <w:t xml:space="preserve">to </w:t>
      </w:r>
      <w:r w:rsidRPr="00880056">
        <w:rPr>
          <w:lang w:val="en-US"/>
        </w:rPr>
        <w:t xml:space="preserve">end one year </w:t>
      </w:r>
      <w:r w:rsidR="00C83546">
        <w:rPr>
          <w:lang w:val="en-US"/>
        </w:rPr>
        <w:t xml:space="preserve">after </w:t>
      </w:r>
      <w:r w:rsidRPr="00880056">
        <w:rPr>
          <w:lang w:val="en-US"/>
        </w:rPr>
        <w:t>each crisis</w:t>
      </w:r>
      <w:r w:rsidR="002C2A4D">
        <w:rPr>
          <w:lang w:val="en-US"/>
        </w:rPr>
        <w:t xml:space="preserve"> (see e.g. Detken </w:t>
      </w:r>
      <w:r w:rsidR="002C2A4D" w:rsidRPr="007F0753">
        <w:rPr>
          <w:lang w:val="en-US"/>
        </w:rPr>
        <w:t>et al.</w:t>
      </w:r>
      <w:r w:rsidR="00496F93">
        <w:rPr>
          <w:lang w:val="en-US"/>
        </w:rPr>
        <w:t xml:space="preserve">, </w:t>
      </w:r>
      <w:r w:rsidR="002C2A4D">
        <w:rPr>
          <w:lang w:val="en-US"/>
        </w:rPr>
        <w:t>2014)</w:t>
      </w:r>
      <w:r w:rsidRPr="00880056">
        <w:rPr>
          <w:lang w:val="en-US"/>
        </w:rPr>
        <w:t xml:space="preserve">. </w:t>
      </w:r>
      <w:r w:rsidR="000846E4">
        <w:rPr>
          <w:lang w:val="en-US"/>
        </w:rPr>
        <w:t xml:space="preserve">A good model </w:t>
      </w:r>
      <w:r w:rsidR="00A15C46">
        <w:rPr>
          <w:lang w:val="en-US"/>
        </w:rPr>
        <w:t xml:space="preserve">should </w:t>
      </w:r>
      <w:r w:rsidR="000846E4">
        <w:rPr>
          <w:lang w:val="en-US"/>
        </w:rPr>
        <w:t>issue warning signal</w:t>
      </w:r>
      <w:r w:rsidR="00A15C46">
        <w:rPr>
          <w:lang w:val="en-US"/>
        </w:rPr>
        <w:t>s</w:t>
      </w:r>
      <w:r w:rsidR="000846E4">
        <w:rPr>
          <w:lang w:val="en-US"/>
        </w:rPr>
        <w:t xml:space="preserve"> </w:t>
      </w:r>
      <w:r w:rsidR="00A15C46">
        <w:rPr>
          <w:lang w:val="en-US"/>
        </w:rPr>
        <w:t xml:space="preserve">when </w:t>
      </w:r>
      <w:r w:rsidR="000846E4">
        <w:rPr>
          <w:lang w:val="en-US"/>
        </w:rPr>
        <w:t xml:space="preserve">the economy is </w:t>
      </w:r>
      <w:r w:rsidR="00A15C46">
        <w:rPr>
          <w:lang w:val="en-US"/>
        </w:rPr>
        <w:t xml:space="preserve">still in this </w:t>
      </w:r>
      <w:r w:rsidR="000846E4">
        <w:rPr>
          <w:lang w:val="en-US"/>
        </w:rPr>
        <w:t>pre-crisis state.</w:t>
      </w:r>
    </w:p>
    <w:p w14:paraId="3840E77F" w14:textId="1B95D89E" w:rsidR="00F90185" w:rsidRDefault="000846E4" w:rsidP="00F90185">
      <w:pPr>
        <w:spacing w:line="360" w:lineRule="auto"/>
        <w:rPr>
          <w:lang w:val="en-US"/>
        </w:rPr>
      </w:pPr>
      <w:r>
        <w:rPr>
          <w:lang w:val="en-US"/>
        </w:rPr>
        <w:t xml:space="preserve">The performance of the different variables is ranked using </w:t>
      </w:r>
      <w:r w:rsidR="00C83546">
        <w:rPr>
          <w:lang w:val="en-US"/>
        </w:rPr>
        <w:t>the</w:t>
      </w:r>
      <w:r w:rsidR="00C83546" w:rsidRPr="00880056">
        <w:rPr>
          <w:lang w:val="en-US"/>
        </w:rPr>
        <w:t xml:space="preserve"> </w:t>
      </w:r>
      <w:r w:rsidR="00496F93">
        <w:rPr>
          <w:i/>
          <w:lang w:val="en-US"/>
        </w:rPr>
        <w:t>R</w:t>
      </w:r>
      <w:r w:rsidR="00496F93" w:rsidRPr="001F6941">
        <w:rPr>
          <w:i/>
          <w:lang w:val="en-US"/>
        </w:rPr>
        <w:t xml:space="preserve">elative </w:t>
      </w:r>
      <w:r w:rsidR="00496F93">
        <w:rPr>
          <w:i/>
          <w:lang w:val="en-US"/>
        </w:rPr>
        <w:t>U</w:t>
      </w:r>
      <w:r w:rsidR="00496F93" w:rsidRPr="001F6941">
        <w:rPr>
          <w:i/>
          <w:lang w:val="en-US"/>
        </w:rPr>
        <w:t>sefulness</w:t>
      </w:r>
      <w:r w:rsidR="00496F93">
        <w:rPr>
          <w:lang w:val="en-US"/>
        </w:rPr>
        <w:t xml:space="preserve"> </w:t>
      </w:r>
      <w:r w:rsidR="00F90185" w:rsidRPr="00880056">
        <w:rPr>
          <w:lang w:val="en-US"/>
        </w:rPr>
        <w:t>measure</w:t>
      </w:r>
      <w:r w:rsidR="00C83546">
        <w:rPr>
          <w:lang w:val="en-US"/>
        </w:rPr>
        <w:t xml:space="preserve"> in </w:t>
      </w:r>
      <w:r w:rsidR="00C83546" w:rsidRPr="00880056">
        <w:rPr>
          <w:lang w:val="en-US"/>
        </w:rPr>
        <w:t>Alessi and Detken (2011)</w:t>
      </w:r>
      <w:r>
        <w:rPr>
          <w:lang w:val="en-US"/>
        </w:rPr>
        <w:t xml:space="preserve">, which </w:t>
      </w:r>
      <w:r w:rsidR="00F90185" w:rsidRPr="00880056">
        <w:rPr>
          <w:lang w:val="en-US"/>
        </w:rPr>
        <w:t>draws upon the policy loss functions of Demirgüc-Kunt and Detragiache (2000) and Bussière and Fratzscher (2008)</w:t>
      </w:r>
      <w:r w:rsidR="00C83546">
        <w:rPr>
          <w:lang w:val="en-US"/>
        </w:rPr>
        <w:t>.</w:t>
      </w:r>
      <w:r w:rsidR="00F90185" w:rsidRPr="00880056">
        <w:rPr>
          <w:lang w:val="en-US"/>
        </w:rPr>
        <w:t xml:space="preserve"> The loss function of Alessi and Detken (2011) is defined as follows:</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641CBA" w14:paraId="1BF168AF" w14:textId="77777777" w:rsidTr="000759C9">
        <w:tc>
          <w:tcPr>
            <w:tcW w:w="2155" w:type="dxa"/>
            <w:vAlign w:val="center"/>
          </w:tcPr>
          <w:p w14:paraId="2CFDBD51" w14:textId="77777777" w:rsidR="00641CBA" w:rsidRDefault="00641CBA" w:rsidP="000759C9">
            <w:pPr>
              <w:spacing w:line="360" w:lineRule="auto"/>
              <w:ind w:firstLine="0"/>
              <w:rPr>
                <w:lang w:val="en-US"/>
              </w:rPr>
            </w:pPr>
          </w:p>
        </w:tc>
        <w:tc>
          <w:tcPr>
            <w:tcW w:w="6210" w:type="dxa"/>
            <w:vAlign w:val="center"/>
          </w:tcPr>
          <w:p w14:paraId="1D549F86" w14:textId="77777777" w:rsidR="00641CBA" w:rsidRPr="00CF001D" w:rsidRDefault="00641CBA" w:rsidP="000759C9">
            <w:pPr>
              <w:spacing w:line="360" w:lineRule="auto"/>
              <w:ind w:firstLine="0"/>
              <w:rPr>
                <w:lang w:val="en-US"/>
              </w:rPr>
            </w:pPr>
            <m:oMathPara>
              <m:oMathParaPr>
                <m:jc m:val="left"/>
              </m:oMathParaPr>
              <m:oMath>
                <m:r>
                  <w:rPr>
                    <w:rFonts w:ascii="Cambria Math" w:hAnsi="Cambria Math"/>
                    <w:lang w:val="en-US"/>
                  </w:rPr>
                  <m:t>L</m:t>
                </m:r>
                <m:d>
                  <m:dPr>
                    <m:ctrlPr>
                      <w:rPr>
                        <w:rFonts w:ascii="Cambria Math" w:hAnsi="Cambria Math"/>
                        <w:lang w:val="en-US"/>
                      </w:rPr>
                    </m:ctrlPr>
                  </m:dPr>
                  <m:e>
                    <m:r>
                      <w:rPr>
                        <w:rFonts w:ascii="Cambria Math" w:hAnsi="Cambria Math"/>
                        <w:lang w:val="en-US"/>
                      </w:rPr>
                      <m:t>θ</m:t>
                    </m:r>
                  </m:e>
                </m:d>
                <m:r>
                  <m:rPr>
                    <m:sty m:val="p"/>
                  </m:rPr>
                  <w:rPr>
                    <w:rFonts w:ascii="Cambria Math" w:hAnsi="Cambria Math"/>
                    <w:lang w:val="en-US"/>
                  </w:rPr>
                  <m:t>=</m:t>
                </m:r>
                <m:r>
                  <w:rPr>
                    <w:rFonts w:ascii="Cambria Math" w:hAnsi="Cambria Math"/>
                    <w:lang w:val="en-US"/>
                  </w:rPr>
                  <m:t>θ</m:t>
                </m:r>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lang w:val="en-US"/>
                      </w:rPr>
                      <m:t>2</m:t>
                    </m:r>
                  </m:sub>
                </m:sSub>
                <m:r>
                  <m:rPr>
                    <m:sty m:val="p"/>
                  </m:rPr>
                  <w:rPr>
                    <w:rFonts w:ascii="Cambria Math" w:hAnsi="Cambria Math"/>
                    <w:lang w:val="en-US"/>
                  </w:rPr>
                  <m:t>+</m:t>
                </m:r>
                <m:d>
                  <m:dPr>
                    <m:ctrlPr>
                      <w:rPr>
                        <w:rFonts w:ascii="Cambria Math" w:hAnsi="Cambria Math"/>
                        <w:lang w:val="en-US"/>
                      </w:rPr>
                    </m:ctrlPr>
                  </m:dPr>
                  <m:e>
                    <m:r>
                      <m:rPr>
                        <m:sty m:val="p"/>
                      </m:rPr>
                      <w:rPr>
                        <w:rFonts w:ascii="Cambria Math" w:hAnsi="Cambria Math"/>
                        <w:lang w:val="en-US"/>
                      </w:rPr>
                      <m:t>1-</m:t>
                    </m:r>
                    <m:r>
                      <w:rPr>
                        <w:rFonts w:ascii="Cambria Math" w:hAnsi="Cambria Math"/>
                        <w:lang w:val="en-US"/>
                      </w:rPr>
                      <m:t>θ</m:t>
                    </m:r>
                  </m:e>
                </m:d>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lang w:val="en-US"/>
                      </w:rPr>
                      <m:t>1</m:t>
                    </m:r>
                  </m:sub>
                </m:sSub>
                <m:r>
                  <m:rPr>
                    <m:sty m:val="p"/>
                  </m:rPr>
                  <w:rPr>
                    <w:rFonts w:ascii="Cambria Math" w:hAnsi="Cambria Math"/>
                    <w:lang w:val="en-US"/>
                  </w:rPr>
                  <m:t>=</m:t>
                </m:r>
                <m:r>
                  <w:rPr>
                    <w:rFonts w:ascii="Cambria Math" w:hAnsi="Cambria Math"/>
                    <w:lang w:val="en-US"/>
                  </w:rPr>
                  <m:t>θ</m:t>
                </m:r>
                <m:f>
                  <m:fPr>
                    <m:ctrlPr>
                      <w:rPr>
                        <w:rFonts w:ascii="Cambria Math" w:hAnsi="Cambria Math"/>
                        <w:lang w:val="en-US"/>
                      </w:rPr>
                    </m:ctrlPr>
                  </m:fPr>
                  <m:num>
                    <m:r>
                      <w:rPr>
                        <w:rFonts w:ascii="Cambria Math" w:hAnsi="Cambria Math"/>
                        <w:lang w:val="en-US"/>
                      </w:rPr>
                      <m:t>C</m:t>
                    </m:r>
                  </m:num>
                  <m:den>
                    <m:r>
                      <w:rPr>
                        <w:rFonts w:ascii="Cambria Math" w:hAnsi="Cambria Math"/>
                        <w:lang w:val="en-US"/>
                      </w:rPr>
                      <m:t>A</m:t>
                    </m:r>
                    <m:r>
                      <m:rPr>
                        <m:sty m:val="p"/>
                      </m:rPr>
                      <w:rPr>
                        <w:rFonts w:ascii="Cambria Math" w:hAnsi="Cambria Math"/>
                        <w:lang w:val="en-US"/>
                      </w:rPr>
                      <m:t>+</m:t>
                    </m:r>
                    <m:r>
                      <w:rPr>
                        <w:rFonts w:ascii="Cambria Math" w:hAnsi="Cambria Math"/>
                        <w:lang w:val="en-US"/>
                      </w:rPr>
                      <m:t>C</m:t>
                    </m:r>
                  </m:den>
                </m:f>
                <m:r>
                  <m:rPr>
                    <m:sty m:val="p"/>
                  </m:rPr>
                  <w:rPr>
                    <w:rFonts w:ascii="Cambria Math" w:hAnsi="Cambria Math"/>
                    <w:lang w:val="en-US"/>
                  </w:rPr>
                  <m:t>+</m:t>
                </m:r>
                <m:d>
                  <m:dPr>
                    <m:ctrlPr>
                      <w:rPr>
                        <w:rFonts w:ascii="Cambria Math" w:hAnsi="Cambria Math"/>
                        <w:lang w:val="en-US"/>
                      </w:rPr>
                    </m:ctrlPr>
                  </m:dPr>
                  <m:e>
                    <m:r>
                      <m:rPr>
                        <m:sty m:val="p"/>
                      </m:rPr>
                      <w:rPr>
                        <w:rFonts w:ascii="Cambria Math" w:hAnsi="Cambria Math"/>
                        <w:lang w:val="en-US"/>
                      </w:rPr>
                      <m:t>1-</m:t>
                    </m:r>
                    <m:r>
                      <w:rPr>
                        <w:rFonts w:ascii="Cambria Math" w:hAnsi="Cambria Math"/>
                        <w:lang w:val="en-US"/>
                      </w:rPr>
                      <m:t>θ</m:t>
                    </m:r>
                  </m:e>
                </m:d>
                <m:f>
                  <m:fPr>
                    <m:ctrlPr>
                      <w:rPr>
                        <w:rFonts w:ascii="Cambria Math" w:hAnsi="Cambria Math"/>
                        <w:lang w:val="en-US"/>
                      </w:rPr>
                    </m:ctrlPr>
                  </m:fPr>
                  <m:num>
                    <m:r>
                      <w:rPr>
                        <w:rFonts w:ascii="Cambria Math" w:hAnsi="Cambria Math"/>
                        <w:lang w:val="en-US"/>
                      </w:rPr>
                      <m:t>B</m:t>
                    </m:r>
                  </m:num>
                  <m:den>
                    <m:r>
                      <w:rPr>
                        <w:rFonts w:ascii="Cambria Math" w:hAnsi="Cambria Math"/>
                        <w:lang w:val="en-US"/>
                      </w:rPr>
                      <m:t>B</m:t>
                    </m:r>
                    <m:r>
                      <m:rPr>
                        <m:sty m:val="p"/>
                      </m:rPr>
                      <w:rPr>
                        <w:rFonts w:ascii="Cambria Math" w:hAnsi="Cambria Math"/>
                        <w:lang w:val="en-US"/>
                      </w:rPr>
                      <m:t>+</m:t>
                    </m:r>
                    <m:r>
                      <w:rPr>
                        <w:rFonts w:ascii="Cambria Math" w:hAnsi="Cambria Math"/>
                        <w:lang w:val="en-US"/>
                      </w:rPr>
                      <m:t>D</m:t>
                    </m:r>
                  </m:den>
                </m:f>
                <m:r>
                  <m:rPr>
                    <m:sty m:val="p"/>
                  </m:rPr>
                  <w:rPr>
                    <w:rFonts w:ascii="Cambria Math" w:hAnsi="Cambria Math"/>
                    <w:lang w:val="en-US"/>
                  </w:rPr>
                  <m:t xml:space="preserve">  </m:t>
                </m:r>
                <m:r>
                  <w:rPr>
                    <w:rFonts w:ascii="Cambria Math" w:eastAsiaTheme="minorEastAsia" w:hAnsi="Cambria Math"/>
                    <w:lang w:val="en-US"/>
                  </w:rPr>
                  <m:t>,</m:t>
                </m:r>
              </m:oMath>
            </m:oMathPara>
          </w:p>
        </w:tc>
        <w:tc>
          <w:tcPr>
            <w:tcW w:w="645" w:type="dxa"/>
            <w:vAlign w:val="center"/>
          </w:tcPr>
          <w:p w14:paraId="52789C03" w14:textId="77777777" w:rsidR="00641CBA" w:rsidRPr="00880056" w:rsidRDefault="00641CBA" w:rsidP="00641CBA">
            <w:pPr>
              <w:spacing w:line="360" w:lineRule="auto"/>
              <w:rPr>
                <w:lang w:val="en-US"/>
              </w:rPr>
            </w:pPr>
            <w:r w:rsidRPr="00880056">
              <w:rPr>
                <w:lang w:val="en-US"/>
              </w:rPr>
              <w:t>(</w:t>
            </w:r>
            <w:r>
              <w:rPr>
                <w:lang w:val="en-US"/>
              </w:rPr>
              <w:t>(</w:t>
            </w:r>
            <w:bookmarkStart w:id="1" w:name="LossFunction"/>
            <w:r>
              <w:rPr>
                <w:lang w:val="en-US"/>
              </w:rPr>
              <w:fldChar w:fldCharType="begin"/>
            </w:r>
            <w:r>
              <w:rPr>
                <w:lang w:val="en-US"/>
              </w:rPr>
              <w:instrText xml:space="preserve"> SEQ Eq \* MERGEFORMAT </w:instrText>
            </w:r>
            <w:r>
              <w:rPr>
                <w:lang w:val="en-US"/>
              </w:rPr>
              <w:fldChar w:fldCharType="separate"/>
            </w:r>
            <w:r w:rsidR="003050F5">
              <w:rPr>
                <w:noProof/>
                <w:lang w:val="en-US"/>
              </w:rPr>
              <w:t>8</w:t>
            </w:r>
            <w:r>
              <w:rPr>
                <w:lang w:val="en-US"/>
              </w:rPr>
              <w:fldChar w:fldCharType="end"/>
            </w:r>
            <w:bookmarkEnd w:id="1"/>
            <w:r w:rsidRPr="00880056">
              <w:rPr>
                <w:lang w:val="en-US"/>
              </w:rPr>
              <w:t>)</w:t>
            </w:r>
          </w:p>
          <w:p w14:paraId="7806121A" w14:textId="77777777" w:rsidR="00641CBA" w:rsidRDefault="00641CBA" w:rsidP="000759C9">
            <w:pPr>
              <w:spacing w:line="360" w:lineRule="auto"/>
              <w:ind w:firstLine="0"/>
              <w:rPr>
                <w:lang w:val="en-US"/>
              </w:rPr>
            </w:pPr>
          </w:p>
        </w:tc>
      </w:tr>
    </w:tbl>
    <w:p w14:paraId="1749B128" w14:textId="1D9A8C0B" w:rsidR="00B8526C" w:rsidRDefault="00F90185" w:rsidP="00F90185">
      <w:pPr>
        <w:tabs>
          <w:tab w:val="clear" w:pos="2520"/>
          <w:tab w:val="left" w:pos="1965"/>
        </w:tabs>
        <w:spacing w:line="360" w:lineRule="auto"/>
        <w:ind w:firstLine="0"/>
        <w:rPr>
          <w:lang w:val="en-US"/>
        </w:rPr>
      </w:pPr>
      <w:r w:rsidRPr="00880056">
        <w:rPr>
          <w:lang w:val="en-US"/>
        </w:rPr>
        <w:t xml:space="preserve">where the right-hand side is </w:t>
      </w:r>
      <w:r w:rsidR="00A15C46">
        <w:rPr>
          <w:lang w:val="en-US"/>
        </w:rPr>
        <w:t xml:space="preserve">the </w:t>
      </w:r>
      <w:r w:rsidRPr="00880056">
        <w:rPr>
          <w:lang w:val="en-US"/>
        </w:rPr>
        <w:t xml:space="preserve">weighted average of type I and type II error rates,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1</m:t>
            </m:r>
          </m:sub>
        </m:sSub>
      </m:oMath>
      <w:r w:rsidRPr="00880056">
        <w:rPr>
          <w:rFonts w:eastAsiaTheme="minorEastAsia"/>
          <w:lang w:val="en-US"/>
        </w:rPr>
        <w:t xml:space="preserve"> and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2</m:t>
            </m:r>
          </m:sub>
        </m:sSub>
      </m:oMath>
      <w:r w:rsidRPr="00880056">
        <w:rPr>
          <w:rFonts w:eastAsiaTheme="minorEastAsia"/>
          <w:lang w:val="en-US"/>
        </w:rPr>
        <w:t>, respectively</w:t>
      </w:r>
      <w:r w:rsidRPr="00880056">
        <w:rPr>
          <w:lang w:val="en-US"/>
        </w:rPr>
        <w:t>.</w:t>
      </w:r>
      <w:r w:rsidRPr="00880056">
        <w:rPr>
          <w:rStyle w:val="Alaviitteenviite"/>
          <w:rFonts w:cs="Times New Roman"/>
          <w:szCs w:val="24"/>
          <w:lang w:val="en-US"/>
        </w:rPr>
        <w:footnoteReference w:id="7"/>
      </w:r>
      <w:r w:rsidRPr="00880056">
        <w:rPr>
          <w:lang w:val="en-US"/>
        </w:rPr>
        <w:t xml:space="preserve"> The weights </w:t>
      </w:r>
      <w:r w:rsidRPr="00880056">
        <w:rPr>
          <w:i/>
          <w:lang w:val="en-US"/>
        </w:rPr>
        <w:t>θ</w:t>
      </w:r>
      <w:r w:rsidRPr="00880056">
        <w:rPr>
          <w:lang w:val="en-US"/>
        </w:rPr>
        <w:t xml:space="preserve"> and (1-</w:t>
      </w:r>
      <w:r w:rsidRPr="00880056">
        <w:rPr>
          <w:i/>
          <w:lang w:val="en-US"/>
        </w:rPr>
        <w:t xml:space="preserve"> θ</w:t>
      </w:r>
      <w:r w:rsidRPr="00880056">
        <w:rPr>
          <w:lang w:val="en-US"/>
        </w:rPr>
        <w:t xml:space="preserve">) in the loss function reflect the </w:t>
      </w:r>
      <w:r w:rsidR="002850E1">
        <w:rPr>
          <w:lang w:val="en-US"/>
        </w:rPr>
        <w:t>policymaker</w:t>
      </w:r>
      <w:r w:rsidRPr="00880056">
        <w:rPr>
          <w:lang w:val="en-US"/>
        </w:rPr>
        <w:t xml:space="preserve">’s presumed preferences for type I and type II errors. A parameter value θ higher than 0.5 means that the policymaker is more averse to missing a signal of an upcoming crisis than to receiving a false alarm. </w:t>
      </w:r>
      <w:r w:rsidR="00A15C46">
        <w:rPr>
          <w:lang w:val="en-US"/>
        </w:rPr>
        <w:t>A</w:t>
      </w:r>
      <w:r w:rsidRPr="00880056">
        <w:rPr>
          <w:lang w:val="en-US"/>
        </w:rPr>
        <w:t xml:space="preserve">s </w:t>
      </w:r>
      <w:r w:rsidR="00A15C46">
        <w:rPr>
          <w:lang w:val="en-US"/>
        </w:rPr>
        <w:t xml:space="preserve">is </w:t>
      </w:r>
      <w:r w:rsidRPr="00880056">
        <w:rPr>
          <w:lang w:val="en-US"/>
        </w:rPr>
        <w:t xml:space="preserve">commonly done in the literature, we set </w:t>
      </w:r>
      <m:oMath>
        <m:r>
          <w:rPr>
            <w:rFonts w:ascii="Cambria Math" w:hAnsi="Cambria Math"/>
            <w:lang w:val="en-US"/>
          </w:rPr>
          <m:t>θ=0.5</m:t>
        </m:r>
      </m:oMath>
      <w:r w:rsidRPr="00880056">
        <w:rPr>
          <w:lang w:val="en-US"/>
        </w:rPr>
        <w:t xml:space="preserve">, but </w:t>
      </w:r>
      <w:r w:rsidR="00A15C46">
        <w:rPr>
          <w:lang w:val="en-US"/>
        </w:rPr>
        <w:t xml:space="preserve">also </w:t>
      </w:r>
      <w:r w:rsidR="00641CBA">
        <w:rPr>
          <w:lang w:val="en-US"/>
        </w:rPr>
        <w:t>present results for</w:t>
      </w:r>
      <w:r w:rsidRPr="00880056">
        <w:rPr>
          <w:lang w:val="en-US"/>
        </w:rPr>
        <w:t xml:space="preserve"> </w:t>
      </w:r>
      <m:oMath>
        <m:r>
          <w:rPr>
            <w:rFonts w:ascii="Cambria Math" w:hAnsi="Cambria Math"/>
            <w:lang w:val="en-US"/>
          </w:rPr>
          <m:t>θ=0.6</m:t>
        </m:r>
      </m:oMath>
      <w:r w:rsidRPr="00880056">
        <w:rPr>
          <w:rFonts w:eastAsiaTheme="minorEastAsia"/>
          <w:lang w:val="en-US"/>
        </w:rPr>
        <w:t xml:space="preserve"> </w:t>
      </w:r>
      <w:r w:rsidR="00641CBA">
        <w:rPr>
          <w:rFonts w:eastAsiaTheme="minorEastAsia"/>
          <w:lang w:val="en-US"/>
        </w:rPr>
        <w:t xml:space="preserve">and </w:t>
      </w:r>
      <m:oMath>
        <m:r>
          <w:rPr>
            <w:rFonts w:ascii="Cambria Math" w:hAnsi="Cambria Math"/>
            <w:lang w:val="en-US"/>
          </w:rPr>
          <m:t>θ=0.7</m:t>
        </m:r>
      </m:oMath>
      <w:r w:rsidRPr="00880056">
        <w:rPr>
          <w:lang w:val="en-US"/>
        </w:rPr>
        <w:t xml:space="preserve">. </w:t>
      </w:r>
      <w:r w:rsidR="0005425F" w:rsidRPr="0005425F">
        <w:rPr>
          <w:lang w:val="en-US"/>
        </w:rPr>
        <w:t>Note</w:t>
      </w:r>
      <w:r w:rsidR="00A15C46">
        <w:rPr>
          <w:lang w:val="en-US"/>
        </w:rPr>
        <w:t xml:space="preserve">, </w:t>
      </w:r>
      <w:r w:rsidR="0005425F" w:rsidRPr="0005425F">
        <w:rPr>
          <w:lang w:val="en-US"/>
        </w:rPr>
        <w:t>however</w:t>
      </w:r>
      <w:r w:rsidR="00A15C46">
        <w:rPr>
          <w:lang w:val="en-US"/>
        </w:rPr>
        <w:t>,</w:t>
      </w:r>
      <w:r w:rsidR="0005425F" w:rsidRPr="0005425F">
        <w:rPr>
          <w:lang w:val="en-US"/>
        </w:rPr>
        <w:t xml:space="preserve"> that the </w:t>
      </w:r>
      <w:r w:rsidR="00615874">
        <w:rPr>
          <w:lang w:val="en-US"/>
        </w:rPr>
        <w:t>relative numbers</w:t>
      </w:r>
      <w:r w:rsidR="0005425F" w:rsidRPr="0005425F">
        <w:rPr>
          <w:lang w:val="en-US"/>
        </w:rPr>
        <w:t xml:space="preserve"> of missed crises and false alarms that a given policy parameter entails is not </w:t>
      </w:r>
      <w:r w:rsidR="00615874">
        <w:rPr>
          <w:lang w:val="en-US"/>
        </w:rPr>
        <w:t xml:space="preserve">directly related to </w:t>
      </w:r>
      <w:r w:rsidR="0005425F" w:rsidRPr="0005425F">
        <w:rPr>
          <w:lang w:val="en-US"/>
        </w:rPr>
        <w:t>θ</w:t>
      </w:r>
      <w:r w:rsidR="00A15C46">
        <w:rPr>
          <w:lang w:val="en-US"/>
        </w:rPr>
        <w:t xml:space="preserve">, </w:t>
      </w:r>
      <w:r w:rsidR="0005425F" w:rsidRPr="0005425F">
        <w:rPr>
          <w:lang w:val="en-US"/>
        </w:rPr>
        <w:t xml:space="preserve">but </w:t>
      </w:r>
      <w:r w:rsidR="00615874">
        <w:rPr>
          <w:lang w:val="en-US"/>
        </w:rPr>
        <w:t>depends on the</w:t>
      </w:r>
      <w:r w:rsidR="0005425F" w:rsidRPr="0005425F">
        <w:rPr>
          <w:lang w:val="en-US"/>
        </w:rPr>
        <w:t xml:space="preserve"> unconditional probability </w:t>
      </w:r>
      <w:r w:rsidR="00615874">
        <w:rPr>
          <w:lang w:val="en-US"/>
        </w:rPr>
        <w:t xml:space="preserve">for </w:t>
      </w:r>
      <w:r w:rsidR="0005425F" w:rsidRPr="0005425F">
        <w:rPr>
          <w:lang w:val="en-US"/>
        </w:rPr>
        <w:t>a period to be a pre-crisis period</w:t>
      </w:r>
      <w:r w:rsidR="00C83546">
        <w:rPr>
          <w:lang w:val="en-US"/>
        </w:rPr>
        <w:t xml:space="preserve"> (see Sarlin, 2013)</w:t>
      </w:r>
      <w:r w:rsidR="0005425F" w:rsidRPr="0005425F">
        <w:rPr>
          <w:lang w:val="en-US"/>
        </w:rPr>
        <w:t xml:space="preserve">. </w:t>
      </w:r>
      <w:r w:rsidR="009363CA">
        <w:rPr>
          <w:lang w:val="en-US"/>
        </w:rPr>
        <w:t>Typically,</w:t>
      </w:r>
      <w:r w:rsidR="00615874">
        <w:rPr>
          <w:lang w:val="en-US"/>
        </w:rPr>
        <w:t xml:space="preserve"> this probability is small, so that even with </w:t>
      </w:r>
      <m:oMath>
        <m:r>
          <w:rPr>
            <w:rFonts w:ascii="Cambria Math" w:hAnsi="Cambria Math"/>
            <w:lang w:val="en-US"/>
          </w:rPr>
          <m:t>θ=0.5</m:t>
        </m:r>
      </m:oMath>
      <w:r w:rsidR="00615874">
        <w:rPr>
          <w:lang w:val="en-US"/>
        </w:rPr>
        <w:t xml:space="preserve"> </w:t>
      </w:r>
      <w:r w:rsidR="0005425F" w:rsidRPr="0005425F">
        <w:rPr>
          <w:lang w:val="en-US"/>
        </w:rPr>
        <w:t xml:space="preserve">the number of false alarms </w:t>
      </w:r>
      <w:r w:rsidR="00615874">
        <w:rPr>
          <w:lang w:val="en-US"/>
        </w:rPr>
        <w:t>becomes</w:t>
      </w:r>
      <w:r w:rsidR="0005425F" w:rsidRPr="0005425F">
        <w:rPr>
          <w:lang w:val="en-US"/>
        </w:rPr>
        <w:t xml:space="preserve"> </w:t>
      </w:r>
      <w:r w:rsidR="008C4BD5">
        <w:rPr>
          <w:lang w:val="en-US"/>
        </w:rPr>
        <w:t xml:space="preserve">much </w:t>
      </w:r>
      <w:r w:rsidR="00615874">
        <w:rPr>
          <w:lang w:val="en-US"/>
        </w:rPr>
        <w:t xml:space="preserve">larger than the number of missed crises </w:t>
      </w:r>
      <w:r w:rsidR="008C4BD5">
        <w:rPr>
          <w:lang w:val="en-US"/>
        </w:rPr>
        <w:t>(</w:t>
      </w:r>
      <w:r w:rsidR="00615874">
        <w:rPr>
          <w:lang w:val="en-US"/>
        </w:rPr>
        <w:t>in our case</w:t>
      </w:r>
      <w:r w:rsidR="008C4BD5">
        <w:rPr>
          <w:lang w:val="en-US"/>
        </w:rPr>
        <w:t>,</w:t>
      </w:r>
      <w:r w:rsidR="00615874">
        <w:rPr>
          <w:lang w:val="en-US"/>
        </w:rPr>
        <w:t xml:space="preserve"> </w:t>
      </w:r>
      <w:r w:rsidR="0005425F" w:rsidRPr="0005425F">
        <w:rPr>
          <w:lang w:val="en-US"/>
        </w:rPr>
        <w:t>about 10 times higher than the number of missed crises</w:t>
      </w:r>
      <w:r w:rsidR="008C4BD5">
        <w:rPr>
          <w:lang w:val="en-US"/>
        </w:rPr>
        <w:t>)</w:t>
      </w:r>
      <w:r w:rsidR="0005425F" w:rsidRPr="0005425F">
        <w:rPr>
          <w:lang w:val="en-US"/>
        </w:rPr>
        <w:t>.</w:t>
      </w:r>
    </w:p>
    <w:p w14:paraId="011E0C20" w14:textId="5D67474F" w:rsidR="00F90185" w:rsidRPr="00880056" w:rsidRDefault="00B8526C" w:rsidP="00B8526C">
      <w:pPr>
        <w:tabs>
          <w:tab w:val="clear" w:pos="2520"/>
          <w:tab w:val="left" w:pos="1965"/>
        </w:tabs>
        <w:spacing w:line="360" w:lineRule="auto"/>
        <w:ind w:firstLine="562"/>
        <w:rPr>
          <w:lang w:val="en-US"/>
        </w:rPr>
      </w:pPr>
      <w:r w:rsidRPr="00B8526C">
        <w:rPr>
          <w:lang w:val="en-US"/>
        </w:rPr>
        <w:t>In</w:t>
      </w:r>
      <w:r w:rsidR="00C83546">
        <w:rPr>
          <w:lang w:val="en-US"/>
        </w:rPr>
        <w:t xml:space="preserve"> </w:t>
      </w:r>
      <w:r w:rsidR="00317477">
        <w:rPr>
          <w:lang w:val="en-US"/>
        </w:rPr>
        <w:t>Equation</w:t>
      </w:r>
      <w:r>
        <w:rPr>
          <w:lang w:val="en-US"/>
        </w:rPr>
        <w:t xml:space="preserve"> (</w:t>
      </w:r>
      <w:r>
        <w:rPr>
          <w:lang w:val="en-US"/>
        </w:rPr>
        <w:fldChar w:fldCharType="begin"/>
      </w:r>
      <w:r>
        <w:rPr>
          <w:lang w:val="en-US"/>
        </w:rPr>
        <w:instrText xml:space="preserve"> REF LossFunction \h </w:instrText>
      </w:r>
      <w:r>
        <w:rPr>
          <w:lang w:val="en-US"/>
        </w:rPr>
      </w:r>
      <w:r>
        <w:rPr>
          <w:lang w:val="en-US"/>
        </w:rPr>
        <w:fldChar w:fldCharType="separate"/>
      </w:r>
      <w:r w:rsidR="003050F5">
        <w:rPr>
          <w:noProof/>
          <w:lang w:val="en-US"/>
        </w:rPr>
        <w:t>8</w:t>
      </w:r>
      <w:r>
        <w:rPr>
          <w:lang w:val="en-US"/>
        </w:rPr>
        <w:fldChar w:fldCharType="end"/>
      </w:r>
      <w:r>
        <w:rPr>
          <w:lang w:val="en-US"/>
        </w:rPr>
        <w:t>),</w:t>
      </w:r>
      <w:r>
        <w:rPr>
          <w:i/>
          <w:lang w:val="en-US"/>
        </w:rPr>
        <w:t xml:space="preserve"> </w:t>
      </w:r>
      <w:r w:rsidR="00F90185" w:rsidRPr="00880056">
        <w:rPr>
          <w:i/>
          <w:lang w:val="en-US"/>
        </w:rPr>
        <w:t>A</w:t>
      </w:r>
      <w:r w:rsidR="00F90185" w:rsidRPr="00880056">
        <w:rPr>
          <w:lang w:val="en-US"/>
        </w:rPr>
        <w:t xml:space="preserve"> is the number of periods in which an indicator provides a correct signal (crisis starts within 1 to 3 years of issuing the signal), and </w:t>
      </w:r>
      <w:r w:rsidR="00F90185" w:rsidRPr="00880056">
        <w:rPr>
          <w:i/>
          <w:lang w:val="en-US"/>
        </w:rPr>
        <w:t>B</w:t>
      </w:r>
      <w:r w:rsidR="00F90185" w:rsidRPr="00880056">
        <w:rPr>
          <w:lang w:val="en-US"/>
        </w:rPr>
        <w:t xml:space="preserve"> the number of </w:t>
      </w:r>
      <w:r w:rsidR="00C83546">
        <w:rPr>
          <w:lang w:val="en-US"/>
        </w:rPr>
        <w:t>false alarms</w:t>
      </w:r>
      <w:r w:rsidR="00F90185" w:rsidRPr="00880056">
        <w:rPr>
          <w:lang w:val="en-US"/>
        </w:rPr>
        <w:t xml:space="preserve">. </w:t>
      </w:r>
      <w:r w:rsidR="00F90185" w:rsidRPr="00880056">
        <w:rPr>
          <w:i/>
          <w:lang w:val="en-US"/>
        </w:rPr>
        <w:t>C</w:t>
      </w:r>
      <w:r w:rsidR="00F90185" w:rsidRPr="00880056">
        <w:rPr>
          <w:lang w:val="en-US"/>
        </w:rPr>
        <w:t xml:space="preserve"> is the number of periods </w:t>
      </w:r>
      <w:r w:rsidR="00C83546">
        <w:rPr>
          <w:lang w:val="en-US"/>
        </w:rPr>
        <w:t xml:space="preserve">that miss </w:t>
      </w:r>
      <w:r w:rsidR="00BC1D9B">
        <w:rPr>
          <w:lang w:val="en-US"/>
        </w:rPr>
        <w:t>a crisis</w:t>
      </w:r>
      <w:r w:rsidR="00C83546">
        <w:rPr>
          <w:lang w:val="en-US"/>
        </w:rPr>
        <w:t xml:space="preserve">, i.e. </w:t>
      </w:r>
      <w:r w:rsidR="00F90185" w:rsidRPr="00880056">
        <w:rPr>
          <w:lang w:val="en-US"/>
        </w:rPr>
        <w:t xml:space="preserve">a signal is not generated during a defined period from the onset of the crisis (1 to 3 years). </w:t>
      </w:r>
      <w:r w:rsidR="00F90185" w:rsidRPr="00880056">
        <w:rPr>
          <w:i/>
          <w:lang w:val="en-US"/>
        </w:rPr>
        <w:t>D</w:t>
      </w:r>
      <w:r w:rsidR="00F90185" w:rsidRPr="00880056">
        <w:rPr>
          <w:lang w:val="en-US"/>
        </w:rPr>
        <w:t xml:space="preserve"> denotes the number of periods in which a signal is correctly not provided. In other words, </w:t>
      </w:r>
      <w:r w:rsidR="00F90185" w:rsidRPr="00880056">
        <w:rPr>
          <w:i/>
          <w:lang w:val="en-US"/>
        </w:rPr>
        <w:t>A</w:t>
      </w:r>
      <w:r w:rsidR="00C83546">
        <w:rPr>
          <w:i/>
          <w:lang w:val="en-US"/>
        </w:rPr>
        <w:t xml:space="preserve"> </w:t>
      </w:r>
      <w:r w:rsidR="00C83546" w:rsidRPr="004C0648">
        <w:rPr>
          <w:lang w:val="en-US"/>
        </w:rPr>
        <w:t>is</w:t>
      </w:r>
      <w:r w:rsidR="00F90185" w:rsidRPr="00880056">
        <w:rPr>
          <w:lang w:val="en-US"/>
        </w:rPr>
        <w:t xml:space="preserve"> </w:t>
      </w:r>
      <w:r w:rsidR="00C83546">
        <w:rPr>
          <w:lang w:val="en-US"/>
        </w:rPr>
        <w:t xml:space="preserve">the </w:t>
      </w:r>
      <w:r w:rsidR="00F90185" w:rsidRPr="00880056">
        <w:rPr>
          <w:lang w:val="en-US"/>
        </w:rPr>
        <w:t xml:space="preserve">number of true positives; </w:t>
      </w:r>
      <w:r w:rsidR="00F90185" w:rsidRPr="00880056">
        <w:rPr>
          <w:i/>
          <w:lang w:val="en-US"/>
        </w:rPr>
        <w:t>B</w:t>
      </w:r>
      <w:r w:rsidR="00C83546">
        <w:rPr>
          <w:i/>
          <w:lang w:val="en-US"/>
        </w:rPr>
        <w:t xml:space="preserve"> </w:t>
      </w:r>
      <w:r w:rsidR="00C83546" w:rsidRPr="004C0648">
        <w:rPr>
          <w:lang w:val="en-US"/>
        </w:rPr>
        <w:t>is</w:t>
      </w:r>
      <w:r w:rsidR="00F90185" w:rsidRPr="00880056">
        <w:rPr>
          <w:lang w:val="en-US"/>
        </w:rPr>
        <w:t xml:space="preserve"> </w:t>
      </w:r>
      <w:r w:rsidR="00C83546">
        <w:rPr>
          <w:lang w:val="en-US"/>
        </w:rPr>
        <w:t xml:space="preserve">the </w:t>
      </w:r>
      <w:r w:rsidR="00F90185" w:rsidRPr="00880056">
        <w:rPr>
          <w:lang w:val="en-US"/>
        </w:rPr>
        <w:t xml:space="preserve">number of false positives; </w:t>
      </w:r>
      <w:r w:rsidR="00F90185" w:rsidRPr="00880056">
        <w:rPr>
          <w:i/>
          <w:lang w:val="en-US"/>
        </w:rPr>
        <w:t>C</w:t>
      </w:r>
      <w:r w:rsidR="00C83546">
        <w:rPr>
          <w:i/>
          <w:lang w:val="en-US"/>
        </w:rPr>
        <w:t xml:space="preserve"> </w:t>
      </w:r>
      <w:r w:rsidR="00C83546">
        <w:rPr>
          <w:lang w:val="en-US"/>
        </w:rPr>
        <w:t>is</w:t>
      </w:r>
      <w:r w:rsidR="00F90185" w:rsidRPr="00880056">
        <w:rPr>
          <w:lang w:val="en-US"/>
        </w:rPr>
        <w:t xml:space="preserve"> </w:t>
      </w:r>
      <w:r w:rsidR="00C83546">
        <w:rPr>
          <w:lang w:val="en-US"/>
        </w:rPr>
        <w:t xml:space="preserve">the </w:t>
      </w:r>
      <w:r w:rsidR="00F90185" w:rsidRPr="00880056">
        <w:rPr>
          <w:lang w:val="en-US"/>
        </w:rPr>
        <w:t xml:space="preserve">number of false negatives; and </w:t>
      </w:r>
      <w:r w:rsidR="00F90185" w:rsidRPr="00880056">
        <w:rPr>
          <w:i/>
          <w:lang w:val="en-US"/>
        </w:rPr>
        <w:t>D</w:t>
      </w:r>
      <w:r w:rsidR="00C83546">
        <w:rPr>
          <w:i/>
          <w:lang w:val="en-US"/>
        </w:rPr>
        <w:t xml:space="preserve"> </w:t>
      </w:r>
      <w:r w:rsidR="00C83546" w:rsidRPr="004C0648">
        <w:rPr>
          <w:lang w:val="en-US"/>
        </w:rPr>
        <w:t>is</w:t>
      </w:r>
      <w:r w:rsidR="00F90185" w:rsidRPr="00880056">
        <w:rPr>
          <w:lang w:val="en-US"/>
        </w:rPr>
        <w:t xml:space="preserve"> </w:t>
      </w:r>
      <w:r w:rsidR="00C83546">
        <w:rPr>
          <w:lang w:val="en-US"/>
        </w:rPr>
        <w:t xml:space="preserve">the </w:t>
      </w:r>
      <w:r w:rsidR="00F90185" w:rsidRPr="00880056">
        <w:rPr>
          <w:lang w:val="en-US"/>
        </w:rPr>
        <w:t>number of true negatives.</w:t>
      </w:r>
    </w:p>
    <w:p w14:paraId="78C3CAC3" w14:textId="00DD5A49" w:rsidR="00F90185" w:rsidRPr="00880056" w:rsidRDefault="00C36546" w:rsidP="00F90185">
      <w:pPr>
        <w:spacing w:line="360" w:lineRule="auto"/>
        <w:rPr>
          <w:lang w:val="en-US"/>
        </w:rPr>
      </w:pPr>
      <w:r w:rsidRPr="007F0753">
        <w:rPr>
          <w:i/>
          <w:lang w:val="en-US"/>
        </w:rPr>
        <w:t>Absolute Usefulness</w:t>
      </w:r>
      <w:r>
        <w:rPr>
          <w:lang w:val="en-US"/>
        </w:rPr>
        <w:t xml:space="preserve"> </w:t>
      </w:r>
      <w:r w:rsidR="00C83546">
        <w:rPr>
          <w:lang w:val="en-US"/>
        </w:rPr>
        <w:t xml:space="preserve">is defined as </w:t>
      </w:r>
      <m:oMath>
        <m:func>
          <m:funcPr>
            <m:ctrlPr>
              <w:rPr>
                <w:rFonts w:ascii="Cambria Math" w:hAnsi="Cambria Math"/>
                <w:lang w:val="en-US"/>
              </w:rPr>
            </m:ctrlPr>
          </m:funcPr>
          <m:fName>
            <m:r>
              <m:rPr>
                <m:sty m:val="p"/>
              </m:rPr>
              <w:rPr>
                <w:rFonts w:ascii="Cambria Math" w:hAnsi="Cambria Math"/>
                <w:lang w:val="en-US"/>
              </w:rPr>
              <m:t>min</m:t>
            </m:r>
          </m:fName>
          <m:e>
            <m:d>
              <m:dPr>
                <m:ctrlPr>
                  <w:rPr>
                    <w:rFonts w:ascii="Cambria Math" w:hAnsi="Cambria Math"/>
                    <w:i/>
                    <w:lang w:val="en-US"/>
                  </w:rPr>
                </m:ctrlPr>
              </m:dPr>
              <m:e>
                <m:r>
                  <w:rPr>
                    <w:rFonts w:ascii="Cambria Math" w:hAnsi="Cambria Math"/>
                    <w:lang w:val="en-US"/>
                  </w:rPr>
                  <m:t>θ,1-θ</m:t>
                </m:r>
              </m:e>
            </m:d>
          </m:e>
        </m:func>
        <m:r>
          <m:rPr>
            <m:sty m:val="p"/>
          </m:rPr>
          <w:rPr>
            <w:rFonts w:ascii="Cambria Math" w:hAnsi="Cambria Math"/>
            <w:lang w:val="en-US"/>
          </w:rPr>
          <m:t>-</m:t>
        </m:r>
        <m:r>
          <w:rPr>
            <w:rFonts w:ascii="Cambria Math" w:hAnsi="Cambria Math"/>
            <w:lang w:val="en-US"/>
          </w:rPr>
          <m:t>L</m:t>
        </m:r>
      </m:oMath>
      <w:r w:rsidR="00C83546">
        <w:rPr>
          <w:lang w:val="en-US"/>
        </w:rPr>
        <w:t xml:space="preserve">. </w:t>
      </w:r>
      <w:r w:rsidR="00F90185" w:rsidRPr="00880056">
        <w:rPr>
          <w:lang w:val="en-US"/>
        </w:rPr>
        <w:t xml:space="preserve">The </w:t>
      </w:r>
      <w:r w:rsidR="00C83546">
        <w:rPr>
          <w:lang w:val="en-US"/>
        </w:rPr>
        <w:t xml:space="preserve">corresponding </w:t>
      </w:r>
      <w:r>
        <w:rPr>
          <w:lang w:val="en-US"/>
        </w:rPr>
        <w:t>R</w:t>
      </w:r>
      <w:r w:rsidRPr="00880056">
        <w:rPr>
          <w:lang w:val="en-US"/>
        </w:rPr>
        <w:t xml:space="preserve">elative </w:t>
      </w:r>
      <w:r>
        <w:rPr>
          <w:lang w:val="en-US"/>
        </w:rPr>
        <w:t>U</w:t>
      </w:r>
      <w:r w:rsidRPr="00880056">
        <w:rPr>
          <w:lang w:val="en-US"/>
        </w:rPr>
        <w:t xml:space="preserve">sefulness </w:t>
      </w:r>
      <w:r w:rsidR="00F90185" w:rsidRPr="00880056">
        <w:rPr>
          <w:lang w:val="en-US"/>
        </w:rPr>
        <w:t xml:space="preserve">statistic is </w:t>
      </w:r>
      <w:r w:rsidR="00C83546">
        <w:rPr>
          <w:lang w:val="en-US"/>
        </w:rPr>
        <w:t xml:space="preserve">normalized </w:t>
      </w:r>
      <w:r w:rsidR="00F90185" w:rsidRPr="00880056">
        <w:rPr>
          <w:lang w:val="en-US"/>
        </w:rPr>
        <w:t>as</w:t>
      </w:r>
      <w:r w:rsidR="008C4BD5">
        <w:rPr>
          <w:lang w:val="en-US"/>
        </w:rPr>
        <w:t>:</w:t>
      </w:r>
    </w:p>
    <w:p w14:paraId="0A46A251" w14:textId="77777777" w:rsidR="00F90185" w:rsidRPr="00880056" w:rsidRDefault="00F90185">
      <w:pPr>
        <w:spacing w:line="360" w:lineRule="auto"/>
        <w:rPr>
          <w:lang w:val="en-US"/>
        </w:rPr>
      </w:pPr>
    </w:p>
    <w:p w14:paraId="52CDA5A9" w14:textId="3535DDEE" w:rsidR="00F90185" w:rsidRPr="00880056" w:rsidRDefault="00A15C46" w:rsidP="007F0753">
      <w:pPr>
        <w:spacing w:line="360" w:lineRule="auto"/>
        <w:ind w:firstLine="0"/>
        <w:rPr>
          <w:lang w:val="en-US"/>
        </w:rPr>
      </w:pPr>
      <w:r>
        <w:rPr>
          <w:lang w:val="en-US"/>
        </w:rPr>
        <w:tab/>
      </w:r>
      <m:oMath>
        <m:r>
          <w:rPr>
            <w:rFonts w:ascii="Cambria Math" w:hAnsi="Cambria Math"/>
            <w:lang w:val="en-US"/>
          </w:rPr>
          <m:t>RU</m:t>
        </m:r>
        <m:r>
          <m:rPr>
            <m:sty m:val="p"/>
          </m:rPr>
          <w:rPr>
            <w:rFonts w:ascii="Cambria Math" w:hAnsi="Cambria Math"/>
            <w:lang w:val="en-US"/>
          </w:rPr>
          <m:t>=</m:t>
        </m:r>
        <m:f>
          <m:fPr>
            <m:ctrlPr>
              <w:rPr>
                <w:rFonts w:ascii="Cambria Math" w:hAnsi="Cambria Math"/>
                <w:lang w:val="en-US"/>
              </w:rPr>
            </m:ctrlPr>
          </m:fPr>
          <m:num>
            <m:func>
              <m:funcPr>
                <m:ctrlPr>
                  <w:rPr>
                    <w:rFonts w:ascii="Cambria Math" w:hAnsi="Cambria Math"/>
                    <w:lang w:val="en-US"/>
                  </w:rPr>
                </m:ctrlPr>
              </m:funcPr>
              <m:fName>
                <m:r>
                  <m:rPr>
                    <m:sty m:val="p"/>
                  </m:rPr>
                  <w:rPr>
                    <w:rFonts w:ascii="Cambria Math" w:hAnsi="Cambria Math"/>
                    <w:lang w:val="en-US"/>
                  </w:rPr>
                  <m:t>min</m:t>
                </m:r>
              </m:fName>
              <m:e>
                <m:d>
                  <m:dPr>
                    <m:ctrlPr>
                      <w:rPr>
                        <w:rFonts w:ascii="Cambria Math" w:hAnsi="Cambria Math"/>
                        <w:i/>
                        <w:lang w:val="en-US"/>
                      </w:rPr>
                    </m:ctrlPr>
                  </m:dPr>
                  <m:e>
                    <m:r>
                      <w:rPr>
                        <w:rFonts w:ascii="Cambria Math" w:hAnsi="Cambria Math"/>
                        <w:lang w:val="en-US"/>
                      </w:rPr>
                      <m:t>θ,1-θ</m:t>
                    </m:r>
                  </m:e>
                </m:d>
              </m:e>
            </m:func>
            <m:r>
              <m:rPr>
                <m:sty m:val="p"/>
              </m:rPr>
              <w:rPr>
                <w:rFonts w:ascii="Cambria Math" w:hAnsi="Cambria Math"/>
                <w:lang w:val="en-US"/>
              </w:rPr>
              <m:t>-</m:t>
            </m:r>
            <m:r>
              <w:rPr>
                <w:rFonts w:ascii="Cambria Math" w:hAnsi="Cambria Math"/>
                <w:lang w:val="en-US"/>
              </w:rPr>
              <m:t>L</m:t>
            </m:r>
          </m:num>
          <m:den>
            <m:func>
              <m:funcPr>
                <m:ctrlPr>
                  <w:rPr>
                    <w:rFonts w:ascii="Cambria Math" w:hAnsi="Cambria Math"/>
                    <w:lang w:val="en-US"/>
                  </w:rPr>
                </m:ctrlPr>
              </m:funcPr>
              <m:fName>
                <m:r>
                  <m:rPr>
                    <m:sty m:val="p"/>
                  </m:rPr>
                  <w:rPr>
                    <w:rFonts w:ascii="Cambria Math" w:hAnsi="Cambria Math"/>
                    <w:lang w:val="en-US"/>
                  </w:rPr>
                  <m:t>min</m:t>
                </m:r>
              </m:fName>
              <m:e>
                <m:d>
                  <m:dPr>
                    <m:ctrlPr>
                      <w:rPr>
                        <w:rFonts w:ascii="Cambria Math" w:hAnsi="Cambria Math"/>
                        <w:i/>
                        <w:lang w:val="en-US"/>
                      </w:rPr>
                    </m:ctrlPr>
                  </m:dPr>
                  <m:e>
                    <m:r>
                      <w:rPr>
                        <w:rFonts w:ascii="Cambria Math" w:hAnsi="Cambria Math"/>
                        <w:lang w:val="en-US"/>
                      </w:rPr>
                      <m:t>θ,1-θ</m:t>
                    </m:r>
                  </m:e>
                </m:d>
              </m:e>
            </m:func>
          </m:den>
        </m:f>
        <m:r>
          <m:rPr>
            <m:sty m:val="p"/>
          </m:rPr>
          <w:rPr>
            <w:rFonts w:ascii="Cambria Math" w:hAnsi="Cambria Math"/>
            <w:lang w:val="en-US"/>
          </w:rPr>
          <m:t xml:space="preserve">  </m:t>
        </m:r>
      </m:oMath>
      <w:r w:rsidR="00F90185" w:rsidRPr="00880056">
        <w:rPr>
          <w:lang w:val="en-US"/>
        </w:rPr>
        <w:t>.</w:t>
      </w:r>
      <w:r>
        <w:rPr>
          <w:lang w:val="en-US"/>
        </w:rPr>
        <w:tab/>
      </w:r>
      <w:r>
        <w:rPr>
          <w:lang w:val="en-US"/>
        </w:rPr>
        <w:tab/>
      </w:r>
      <w:r w:rsidR="00F90185" w:rsidRPr="00880056">
        <w:rPr>
          <w:lang w:val="en-US"/>
        </w:rPr>
        <w:tab/>
      </w:r>
      <w:r w:rsidR="00496F93">
        <w:rPr>
          <w:lang w:val="en-US"/>
        </w:rPr>
        <w:t xml:space="preserve">             </w:t>
      </w:r>
      <w:r w:rsidR="00F90185" w:rsidRPr="00880056">
        <w:rPr>
          <w:lang w:val="en-US"/>
        </w:rPr>
        <w:t>(</w:t>
      </w:r>
      <w:r w:rsidR="00F47D0E">
        <w:rPr>
          <w:lang w:val="en-US"/>
        </w:rPr>
        <w:fldChar w:fldCharType="begin"/>
      </w:r>
      <w:r w:rsidR="00F47D0E">
        <w:rPr>
          <w:lang w:val="en-US"/>
        </w:rPr>
        <w:instrText xml:space="preserve"> SEQ Eq \* MERGEFORMAT </w:instrText>
      </w:r>
      <w:r w:rsidR="00F47D0E">
        <w:rPr>
          <w:lang w:val="en-US"/>
        </w:rPr>
        <w:fldChar w:fldCharType="separate"/>
      </w:r>
      <w:r w:rsidR="003050F5">
        <w:rPr>
          <w:noProof/>
          <w:lang w:val="en-US"/>
        </w:rPr>
        <w:t>9</w:t>
      </w:r>
      <w:r w:rsidR="00F47D0E">
        <w:rPr>
          <w:lang w:val="en-US"/>
        </w:rPr>
        <w:fldChar w:fldCharType="end"/>
      </w:r>
      <w:r w:rsidR="00F90185" w:rsidRPr="00880056">
        <w:rPr>
          <w:lang w:val="en-US"/>
        </w:rPr>
        <w:t>)</w:t>
      </w:r>
      <w:r w:rsidR="00F90185" w:rsidRPr="00880056">
        <w:rPr>
          <w:lang w:val="en-US"/>
        </w:rPr>
        <w:tab/>
      </w:r>
      <w:r w:rsidR="00F90185" w:rsidRPr="00880056">
        <w:rPr>
          <w:lang w:val="en-US"/>
        </w:rPr>
        <w:tab/>
      </w:r>
      <w:r w:rsidR="00F90185" w:rsidRPr="00880056">
        <w:rPr>
          <w:lang w:val="en-US"/>
        </w:rPr>
        <w:tab/>
      </w:r>
    </w:p>
    <w:p w14:paraId="365932FD" w14:textId="1CCF7FA4" w:rsidR="00F90185" w:rsidRPr="00880056" w:rsidRDefault="00F454D6" w:rsidP="00F90185">
      <w:pPr>
        <w:spacing w:line="360" w:lineRule="auto"/>
        <w:ind w:firstLine="0"/>
        <w:rPr>
          <w:lang w:val="en-US"/>
        </w:rPr>
      </w:pPr>
      <w:r>
        <w:rPr>
          <w:rFonts w:eastAsiaTheme="minorEastAsia"/>
          <w:lang w:val="en-US"/>
        </w:rPr>
        <w:t xml:space="preserve">Because </w:t>
      </w:r>
      <w:r w:rsidRPr="001F6941">
        <w:rPr>
          <w:rFonts w:eastAsiaTheme="minorEastAsia"/>
          <w:i/>
          <w:lang w:val="en-US"/>
        </w:rPr>
        <w:t>L</w:t>
      </w:r>
      <w:r>
        <w:rPr>
          <w:rFonts w:eastAsiaTheme="minorEastAsia"/>
          <w:lang w:val="en-US"/>
        </w:rPr>
        <w:t xml:space="preserve"> is non-negative, </w:t>
      </w:r>
      <m:oMath>
        <m:r>
          <w:rPr>
            <w:rFonts w:ascii="Cambria Math" w:hAnsi="Cambria Math"/>
            <w:lang w:val="en-US"/>
          </w:rPr>
          <m:t>RU</m:t>
        </m:r>
      </m:oMath>
      <w:r>
        <w:rPr>
          <w:rFonts w:eastAsiaTheme="minorEastAsia"/>
          <w:lang w:val="en-US"/>
        </w:rPr>
        <w:t xml:space="preserve"> is bounded from above. </w:t>
      </w:r>
      <w:r w:rsidR="00F90185" w:rsidRPr="00880056">
        <w:rPr>
          <w:lang w:val="en-US"/>
        </w:rPr>
        <w:t xml:space="preserve">A </w:t>
      </w:r>
      <w:r>
        <w:rPr>
          <w:lang w:val="en-US"/>
        </w:rPr>
        <w:t xml:space="preserve">maximal </w:t>
      </w:r>
      <w:r w:rsidR="00C36546">
        <w:rPr>
          <w:lang w:val="en-US"/>
        </w:rPr>
        <w:t xml:space="preserve">RU </w:t>
      </w:r>
      <w:r w:rsidR="00F90185" w:rsidRPr="00880056">
        <w:rPr>
          <w:lang w:val="en-US"/>
        </w:rPr>
        <w:t>of 1 mean</w:t>
      </w:r>
      <w:r>
        <w:rPr>
          <w:lang w:val="en-US"/>
        </w:rPr>
        <w:t>s</w:t>
      </w:r>
      <w:r w:rsidR="00F90185" w:rsidRPr="00880056">
        <w:rPr>
          <w:lang w:val="en-US"/>
        </w:rPr>
        <w:t xml:space="preserve"> that the indicator </w:t>
      </w:r>
      <w:r w:rsidR="009363CA" w:rsidRPr="00880056">
        <w:rPr>
          <w:lang w:val="en-US"/>
        </w:rPr>
        <w:t>can</w:t>
      </w:r>
      <w:r w:rsidR="00F90185" w:rsidRPr="00880056">
        <w:rPr>
          <w:lang w:val="en-US"/>
        </w:rPr>
        <w:t xml:space="preserve"> perfectly </w:t>
      </w:r>
      <w:r>
        <w:rPr>
          <w:lang w:val="en-US"/>
        </w:rPr>
        <w:t>indicate</w:t>
      </w:r>
      <w:r w:rsidRPr="00880056">
        <w:rPr>
          <w:lang w:val="en-US"/>
        </w:rPr>
        <w:t xml:space="preserve"> </w:t>
      </w:r>
      <w:r w:rsidR="00F90185" w:rsidRPr="00880056">
        <w:rPr>
          <w:lang w:val="en-US"/>
        </w:rPr>
        <w:t xml:space="preserve">all the pre-crisis </w:t>
      </w:r>
      <w:r>
        <w:rPr>
          <w:lang w:val="en-US"/>
        </w:rPr>
        <w:t xml:space="preserve">periods </w:t>
      </w:r>
      <w:r w:rsidR="00F90185" w:rsidRPr="00880056">
        <w:rPr>
          <w:lang w:val="en-US"/>
        </w:rPr>
        <w:t xml:space="preserve">and produces no false positives. 0 or less means that the indicator </w:t>
      </w:r>
      <w:r>
        <w:rPr>
          <w:lang w:val="en-US"/>
        </w:rPr>
        <w:t>is not useful in distinguishing the pre-crisis periods</w:t>
      </w:r>
      <w:r w:rsidR="00F90185" w:rsidRPr="00880056">
        <w:rPr>
          <w:lang w:val="en-US"/>
        </w:rPr>
        <w:t>.</w:t>
      </w:r>
    </w:p>
    <w:p w14:paraId="1705F1A6" w14:textId="6627C58F" w:rsidR="00B21D20" w:rsidRDefault="00B21D20" w:rsidP="00F90185">
      <w:pPr>
        <w:spacing w:line="360" w:lineRule="auto"/>
        <w:rPr>
          <w:lang w:val="en-US"/>
        </w:rPr>
      </w:pPr>
      <w:r>
        <w:rPr>
          <w:lang w:val="en-US"/>
        </w:rPr>
        <w:t>As a</w:t>
      </w:r>
      <w:r w:rsidR="00977F42">
        <w:rPr>
          <w:lang w:val="en-US"/>
        </w:rPr>
        <w:t>n</w:t>
      </w:r>
      <w:r>
        <w:rPr>
          <w:lang w:val="en-US"/>
        </w:rPr>
        <w:t xml:space="preserve"> </w:t>
      </w:r>
      <w:r w:rsidR="00977F42">
        <w:rPr>
          <w:lang w:val="en-US"/>
        </w:rPr>
        <w:t>additional</w:t>
      </w:r>
      <w:r>
        <w:rPr>
          <w:lang w:val="en-US"/>
        </w:rPr>
        <w:t xml:space="preserve"> measure</w:t>
      </w:r>
      <w:r w:rsidR="008C4BD5">
        <w:rPr>
          <w:lang w:val="en-US"/>
        </w:rPr>
        <w:t>,</w:t>
      </w:r>
      <w:r>
        <w:rPr>
          <w:lang w:val="en-US"/>
        </w:rPr>
        <w:t xml:space="preserve"> we calculate the AUROC for each variable. </w:t>
      </w:r>
      <w:r w:rsidR="00564BC9">
        <w:rPr>
          <w:lang w:val="en-US"/>
        </w:rPr>
        <w:t xml:space="preserve">AUROC and </w:t>
      </w:r>
      <w:r w:rsidR="00C36546">
        <w:rPr>
          <w:lang w:val="en-US"/>
        </w:rPr>
        <w:t xml:space="preserve">RU </w:t>
      </w:r>
      <w:r w:rsidR="00564BC9">
        <w:rPr>
          <w:lang w:val="en-US"/>
        </w:rPr>
        <w:t>may rank the indicators differently, as usefulness is calculated at a particular sensitivity level, while AUROC takes in</w:t>
      </w:r>
      <w:r w:rsidR="00C36546">
        <w:rPr>
          <w:lang w:val="en-US"/>
        </w:rPr>
        <w:t xml:space="preserve">to </w:t>
      </w:r>
      <w:r w:rsidR="00564BC9">
        <w:rPr>
          <w:lang w:val="en-US"/>
        </w:rPr>
        <w:t xml:space="preserve">account all sensitivity levels. </w:t>
      </w:r>
      <w:r>
        <w:rPr>
          <w:lang w:val="en-US"/>
        </w:rPr>
        <w:t xml:space="preserve">The ROC curve is a commonly used tool for evaluating the performance of a binary classifier. It plots the true positive rate </w:t>
      </w:r>
      <w:r w:rsidR="00361100">
        <w:rPr>
          <w:lang w:val="en-US"/>
        </w:rPr>
        <w:t xml:space="preserve">(TP) </w:t>
      </w:r>
      <w:r>
        <w:rPr>
          <w:lang w:val="en-US"/>
        </w:rPr>
        <w:t xml:space="preserve">against the false positive rate </w:t>
      </w:r>
      <w:r w:rsidR="00361100">
        <w:rPr>
          <w:lang w:val="en-US"/>
        </w:rPr>
        <w:t>(FP) for varying values of a threshold parameter that controls the sensitivity of the classifier.</w:t>
      </w:r>
      <w:r w:rsidR="00977F42">
        <w:rPr>
          <w:lang w:val="en-US"/>
        </w:rPr>
        <w:t xml:space="preserve"> AUROC is then defined, </w:t>
      </w:r>
      <w:r w:rsidR="00C36546">
        <w:rPr>
          <w:lang w:val="en-US"/>
        </w:rPr>
        <w:t xml:space="preserve">as its </w:t>
      </w:r>
      <w:r w:rsidR="00977F42">
        <w:rPr>
          <w:lang w:val="en-US"/>
        </w:rPr>
        <w:t>name suggests, as the area that falls below this curve.</w:t>
      </w:r>
      <w:r w:rsidR="00361100">
        <w:rPr>
          <w:lang w:val="en-US"/>
        </w:rPr>
        <w:t xml:space="preserve"> In our case, the varying </w:t>
      </w:r>
      <w:r w:rsidR="00977F42">
        <w:rPr>
          <w:lang w:val="en-US"/>
        </w:rPr>
        <w:t>threshold</w:t>
      </w:r>
      <w:r w:rsidR="00361100">
        <w:rPr>
          <w:lang w:val="en-US"/>
        </w:rPr>
        <w:t xml:space="preserve"> parameter is the significance level and we calculate AUROC as</w:t>
      </w:r>
      <w:r w:rsidR="00C36546">
        <w:rPr>
          <w:lang w:val="en-US"/>
        </w:rPr>
        <w:t>:</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361100" w14:paraId="3F7F67A3" w14:textId="77777777" w:rsidTr="00EA2169">
        <w:tc>
          <w:tcPr>
            <w:tcW w:w="2155" w:type="dxa"/>
            <w:vAlign w:val="center"/>
          </w:tcPr>
          <w:p w14:paraId="5A1429B2" w14:textId="77777777" w:rsidR="00361100" w:rsidRDefault="00361100" w:rsidP="00EA2169">
            <w:pPr>
              <w:spacing w:line="360" w:lineRule="auto"/>
              <w:ind w:firstLine="0"/>
              <w:rPr>
                <w:lang w:val="en-US"/>
              </w:rPr>
            </w:pPr>
          </w:p>
        </w:tc>
        <w:tc>
          <w:tcPr>
            <w:tcW w:w="6210" w:type="dxa"/>
            <w:vAlign w:val="center"/>
          </w:tcPr>
          <w:p w14:paraId="52907AF0" w14:textId="77777777" w:rsidR="00361100" w:rsidRPr="00CF001D" w:rsidRDefault="00361100" w:rsidP="00655A64">
            <w:pPr>
              <w:spacing w:line="360" w:lineRule="auto"/>
              <w:ind w:firstLine="0"/>
              <w:rPr>
                <w:lang w:val="en-US"/>
              </w:rPr>
            </w:pPr>
            <m:oMathPara>
              <m:oMathParaPr>
                <m:jc m:val="left"/>
              </m:oMathParaPr>
              <m:oMath>
                <m:r>
                  <w:rPr>
                    <w:rFonts w:ascii="Cambria Math" w:eastAsiaTheme="minorEastAsia" w:hAnsi="Cambria Math"/>
                    <w:lang w:val="en-US"/>
                  </w:rPr>
                  <m:t>AUROC=</m:t>
                </m:r>
                <m:nary>
                  <m:naryPr>
                    <m:limLoc m:val="undOvr"/>
                    <m:ctrlPr>
                      <w:rPr>
                        <w:rFonts w:ascii="Cambria Math" w:eastAsiaTheme="minorEastAsia" w:hAnsi="Cambria Math"/>
                        <w:i/>
                        <w:lang w:val="en-US"/>
                      </w:rPr>
                    </m:ctrlPr>
                  </m:naryPr>
                  <m:sub>
                    <m:r>
                      <w:rPr>
                        <w:rFonts w:ascii="Cambria Math" w:eastAsiaTheme="minorEastAsia" w:hAnsi="Cambria Math"/>
                        <w:lang w:val="en-US"/>
                      </w:rPr>
                      <m:t>0</m:t>
                    </m:r>
                  </m:sub>
                  <m:sup>
                    <m:r>
                      <w:rPr>
                        <w:rFonts w:ascii="Cambria Math" w:eastAsiaTheme="minorEastAsia" w:hAnsi="Cambria Math"/>
                        <w:lang w:val="en-US"/>
                      </w:rPr>
                      <m:t>1</m:t>
                    </m:r>
                  </m:sup>
                  <m:e>
                    <m:r>
                      <w:rPr>
                        <w:rFonts w:ascii="Cambria Math" w:eastAsiaTheme="minorEastAsia" w:hAnsi="Cambria Math"/>
                        <w:lang w:val="en-US"/>
                      </w:rPr>
                      <m:t>TP</m:t>
                    </m:r>
                    <m:d>
                      <m:dPr>
                        <m:ctrlPr>
                          <w:rPr>
                            <w:rFonts w:ascii="Cambria Math" w:eastAsiaTheme="minorEastAsia" w:hAnsi="Cambria Math"/>
                            <w:i/>
                            <w:lang w:val="en-US"/>
                          </w:rPr>
                        </m:ctrlPr>
                      </m:dPr>
                      <m:e>
                        <m:r>
                          <w:rPr>
                            <w:rFonts w:ascii="Cambria Math" w:eastAsiaTheme="minorEastAsia" w:hAnsi="Cambria Math"/>
                            <w:lang w:val="en-US"/>
                          </w:rPr>
                          <m:t>FP(α)</m:t>
                        </m:r>
                      </m:e>
                    </m:d>
                    <m:r>
                      <w:rPr>
                        <w:rFonts w:ascii="Cambria Math" w:eastAsiaTheme="minorEastAsia" w:hAnsi="Cambria Math"/>
                        <w:lang w:val="en-US"/>
                      </w:rPr>
                      <m:t xml:space="preserve"> F</m:t>
                    </m:r>
                    <m:sSup>
                      <m:sSupPr>
                        <m:ctrlPr>
                          <w:rPr>
                            <w:rFonts w:ascii="Cambria Math" w:eastAsiaTheme="minorEastAsia" w:hAnsi="Cambria Math"/>
                            <w:i/>
                            <w:lang w:val="en-US"/>
                          </w:rPr>
                        </m:ctrlPr>
                      </m:sSupPr>
                      <m:e>
                        <m:r>
                          <w:rPr>
                            <w:rFonts w:ascii="Cambria Math" w:eastAsiaTheme="minorEastAsia" w:hAnsi="Cambria Math"/>
                            <w:lang w:val="en-US"/>
                          </w:rPr>
                          <m:t>P</m:t>
                        </m:r>
                      </m:e>
                      <m:sup>
                        <m:r>
                          <w:rPr>
                            <w:rFonts w:ascii="Cambria Math" w:eastAsiaTheme="minorEastAsia" w:hAnsi="Cambria Math"/>
                            <w:lang w:val="en-US"/>
                          </w:rPr>
                          <m:t>'</m:t>
                        </m:r>
                      </m:sup>
                    </m:sSup>
                    <m:d>
                      <m:dPr>
                        <m:ctrlPr>
                          <w:rPr>
                            <w:rFonts w:ascii="Cambria Math" w:eastAsiaTheme="minorEastAsia" w:hAnsi="Cambria Math"/>
                            <w:i/>
                            <w:lang w:val="en-US"/>
                          </w:rPr>
                        </m:ctrlPr>
                      </m:dPr>
                      <m:e>
                        <m:r>
                          <w:rPr>
                            <w:rFonts w:ascii="Cambria Math" w:eastAsiaTheme="minorEastAsia" w:hAnsi="Cambria Math"/>
                            <w:lang w:val="en-US"/>
                          </w:rPr>
                          <m:t>α</m:t>
                        </m:r>
                      </m:e>
                    </m:d>
                    <m:r>
                      <w:rPr>
                        <w:rFonts w:ascii="Cambria Math" w:eastAsiaTheme="minorEastAsia" w:hAnsi="Cambria Math"/>
                        <w:lang w:val="en-US"/>
                      </w:rPr>
                      <m:t xml:space="preserve">dα </m:t>
                    </m:r>
                  </m:e>
                </m:nary>
              </m:oMath>
            </m:oMathPara>
          </w:p>
        </w:tc>
        <w:tc>
          <w:tcPr>
            <w:tcW w:w="645" w:type="dxa"/>
            <w:vAlign w:val="center"/>
          </w:tcPr>
          <w:p w14:paraId="0BC92AE6" w14:textId="77777777" w:rsidR="00361100" w:rsidRDefault="00361100" w:rsidP="00EA2169">
            <w:pPr>
              <w:spacing w:line="360" w:lineRule="auto"/>
              <w:ind w:firstLine="0"/>
              <w:rPr>
                <w:lang w:val="en-US"/>
              </w:rPr>
            </w:pPr>
            <w:r>
              <w:rPr>
                <w:rFonts w:eastAsiaTheme="minorEastAsia"/>
                <w:lang w:val="en-US"/>
              </w:rPr>
              <w:t>(</w:t>
            </w:r>
            <w:bookmarkStart w:id="2" w:name="AUROC"/>
            <w:r>
              <w:rPr>
                <w:rFonts w:eastAsiaTheme="minorEastAsia"/>
                <w:lang w:val="en-US"/>
              </w:rPr>
              <w:fldChar w:fldCharType="begin"/>
            </w:r>
            <w:r>
              <w:rPr>
                <w:rFonts w:eastAsiaTheme="minorEastAsia"/>
                <w:lang w:val="en-US"/>
              </w:rPr>
              <w:instrText xml:space="preserve"> SEQ Eq \* MERGEFORMAT </w:instrText>
            </w:r>
            <w:r>
              <w:rPr>
                <w:rFonts w:eastAsiaTheme="minorEastAsia"/>
                <w:lang w:val="en-US"/>
              </w:rPr>
              <w:fldChar w:fldCharType="separate"/>
            </w:r>
            <w:r w:rsidR="003050F5">
              <w:rPr>
                <w:rFonts w:eastAsiaTheme="minorEastAsia"/>
                <w:noProof/>
                <w:lang w:val="en-US"/>
              </w:rPr>
              <w:t>10</w:t>
            </w:r>
            <w:r>
              <w:rPr>
                <w:rFonts w:eastAsiaTheme="minorEastAsia"/>
                <w:lang w:val="en-US"/>
              </w:rPr>
              <w:fldChar w:fldCharType="end"/>
            </w:r>
            <w:bookmarkEnd w:id="2"/>
            <w:r>
              <w:rPr>
                <w:rFonts w:eastAsiaTheme="minorEastAsia"/>
                <w:lang w:val="en-US"/>
              </w:rPr>
              <w:t>)</w:t>
            </w:r>
          </w:p>
        </w:tc>
      </w:tr>
    </w:tbl>
    <w:p w14:paraId="15B7A6E4" w14:textId="1ED2F018" w:rsidR="00361100" w:rsidRDefault="00BC1D9B" w:rsidP="00F258F0">
      <w:pPr>
        <w:spacing w:line="360" w:lineRule="auto"/>
        <w:ind w:firstLine="0"/>
        <w:rPr>
          <w:lang w:val="en-US"/>
        </w:rPr>
      </w:pPr>
      <w:r>
        <w:rPr>
          <w:lang w:val="en-US"/>
        </w:rPr>
        <w:t>w</w:t>
      </w:r>
      <w:r w:rsidR="00382C2E">
        <w:rPr>
          <w:lang w:val="en-US"/>
        </w:rPr>
        <w:t>he</w:t>
      </w:r>
      <w:r>
        <w:rPr>
          <w:lang w:val="en-US"/>
        </w:rPr>
        <w:t>re</w:t>
      </w:r>
      <w:r w:rsidR="00382C2E">
        <w:rPr>
          <w:lang w:val="en-US"/>
        </w:rPr>
        <w:t xml:space="preserve"> </w:t>
      </w:r>
      <w:r w:rsidR="00382C2E">
        <w:rPr>
          <w:rFonts w:cs="Times New Roman"/>
          <w:lang w:val="en-US"/>
        </w:rPr>
        <w:t>α</w:t>
      </w:r>
      <w:r w:rsidR="00382C2E">
        <w:rPr>
          <w:lang w:val="en-US"/>
        </w:rPr>
        <w:t xml:space="preserve"> is the significance level of the BSADF test</w:t>
      </w:r>
      <w:r>
        <w:rPr>
          <w:lang w:val="en-US"/>
        </w:rPr>
        <w:t>.</w:t>
      </w:r>
      <w:r w:rsidR="00382C2E">
        <w:rPr>
          <w:lang w:val="en-US"/>
        </w:rPr>
        <w:t xml:space="preserve"> </w:t>
      </w:r>
      <w:r>
        <w:rPr>
          <w:lang w:val="en-US"/>
        </w:rPr>
        <w:t>I</w:t>
      </w:r>
      <w:r w:rsidR="00382C2E">
        <w:rPr>
          <w:lang w:val="en-US"/>
        </w:rPr>
        <w:t xml:space="preserve">ncreasing </w:t>
      </w:r>
      <w:r>
        <w:rPr>
          <w:rFonts w:cs="Times New Roman"/>
          <w:lang w:val="en-US"/>
        </w:rPr>
        <w:t>α</w:t>
      </w:r>
      <w:r w:rsidR="00382C2E">
        <w:rPr>
          <w:lang w:val="en-US"/>
        </w:rPr>
        <w:t xml:space="preserve"> makes the test more sensitive and increases the number of issued signals. </w:t>
      </w:r>
      <w:r>
        <w:rPr>
          <w:lang w:val="en-US"/>
        </w:rPr>
        <w:t>W</w:t>
      </w:r>
      <w:r w:rsidR="003208D2">
        <w:rPr>
          <w:lang w:val="en-US"/>
        </w:rPr>
        <w:t xml:space="preserve">e </w:t>
      </w:r>
      <w:r>
        <w:rPr>
          <w:lang w:val="en-US"/>
        </w:rPr>
        <w:t xml:space="preserve">calculate the </w:t>
      </w:r>
      <w:r w:rsidR="003208D2">
        <w:rPr>
          <w:lang w:val="en-US"/>
        </w:rPr>
        <w:t xml:space="preserve">true and false positive rates </w:t>
      </w:r>
      <w:r>
        <w:rPr>
          <w:lang w:val="en-US"/>
        </w:rPr>
        <w:t xml:space="preserve">produced by the BSADF test </w:t>
      </w:r>
      <w:r w:rsidR="003208D2">
        <w:rPr>
          <w:lang w:val="en-US"/>
        </w:rPr>
        <w:t xml:space="preserve">at varying significance levels and approximate </w:t>
      </w:r>
      <w:r w:rsidR="003D5E1C">
        <w:rPr>
          <w:lang w:val="en-US"/>
        </w:rPr>
        <w:t>(</w:t>
      </w:r>
      <w:r w:rsidR="003D5E1C">
        <w:rPr>
          <w:lang w:val="en-US"/>
        </w:rPr>
        <w:fldChar w:fldCharType="begin"/>
      </w:r>
      <w:r w:rsidR="003D5E1C">
        <w:rPr>
          <w:lang w:val="en-US"/>
        </w:rPr>
        <w:instrText xml:space="preserve"> REF AUROC \h </w:instrText>
      </w:r>
      <w:r w:rsidR="003D5E1C">
        <w:rPr>
          <w:lang w:val="en-US"/>
        </w:rPr>
      </w:r>
      <w:r w:rsidR="003D5E1C">
        <w:rPr>
          <w:lang w:val="en-US"/>
        </w:rPr>
        <w:fldChar w:fldCharType="separate"/>
      </w:r>
      <w:r w:rsidR="003050F5">
        <w:rPr>
          <w:rFonts w:eastAsiaTheme="minorEastAsia"/>
          <w:noProof/>
          <w:lang w:val="en-US"/>
        </w:rPr>
        <w:t>10</w:t>
      </w:r>
      <w:r w:rsidR="003D5E1C">
        <w:rPr>
          <w:lang w:val="en-US"/>
        </w:rPr>
        <w:fldChar w:fldCharType="end"/>
      </w:r>
      <w:r w:rsidR="003D5E1C">
        <w:rPr>
          <w:lang w:val="en-US"/>
        </w:rPr>
        <w:t>)</w:t>
      </w:r>
      <w:r w:rsidR="003208D2">
        <w:rPr>
          <w:lang w:val="en-US"/>
        </w:rPr>
        <w:t xml:space="preserve"> by</w:t>
      </w:r>
      <w:r w:rsidR="00CB2762">
        <w:rPr>
          <w:lang w:val="en-US"/>
        </w:rPr>
        <w:t xml:space="preserve"> the</w:t>
      </w:r>
      <w:r w:rsidR="003208D2">
        <w:rPr>
          <w:lang w:val="en-US"/>
        </w:rPr>
        <w:t xml:space="preserve"> trapezoidal rule.</w:t>
      </w:r>
    </w:p>
    <w:p w14:paraId="418A4807" w14:textId="5DFD8729" w:rsidR="0025472C" w:rsidRDefault="00977F42" w:rsidP="00F90185">
      <w:pPr>
        <w:spacing w:line="360" w:lineRule="auto"/>
        <w:rPr>
          <w:lang w:val="en-US"/>
        </w:rPr>
      </w:pPr>
      <w:r>
        <w:rPr>
          <w:lang w:val="en-US"/>
        </w:rPr>
        <w:t xml:space="preserve">AUROC provides a numeric measure of the predictive performance of an early warning indicator that is independent of </w:t>
      </w:r>
      <w:r w:rsidR="002850E1">
        <w:rPr>
          <w:lang w:val="en-US"/>
        </w:rPr>
        <w:t>policymaker</w:t>
      </w:r>
      <w:r>
        <w:rPr>
          <w:lang w:val="en-US"/>
        </w:rPr>
        <w:t xml:space="preserve"> preferences</w:t>
      </w:r>
      <w:r w:rsidR="00C36546">
        <w:rPr>
          <w:lang w:val="en-US"/>
        </w:rPr>
        <w:t>.</w:t>
      </w:r>
      <w:r w:rsidR="00C36546">
        <w:rPr>
          <w:rStyle w:val="Alaviitteenviite"/>
          <w:lang w:val="en-US"/>
        </w:rPr>
        <w:footnoteReference w:id="8"/>
      </w:r>
      <w:r w:rsidR="00641CBA">
        <w:rPr>
          <w:lang w:val="en-US"/>
        </w:rPr>
        <w:t xml:space="preserve"> </w:t>
      </w:r>
      <w:r w:rsidR="004F5134">
        <w:rPr>
          <w:lang w:val="en-US"/>
        </w:rPr>
        <w:t xml:space="preserve">By definition, the </w:t>
      </w:r>
      <w:r w:rsidR="0025472C">
        <w:rPr>
          <w:lang w:val="en-US"/>
        </w:rPr>
        <w:t xml:space="preserve">value of AUROC </w:t>
      </w:r>
      <w:r w:rsidR="004F5134">
        <w:rPr>
          <w:lang w:val="en-US"/>
        </w:rPr>
        <w:t xml:space="preserve">lies </w:t>
      </w:r>
      <w:r w:rsidR="0025472C">
        <w:rPr>
          <w:lang w:val="en-US"/>
        </w:rPr>
        <w:t>between 0 and 1. Both extreme values mean that the classifier is “perfect</w:t>
      </w:r>
      <w:r w:rsidR="004F5134">
        <w:rPr>
          <w:lang w:val="en-US"/>
        </w:rPr>
        <w:t>,</w:t>
      </w:r>
      <w:r w:rsidR="0025472C">
        <w:rPr>
          <w:lang w:val="en-US"/>
        </w:rPr>
        <w:t>” i.e. it can always predict the correct class regardless of the threshold parameter used (</w:t>
      </w:r>
      <w:r w:rsidR="004016C4">
        <w:rPr>
          <w:lang w:val="en-US"/>
        </w:rPr>
        <w:t>i</w:t>
      </w:r>
      <w:r w:rsidR="0025472C">
        <w:rPr>
          <w:lang w:val="en-US"/>
        </w:rPr>
        <w:t>f AUROC is 0, the decision needs to be inverted). The value of 0.5 means that the classifier is completely uninformative</w:t>
      </w:r>
      <w:r w:rsidR="004F5134">
        <w:rPr>
          <w:lang w:val="en-US"/>
        </w:rPr>
        <w:t>, i.e.</w:t>
      </w:r>
      <w:r w:rsidR="0025472C">
        <w:rPr>
          <w:lang w:val="en-US"/>
        </w:rPr>
        <w:t xml:space="preserve"> true and false positives are equally likely at all sensitivity levels.</w:t>
      </w:r>
    </w:p>
    <w:p w14:paraId="70FA0E28" w14:textId="77777777" w:rsidR="00B21D20" w:rsidRPr="00A22DE9" w:rsidRDefault="00B21D20" w:rsidP="00F90185">
      <w:pPr>
        <w:spacing w:line="360" w:lineRule="auto"/>
        <w:rPr>
          <w:lang w:val="en-US"/>
        </w:rPr>
      </w:pPr>
    </w:p>
    <w:p w14:paraId="43FDF7A9" w14:textId="77777777" w:rsidR="006F6E2F" w:rsidRPr="00F90185" w:rsidRDefault="006F6E2F" w:rsidP="00F90185">
      <w:pPr>
        <w:pStyle w:val="Otsikko1"/>
        <w:spacing w:line="360" w:lineRule="auto"/>
        <w:ind w:left="357" w:hanging="357"/>
      </w:pPr>
      <w:r w:rsidRPr="002A1A27">
        <w:t>Data</w:t>
      </w:r>
    </w:p>
    <w:p w14:paraId="0112F43A" w14:textId="77777777" w:rsidR="0072562F" w:rsidRDefault="0046264C" w:rsidP="007F0753">
      <w:pPr>
        <w:spacing w:line="360" w:lineRule="auto"/>
        <w:rPr>
          <w:lang w:val="en-US"/>
        </w:rPr>
      </w:pPr>
      <w:r w:rsidRPr="00A22DE9">
        <w:rPr>
          <w:rFonts w:eastAsiaTheme="minorEastAsia"/>
          <w:lang w:val="en-US"/>
        </w:rPr>
        <w:t xml:space="preserve">The empirical analysis makes use of data from </w:t>
      </w:r>
      <w:r w:rsidR="00A01F84" w:rsidRPr="00A22DE9">
        <w:rPr>
          <w:rFonts w:eastAsiaTheme="minorEastAsia"/>
          <w:lang w:val="en-US"/>
        </w:rPr>
        <w:t xml:space="preserve">the following </w:t>
      </w:r>
      <w:r w:rsidRPr="00A22DE9">
        <w:rPr>
          <w:rFonts w:eastAsiaTheme="minorEastAsia"/>
          <w:lang w:val="en-US"/>
        </w:rPr>
        <w:t>EMU countries</w:t>
      </w:r>
      <w:r w:rsidR="00A01F84" w:rsidRPr="00A22DE9">
        <w:rPr>
          <w:rFonts w:eastAsiaTheme="minorEastAsia"/>
          <w:lang w:val="en-US"/>
        </w:rPr>
        <w:t>:</w:t>
      </w:r>
      <w:r w:rsidR="00A721EC" w:rsidRPr="00A22DE9">
        <w:rPr>
          <w:rFonts w:eastAsiaTheme="minorEastAsia"/>
          <w:lang w:val="en-US"/>
        </w:rPr>
        <w:t xml:space="preserve"> </w:t>
      </w:r>
      <w:r w:rsidR="0072562F" w:rsidRPr="00A22DE9">
        <w:rPr>
          <w:lang w:val="en-US"/>
        </w:rPr>
        <w:t xml:space="preserve">Austria, Belgium, Finland, France, Germany, Greece, Ireland, Italy, Luxembourg, </w:t>
      </w:r>
      <w:r w:rsidR="00355175">
        <w:rPr>
          <w:lang w:val="en-US"/>
        </w:rPr>
        <w:t>t</w:t>
      </w:r>
      <w:r w:rsidR="00355175" w:rsidRPr="00A22DE9">
        <w:rPr>
          <w:lang w:val="en-US"/>
        </w:rPr>
        <w:t xml:space="preserve">he </w:t>
      </w:r>
      <w:r w:rsidR="0072562F" w:rsidRPr="00A22DE9">
        <w:rPr>
          <w:lang w:val="en-US"/>
        </w:rPr>
        <w:t>Netherlands, Portugal</w:t>
      </w:r>
      <w:r w:rsidR="00544277" w:rsidRPr="00A22DE9">
        <w:rPr>
          <w:lang w:val="en-US"/>
        </w:rPr>
        <w:t>,</w:t>
      </w:r>
      <w:r w:rsidR="0072562F" w:rsidRPr="00A22DE9">
        <w:rPr>
          <w:lang w:val="en-US"/>
        </w:rPr>
        <w:t xml:space="preserve"> and Spain. </w:t>
      </w:r>
      <w:r w:rsidR="00544277" w:rsidRPr="00A22DE9">
        <w:rPr>
          <w:lang w:val="en-US"/>
        </w:rPr>
        <w:t xml:space="preserve">We also include </w:t>
      </w:r>
      <w:r w:rsidR="0072562F" w:rsidRPr="00A22DE9">
        <w:rPr>
          <w:lang w:val="en-US"/>
        </w:rPr>
        <w:t xml:space="preserve">Denmark, </w:t>
      </w:r>
      <w:r w:rsidR="00F45248">
        <w:rPr>
          <w:lang w:val="en-US"/>
        </w:rPr>
        <w:t>United Kingdom</w:t>
      </w:r>
      <w:r w:rsidR="0072562F" w:rsidRPr="00A22DE9">
        <w:rPr>
          <w:lang w:val="en-US"/>
        </w:rPr>
        <w:t xml:space="preserve">, </w:t>
      </w:r>
      <w:r w:rsidR="00544277" w:rsidRPr="00A22DE9">
        <w:rPr>
          <w:lang w:val="en-US"/>
        </w:rPr>
        <w:t xml:space="preserve">and </w:t>
      </w:r>
      <w:r w:rsidR="0072562F" w:rsidRPr="00A22DE9">
        <w:rPr>
          <w:lang w:val="en-US"/>
        </w:rPr>
        <w:t xml:space="preserve">Sweden </w:t>
      </w:r>
      <w:r w:rsidR="00544277" w:rsidRPr="00A22DE9">
        <w:rPr>
          <w:lang w:val="en-US"/>
        </w:rPr>
        <w:t xml:space="preserve">in our </w:t>
      </w:r>
      <w:r w:rsidR="0072562F" w:rsidRPr="00A22DE9">
        <w:rPr>
          <w:lang w:val="en-US"/>
        </w:rPr>
        <w:t xml:space="preserve">sample. </w:t>
      </w:r>
      <w:r w:rsidR="0045097A" w:rsidRPr="00A22DE9">
        <w:rPr>
          <w:lang w:val="en-US"/>
        </w:rPr>
        <w:t xml:space="preserve">Available </w:t>
      </w:r>
      <w:r w:rsidR="006F6E2F" w:rsidRPr="00A22DE9">
        <w:rPr>
          <w:lang w:val="en-US"/>
        </w:rPr>
        <w:t xml:space="preserve">data </w:t>
      </w:r>
      <w:r w:rsidR="0045097A" w:rsidRPr="00A22DE9">
        <w:rPr>
          <w:lang w:val="en-US"/>
        </w:rPr>
        <w:t xml:space="preserve">extend well </w:t>
      </w:r>
      <w:r w:rsidR="006F6E2F" w:rsidRPr="00A22DE9">
        <w:rPr>
          <w:lang w:val="en-US"/>
        </w:rPr>
        <w:t xml:space="preserve">back </w:t>
      </w:r>
      <w:r w:rsidR="0045097A" w:rsidRPr="00A22DE9">
        <w:rPr>
          <w:lang w:val="en-US"/>
        </w:rPr>
        <w:t>in</w:t>
      </w:r>
      <w:r w:rsidR="006F6E2F" w:rsidRPr="00A22DE9">
        <w:rPr>
          <w:lang w:val="en-US"/>
        </w:rPr>
        <w:t xml:space="preserve">to </w:t>
      </w:r>
      <w:r w:rsidR="0045097A" w:rsidRPr="00A22DE9">
        <w:rPr>
          <w:lang w:val="en-US"/>
        </w:rPr>
        <w:t xml:space="preserve">the </w:t>
      </w:r>
      <w:r w:rsidR="006F6E2F" w:rsidRPr="00A22DE9">
        <w:rPr>
          <w:lang w:val="en-US"/>
        </w:rPr>
        <w:t>1970s,</w:t>
      </w:r>
      <w:r w:rsidR="001049D2" w:rsidRPr="00A22DE9">
        <w:rPr>
          <w:lang w:val="en-US"/>
        </w:rPr>
        <w:t xml:space="preserve"> </w:t>
      </w:r>
      <w:r w:rsidR="0045097A" w:rsidRPr="00A22DE9">
        <w:rPr>
          <w:lang w:val="en-US"/>
        </w:rPr>
        <w:t xml:space="preserve">when </w:t>
      </w:r>
      <w:r w:rsidR="001049D2" w:rsidRPr="00A22DE9">
        <w:rPr>
          <w:lang w:val="en-US"/>
        </w:rPr>
        <w:t xml:space="preserve">the regulatory environment </w:t>
      </w:r>
      <w:r w:rsidR="00544277" w:rsidRPr="00A22DE9">
        <w:rPr>
          <w:lang w:val="en-US"/>
        </w:rPr>
        <w:t xml:space="preserve">was quite </w:t>
      </w:r>
      <w:r w:rsidR="001049D2" w:rsidRPr="00A22DE9">
        <w:rPr>
          <w:lang w:val="en-US"/>
        </w:rPr>
        <w:t xml:space="preserve">different </w:t>
      </w:r>
      <w:r w:rsidR="00544277" w:rsidRPr="00A22DE9">
        <w:rPr>
          <w:lang w:val="en-US"/>
        </w:rPr>
        <w:t xml:space="preserve">from </w:t>
      </w:r>
      <w:r w:rsidR="001049D2" w:rsidRPr="00A22DE9">
        <w:rPr>
          <w:lang w:val="en-US"/>
        </w:rPr>
        <w:t xml:space="preserve">today. </w:t>
      </w:r>
      <w:r w:rsidR="0045097A" w:rsidRPr="00A22DE9">
        <w:rPr>
          <w:color w:val="000000" w:themeColor="text1"/>
          <w:lang w:val="en-US"/>
        </w:rPr>
        <w:t>A</w:t>
      </w:r>
      <w:r w:rsidR="00136E00" w:rsidRPr="00A22DE9">
        <w:rPr>
          <w:color w:val="000000" w:themeColor="text1"/>
          <w:lang w:val="en-US"/>
        </w:rPr>
        <w:t xml:space="preserve">dministrative credit rationing was </w:t>
      </w:r>
      <w:r w:rsidR="0045097A" w:rsidRPr="00A22DE9">
        <w:rPr>
          <w:color w:val="000000" w:themeColor="text1"/>
          <w:lang w:val="en-US"/>
        </w:rPr>
        <w:t xml:space="preserve">still </w:t>
      </w:r>
      <w:r w:rsidR="00136E00" w:rsidRPr="00A22DE9">
        <w:rPr>
          <w:color w:val="000000" w:themeColor="text1"/>
          <w:lang w:val="en-US"/>
        </w:rPr>
        <w:t>common</w:t>
      </w:r>
      <w:r w:rsidR="0045097A" w:rsidRPr="00A22DE9">
        <w:rPr>
          <w:color w:val="000000" w:themeColor="text1"/>
          <w:lang w:val="en-US"/>
        </w:rPr>
        <w:t xml:space="preserve"> in many countries</w:t>
      </w:r>
      <w:r w:rsidR="00544277" w:rsidRPr="00A22DE9">
        <w:rPr>
          <w:color w:val="000000" w:themeColor="text1"/>
          <w:lang w:val="en-US"/>
        </w:rPr>
        <w:t xml:space="preserve"> </w:t>
      </w:r>
      <w:r w:rsidR="00355175">
        <w:rPr>
          <w:color w:val="000000" w:themeColor="text1"/>
          <w:lang w:val="en-US"/>
        </w:rPr>
        <w:t xml:space="preserve">and </w:t>
      </w:r>
      <w:r w:rsidR="00136E00" w:rsidRPr="00A22DE9">
        <w:rPr>
          <w:color w:val="000000" w:themeColor="text1"/>
          <w:lang w:val="en-US"/>
        </w:rPr>
        <w:t xml:space="preserve">the functioning of financial markets was markedly different from the </w:t>
      </w:r>
      <w:r w:rsidR="0045097A" w:rsidRPr="00A22DE9">
        <w:rPr>
          <w:color w:val="000000" w:themeColor="text1"/>
          <w:lang w:val="en-US"/>
        </w:rPr>
        <w:t xml:space="preserve">present </w:t>
      </w:r>
      <w:r w:rsidR="00136E00" w:rsidRPr="00A22DE9">
        <w:rPr>
          <w:color w:val="000000" w:themeColor="text1"/>
          <w:lang w:val="en-US"/>
        </w:rPr>
        <w:t xml:space="preserve">system. </w:t>
      </w:r>
      <w:r w:rsidR="003A162D" w:rsidRPr="00A22DE9">
        <w:rPr>
          <w:lang w:val="en-US"/>
        </w:rPr>
        <w:t xml:space="preserve">To limit </w:t>
      </w:r>
      <w:r w:rsidR="001049D2" w:rsidRPr="00A22DE9">
        <w:rPr>
          <w:lang w:val="en-US"/>
        </w:rPr>
        <w:t xml:space="preserve">possible bias due to structural changes </w:t>
      </w:r>
      <w:r w:rsidR="003A162D" w:rsidRPr="00A22DE9">
        <w:rPr>
          <w:lang w:val="en-US"/>
        </w:rPr>
        <w:t>in banking</w:t>
      </w:r>
      <w:r w:rsidR="00544277" w:rsidRPr="00A22DE9">
        <w:rPr>
          <w:lang w:val="en-US"/>
        </w:rPr>
        <w:t>,</w:t>
      </w:r>
      <w:r w:rsidR="003A162D" w:rsidRPr="00A22DE9">
        <w:rPr>
          <w:lang w:val="en-US"/>
        </w:rPr>
        <w:t xml:space="preserve"> </w:t>
      </w:r>
      <w:r w:rsidR="001049D2" w:rsidRPr="00A22DE9">
        <w:rPr>
          <w:lang w:val="en-US"/>
        </w:rPr>
        <w:t xml:space="preserve">we </w:t>
      </w:r>
      <w:r w:rsidR="00544277" w:rsidRPr="00A22DE9">
        <w:rPr>
          <w:lang w:val="en-US"/>
        </w:rPr>
        <w:t xml:space="preserve">start our </w:t>
      </w:r>
      <w:r w:rsidR="001049D2" w:rsidRPr="00A22DE9">
        <w:rPr>
          <w:lang w:val="en-US"/>
        </w:rPr>
        <w:t>sample from</w:t>
      </w:r>
      <w:r w:rsidR="00544277" w:rsidRPr="00A22DE9">
        <w:rPr>
          <w:lang w:val="en-US"/>
        </w:rPr>
        <w:t xml:space="preserve"> </w:t>
      </w:r>
      <w:r w:rsidR="001049D2" w:rsidRPr="00A22DE9">
        <w:rPr>
          <w:lang w:val="en-US"/>
        </w:rPr>
        <w:t>1980.</w:t>
      </w:r>
    </w:p>
    <w:p w14:paraId="4AC9392A" w14:textId="6ACDA180" w:rsidR="004F5134" w:rsidRDefault="00BB4F80" w:rsidP="00BB4F80">
      <w:pPr>
        <w:spacing w:line="360" w:lineRule="auto"/>
        <w:rPr>
          <w:lang w:val="en-US" w:eastAsia="fi-FI"/>
        </w:rPr>
      </w:pPr>
      <w:r w:rsidRPr="00A22DE9">
        <w:rPr>
          <w:lang w:val="en-US" w:eastAsia="fi-FI"/>
        </w:rPr>
        <w:t xml:space="preserve">Evaluating the quality of the warning signals </w:t>
      </w:r>
      <w:r>
        <w:rPr>
          <w:lang w:val="en-US" w:eastAsia="fi-FI"/>
        </w:rPr>
        <w:t>requires</w:t>
      </w:r>
      <w:r w:rsidRPr="00A22DE9">
        <w:rPr>
          <w:lang w:val="en-US" w:eastAsia="fi-FI"/>
        </w:rPr>
        <w:t xml:space="preserve"> data on financial crises. </w:t>
      </w:r>
      <w:r>
        <w:rPr>
          <w:lang w:val="en-US" w:eastAsia="fi-FI"/>
        </w:rPr>
        <w:t>C</w:t>
      </w:r>
      <w:r w:rsidRPr="00A22DE9">
        <w:rPr>
          <w:lang w:val="en-US" w:eastAsia="fi-FI"/>
        </w:rPr>
        <w:t>hoosing the right period is critical in such analysis</w:t>
      </w:r>
      <w:r>
        <w:rPr>
          <w:lang w:val="en-US" w:eastAsia="fi-FI"/>
        </w:rPr>
        <w:t xml:space="preserve"> as w</w:t>
      </w:r>
      <w:r w:rsidRPr="00A22DE9">
        <w:rPr>
          <w:lang w:val="en-US" w:eastAsia="fi-FI"/>
        </w:rPr>
        <w:t>rong choices automatically invalidate the results.</w:t>
      </w:r>
      <w:r w:rsidRPr="00A22DE9">
        <w:rPr>
          <w:rStyle w:val="Alaviitteenviite"/>
          <w:rFonts w:eastAsiaTheme="minorEastAsia" w:cs="Times New Roman"/>
          <w:szCs w:val="24"/>
          <w:lang w:val="en-US" w:eastAsia="fi-FI"/>
        </w:rPr>
        <w:footnoteReference w:id="9"/>
      </w:r>
      <w:r w:rsidRPr="00A22DE9">
        <w:rPr>
          <w:lang w:val="en-US" w:eastAsia="fi-FI"/>
        </w:rPr>
        <w:t xml:space="preserve"> </w:t>
      </w:r>
      <w:r w:rsidR="0069498A">
        <w:rPr>
          <w:lang w:val="en-US" w:eastAsia="fi-FI"/>
        </w:rPr>
        <w:t xml:space="preserve">Various banking crisis datasets have been </w:t>
      </w:r>
      <w:r w:rsidR="00286AD2">
        <w:rPr>
          <w:lang w:val="en-US" w:eastAsia="fi-FI"/>
        </w:rPr>
        <w:t xml:space="preserve">provided </w:t>
      </w:r>
      <w:r w:rsidR="0069498A">
        <w:rPr>
          <w:lang w:val="en-US" w:eastAsia="fi-FI"/>
        </w:rPr>
        <w:t>in the earlier literature.</w:t>
      </w:r>
      <w:r w:rsidR="008919A2">
        <w:rPr>
          <w:rStyle w:val="Alaviitteenviite"/>
          <w:lang w:val="en-US" w:eastAsia="fi-FI"/>
        </w:rPr>
        <w:footnoteReference w:id="10"/>
      </w:r>
      <w:r w:rsidR="0069498A">
        <w:rPr>
          <w:lang w:val="en-US" w:eastAsia="fi-FI"/>
        </w:rPr>
        <w:t xml:space="preserve"> </w:t>
      </w:r>
      <w:r>
        <w:rPr>
          <w:lang w:val="en-US" w:eastAsia="fi-FI"/>
        </w:rPr>
        <w:t>W</w:t>
      </w:r>
      <w:r w:rsidRPr="00A22DE9">
        <w:rPr>
          <w:lang w:val="en-US" w:eastAsia="fi-FI"/>
        </w:rPr>
        <w:t>e use the crisis classification scheme of the ESRB (</w:t>
      </w:r>
      <w:r w:rsidRPr="002804F3">
        <w:rPr>
          <w:lang w:val="en-US" w:eastAsia="fi-FI"/>
        </w:rPr>
        <w:t xml:space="preserve">Detken </w:t>
      </w:r>
      <w:r w:rsidR="000B2E8F" w:rsidRPr="007F0753">
        <w:rPr>
          <w:lang w:val="en-US" w:eastAsia="fi-FI"/>
        </w:rPr>
        <w:t>et al.</w:t>
      </w:r>
      <w:r w:rsidR="004F5134">
        <w:rPr>
          <w:lang w:val="en-US" w:eastAsia="fi-FI"/>
        </w:rPr>
        <w:t xml:space="preserve">, </w:t>
      </w:r>
      <w:r w:rsidR="002804F3" w:rsidRPr="00A22DE9">
        <w:rPr>
          <w:lang w:val="en-US" w:eastAsia="fi-FI"/>
        </w:rPr>
        <w:t>201</w:t>
      </w:r>
      <w:r w:rsidR="002804F3">
        <w:rPr>
          <w:lang w:val="en-US" w:eastAsia="fi-FI"/>
        </w:rPr>
        <w:t>4</w:t>
      </w:r>
      <w:r w:rsidRPr="00A22DE9">
        <w:rPr>
          <w:lang w:val="en-US" w:eastAsia="fi-FI"/>
        </w:rPr>
        <w:t>)</w:t>
      </w:r>
      <w:r>
        <w:rPr>
          <w:lang w:val="en-US" w:eastAsia="fi-FI"/>
        </w:rPr>
        <w:t>, which is</w:t>
      </w:r>
      <w:r w:rsidRPr="00A22DE9">
        <w:rPr>
          <w:lang w:val="en-US" w:eastAsia="fi-FI"/>
        </w:rPr>
        <w:t xml:space="preserve"> based extensively on expert opinion from individual central banks.</w:t>
      </w:r>
      <w:r w:rsidR="0069498A">
        <w:rPr>
          <w:lang w:val="en-US" w:eastAsia="fi-FI"/>
        </w:rPr>
        <w:t xml:space="preserve"> It is closely related to the Heads of Research (HoR) Database</w:t>
      </w:r>
      <w:r w:rsidR="004F5134">
        <w:rPr>
          <w:lang w:val="en-US" w:eastAsia="fi-FI"/>
        </w:rPr>
        <w:t xml:space="preserve"> compiled </w:t>
      </w:r>
      <w:r w:rsidR="0069498A">
        <w:rPr>
          <w:lang w:val="en-US" w:eastAsia="fi-FI"/>
        </w:rPr>
        <w:t xml:space="preserve">by a team at the Czech National Bank in collaboration with the ESCB (Babecký </w:t>
      </w:r>
      <w:r w:rsidR="000B2E8F" w:rsidRPr="007F0753">
        <w:rPr>
          <w:lang w:val="en-US" w:eastAsia="fi-FI"/>
        </w:rPr>
        <w:t>et al.</w:t>
      </w:r>
      <w:r w:rsidR="004F5134">
        <w:rPr>
          <w:lang w:val="en-US" w:eastAsia="fi-FI"/>
        </w:rPr>
        <w:t>,</w:t>
      </w:r>
      <w:r w:rsidR="0069498A">
        <w:rPr>
          <w:lang w:val="en-US" w:eastAsia="fi-FI"/>
        </w:rPr>
        <w:t xml:space="preserve"> 2012).</w:t>
      </w:r>
      <w:r w:rsidR="0088390D">
        <w:rPr>
          <w:lang w:val="en-US" w:eastAsia="fi-FI"/>
        </w:rPr>
        <w:t xml:space="preserve"> </w:t>
      </w:r>
      <w:r w:rsidR="0069498A">
        <w:rPr>
          <w:lang w:val="en-US" w:eastAsia="fi-FI"/>
        </w:rPr>
        <w:t xml:space="preserve">The HoR database defines banking </w:t>
      </w:r>
      <w:r w:rsidR="00286AD2">
        <w:rPr>
          <w:lang w:val="en-US" w:eastAsia="fi-FI"/>
        </w:rPr>
        <w:t xml:space="preserve">crisis based on bank runs, significant losses in the banking system, or significant public intervention in the banking system to prevent such losses. Detken </w:t>
      </w:r>
      <w:r w:rsidR="000B2E8F" w:rsidRPr="007F0753">
        <w:rPr>
          <w:lang w:val="en-US" w:eastAsia="fi-FI"/>
        </w:rPr>
        <w:t>et al.</w:t>
      </w:r>
      <w:r w:rsidR="00286AD2">
        <w:rPr>
          <w:lang w:val="en-US" w:eastAsia="fi-FI"/>
        </w:rPr>
        <w:t xml:space="preserve"> (2014) </w:t>
      </w:r>
      <w:r w:rsidR="004F5134">
        <w:rPr>
          <w:lang w:val="en-US" w:eastAsia="fi-FI"/>
        </w:rPr>
        <w:t xml:space="preserve">modify </w:t>
      </w:r>
      <w:r w:rsidR="00286AD2">
        <w:rPr>
          <w:lang w:val="en-US" w:eastAsia="fi-FI"/>
        </w:rPr>
        <w:t xml:space="preserve">the HoR database by removing </w:t>
      </w:r>
      <w:r w:rsidR="004F5134">
        <w:rPr>
          <w:lang w:val="en-US" w:eastAsia="fi-FI"/>
        </w:rPr>
        <w:t xml:space="preserve">non-systemic </w:t>
      </w:r>
      <w:r w:rsidR="00286AD2">
        <w:rPr>
          <w:lang w:val="en-US" w:eastAsia="fi-FI"/>
        </w:rPr>
        <w:t xml:space="preserve">crises </w:t>
      </w:r>
      <w:r w:rsidR="004F5134">
        <w:rPr>
          <w:lang w:val="en-US" w:eastAsia="fi-FI"/>
        </w:rPr>
        <w:t>or un</w:t>
      </w:r>
      <w:r w:rsidR="00286AD2">
        <w:rPr>
          <w:lang w:val="en-US" w:eastAsia="fi-FI"/>
        </w:rPr>
        <w:t>related to financial cycle and by adding “would-be” crises, i.e. events where financial cycle would most likely have led to crisis had a policy intervention or exogenous event not prevented it.</w:t>
      </w:r>
    </w:p>
    <w:p w14:paraId="4F3002C7" w14:textId="030F09A4" w:rsidR="00BB4F80" w:rsidRPr="00A22DE9" w:rsidRDefault="005066BF" w:rsidP="00BB4F80">
      <w:pPr>
        <w:spacing w:line="360" w:lineRule="auto"/>
        <w:rPr>
          <w:lang w:val="en-US" w:eastAsia="fi-FI"/>
        </w:rPr>
      </w:pPr>
      <w:r>
        <w:rPr>
          <w:rFonts w:cs="Times New Roman"/>
          <w:szCs w:val="24"/>
          <w:lang w:val="en-US"/>
        </w:rPr>
        <w:t xml:space="preserve">For </w:t>
      </w:r>
      <w:r w:rsidR="004F5134">
        <w:rPr>
          <w:rFonts w:cs="Times New Roman"/>
          <w:szCs w:val="24"/>
          <w:lang w:val="en-US"/>
        </w:rPr>
        <w:t xml:space="preserve">our </w:t>
      </w:r>
      <w:r>
        <w:rPr>
          <w:rFonts w:cs="Times New Roman"/>
          <w:szCs w:val="24"/>
          <w:lang w:val="en-US"/>
        </w:rPr>
        <w:t xml:space="preserve">robustness check, we consider </w:t>
      </w:r>
      <w:r w:rsidR="004F5134">
        <w:rPr>
          <w:rFonts w:cs="Times New Roman"/>
          <w:szCs w:val="24"/>
          <w:lang w:val="en-US"/>
        </w:rPr>
        <w:t xml:space="preserve">two </w:t>
      </w:r>
      <w:r w:rsidR="00BB4F80">
        <w:rPr>
          <w:rFonts w:cs="Times New Roman"/>
          <w:szCs w:val="24"/>
          <w:lang w:val="en-US"/>
        </w:rPr>
        <w:t>alternative crisis period definition</w:t>
      </w:r>
      <w:r w:rsidR="005612FC">
        <w:rPr>
          <w:rFonts w:cs="Times New Roman"/>
          <w:szCs w:val="24"/>
          <w:lang w:val="en-US"/>
        </w:rPr>
        <w:t>s</w:t>
      </w:r>
      <w:r w:rsidR="004F5134">
        <w:rPr>
          <w:rFonts w:cs="Times New Roman"/>
          <w:szCs w:val="24"/>
          <w:lang w:val="en-US"/>
        </w:rPr>
        <w:t>:</w:t>
      </w:r>
      <w:r>
        <w:rPr>
          <w:rFonts w:cs="Times New Roman"/>
          <w:szCs w:val="24"/>
          <w:lang w:val="en-US"/>
        </w:rPr>
        <w:t xml:space="preserve"> </w:t>
      </w:r>
      <w:r w:rsidR="00BB4F80">
        <w:rPr>
          <w:rFonts w:cs="Times New Roman"/>
          <w:szCs w:val="24"/>
          <w:lang w:val="en-US"/>
        </w:rPr>
        <w:t>the systemic banking crises database of Laeven and Valencia (2012)</w:t>
      </w:r>
      <w:r w:rsidR="005612FC">
        <w:rPr>
          <w:rFonts w:cs="Times New Roman"/>
          <w:szCs w:val="24"/>
          <w:lang w:val="en-US"/>
        </w:rPr>
        <w:t xml:space="preserve"> and the </w:t>
      </w:r>
      <w:r>
        <w:rPr>
          <w:rFonts w:cs="Times New Roman"/>
          <w:szCs w:val="24"/>
          <w:lang w:val="en-US"/>
        </w:rPr>
        <w:t xml:space="preserve">new </w:t>
      </w:r>
      <w:r w:rsidR="005612FC">
        <w:rPr>
          <w:rFonts w:cs="Times New Roman"/>
          <w:szCs w:val="24"/>
          <w:lang w:val="en-US"/>
        </w:rPr>
        <w:t>ECB/ESRB EU crises database (</w:t>
      </w:r>
      <w:r>
        <w:rPr>
          <w:rFonts w:cs="Times New Roman"/>
          <w:szCs w:val="24"/>
          <w:lang w:val="en-US"/>
        </w:rPr>
        <w:t xml:space="preserve">Lo Duca </w:t>
      </w:r>
      <w:r w:rsidR="000B2E8F" w:rsidRPr="00E7758C">
        <w:rPr>
          <w:rFonts w:cs="Times New Roman"/>
          <w:szCs w:val="24"/>
          <w:lang w:val="en-US"/>
        </w:rPr>
        <w:t>et al.</w:t>
      </w:r>
      <w:r w:rsidR="004F5134">
        <w:rPr>
          <w:rFonts w:cs="Times New Roman"/>
          <w:szCs w:val="24"/>
          <w:lang w:val="en-US"/>
        </w:rPr>
        <w:t xml:space="preserve">, </w:t>
      </w:r>
      <w:r w:rsidR="005612FC">
        <w:rPr>
          <w:rFonts w:cs="Times New Roman"/>
          <w:szCs w:val="24"/>
          <w:lang w:val="en-US"/>
        </w:rPr>
        <w:t>2017)</w:t>
      </w:r>
      <w:r w:rsidR="00286AD2">
        <w:rPr>
          <w:rFonts w:cs="Times New Roman"/>
          <w:szCs w:val="24"/>
          <w:lang w:val="en-US"/>
        </w:rPr>
        <w:t>.</w:t>
      </w:r>
      <w:r w:rsidR="008919A2">
        <w:rPr>
          <w:rFonts w:cs="Times New Roman"/>
          <w:szCs w:val="24"/>
          <w:lang w:val="en-US"/>
        </w:rPr>
        <w:t xml:space="preserve"> Earlier crisis databases include Caprio and Klingebiel (1996), </w:t>
      </w:r>
      <w:r w:rsidR="008919A2" w:rsidRPr="004C0648">
        <w:rPr>
          <w:rFonts w:cs="Times New Roman"/>
          <w:szCs w:val="24"/>
          <w:lang w:val="en-US"/>
        </w:rPr>
        <w:t>Demirgüç-Kunt and Detragiache (1998)</w:t>
      </w:r>
      <w:r w:rsidR="004F5134">
        <w:rPr>
          <w:rFonts w:cs="Times New Roman"/>
          <w:szCs w:val="24"/>
          <w:lang w:val="en-US"/>
        </w:rPr>
        <w:t xml:space="preserve">, and </w:t>
      </w:r>
      <w:r w:rsidR="008919A2" w:rsidRPr="004C0648">
        <w:rPr>
          <w:rFonts w:cs="Times New Roman"/>
          <w:szCs w:val="24"/>
          <w:lang w:val="en-US"/>
        </w:rPr>
        <w:t>Reinhart and Rogoff (2009).</w:t>
      </w:r>
    </w:p>
    <w:p w14:paraId="7FE75E7D" w14:textId="360CF87B" w:rsidR="00AF445D" w:rsidRDefault="00D7346B" w:rsidP="00AF445D">
      <w:pPr>
        <w:spacing w:line="360" w:lineRule="auto"/>
        <w:rPr>
          <w:lang w:val="en-US"/>
        </w:rPr>
      </w:pPr>
      <w:r>
        <w:rPr>
          <w:lang w:val="en-US"/>
        </w:rPr>
        <w:t>Most of t</w:t>
      </w:r>
      <w:r w:rsidR="001049D2" w:rsidRPr="00A22DE9">
        <w:rPr>
          <w:lang w:val="en-US"/>
        </w:rPr>
        <w:t xml:space="preserve">he </w:t>
      </w:r>
      <w:r w:rsidR="00BB4F80">
        <w:rPr>
          <w:lang w:val="en-US"/>
        </w:rPr>
        <w:t xml:space="preserve">indicators are </w:t>
      </w:r>
      <w:r w:rsidR="001049D2" w:rsidRPr="00A22DE9">
        <w:rPr>
          <w:lang w:val="en-US"/>
        </w:rPr>
        <w:t xml:space="preserve">based on a quarterly data series compiled by </w:t>
      </w:r>
      <w:r w:rsidR="00544277" w:rsidRPr="00A22DE9">
        <w:rPr>
          <w:lang w:val="en-US"/>
        </w:rPr>
        <w:t xml:space="preserve">the </w:t>
      </w:r>
      <w:r w:rsidR="001049D2" w:rsidRPr="00A22DE9">
        <w:rPr>
          <w:lang w:val="en-US"/>
        </w:rPr>
        <w:t xml:space="preserve">ECB and shared within the </w:t>
      </w:r>
      <w:r w:rsidR="003A162D" w:rsidRPr="00A22DE9">
        <w:rPr>
          <w:lang w:val="en-US"/>
        </w:rPr>
        <w:t>m</w:t>
      </w:r>
      <w:r w:rsidR="001049D2" w:rsidRPr="00A22DE9">
        <w:rPr>
          <w:lang w:val="en-US"/>
        </w:rPr>
        <w:t>acro</w:t>
      </w:r>
      <w:r w:rsidR="003A162D" w:rsidRPr="00A22DE9">
        <w:rPr>
          <w:lang w:val="en-US"/>
        </w:rPr>
        <w:t>-p</w:t>
      </w:r>
      <w:r w:rsidR="001049D2" w:rsidRPr="00A22DE9">
        <w:rPr>
          <w:lang w:val="en-US"/>
        </w:rPr>
        <w:t xml:space="preserve">rudential </w:t>
      </w:r>
      <w:r w:rsidR="003A162D" w:rsidRPr="00A22DE9">
        <w:rPr>
          <w:lang w:val="en-US"/>
        </w:rPr>
        <w:t>a</w:t>
      </w:r>
      <w:r w:rsidR="001049D2" w:rsidRPr="00A22DE9">
        <w:rPr>
          <w:lang w:val="en-US"/>
        </w:rPr>
        <w:t xml:space="preserve">nalysis </w:t>
      </w:r>
      <w:r w:rsidR="003A162D" w:rsidRPr="00A22DE9">
        <w:rPr>
          <w:lang w:val="en-US"/>
        </w:rPr>
        <w:t>g</w:t>
      </w:r>
      <w:r w:rsidR="001049D2" w:rsidRPr="00A22DE9">
        <w:rPr>
          <w:lang w:val="en-US"/>
        </w:rPr>
        <w:t>roup</w:t>
      </w:r>
      <w:r w:rsidR="003A162D" w:rsidRPr="00A22DE9">
        <w:rPr>
          <w:lang w:val="en-US"/>
        </w:rPr>
        <w:t xml:space="preserve"> (MPAG)</w:t>
      </w:r>
      <w:r w:rsidR="001049D2" w:rsidRPr="00A22DE9">
        <w:rPr>
          <w:lang w:val="en-US"/>
        </w:rPr>
        <w:t xml:space="preserve">. </w:t>
      </w:r>
      <w:r w:rsidR="000B58A0" w:rsidRPr="00A22DE9">
        <w:rPr>
          <w:lang w:val="en-US"/>
        </w:rPr>
        <w:t xml:space="preserve">The variables include </w:t>
      </w:r>
      <w:r w:rsidR="000B58A0">
        <w:rPr>
          <w:lang w:val="en-US"/>
        </w:rPr>
        <w:t xml:space="preserve">credit-to-GDP ratios, </w:t>
      </w:r>
      <w:r w:rsidR="000B58A0" w:rsidRPr="00A22DE9">
        <w:rPr>
          <w:lang w:val="en-US"/>
        </w:rPr>
        <w:t>credit aggregates, debt-servicing costs, residential real estate prices,</w:t>
      </w:r>
      <w:r>
        <w:rPr>
          <w:lang w:val="en-US"/>
        </w:rPr>
        <w:t xml:space="preserve"> and</w:t>
      </w:r>
      <w:r w:rsidR="000B58A0" w:rsidRPr="00A22DE9">
        <w:rPr>
          <w:lang w:val="en-US"/>
        </w:rPr>
        <w:t xml:space="preserve"> stock prices</w:t>
      </w:r>
      <w:r>
        <w:rPr>
          <w:lang w:val="en-US"/>
        </w:rPr>
        <w:t>.</w:t>
      </w:r>
      <w:r w:rsidR="000B58A0" w:rsidRPr="00A22DE9">
        <w:rPr>
          <w:lang w:val="en-US"/>
        </w:rPr>
        <w:t xml:space="preserve"> </w:t>
      </w:r>
      <w:r w:rsidR="00F70C44" w:rsidRPr="00A22DE9">
        <w:rPr>
          <w:lang w:val="en-US"/>
        </w:rPr>
        <w:t xml:space="preserve">Most of the </w:t>
      </w:r>
      <w:r>
        <w:rPr>
          <w:lang w:val="en-US"/>
        </w:rPr>
        <w:t xml:space="preserve">data is </w:t>
      </w:r>
      <w:r w:rsidR="00785BC5" w:rsidRPr="00A22DE9">
        <w:rPr>
          <w:lang w:val="en-US"/>
        </w:rPr>
        <w:t xml:space="preserve">publicly available </w:t>
      </w:r>
      <w:r w:rsidR="00F70C44" w:rsidRPr="00A22DE9">
        <w:rPr>
          <w:lang w:val="en-US"/>
        </w:rPr>
        <w:t>from BIS</w:t>
      </w:r>
      <w:r w:rsidR="00F45248">
        <w:rPr>
          <w:lang w:val="en-US"/>
        </w:rPr>
        <w:t>,</w:t>
      </w:r>
      <w:r w:rsidR="00F70C44" w:rsidRPr="00A22DE9">
        <w:rPr>
          <w:lang w:val="en-US"/>
        </w:rPr>
        <w:t xml:space="preserve"> OECD</w:t>
      </w:r>
      <w:r w:rsidR="00F45248">
        <w:rPr>
          <w:lang w:val="en-US"/>
        </w:rPr>
        <w:t>, Dallas Fed</w:t>
      </w:r>
      <w:r>
        <w:rPr>
          <w:lang w:val="en-US"/>
        </w:rPr>
        <w:t>, or</w:t>
      </w:r>
      <w:r w:rsidR="00F45248">
        <w:rPr>
          <w:lang w:val="en-US"/>
        </w:rPr>
        <w:t xml:space="preserve"> stock market</w:t>
      </w:r>
      <w:r>
        <w:rPr>
          <w:lang w:val="en-US"/>
        </w:rPr>
        <w:t xml:space="preserve"> data providers</w:t>
      </w:r>
      <w:r w:rsidR="00544277" w:rsidRPr="00A22DE9">
        <w:rPr>
          <w:lang w:val="en-US"/>
        </w:rPr>
        <w:t xml:space="preserve">. </w:t>
      </w:r>
      <w:r>
        <w:rPr>
          <w:lang w:val="en-US"/>
        </w:rPr>
        <w:t xml:space="preserve">The </w:t>
      </w:r>
      <w:r w:rsidR="00F45248">
        <w:rPr>
          <w:lang w:val="en-US"/>
        </w:rPr>
        <w:t>d</w:t>
      </w:r>
      <w:r w:rsidR="00F70C44" w:rsidRPr="00A22DE9">
        <w:rPr>
          <w:lang w:val="en-US"/>
        </w:rPr>
        <w:t>ebt-servicing cost</w:t>
      </w:r>
      <w:r w:rsidR="00F45248">
        <w:rPr>
          <w:lang w:val="en-US"/>
        </w:rPr>
        <w:t xml:space="preserve"> variables</w:t>
      </w:r>
      <w:r w:rsidR="00544277" w:rsidRPr="00A22DE9">
        <w:rPr>
          <w:lang w:val="en-US"/>
        </w:rPr>
        <w:t xml:space="preserve"> </w:t>
      </w:r>
      <w:r w:rsidR="00F45248">
        <w:rPr>
          <w:lang w:val="en-US"/>
        </w:rPr>
        <w:t>are based on ECB calculations, but similar</w:t>
      </w:r>
      <w:r w:rsidR="004F5134">
        <w:rPr>
          <w:lang w:val="en-US"/>
        </w:rPr>
        <w:t xml:space="preserve"> (</w:t>
      </w:r>
      <w:r w:rsidR="00F45248">
        <w:rPr>
          <w:lang w:val="en-US"/>
        </w:rPr>
        <w:t xml:space="preserve">albeit </w:t>
      </w:r>
      <w:r w:rsidR="004F5134">
        <w:rPr>
          <w:lang w:val="en-US"/>
        </w:rPr>
        <w:t xml:space="preserve">slightly </w:t>
      </w:r>
      <w:r w:rsidR="00F45248">
        <w:rPr>
          <w:lang w:val="en-US"/>
        </w:rPr>
        <w:t>shorter</w:t>
      </w:r>
      <w:r w:rsidR="004F5134">
        <w:rPr>
          <w:lang w:val="en-US"/>
        </w:rPr>
        <w:t>)</w:t>
      </w:r>
      <w:r w:rsidR="00F45248">
        <w:rPr>
          <w:lang w:val="en-US"/>
        </w:rPr>
        <w:t xml:space="preserve"> data series are </w:t>
      </w:r>
      <w:r>
        <w:rPr>
          <w:lang w:val="en-US"/>
        </w:rPr>
        <w:t xml:space="preserve">publicly </w:t>
      </w:r>
      <w:r w:rsidR="00F45248">
        <w:rPr>
          <w:lang w:val="en-US"/>
        </w:rPr>
        <w:t>available on the BIS website</w:t>
      </w:r>
      <w:r w:rsidR="00785BC5" w:rsidRPr="00A22DE9">
        <w:rPr>
          <w:lang w:val="en-US"/>
        </w:rPr>
        <w:t xml:space="preserve">. </w:t>
      </w:r>
      <w:r w:rsidR="00641CBA" w:rsidRPr="00880056">
        <w:rPr>
          <w:lang w:val="en-US"/>
        </w:rPr>
        <w:t>To account for publication lags, all quarterly data are lagged by one quarter</w:t>
      </w:r>
      <w:r>
        <w:rPr>
          <w:lang w:val="en-US"/>
        </w:rPr>
        <w:t xml:space="preserve"> in the evaluation</w:t>
      </w:r>
      <w:r w:rsidR="00641CBA" w:rsidRPr="00880056">
        <w:rPr>
          <w:lang w:val="en-US"/>
        </w:rPr>
        <w:t>.</w:t>
      </w:r>
    </w:p>
    <w:p w14:paraId="6A20D0AD" w14:textId="77777777" w:rsidR="00AF445D" w:rsidRDefault="00AF445D" w:rsidP="00AF445D">
      <w:pPr>
        <w:spacing w:line="360" w:lineRule="auto"/>
        <w:rPr>
          <w:color w:val="000000" w:themeColor="text1"/>
          <w:highlight w:val="yellow"/>
          <w:lang w:val="en-US" w:eastAsia="fi-FI"/>
        </w:rPr>
      </w:pPr>
    </w:p>
    <w:p w14:paraId="07F27303" w14:textId="2AA545DA" w:rsidR="00717A51" w:rsidRDefault="00717A51" w:rsidP="00E45E76">
      <w:pPr>
        <w:pStyle w:val="Otsikko1"/>
        <w:spacing w:line="360" w:lineRule="auto"/>
      </w:pPr>
      <w:r w:rsidRPr="002A1A27">
        <w:t>Empirical results</w:t>
      </w:r>
    </w:p>
    <w:p w14:paraId="7B32FEB9" w14:textId="72295260" w:rsidR="002A1A27" w:rsidRPr="00066A21" w:rsidRDefault="005D54FD" w:rsidP="002A1A27">
      <w:pPr>
        <w:spacing w:line="360" w:lineRule="auto"/>
        <w:rPr>
          <w:lang w:val="en-US"/>
        </w:rPr>
      </w:pPr>
      <w:r>
        <w:rPr>
          <w:lang w:val="en-US"/>
        </w:rPr>
        <w:t>Section 5</w:t>
      </w:r>
      <w:r w:rsidR="002A1A27">
        <w:rPr>
          <w:lang w:val="en-US"/>
        </w:rPr>
        <w:t xml:space="preserve">A provides the basic result demonstrating the usefulness of </w:t>
      </w:r>
      <w:r w:rsidR="00487F85">
        <w:rPr>
          <w:lang w:val="en-US"/>
        </w:rPr>
        <w:t>exuberance tests</w:t>
      </w:r>
      <w:r w:rsidR="002A1A27">
        <w:rPr>
          <w:lang w:val="en-US"/>
        </w:rPr>
        <w:t xml:space="preserve"> in signaling financial crises. </w:t>
      </w:r>
      <w:r w:rsidR="00090D5E">
        <w:rPr>
          <w:lang w:val="en-US"/>
        </w:rPr>
        <w:t xml:space="preserve">Section </w:t>
      </w:r>
      <w:r>
        <w:rPr>
          <w:lang w:val="en-US"/>
        </w:rPr>
        <w:t>5</w:t>
      </w:r>
      <w:r w:rsidR="002A1A27">
        <w:rPr>
          <w:lang w:val="en-US"/>
        </w:rPr>
        <w:t>B show</w:t>
      </w:r>
      <w:r w:rsidR="00D7346B">
        <w:rPr>
          <w:lang w:val="en-US"/>
        </w:rPr>
        <w:t>s</w:t>
      </w:r>
      <w:r w:rsidR="002A1A27">
        <w:rPr>
          <w:lang w:val="en-US"/>
        </w:rPr>
        <w:t xml:space="preserve"> that c</w:t>
      </w:r>
      <w:r w:rsidR="002A1A27" w:rsidRPr="00A22DE9">
        <w:rPr>
          <w:lang w:val="en-US"/>
        </w:rPr>
        <w:t xml:space="preserve">ombining </w:t>
      </w:r>
      <w:r w:rsidR="002A1A27">
        <w:rPr>
          <w:lang w:val="en-US"/>
        </w:rPr>
        <w:t xml:space="preserve">signals </w:t>
      </w:r>
      <w:r w:rsidR="002A1A27" w:rsidRPr="00A22DE9">
        <w:rPr>
          <w:lang w:val="en-US"/>
        </w:rPr>
        <w:t xml:space="preserve">from multiple indicators </w:t>
      </w:r>
      <w:r w:rsidR="002A1A27">
        <w:rPr>
          <w:lang w:val="en-US"/>
        </w:rPr>
        <w:t>enhances</w:t>
      </w:r>
      <w:r w:rsidR="002A1A27" w:rsidRPr="00A22DE9">
        <w:rPr>
          <w:lang w:val="en-US"/>
        </w:rPr>
        <w:t xml:space="preserve"> </w:t>
      </w:r>
      <w:r w:rsidR="002A1A27">
        <w:rPr>
          <w:lang w:val="en-US"/>
        </w:rPr>
        <w:t>our crisis predictions</w:t>
      </w:r>
      <w:r w:rsidR="002A1A27" w:rsidRPr="00760F64">
        <w:rPr>
          <w:lang w:val="en-US"/>
        </w:rPr>
        <w:t xml:space="preserve">. </w:t>
      </w:r>
      <w:r w:rsidR="00090D5E" w:rsidRPr="00760F64">
        <w:rPr>
          <w:lang w:val="en-US"/>
        </w:rPr>
        <w:t xml:space="preserve">Section </w:t>
      </w:r>
      <w:r w:rsidRPr="00760F64">
        <w:rPr>
          <w:lang w:val="en-US"/>
        </w:rPr>
        <w:t>5</w:t>
      </w:r>
      <w:r w:rsidR="002A1A27" w:rsidRPr="00760F64">
        <w:rPr>
          <w:lang w:val="en-US"/>
        </w:rPr>
        <w:t>C return</w:t>
      </w:r>
      <w:r w:rsidR="00D7346B" w:rsidRPr="00760F64">
        <w:rPr>
          <w:lang w:val="en-US"/>
        </w:rPr>
        <w:t>s</w:t>
      </w:r>
      <w:r w:rsidR="002A1A27" w:rsidRPr="00760F64">
        <w:rPr>
          <w:lang w:val="en-US"/>
        </w:rPr>
        <w:t xml:space="preserve"> to single indicators </w:t>
      </w:r>
      <w:r w:rsidR="00D055A8" w:rsidRPr="00760F64">
        <w:rPr>
          <w:lang w:val="en-US"/>
        </w:rPr>
        <w:t xml:space="preserve">to study the </w:t>
      </w:r>
      <w:r w:rsidR="002A1A27" w:rsidRPr="00760F64">
        <w:rPr>
          <w:lang w:val="en-US"/>
        </w:rPr>
        <w:t xml:space="preserve">timing </w:t>
      </w:r>
      <w:r w:rsidR="00D055A8" w:rsidRPr="00760F64">
        <w:rPr>
          <w:lang w:val="en-US"/>
        </w:rPr>
        <w:t xml:space="preserve">and pattern </w:t>
      </w:r>
      <w:r w:rsidR="002A1A27" w:rsidRPr="00760F64">
        <w:rPr>
          <w:lang w:val="en-US"/>
        </w:rPr>
        <w:t xml:space="preserve">of signals. </w:t>
      </w:r>
      <w:r w:rsidR="007B797A" w:rsidRPr="00760F64">
        <w:rPr>
          <w:lang w:val="en-US"/>
        </w:rPr>
        <w:t xml:space="preserve">Finally, </w:t>
      </w:r>
      <w:r w:rsidR="00090D5E" w:rsidRPr="00760F64">
        <w:rPr>
          <w:lang w:val="en-US"/>
        </w:rPr>
        <w:t xml:space="preserve">Section </w:t>
      </w:r>
      <w:r w:rsidRPr="00760F64">
        <w:rPr>
          <w:lang w:val="en-US"/>
        </w:rPr>
        <w:t>5</w:t>
      </w:r>
      <w:r w:rsidR="007B797A" w:rsidRPr="00760F64">
        <w:rPr>
          <w:lang w:val="en-US"/>
        </w:rPr>
        <w:t>D provide</w:t>
      </w:r>
      <w:r w:rsidR="00661DB6" w:rsidRPr="00760F64">
        <w:rPr>
          <w:lang w:val="en-US"/>
        </w:rPr>
        <w:t>s</w:t>
      </w:r>
      <w:r w:rsidR="007B797A" w:rsidRPr="00760F64">
        <w:rPr>
          <w:lang w:val="en-US"/>
        </w:rPr>
        <w:t xml:space="preserve"> robustness check</w:t>
      </w:r>
      <w:r w:rsidR="00661DB6" w:rsidRPr="00760F64">
        <w:rPr>
          <w:lang w:val="en-US"/>
        </w:rPr>
        <w:t>s</w:t>
      </w:r>
      <w:r w:rsidR="007B797A" w:rsidRPr="00760F64">
        <w:rPr>
          <w:lang w:val="en-US"/>
        </w:rPr>
        <w:t xml:space="preserve"> </w:t>
      </w:r>
      <w:r w:rsidR="00FD12EF" w:rsidRPr="00760F64">
        <w:rPr>
          <w:lang w:val="en-US"/>
        </w:rPr>
        <w:t xml:space="preserve">with regards to </w:t>
      </w:r>
      <w:r w:rsidR="00661DB6" w:rsidRPr="00760F64">
        <w:rPr>
          <w:lang w:val="en-US"/>
        </w:rPr>
        <w:t xml:space="preserve">model parameters and crisis </w:t>
      </w:r>
      <w:r w:rsidR="00FD12EF" w:rsidRPr="00760F64">
        <w:rPr>
          <w:lang w:val="en-US"/>
        </w:rPr>
        <w:t>definitions</w:t>
      </w:r>
      <w:r w:rsidR="007B797A" w:rsidRPr="00760F64">
        <w:rPr>
          <w:lang w:val="en-US"/>
        </w:rPr>
        <w:t>.</w:t>
      </w:r>
    </w:p>
    <w:p w14:paraId="6E62E7BB" w14:textId="77777777" w:rsidR="00AF445D" w:rsidRPr="00066A21" w:rsidRDefault="00AF445D" w:rsidP="002A1A27">
      <w:pPr>
        <w:spacing w:line="360" w:lineRule="auto"/>
        <w:rPr>
          <w:lang w:val="en-US"/>
        </w:rPr>
      </w:pPr>
    </w:p>
    <w:p w14:paraId="158EC5D0" w14:textId="364A3372" w:rsidR="00365579" w:rsidRPr="00FA78F6" w:rsidRDefault="00A15C46" w:rsidP="007F0753">
      <w:pPr>
        <w:pStyle w:val="Otsikko2"/>
      </w:pPr>
      <w:r>
        <w:t xml:space="preserve">A. </w:t>
      </w:r>
      <w:r w:rsidR="002A1A27" w:rsidRPr="00FA78F6">
        <w:t>Si</w:t>
      </w:r>
      <w:r w:rsidR="002A1A27" w:rsidRPr="00066A21">
        <w:t>gnals from single</w:t>
      </w:r>
      <w:r w:rsidR="00365579" w:rsidRPr="00066A21">
        <w:t xml:space="preserve"> </w:t>
      </w:r>
      <w:r w:rsidR="00365579" w:rsidRPr="00FA78F6">
        <w:t>variable</w:t>
      </w:r>
      <w:r w:rsidR="002A1A27" w:rsidRPr="00066A21">
        <w:t xml:space="preserve"> </w:t>
      </w:r>
      <w:r w:rsidR="004E6E53" w:rsidRPr="00066A21">
        <w:t>indicators</w:t>
      </w:r>
    </w:p>
    <w:p w14:paraId="21478A57" w14:textId="500ACFA2" w:rsidR="005C6750" w:rsidRPr="00A22DE9" w:rsidRDefault="005C6750" w:rsidP="00D06C83">
      <w:pPr>
        <w:spacing w:line="360" w:lineRule="auto"/>
        <w:ind w:firstLine="576"/>
        <w:rPr>
          <w:lang w:val="en-US"/>
        </w:rPr>
      </w:pPr>
      <w:r w:rsidRPr="00066A21">
        <w:rPr>
          <w:lang w:val="en-US"/>
        </w:rPr>
        <w:t xml:space="preserve">To illustrate </w:t>
      </w:r>
      <w:r w:rsidR="006C17F9" w:rsidRPr="00066A21">
        <w:rPr>
          <w:lang w:val="en-US"/>
        </w:rPr>
        <w:t xml:space="preserve">the performance </w:t>
      </w:r>
      <w:r w:rsidR="0033584C" w:rsidRPr="00066A21">
        <w:rPr>
          <w:lang w:val="en-US"/>
        </w:rPr>
        <w:t xml:space="preserve">of </w:t>
      </w:r>
      <w:r w:rsidRPr="00066A21">
        <w:rPr>
          <w:lang w:val="en-US"/>
        </w:rPr>
        <w:t xml:space="preserve">our approach, we offer a set of signal graphs for </w:t>
      </w:r>
      <w:r w:rsidR="00D7346B" w:rsidRPr="00066A21">
        <w:rPr>
          <w:lang w:val="en-US"/>
        </w:rPr>
        <w:t>pair</w:t>
      </w:r>
      <w:r w:rsidR="00D50937">
        <w:rPr>
          <w:lang w:val="en-US"/>
        </w:rPr>
        <w:t>s o</w:t>
      </w:r>
      <w:r w:rsidR="00D7346B" w:rsidRPr="00066A21">
        <w:rPr>
          <w:lang w:val="en-US"/>
        </w:rPr>
        <w:t xml:space="preserve">f </w:t>
      </w:r>
      <w:r w:rsidRPr="00066A21">
        <w:rPr>
          <w:lang w:val="en-US"/>
        </w:rPr>
        <w:t>predictor variables in Figures 1</w:t>
      </w:r>
      <w:r w:rsidR="00D50937">
        <w:rPr>
          <w:lang w:val="en-US"/>
        </w:rPr>
        <w:t xml:space="preserve"> and </w:t>
      </w:r>
      <w:r w:rsidR="00D7346B" w:rsidRPr="00066A21">
        <w:rPr>
          <w:lang w:val="en-US"/>
        </w:rPr>
        <w:t xml:space="preserve">2 </w:t>
      </w:r>
      <w:r w:rsidRPr="00066A21">
        <w:rPr>
          <w:lang w:val="en-US"/>
        </w:rPr>
        <w:t>(</w:t>
      </w:r>
      <w:r w:rsidR="006E2A47" w:rsidRPr="00066A21">
        <w:rPr>
          <w:lang w:val="en-US"/>
        </w:rPr>
        <w:t xml:space="preserve">bank </w:t>
      </w:r>
      <w:r w:rsidRPr="00066A21">
        <w:rPr>
          <w:lang w:val="en-US"/>
        </w:rPr>
        <w:t>credit-to-GDP ratios and house price</w:t>
      </w:r>
      <w:r w:rsidR="00D50937">
        <w:rPr>
          <w:lang w:val="en-US"/>
        </w:rPr>
        <w:t>-</w:t>
      </w:r>
      <w:r w:rsidR="006E2A47" w:rsidRPr="00066A21">
        <w:rPr>
          <w:lang w:val="en-US"/>
        </w:rPr>
        <w:t>to</w:t>
      </w:r>
      <w:r w:rsidR="00D50937">
        <w:rPr>
          <w:lang w:val="en-US"/>
        </w:rPr>
        <w:t>-</w:t>
      </w:r>
      <w:r w:rsidR="006E2A47" w:rsidRPr="00066A21">
        <w:rPr>
          <w:lang w:val="en-US"/>
        </w:rPr>
        <w:t>income ratios</w:t>
      </w:r>
      <w:r w:rsidRPr="00066A21">
        <w:rPr>
          <w:lang w:val="en-US"/>
        </w:rPr>
        <w:t>). The graphs show the development of the underlying variable, the bubble stamping signals from the BSADF method</w:t>
      </w:r>
      <w:r w:rsidR="00150165" w:rsidRPr="00066A21">
        <w:rPr>
          <w:lang w:val="en-US"/>
        </w:rPr>
        <w:t xml:space="preserve"> (full height bars)</w:t>
      </w:r>
      <w:r w:rsidRPr="00066A21">
        <w:rPr>
          <w:lang w:val="en-US"/>
        </w:rPr>
        <w:t xml:space="preserve">, </w:t>
      </w:r>
      <w:r w:rsidR="00D50937">
        <w:rPr>
          <w:lang w:val="en-US"/>
        </w:rPr>
        <w:t xml:space="preserve">as well as </w:t>
      </w:r>
      <w:r w:rsidRPr="00066A21">
        <w:rPr>
          <w:lang w:val="en-US"/>
        </w:rPr>
        <w:t>the pre-crisis</w:t>
      </w:r>
      <w:r w:rsidR="00D50937">
        <w:rPr>
          <w:lang w:val="en-US"/>
        </w:rPr>
        <w:t xml:space="preserve"> </w:t>
      </w:r>
      <w:r w:rsidR="00D50937" w:rsidRPr="00066A21">
        <w:rPr>
          <w:lang w:val="en-US"/>
        </w:rPr>
        <w:t>(</w:t>
      </w:r>
      <w:r w:rsidR="00D50937">
        <w:rPr>
          <w:lang w:val="en-US"/>
        </w:rPr>
        <w:t xml:space="preserve">half-height bars) and </w:t>
      </w:r>
      <w:r w:rsidRPr="00066A21">
        <w:rPr>
          <w:lang w:val="en-US"/>
        </w:rPr>
        <w:t>crisis period</w:t>
      </w:r>
      <w:r w:rsidR="00150165" w:rsidRPr="00066A21">
        <w:rPr>
          <w:lang w:val="en-US"/>
        </w:rPr>
        <w:t xml:space="preserve"> </w:t>
      </w:r>
      <w:r w:rsidR="00D50937">
        <w:rPr>
          <w:lang w:val="en-US"/>
        </w:rPr>
        <w:t>(</w:t>
      </w:r>
      <w:r w:rsidR="00150165" w:rsidRPr="00066A21">
        <w:rPr>
          <w:lang w:val="en-US"/>
        </w:rPr>
        <w:t>short bars)</w:t>
      </w:r>
      <w:r w:rsidRPr="00066A21">
        <w:rPr>
          <w:lang w:val="en-US"/>
        </w:rPr>
        <w:t xml:space="preserve">. </w:t>
      </w:r>
      <w:r w:rsidR="00D50937">
        <w:rPr>
          <w:lang w:val="en-US"/>
        </w:rPr>
        <w:t>V</w:t>
      </w:r>
      <w:r w:rsidRPr="00066A21">
        <w:rPr>
          <w:lang w:val="en-US"/>
        </w:rPr>
        <w:t xml:space="preserve">isual </w:t>
      </w:r>
      <w:r>
        <w:rPr>
          <w:lang w:val="en-US"/>
        </w:rPr>
        <w:t>inspection</w:t>
      </w:r>
      <w:r w:rsidR="00D50937">
        <w:rPr>
          <w:lang w:val="en-US"/>
        </w:rPr>
        <w:t xml:space="preserve"> reveals that</w:t>
      </w:r>
      <w:r>
        <w:rPr>
          <w:lang w:val="en-US"/>
        </w:rPr>
        <w:t xml:space="preserve"> t</w:t>
      </w:r>
      <w:r w:rsidRPr="00A22DE9">
        <w:rPr>
          <w:lang w:val="en-US"/>
        </w:rPr>
        <w:t>he indicators all perform quite well in terms of signaling alarms well in advance of crisis onset. For example, the signals from credit-to-GDP (Figure 1) successfully signal the most recent financial crisis in Denmark, Spain, France, Greece, Ireland, Portugal, and Sweden. However</w:t>
      </w:r>
      <w:r>
        <w:rPr>
          <w:lang w:val="en-US"/>
        </w:rPr>
        <w:t>,</w:t>
      </w:r>
      <w:r w:rsidRPr="00A22DE9">
        <w:rPr>
          <w:lang w:val="en-US"/>
        </w:rPr>
        <w:t xml:space="preserve"> the indicator also alarms for Austria, Belgium, and Italy, </w:t>
      </w:r>
      <w:r>
        <w:rPr>
          <w:lang w:val="en-US"/>
        </w:rPr>
        <w:t xml:space="preserve">none of </w:t>
      </w:r>
      <w:r w:rsidRPr="00A22DE9">
        <w:rPr>
          <w:lang w:val="en-US"/>
        </w:rPr>
        <w:t>which</w:t>
      </w:r>
      <w:r>
        <w:rPr>
          <w:lang w:val="en-US"/>
        </w:rPr>
        <w:t xml:space="preserve"> experienced systemic crises according to the </w:t>
      </w:r>
      <w:r w:rsidRPr="00A22DE9">
        <w:rPr>
          <w:lang w:val="en-US"/>
        </w:rPr>
        <w:t>crisis dataset.</w:t>
      </w:r>
      <w:r w:rsidRPr="00A22DE9">
        <w:rPr>
          <w:rStyle w:val="Alaviitteenviite"/>
          <w:rFonts w:eastAsiaTheme="minorEastAsia" w:cs="Times New Roman"/>
          <w:szCs w:val="24"/>
          <w:lang w:val="en-US"/>
        </w:rPr>
        <w:footnoteReference w:id="11"/>
      </w:r>
      <w:r w:rsidR="00F8068C">
        <w:rPr>
          <w:lang w:val="en-US"/>
        </w:rPr>
        <w:t xml:space="preserve"> The visual inspection also shows that in most cases the period of explosive growth </w:t>
      </w:r>
      <w:r w:rsidR="00E32B1A">
        <w:rPr>
          <w:lang w:val="en-US"/>
        </w:rPr>
        <w:t xml:space="preserve">of house prices or the credit-to-GDP ratio begun many years before the outbreak of the crisis and often well before the defined pre-crisis period. This is especially true for the 2008 </w:t>
      </w:r>
      <w:r w:rsidR="003D1789">
        <w:rPr>
          <w:lang w:val="en-US"/>
        </w:rPr>
        <w:t>financial crisis</w:t>
      </w:r>
      <w:r w:rsidR="00D50937">
        <w:rPr>
          <w:lang w:val="en-US"/>
        </w:rPr>
        <w:t>;</w:t>
      </w:r>
      <w:r w:rsidR="003D1789">
        <w:rPr>
          <w:lang w:val="en-US"/>
        </w:rPr>
        <w:t xml:space="preserve"> </w:t>
      </w:r>
      <w:r w:rsidR="00D50937">
        <w:rPr>
          <w:lang w:val="en-US"/>
        </w:rPr>
        <w:t xml:space="preserve">the bubble periods </w:t>
      </w:r>
      <w:r w:rsidR="003D1789">
        <w:rPr>
          <w:lang w:val="en-US"/>
        </w:rPr>
        <w:t>in earlier crises in house prices and debt seem to have been shorter.</w:t>
      </w:r>
    </w:p>
    <w:p w14:paraId="5092F3E9" w14:textId="30B50663" w:rsidR="00454B57" w:rsidRPr="00760F64" w:rsidRDefault="00454B57" w:rsidP="00454B57">
      <w:pPr>
        <w:spacing w:line="360" w:lineRule="auto"/>
        <w:rPr>
          <w:rFonts w:eastAsiaTheme="minorEastAsia"/>
          <w:lang w:val="en-US"/>
        </w:rPr>
      </w:pPr>
      <w:r w:rsidRPr="00A22DE9">
        <w:rPr>
          <w:lang w:val="en-US"/>
        </w:rPr>
        <w:t>Table</w:t>
      </w:r>
      <w:r>
        <w:rPr>
          <w:lang w:val="en-US"/>
        </w:rPr>
        <w:t xml:space="preserve"> 3 reports the performance of the exuberance indicators using the whole sample. Results for the in</w:t>
      </w:r>
      <w:r w:rsidRPr="00760F64">
        <w:rPr>
          <w:lang w:val="en-US"/>
        </w:rPr>
        <w:t>-sample optimized signaling approach are presented for comparison (see e.g. Detken et al</w:t>
      </w:r>
      <w:r w:rsidRPr="00760F64">
        <w:rPr>
          <w:i/>
          <w:lang w:val="en-US"/>
        </w:rPr>
        <w:t>.</w:t>
      </w:r>
      <w:r w:rsidR="00C26E83" w:rsidRPr="00760F64">
        <w:rPr>
          <w:lang w:val="en-US"/>
        </w:rPr>
        <w:t>,</w:t>
      </w:r>
      <w:r w:rsidRPr="00760F64">
        <w:rPr>
          <w:lang w:val="en-US"/>
        </w:rPr>
        <w:t xml:space="preserve"> 2014). The policymaker’s preference parameter </w:t>
      </w:r>
      <m:oMath>
        <m:r>
          <w:rPr>
            <w:rFonts w:ascii="Cambria Math" w:hAnsi="Cambria Math"/>
            <w:lang w:val="en-US"/>
          </w:rPr>
          <m:t>θ</m:t>
        </m:r>
      </m:oMath>
      <w:r w:rsidRPr="00760F64">
        <w:rPr>
          <w:rFonts w:eastAsiaTheme="minorEastAsia"/>
          <w:lang w:val="en-US"/>
        </w:rPr>
        <w:t xml:space="preserve"> is set to 0.5 </w:t>
      </w:r>
      <w:r w:rsidRPr="00760F64">
        <w:rPr>
          <w:lang w:val="en-US"/>
        </w:rPr>
        <w:t xml:space="preserve">and the sensitivity parameter </w:t>
      </w:r>
      <w:r w:rsidRPr="00760F64">
        <w:rPr>
          <w:rFonts w:cs="Times New Roman"/>
          <w:lang w:val="en-US"/>
        </w:rPr>
        <w:t>α</w:t>
      </w:r>
      <w:r w:rsidRPr="00760F64">
        <w:rPr>
          <w:lang w:val="en-US"/>
        </w:rPr>
        <w:t xml:space="preserve"> is optimized in sample to maximize usefulness.</w:t>
      </w:r>
      <w:r w:rsidRPr="00760F64">
        <w:rPr>
          <w:rStyle w:val="Alaviitteenviite"/>
          <w:lang w:val="en-US"/>
        </w:rPr>
        <w:footnoteReference w:id="12"/>
      </w:r>
      <w:r w:rsidRPr="00760F64">
        <w:rPr>
          <w:lang w:val="en-US"/>
        </w:rPr>
        <w:t xml:space="preserve"> R</w:t>
      </w:r>
      <w:r w:rsidRPr="00760F64">
        <w:rPr>
          <w:rFonts w:eastAsiaTheme="minorEastAsia"/>
          <w:lang w:val="en-US"/>
        </w:rPr>
        <w:t>obustness check</w:t>
      </w:r>
      <w:r w:rsidR="00C26E83" w:rsidRPr="00760F64">
        <w:rPr>
          <w:rFonts w:eastAsiaTheme="minorEastAsia"/>
          <w:lang w:val="en-US"/>
        </w:rPr>
        <w:t>s</w:t>
      </w:r>
      <w:r w:rsidRPr="00760F64">
        <w:rPr>
          <w:rFonts w:eastAsiaTheme="minorEastAsia"/>
          <w:lang w:val="en-US"/>
        </w:rPr>
        <w:t xml:space="preserve"> with higher values of </w:t>
      </w:r>
      <m:oMath>
        <m:r>
          <w:rPr>
            <w:rFonts w:ascii="Cambria Math" w:hAnsi="Cambria Math"/>
            <w:lang w:val="en-US"/>
          </w:rPr>
          <m:t>θ</m:t>
        </m:r>
      </m:oMath>
      <w:r w:rsidRPr="00760F64">
        <w:rPr>
          <w:rFonts w:eastAsiaTheme="minorEastAsia"/>
          <w:lang w:val="en-US"/>
        </w:rPr>
        <w:t xml:space="preserve"> and fixed </w:t>
      </w:r>
      <w:r w:rsidRPr="00760F64">
        <w:rPr>
          <w:rFonts w:cs="Times New Roman"/>
          <w:lang w:val="en-US"/>
        </w:rPr>
        <w:t>α</w:t>
      </w:r>
      <w:r w:rsidRPr="00760F64">
        <w:rPr>
          <w:rFonts w:eastAsiaTheme="minorEastAsia"/>
          <w:lang w:val="en-US"/>
        </w:rPr>
        <w:t xml:space="preserve"> are reported in Section 5</w:t>
      </w:r>
      <w:r w:rsidR="00C26E83" w:rsidRPr="00760F64">
        <w:rPr>
          <w:rFonts w:eastAsiaTheme="minorEastAsia"/>
          <w:lang w:val="en-US"/>
        </w:rPr>
        <w:t>D</w:t>
      </w:r>
      <w:r w:rsidRPr="00760F64">
        <w:rPr>
          <w:lang w:val="en-US"/>
        </w:rPr>
        <w:t xml:space="preserve">. </w:t>
      </w:r>
      <w:r w:rsidRPr="00760F64">
        <w:rPr>
          <w:rFonts w:eastAsiaTheme="minorEastAsia"/>
          <w:lang w:val="en-US"/>
        </w:rPr>
        <w:t>The exuberance indicators and benchmark signaling model have quite similar performance. Compared to the exuberance indicators, the usefulness statistics of the signaling method are slightly higher and the AUROC statistics slightly lower on average, when the whole sample is used for evaluation. However, none of the differences in AUROC statistics are statistically significant.</w:t>
      </w:r>
      <w:r w:rsidRPr="00760F64">
        <w:rPr>
          <w:rStyle w:val="Alaviitteenviite"/>
          <w:rFonts w:eastAsiaTheme="minorEastAsia"/>
          <w:lang w:val="en-US"/>
        </w:rPr>
        <w:footnoteReference w:id="13"/>
      </w:r>
      <w:r w:rsidRPr="00760F64">
        <w:rPr>
          <w:rFonts w:eastAsiaTheme="minorEastAsia"/>
          <w:lang w:val="en-US"/>
        </w:rPr>
        <w:t xml:space="preserve"> Credit-to-GDP ratios, debt service ratios and house price</w:t>
      </w:r>
      <w:r w:rsidR="00C26E83" w:rsidRPr="00760F64">
        <w:rPr>
          <w:rFonts w:eastAsiaTheme="minorEastAsia"/>
          <w:lang w:val="en-US"/>
        </w:rPr>
        <w:t>-</w:t>
      </w:r>
      <w:r w:rsidRPr="00760F64">
        <w:rPr>
          <w:rFonts w:eastAsiaTheme="minorEastAsia"/>
          <w:lang w:val="en-US"/>
        </w:rPr>
        <w:t>to</w:t>
      </w:r>
      <w:r w:rsidR="00C26E83" w:rsidRPr="00760F64">
        <w:rPr>
          <w:rFonts w:eastAsiaTheme="minorEastAsia"/>
          <w:lang w:val="en-US"/>
        </w:rPr>
        <w:t>-</w:t>
      </w:r>
      <w:r w:rsidRPr="00760F64">
        <w:rPr>
          <w:rFonts w:eastAsiaTheme="minorEastAsia"/>
          <w:lang w:val="en-US"/>
        </w:rPr>
        <w:t>income ratios seem to work well with both methods.</w:t>
      </w:r>
    </w:p>
    <w:p w14:paraId="30A41659" w14:textId="2A63929D" w:rsidR="00454B57" w:rsidRDefault="00454B57" w:rsidP="00454B57">
      <w:pPr>
        <w:spacing w:line="360" w:lineRule="auto"/>
        <w:rPr>
          <w:lang w:val="en-US"/>
        </w:rPr>
      </w:pPr>
      <w:r w:rsidRPr="00760F64">
        <w:rPr>
          <w:lang w:val="en-US"/>
        </w:rPr>
        <w:t xml:space="preserve">In Table 4, we consider an out-of-sample evaluation, where the policymaker decides on the parameter α and threshold for the signaling method based on 1980–1999 training data given the policymaker’s preference parameter </w:t>
      </w:r>
      <m:oMath>
        <m:r>
          <w:rPr>
            <w:rFonts w:ascii="Cambria Math" w:hAnsi="Cambria Math"/>
            <w:lang w:val="en-US"/>
          </w:rPr>
          <m:t xml:space="preserve">θ </m:t>
        </m:r>
      </m:oMath>
      <w:r w:rsidRPr="00760F64">
        <w:rPr>
          <w:rFonts w:eastAsiaTheme="minorEastAsia"/>
          <w:lang w:val="en-US"/>
        </w:rPr>
        <w:t>=</w:t>
      </w:r>
      <w:r w:rsidR="00C26E83" w:rsidRPr="00760F64">
        <w:rPr>
          <w:rFonts w:eastAsiaTheme="minorEastAsia"/>
          <w:lang w:val="en-US"/>
        </w:rPr>
        <w:t xml:space="preserve"> </w:t>
      </w:r>
      <w:r w:rsidRPr="00760F64">
        <w:rPr>
          <w:rFonts w:eastAsiaTheme="minorEastAsia"/>
          <w:lang w:val="en-US"/>
        </w:rPr>
        <w:t>0.5</w:t>
      </w:r>
      <w:r w:rsidRPr="00760F64">
        <w:rPr>
          <w:lang w:val="en-US"/>
        </w:rPr>
        <w:t>. The performance is subsequently measured in the following period (2003 to 2012).</w:t>
      </w:r>
      <w:r w:rsidRPr="00760F64">
        <w:rPr>
          <w:rStyle w:val="Alaviitteenviite"/>
          <w:lang w:val="en-US"/>
        </w:rPr>
        <w:footnoteReference w:id="14"/>
      </w:r>
      <w:r w:rsidRPr="00760F64">
        <w:rPr>
          <w:lang w:val="en-US"/>
        </w:rPr>
        <w:t xml:space="preserve"> </w:t>
      </w:r>
      <w:r w:rsidRPr="00760F64">
        <w:rPr>
          <w:rFonts w:eastAsiaTheme="minorEastAsia"/>
          <w:lang w:val="en-US"/>
        </w:rPr>
        <w:t>In the out-of-sample evaluation, the exuberance indicators are more robust than the signaling method and produce higher usefulness and AUROC statistics on average.</w:t>
      </w:r>
      <w:r w:rsidRPr="00760F64">
        <w:rPr>
          <w:lang w:val="en-US"/>
        </w:rPr>
        <w:t xml:space="preserve"> Results for higher </w:t>
      </w:r>
      <m:oMath>
        <m:r>
          <w:rPr>
            <w:rFonts w:ascii="Cambria Math" w:hAnsi="Cambria Math"/>
            <w:lang w:val="en-US"/>
          </w:rPr>
          <m:t>θ</m:t>
        </m:r>
      </m:oMath>
      <w:r w:rsidRPr="00760F64">
        <w:rPr>
          <w:rStyle w:val="Alaviitteenviite"/>
          <w:lang w:val="en-US"/>
        </w:rPr>
        <w:t xml:space="preserve"> </w:t>
      </w:r>
      <w:r w:rsidRPr="00760F64">
        <w:rPr>
          <w:lang w:val="en-US"/>
        </w:rPr>
        <w:t>and fixed α are reported in Section 5</w:t>
      </w:r>
      <w:r w:rsidR="00C26E83" w:rsidRPr="00760F64">
        <w:rPr>
          <w:lang w:val="en-US"/>
        </w:rPr>
        <w:t>D</w:t>
      </w:r>
      <w:r w:rsidRPr="00760F64">
        <w:rPr>
          <w:lang w:val="en-US"/>
        </w:rPr>
        <w:t xml:space="preserve"> as robustness check. It turns out that optimizing α with a training period, as opposed to using fixed</w:t>
      </w:r>
      <w:r>
        <w:rPr>
          <w:lang w:val="en-US"/>
        </w:rPr>
        <w:t xml:space="preserve"> </w:t>
      </w:r>
      <w:r w:rsidRPr="00A22DE9">
        <w:rPr>
          <w:lang w:val="en-US"/>
        </w:rPr>
        <w:t>α</w:t>
      </w:r>
      <w:r>
        <w:rPr>
          <w:lang w:val="en-US"/>
        </w:rPr>
        <w:t xml:space="preserve">, has only a small effect on the usefulness. This means </w:t>
      </w:r>
      <w:r w:rsidR="00C26E83">
        <w:rPr>
          <w:lang w:val="en-US"/>
        </w:rPr>
        <w:t xml:space="preserve">our </w:t>
      </w:r>
      <w:r>
        <w:rPr>
          <w:lang w:val="en-US"/>
        </w:rPr>
        <w:t xml:space="preserve">initial guess of </w:t>
      </w:r>
      <w:r w:rsidRPr="00A22DE9">
        <w:rPr>
          <w:lang w:val="en-US"/>
        </w:rPr>
        <w:t>α</w:t>
      </w:r>
      <w:r w:rsidR="00C26E83">
        <w:rPr>
          <w:lang w:val="en-US"/>
        </w:rPr>
        <w:t xml:space="preserve"> </w:t>
      </w:r>
      <w:r>
        <w:rPr>
          <w:lang w:val="en-US"/>
        </w:rPr>
        <w:t>=</w:t>
      </w:r>
      <w:r w:rsidR="00C26E83">
        <w:rPr>
          <w:lang w:val="en-US"/>
        </w:rPr>
        <w:t xml:space="preserve"> </w:t>
      </w:r>
      <w:r>
        <w:rPr>
          <w:lang w:val="en-US"/>
        </w:rPr>
        <w:t xml:space="preserve">0.05 was </w:t>
      </w:r>
      <w:r w:rsidR="00C26E83">
        <w:rPr>
          <w:lang w:val="en-US"/>
        </w:rPr>
        <w:t xml:space="preserve">quite reasonable, </w:t>
      </w:r>
      <w:r>
        <w:rPr>
          <w:lang w:val="en-US"/>
        </w:rPr>
        <w:t xml:space="preserve">and </w:t>
      </w:r>
      <w:r w:rsidR="00C26E83">
        <w:rPr>
          <w:lang w:val="en-US"/>
        </w:rPr>
        <w:t xml:space="preserve">that </w:t>
      </w:r>
      <w:r>
        <w:rPr>
          <w:lang w:val="en-US"/>
        </w:rPr>
        <w:t xml:space="preserve">there is not enough past data to improve on </w:t>
      </w:r>
      <w:r w:rsidR="00C26E83">
        <w:rPr>
          <w:lang w:val="en-US"/>
        </w:rPr>
        <w:t>it</w:t>
      </w:r>
      <w:r>
        <w:rPr>
          <w:lang w:val="en-US"/>
        </w:rPr>
        <w:t xml:space="preserve">. This also highlights one benefit we claim the exuberance indicators have over other methods, namely that it is </w:t>
      </w:r>
      <w:r w:rsidR="00C212DD">
        <w:rPr>
          <w:lang w:val="en-US"/>
        </w:rPr>
        <w:t xml:space="preserve">often </w:t>
      </w:r>
      <w:r w:rsidR="00C26E83">
        <w:rPr>
          <w:lang w:val="en-US"/>
        </w:rPr>
        <w:t>un</w:t>
      </w:r>
      <w:r>
        <w:rPr>
          <w:lang w:val="en-US"/>
        </w:rPr>
        <w:t>necessary to rely on</w:t>
      </w:r>
      <w:r w:rsidR="00C212DD">
        <w:rPr>
          <w:lang w:val="en-US"/>
        </w:rPr>
        <w:t xml:space="preserve"> extensive</w:t>
      </w:r>
      <w:r>
        <w:rPr>
          <w:lang w:val="en-US"/>
        </w:rPr>
        <w:t xml:space="preserve"> historical data to estimate any parameters.</w:t>
      </w:r>
    </w:p>
    <w:p w14:paraId="21FA32F8" w14:textId="42683C50" w:rsidR="005C6750" w:rsidRDefault="00D468DB">
      <w:pPr>
        <w:spacing w:line="360" w:lineRule="auto"/>
        <w:rPr>
          <w:rFonts w:eastAsiaTheme="minorEastAsia"/>
          <w:lang w:val="en-US"/>
        </w:rPr>
      </w:pPr>
      <w:r>
        <w:rPr>
          <w:lang w:val="en-US"/>
        </w:rPr>
        <w:t>Summarizing the single variable results so far,</w:t>
      </w:r>
      <w:r w:rsidR="005C6750">
        <w:rPr>
          <w:lang w:val="en-US"/>
        </w:rPr>
        <w:t xml:space="preserve"> what we have vaguely characterized as a “debt bubble” seems to be </w:t>
      </w:r>
      <w:r w:rsidR="0022726A">
        <w:rPr>
          <w:lang w:val="en-US"/>
        </w:rPr>
        <w:t>a good</w:t>
      </w:r>
      <w:r w:rsidR="005C6750">
        <w:rPr>
          <w:lang w:val="en-US"/>
        </w:rPr>
        <w:t xml:space="preserve"> predictor of an upcoming financial crisis. </w:t>
      </w:r>
      <w:r w:rsidR="0059317D">
        <w:rPr>
          <w:lang w:val="en-US"/>
        </w:rPr>
        <w:t xml:space="preserve">Highest </w:t>
      </w:r>
      <w:r w:rsidR="005D4275">
        <w:rPr>
          <w:lang w:val="en-US"/>
        </w:rPr>
        <w:t xml:space="preserve">usefulness </w:t>
      </w:r>
      <w:r w:rsidR="0059317D">
        <w:rPr>
          <w:lang w:val="en-US"/>
        </w:rPr>
        <w:t xml:space="preserve">values are obtained </w:t>
      </w:r>
      <w:r>
        <w:rPr>
          <w:lang w:val="en-US"/>
        </w:rPr>
        <w:t xml:space="preserve">with </w:t>
      </w:r>
      <w:r w:rsidR="0059317D">
        <w:rPr>
          <w:lang w:val="en-US"/>
        </w:rPr>
        <w:t>the credit</w:t>
      </w:r>
      <w:r w:rsidR="008C01B7">
        <w:rPr>
          <w:lang w:val="en-US"/>
        </w:rPr>
        <w:t>-</w:t>
      </w:r>
      <w:r w:rsidR="0059317D">
        <w:rPr>
          <w:lang w:val="en-US"/>
        </w:rPr>
        <w:t>to</w:t>
      </w:r>
      <w:r w:rsidR="008C01B7">
        <w:rPr>
          <w:lang w:val="en-US"/>
        </w:rPr>
        <w:t>-</w:t>
      </w:r>
      <w:r w:rsidR="0059317D">
        <w:rPr>
          <w:lang w:val="en-US"/>
        </w:rPr>
        <w:t xml:space="preserve">GDP ratios. </w:t>
      </w:r>
      <w:r w:rsidR="008C01B7">
        <w:rPr>
          <w:lang w:val="en-US"/>
        </w:rPr>
        <w:t>The h</w:t>
      </w:r>
      <w:r w:rsidR="005C6750">
        <w:rPr>
          <w:lang w:val="en-US"/>
        </w:rPr>
        <w:t xml:space="preserve">ousehold debt service ratio is also among the most useful indicators, even though using the exuberance indicator with it is not directly supported by </w:t>
      </w:r>
      <w:r w:rsidR="005D4275">
        <w:rPr>
          <w:lang w:val="en-US"/>
        </w:rPr>
        <w:t xml:space="preserve">existing </w:t>
      </w:r>
      <w:r w:rsidR="005C6750">
        <w:rPr>
          <w:lang w:val="en-US"/>
        </w:rPr>
        <w:t xml:space="preserve">theory. </w:t>
      </w:r>
      <w:r w:rsidR="0059317D">
        <w:rPr>
          <w:lang w:val="en-US"/>
        </w:rPr>
        <w:t xml:space="preserve">Indicators </w:t>
      </w:r>
      <w:r w:rsidR="003D1789">
        <w:rPr>
          <w:lang w:val="en-US"/>
        </w:rPr>
        <w:t>derived from r</w:t>
      </w:r>
      <w:r w:rsidR="005C6750">
        <w:rPr>
          <w:lang w:val="en-US"/>
        </w:rPr>
        <w:t>eal</w:t>
      </w:r>
      <w:r w:rsidR="008C01B7">
        <w:rPr>
          <w:lang w:val="en-US"/>
        </w:rPr>
        <w:t xml:space="preserve"> </w:t>
      </w:r>
      <w:r w:rsidR="005C6750">
        <w:rPr>
          <w:lang w:val="en-US"/>
        </w:rPr>
        <w:t xml:space="preserve">estate </w:t>
      </w:r>
      <w:r w:rsidR="003D1789">
        <w:rPr>
          <w:lang w:val="en-US"/>
        </w:rPr>
        <w:t>prices also perform well</w:t>
      </w:r>
      <w:r w:rsidR="008C01B7">
        <w:rPr>
          <w:lang w:val="en-US"/>
        </w:rPr>
        <w:t xml:space="preserve">, </w:t>
      </w:r>
      <w:r w:rsidR="005C6750">
        <w:rPr>
          <w:lang w:val="en-US"/>
        </w:rPr>
        <w:t>but generally rank lower than the debt</w:t>
      </w:r>
      <w:r w:rsidR="008C01B7">
        <w:rPr>
          <w:lang w:val="en-US"/>
        </w:rPr>
        <w:t>-</w:t>
      </w:r>
      <w:r w:rsidR="005C6750">
        <w:rPr>
          <w:lang w:val="en-US"/>
        </w:rPr>
        <w:t xml:space="preserve">based variables. </w:t>
      </w:r>
      <w:r w:rsidR="005C6750">
        <w:rPr>
          <w:rFonts w:eastAsiaTheme="minorEastAsia"/>
          <w:lang w:val="en-US"/>
        </w:rPr>
        <w:t>Usefulness of the real estate data also depends on the data source. The Dallas Fe</w:t>
      </w:r>
      <w:r w:rsidR="00BB0705">
        <w:rPr>
          <w:rFonts w:eastAsiaTheme="minorEastAsia"/>
          <w:lang w:val="en-US"/>
        </w:rPr>
        <w:t>d’s</w:t>
      </w:r>
      <w:r w:rsidR="005C6750">
        <w:rPr>
          <w:rFonts w:eastAsiaTheme="minorEastAsia"/>
          <w:lang w:val="en-US"/>
        </w:rPr>
        <w:t xml:space="preserve"> International House Price </w:t>
      </w:r>
      <w:r w:rsidR="008C01B7">
        <w:rPr>
          <w:rFonts w:eastAsiaTheme="minorEastAsia"/>
          <w:lang w:val="en-US"/>
        </w:rPr>
        <w:t xml:space="preserve">Database </w:t>
      </w:r>
      <w:r w:rsidR="005C6750">
        <w:rPr>
          <w:rFonts w:eastAsiaTheme="minorEastAsia"/>
          <w:lang w:val="en-US"/>
        </w:rPr>
        <w:t xml:space="preserve">seems to </w:t>
      </w:r>
      <w:r w:rsidR="008C01B7">
        <w:rPr>
          <w:rFonts w:eastAsiaTheme="minorEastAsia"/>
          <w:lang w:val="en-US"/>
        </w:rPr>
        <w:t xml:space="preserve">provide </w:t>
      </w:r>
      <w:r w:rsidR="005C6750">
        <w:rPr>
          <w:rFonts w:eastAsiaTheme="minorEastAsia"/>
          <w:lang w:val="en-US"/>
        </w:rPr>
        <w:t xml:space="preserve">the most useful </w:t>
      </w:r>
      <w:r w:rsidR="008C01B7">
        <w:rPr>
          <w:rFonts w:eastAsiaTheme="minorEastAsia"/>
          <w:lang w:val="en-US"/>
        </w:rPr>
        <w:t xml:space="preserve">data source </w:t>
      </w:r>
      <w:r w:rsidR="005C6750">
        <w:rPr>
          <w:rFonts w:eastAsiaTheme="minorEastAsia"/>
          <w:lang w:val="en-US"/>
        </w:rPr>
        <w:t xml:space="preserve">in this evaluation. </w:t>
      </w:r>
      <w:r w:rsidR="008C01B7">
        <w:rPr>
          <w:rFonts w:eastAsiaTheme="minorEastAsia"/>
          <w:lang w:val="en-US"/>
        </w:rPr>
        <w:t xml:space="preserve">While it only </w:t>
      </w:r>
      <w:r w:rsidR="005C6750">
        <w:rPr>
          <w:rFonts w:eastAsiaTheme="minorEastAsia"/>
          <w:lang w:val="en-US"/>
        </w:rPr>
        <w:t>includes 12 of the 15 countries in our evaluation, the result</w:t>
      </w:r>
      <w:r>
        <w:rPr>
          <w:rFonts w:eastAsiaTheme="minorEastAsia"/>
          <w:lang w:val="en-US"/>
        </w:rPr>
        <w:t xml:space="preserve"> is the same</w:t>
      </w:r>
      <w:r w:rsidR="005C6750">
        <w:rPr>
          <w:rFonts w:eastAsiaTheme="minorEastAsia"/>
          <w:lang w:val="en-US"/>
        </w:rPr>
        <w:t xml:space="preserve"> also when looking at the common sample.</w:t>
      </w:r>
      <w:r w:rsidR="003D1789">
        <w:rPr>
          <w:rFonts w:eastAsiaTheme="minorEastAsia"/>
          <w:lang w:val="en-US"/>
        </w:rPr>
        <w:t xml:space="preserve"> </w:t>
      </w:r>
      <w:r w:rsidR="007A483C">
        <w:rPr>
          <w:rFonts w:eastAsiaTheme="minorEastAsia"/>
          <w:lang w:val="en-US"/>
        </w:rPr>
        <w:t>T</w:t>
      </w:r>
      <w:r w:rsidR="003D1789">
        <w:rPr>
          <w:rFonts w:eastAsiaTheme="minorEastAsia"/>
          <w:lang w:val="en-US"/>
        </w:rPr>
        <w:t xml:space="preserve">he periods of explosive growth preceding a financial crisis </w:t>
      </w:r>
      <w:r w:rsidR="00777ED7">
        <w:rPr>
          <w:rFonts w:eastAsiaTheme="minorEastAsia"/>
          <w:lang w:val="en-US"/>
        </w:rPr>
        <w:t>are generally longer than our pre-crisis window</w:t>
      </w:r>
      <w:r w:rsidR="007A483C">
        <w:rPr>
          <w:rFonts w:eastAsiaTheme="minorEastAsia"/>
          <w:lang w:val="en-US"/>
        </w:rPr>
        <w:t>. This can be</w:t>
      </w:r>
      <w:r w:rsidR="00777ED7">
        <w:rPr>
          <w:rFonts w:eastAsiaTheme="minorEastAsia"/>
          <w:lang w:val="en-US"/>
        </w:rPr>
        <w:t xml:space="preserve"> seen clearly in the short sample evaluation (Table </w:t>
      </w:r>
      <w:r w:rsidR="00090D5E">
        <w:rPr>
          <w:rFonts w:eastAsiaTheme="minorEastAsia"/>
          <w:lang w:val="en-US"/>
        </w:rPr>
        <w:t>4</w:t>
      </w:r>
      <w:r w:rsidR="00777ED7">
        <w:rPr>
          <w:rFonts w:eastAsiaTheme="minorEastAsia"/>
          <w:lang w:val="en-US"/>
        </w:rPr>
        <w:t>)</w:t>
      </w:r>
      <w:r w:rsidR="008C01B7">
        <w:rPr>
          <w:rFonts w:eastAsiaTheme="minorEastAsia"/>
          <w:lang w:val="en-US"/>
        </w:rPr>
        <w:t>. F</w:t>
      </w:r>
      <w:r w:rsidR="00777ED7">
        <w:rPr>
          <w:rFonts w:eastAsiaTheme="minorEastAsia"/>
          <w:lang w:val="en-US"/>
        </w:rPr>
        <w:t>alse positive rates of most variables are high</w:t>
      </w:r>
      <w:r w:rsidR="00090D5E">
        <w:rPr>
          <w:rFonts w:eastAsiaTheme="minorEastAsia"/>
          <w:lang w:val="en-US"/>
        </w:rPr>
        <w:t xml:space="preserve"> owing to </w:t>
      </w:r>
      <w:r w:rsidR="00777ED7">
        <w:rPr>
          <w:rFonts w:eastAsiaTheme="minorEastAsia"/>
          <w:lang w:val="en-US"/>
        </w:rPr>
        <w:t>the explosive growth of credit and house prices</w:t>
      </w:r>
      <w:r w:rsidR="008C01B7">
        <w:rPr>
          <w:rFonts w:eastAsiaTheme="minorEastAsia"/>
          <w:lang w:val="en-US"/>
        </w:rPr>
        <w:t xml:space="preserve"> that </w:t>
      </w:r>
      <w:r w:rsidR="00777ED7">
        <w:rPr>
          <w:rFonts w:eastAsiaTheme="minorEastAsia"/>
          <w:lang w:val="en-US"/>
        </w:rPr>
        <w:t xml:space="preserve">began </w:t>
      </w:r>
      <w:r w:rsidR="008C01B7">
        <w:rPr>
          <w:rFonts w:eastAsiaTheme="minorEastAsia"/>
          <w:lang w:val="en-US"/>
        </w:rPr>
        <w:t xml:space="preserve">already </w:t>
      </w:r>
      <w:r w:rsidR="00777ED7">
        <w:rPr>
          <w:rFonts w:eastAsiaTheme="minorEastAsia"/>
          <w:lang w:val="en-US"/>
        </w:rPr>
        <w:t>in the early 2000s</w:t>
      </w:r>
      <w:r w:rsidR="007A483C">
        <w:rPr>
          <w:rFonts w:eastAsiaTheme="minorEastAsia"/>
          <w:lang w:val="en-US"/>
        </w:rPr>
        <w:t xml:space="preserve"> in most countries</w:t>
      </w:r>
      <w:r w:rsidR="00777ED7">
        <w:rPr>
          <w:rFonts w:eastAsiaTheme="minorEastAsia"/>
          <w:lang w:val="en-US"/>
        </w:rPr>
        <w:t>.</w:t>
      </w:r>
    </w:p>
    <w:p w14:paraId="16821762" w14:textId="77777777" w:rsidR="00AF445D" w:rsidRDefault="00AF445D" w:rsidP="00D06C83">
      <w:pPr>
        <w:spacing w:line="360" w:lineRule="auto"/>
        <w:rPr>
          <w:rFonts w:eastAsiaTheme="minorEastAsia"/>
          <w:lang w:val="en-US"/>
        </w:rPr>
      </w:pPr>
    </w:p>
    <w:p w14:paraId="657A8F6F" w14:textId="33DE8F0C" w:rsidR="007A483C" w:rsidRDefault="002A1A27" w:rsidP="00C212DD">
      <w:pPr>
        <w:pStyle w:val="Otsikko2"/>
        <w:rPr>
          <w:lang w:eastAsia="fi-FI"/>
        </w:rPr>
      </w:pPr>
      <w:r>
        <w:t>B.</w:t>
      </w:r>
      <w:r w:rsidR="004E6E53" w:rsidRPr="002A1A27">
        <w:t xml:space="preserve"> </w:t>
      </w:r>
      <w:r w:rsidR="00240C3A" w:rsidRPr="002A1A27">
        <w:t>Aggregating signals from multiple indicators</w:t>
      </w:r>
    </w:p>
    <w:p w14:paraId="29DD8C3D" w14:textId="33B64C05" w:rsidR="007B797A" w:rsidRPr="00C03DBA" w:rsidRDefault="007A483C" w:rsidP="00AF6EAB">
      <w:pPr>
        <w:spacing w:line="360" w:lineRule="auto"/>
        <w:ind w:firstLine="562"/>
        <w:rPr>
          <w:lang w:val="en-US" w:eastAsia="fi-FI"/>
        </w:rPr>
      </w:pPr>
      <w:r>
        <w:rPr>
          <w:lang w:val="en-US" w:eastAsia="fi-FI"/>
        </w:rPr>
        <w:t xml:space="preserve">Hypothesizing that a </w:t>
      </w:r>
      <w:r w:rsidR="002850E1">
        <w:rPr>
          <w:lang w:val="en-US" w:eastAsia="fi-FI"/>
        </w:rPr>
        <w:t>policymaker</w:t>
      </w:r>
      <w:r>
        <w:rPr>
          <w:lang w:val="en-US" w:eastAsia="fi-FI"/>
        </w:rPr>
        <w:t xml:space="preserve"> could benefit from combining </w:t>
      </w:r>
      <w:r w:rsidR="00A7355C">
        <w:rPr>
          <w:lang w:val="en-US" w:eastAsia="fi-FI"/>
        </w:rPr>
        <w:t>several indicator</w:t>
      </w:r>
      <w:r w:rsidR="00CF6396">
        <w:rPr>
          <w:lang w:val="en-US" w:eastAsia="fi-FI"/>
        </w:rPr>
        <w:t>s</w:t>
      </w:r>
      <w:r>
        <w:rPr>
          <w:lang w:val="en-US" w:eastAsia="fi-FI"/>
        </w:rPr>
        <w:t>, w</w:t>
      </w:r>
      <w:r w:rsidR="00987EE2" w:rsidRPr="00C03DBA">
        <w:rPr>
          <w:lang w:val="en-US" w:eastAsia="fi-FI"/>
        </w:rPr>
        <w:t xml:space="preserve">e form </w:t>
      </w:r>
      <w:r w:rsidR="00A7355C">
        <w:rPr>
          <w:lang w:val="en-US" w:eastAsia="fi-FI"/>
        </w:rPr>
        <w:t xml:space="preserve">composite exuberance indicators </w:t>
      </w:r>
      <w:r w:rsidR="007B797A" w:rsidRPr="00C03DBA">
        <w:rPr>
          <w:lang w:val="en-US" w:eastAsia="fi-FI"/>
        </w:rPr>
        <w:t xml:space="preserve">by taking a weighted sum of </w:t>
      </w:r>
      <w:r w:rsidR="00450B9D">
        <w:rPr>
          <w:lang w:val="en-US" w:eastAsia="fi-FI"/>
        </w:rPr>
        <w:t xml:space="preserve">signals from </w:t>
      </w:r>
      <w:r w:rsidR="00450B9D" w:rsidRPr="00450B9D">
        <w:rPr>
          <w:i/>
          <w:lang w:val="en-US" w:eastAsia="fi-FI"/>
        </w:rPr>
        <w:t>N</w:t>
      </w:r>
      <w:r w:rsidR="00450B9D">
        <w:rPr>
          <w:lang w:val="en-US" w:eastAsia="fi-FI"/>
        </w:rPr>
        <w:t xml:space="preserve"> </w:t>
      </w:r>
      <w:r w:rsidR="00ED2DFB">
        <w:rPr>
          <w:lang w:val="en-US" w:eastAsia="fi-FI"/>
        </w:rPr>
        <w:t xml:space="preserve">exuberance </w:t>
      </w:r>
      <w:r w:rsidR="00450B9D">
        <w:rPr>
          <w:lang w:val="en-US" w:eastAsia="fi-FI"/>
        </w:rPr>
        <w:t>indicators</w:t>
      </w:r>
      <w:r w:rsidR="007B797A" w:rsidRPr="00C03DBA">
        <w:rPr>
          <w:lang w:val="en-US" w:eastAsia="fi-FI"/>
        </w:rPr>
        <w:t>:</w:t>
      </w:r>
    </w:p>
    <w:p w14:paraId="3359BDC1" w14:textId="77777777" w:rsidR="007B797A" w:rsidRDefault="007B797A" w:rsidP="007B797A">
      <w:pPr>
        <w:spacing w:line="360" w:lineRule="auto"/>
        <w:ind w:firstLine="0"/>
        <w:rPr>
          <w:lang w:val="en-US" w:eastAsia="fi-FI"/>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712EFC" w14:paraId="30881E96" w14:textId="77777777" w:rsidTr="00D06C83">
        <w:tc>
          <w:tcPr>
            <w:tcW w:w="2155" w:type="dxa"/>
          </w:tcPr>
          <w:p w14:paraId="14D1546E" w14:textId="77777777" w:rsidR="00712EFC" w:rsidRDefault="00712EFC" w:rsidP="00A01142">
            <w:pPr>
              <w:spacing w:line="360" w:lineRule="auto"/>
              <w:ind w:firstLine="0"/>
              <w:rPr>
                <w:lang w:val="en-US"/>
              </w:rPr>
            </w:pPr>
          </w:p>
        </w:tc>
        <w:tc>
          <w:tcPr>
            <w:tcW w:w="6210" w:type="dxa"/>
          </w:tcPr>
          <w:p w14:paraId="3DA0C618" w14:textId="77777777" w:rsidR="00712EFC" w:rsidRPr="00712EFC" w:rsidRDefault="00182CAB" w:rsidP="00426866">
            <w:pPr>
              <w:spacing w:line="360" w:lineRule="auto"/>
              <w:ind w:firstLine="0"/>
              <w:rPr>
                <w:lang w:val="en-US"/>
              </w:rPr>
            </w:pPr>
            <m:oMathPara>
              <m:oMathParaPr>
                <m:jc m:val="left"/>
              </m:oMathParaPr>
              <m:oMath>
                <m:sSub>
                  <m:sSubPr>
                    <m:ctrlPr>
                      <w:rPr>
                        <w:rFonts w:ascii="Cambria Math" w:hAnsi="Cambria Math"/>
                        <w:lang w:val="en-US" w:eastAsia="fi-FI"/>
                      </w:rPr>
                    </m:ctrlPr>
                  </m:sSubPr>
                  <m:e>
                    <m:r>
                      <w:rPr>
                        <w:rFonts w:ascii="Cambria Math" w:hAnsi="Cambria Math"/>
                        <w:lang w:val="en-US" w:eastAsia="fi-FI"/>
                      </w:rPr>
                      <m:t>A</m:t>
                    </m:r>
                  </m:e>
                  <m:sub>
                    <m:r>
                      <w:rPr>
                        <w:rFonts w:ascii="Cambria Math" w:hAnsi="Cambria Math"/>
                        <w:lang w:val="en-US" w:eastAsia="fi-FI"/>
                      </w:rPr>
                      <m:t>N</m:t>
                    </m:r>
                  </m:sub>
                </m:sSub>
                <m:r>
                  <m:rPr>
                    <m:sty m:val="p"/>
                  </m:rPr>
                  <w:rPr>
                    <w:rFonts w:ascii="Cambria Math" w:hAnsi="Cambria Math"/>
                    <w:lang w:val="en-US" w:eastAsia="fi-FI"/>
                  </w:rPr>
                  <m:t>=</m:t>
                </m:r>
                <m:sSub>
                  <m:sSubPr>
                    <m:ctrlPr>
                      <w:rPr>
                        <w:rFonts w:ascii="Cambria Math" w:hAnsi="Cambria Math"/>
                        <w:lang w:val="en-US" w:eastAsia="fi-FI"/>
                      </w:rPr>
                    </m:ctrlPr>
                  </m:sSubPr>
                  <m:e>
                    <m:sSub>
                      <m:sSubPr>
                        <m:ctrlPr>
                          <w:rPr>
                            <w:rFonts w:ascii="Cambria Math" w:hAnsi="Cambria Math"/>
                            <w:lang w:val="en-US" w:eastAsia="fi-FI"/>
                          </w:rPr>
                        </m:ctrlPr>
                      </m:sSubPr>
                      <m:e>
                        <m:r>
                          <w:rPr>
                            <w:rFonts w:ascii="Cambria Math" w:hAnsi="Cambria Math"/>
                            <w:lang w:val="en-US" w:eastAsia="fi-FI"/>
                          </w:rPr>
                          <m:t>w</m:t>
                        </m:r>
                      </m:e>
                      <m:sub>
                        <m:r>
                          <m:rPr>
                            <m:sty m:val="p"/>
                          </m:rPr>
                          <w:rPr>
                            <w:rFonts w:ascii="Cambria Math" w:hAnsi="Cambria Math"/>
                            <w:lang w:val="en-US" w:eastAsia="fi-FI"/>
                          </w:rPr>
                          <m:t>1</m:t>
                        </m:r>
                      </m:sub>
                    </m:sSub>
                    <m:r>
                      <w:rPr>
                        <w:rFonts w:ascii="Cambria Math" w:hAnsi="Cambria Math"/>
                        <w:lang w:val="en-US" w:eastAsia="fi-FI"/>
                      </w:rPr>
                      <m:t>I</m:t>
                    </m:r>
                  </m:e>
                  <m:sub>
                    <m:r>
                      <m:rPr>
                        <m:sty m:val="p"/>
                      </m:rPr>
                      <w:rPr>
                        <w:rFonts w:ascii="Cambria Math" w:hAnsi="Cambria Math"/>
                        <w:lang w:val="en-US" w:eastAsia="fi-FI"/>
                      </w:rPr>
                      <m:t>1</m:t>
                    </m:r>
                  </m:sub>
                </m:sSub>
                <m:r>
                  <m:rPr>
                    <m:sty m:val="p"/>
                  </m:rPr>
                  <w:rPr>
                    <w:rFonts w:ascii="Cambria Math" w:hAnsi="Cambria Math"/>
                    <w:lang w:val="en-US" w:eastAsia="fi-FI"/>
                  </w:rPr>
                  <m:t>+</m:t>
                </m:r>
                <m:sSub>
                  <m:sSubPr>
                    <m:ctrlPr>
                      <w:rPr>
                        <w:rFonts w:ascii="Cambria Math" w:hAnsi="Cambria Math"/>
                        <w:lang w:val="en-US" w:eastAsia="fi-FI"/>
                      </w:rPr>
                    </m:ctrlPr>
                  </m:sSubPr>
                  <m:e>
                    <m:sSub>
                      <m:sSubPr>
                        <m:ctrlPr>
                          <w:rPr>
                            <w:rFonts w:ascii="Cambria Math" w:hAnsi="Cambria Math"/>
                            <w:lang w:val="en-US" w:eastAsia="fi-FI"/>
                          </w:rPr>
                        </m:ctrlPr>
                      </m:sSubPr>
                      <m:e>
                        <m:r>
                          <w:rPr>
                            <w:rFonts w:ascii="Cambria Math" w:hAnsi="Cambria Math"/>
                            <w:lang w:val="en-US" w:eastAsia="fi-FI"/>
                          </w:rPr>
                          <m:t>w</m:t>
                        </m:r>
                      </m:e>
                      <m:sub>
                        <m:r>
                          <m:rPr>
                            <m:sty m:val="p"/>
                          </m:rPr>
                          <w:rPr>
                            <w:rFonts w:ascii="Cambria Math" w:hAnsi="Cambria Math"/>
                            <w:lang w:val="en-US" w:eastAsia="fi-FI"/>
                          </w:rPr>
                          <m:t>2</m:t>
                        </m:r>
                      </m:sub>
                    </m:sSub>
                    <m:r>
                      <w:rPr>
                        <w:rFonts w:ascii="Cambria Math" w:hAnsi="Cambria Math"/>
                        <w:lang w:val="en-US" w:eastAsia="fi-FI"/>
                      </w:rPr>
                      <m:t>I</m:t>
                    </m:r>
                  </m:e>
                  <m:sub>
                    <m:r>
                      <m:rPr>
                        <m:sty m:val="p"/>
                      </m:rPr>
                      <w:rPr>
                        <w:rFonts w:ascii="Cambria Math" w:hAnsi="Cambria Math"/>
                        <w:lang w:val="en-US" w:eastAsia="fi-FI"/>
                      </w:rPr>
                      <m:t>2</m:t>
                    </m:r>
                  </m:sub>
                </m:sSub>
                <m:r>
                  <m:rPr>
                    <m:sty m:val="p"/>
                  </m:rPr>
                  <w:rPr>
                    <w:rFonts w:ascii="Cambria Math" w:hAnsi="Cambria Math"/>
                    <w:lang w:val="en-US" w:eastAsia="fi-FI"/>
                  </w:rPr>
                  <m:t>+…+</m:t>
                </m:r>
                <m:sSub>
                  <m:sSubPr>
                    <m:ctrlPr>
                      <w:rPr>
                        <w:rFonts w:ascii="Cambria Math" w:hAnsi="Cambria Math"/>
                        <w:lang w:val="en-US" w:eastAsia="fi-FI"/>
                      </w:rPr>
                    </m:ctrlPr>
                  </m:sSubPr>
                  <m:e>
                    <m:sSub>
                      <m:sSubPr>
                        <m:ctrlPr>
                          <w:rPr>
                            <w:rFonts w:ascii="Cambria Math" w:hAnsi="Cambria Math"/>
                            <w:lang w:val="en-US" w:eastAsia="fi-FI"/>
                          </w:rPr>
                        </m:ctrlPr>
                      </m:sSubPr>
                      <m:e>
                        <m:r>
                          <w:rPr>
                            <w:rFonts w:ascii="Cambria Math" w:hAnsi="Cambria Math"/>
                            <w:lang w:val="en-US" w:eastAsia="fi-FI"/>
                          </w:rPr>
                          <m:t>w</m:t>
                        </m:r>
                      </m:e>
                      <m:sub>
                        <m:r>
                          <w:rPr>
                            <w:rFonts w:ascii="Cambria Math" w:hAnsi="Cambria Math"/>
                            <w:lang w:val="en-US" w:eastAsia="fi-FI"/>
                          </w:rPr>
                          <m:t>N</m:t>
                        </m:r>
                      </m:sub>
                    </m:sSub>
                    <m:r>
                      <w:rPr>
                        <w:rFonts w:ascii="Cambria Math" w:hAnsi="Cambria Math"/>
                        <w:lang w:val="en-US" w:eastAsia="fi-FI"/>
                      </w:rPr>
                      <m:t>I</m:t>
                    </m:r>
                  </m:e>
                  <m:sub>
                    <m:r>
                      <w:rPr>
                        <w:rFonts w:ascii="Cambria Math" w:hAnsi="Cambria Math"/>
                        <w:lang w:val="en-US" w:eastAsia="fi-FI"/>
                      </w:rPr>
                      <m:t>N</m:t>
                    </m:r>
                  </m:sub>
                </m:sSub>
                <m:r>
                  <w:rPr>
                    <w:rFonts w:ascii="Cambria Math" w:hAnsi="Cambria Math"/>
                    <w:lang w:val="en-US" w:eastAsia="fi-FI"/>
                  </w:rPr>
                  <m:t xml:space="preserve"> ,</m:t>
                </m:r>
              </m:oMath>
            </m:oMathPara>
          </w:p>
        </w:tc>
        <w:tc>
          <w:tcPr>
            <w:tcW w:w="645" w:type="dxa"/>
          </w:tcPr>
          <w:p w14:paraId="5BDC6128" w14:textId="77777777" w:rsidR="00712EFC" w:rsidRDefault="00712EFC" w:rsidP="00A01142">
            <w:pPr>
              <w:spacing w:line="360" w:lineRule="auto"/>
              <w:ind w:firstLine="0"/>
              <w:rPr>
                <w:lang w:val="en-US"/>
              </w:rPr>
            </w:pPr>
            <w:r>
              <w:rPr>
                <w:lang w:val="en-US"/>
              </w:rPr>
              <w:t>(</w:t>
            </w:r>
            <w:r>
              <w:rPr>
                <w:lang w:val="en-US"/>
              </w:rPr>
              <w:fldChar w:fldCharType="begin"/>
            </w:r>
            <w:r>
              <w:rPr>
                <w:lang w:val="en-US"/>
              </w:rPr>
              <w:instrText xml:space="preserve"> SEQ Eq \* MERGEFORMAT </w:instrText>
            </w:r>
            <w:r>
              <w:rPr>
                <w:lang w:val="en-US"/>
              </w:rPr>
              <w:fldChar w:fldCharType="separate"/>
            </w:r>
            <w:r w:rsidR="003050F5">
              <w:rPr>
                <w:noProof/>
                <w:lang w:val="en-US"/>
              </w:rPr>
              <w:t>11</w:t>
            </w:r>
            <w:r>
              <w:rPr>
                <w:lang w:val="en-US"/>
              </w:rPr>
              <w:fldChar w:fldCharType="end"/>
            </w:r>
            <w:r>
              <w:rPr>
                <w:lang w:val="en-US"/>
              </w:rPr>
              <w:t>)</w:t>
            </w:r>
          </w:p>
        </w:tc>
      </w:tr>
    </w:tbl>
    <w:p w14:paraId="710A3F46" w14:textId="77777777" w:rsidR="00712EFC" w:rsidRPr="00C03DBA" w:rsidRDefault="00712EFC" w:rsidP="007B797A">
      <w:pPr>
        <w:spacing w:line="360" w:lineRule="auto"/>
        <w:ind w:firstLine="0"/>
        <w:rPr>
          <w:lang w:val="en-US" w:eastAsia="fi-FI"/>
        </w:rPr>
      </w:pPr>
    </w:p>
    <w:p w14:paraId="312A5804" w14:textId="7730DC60" w:rsidR="00450B9D" w:rsidRDefault="007B797A" w:rsidP="00450B9D">
      <w:pPr>
        <w:spacing w:line="360" w:lineRule="auto"/>
        <w:ind w:firstLine="0"/>
        <w:rPr>
          <w:lang w:val="en-US" w:eastAsia="fi-FI"/>
        </w:rPr>
      </w:pPr>
      <w:r w:rsidRPr="00C03DBA">
        <w:rPr>
          <w:lang w:val="en-US" w:eastAsia="fi-FI"/>
        </w:rPr>
        <w:t xml:space="preserve">where </w:t>
      </w:r>
      <m:oMath>
        <m:sSub>
          <m:sSubPr>
            <m:ctrlPr>
              <w:rPr>
                <w:rFonts w:ascii="Cambria Math" w:hAnsi="Cambria Math"/>
                <w:i/>
                <w:lang w:val="en-US" w:eastAsia="fi-FI"/>
              </w:rPr>
            </m:ctrlPr>
          </m:sSubPr>
          <m:e>
            <m:r>
              <w:rPr>
                <w:rFonts w:ascii="Cambria Math" w:hAnsi="Cambria Math"/>
                <w:lang w:val="en-US" w:eastAsia="fi-FI"/>
              </w:rPr>
              <m:t>w</m:t>
            </m:r>
          </m:e>
          <m:sub>
            <m:r>
              <w:rPr>
                <w:rFonts w:ascii="Cambria Math" w:hAnsi="Cambria Math"/>
                <w:lang w:val="en-US" w:eastAsia="fi-FI"/>
              </w:rPr>
              <m:t>i</m:t>
            </m:r>
          </m:sub>
        </m:sSub>
      </m:oMath>
      <w:r w:rsidRPr="00C03DBA">
        <w:rPr>
          <w:lang w:val="en-US" w:eastAsia="fi-FI"/>
        </w:rPr>
        <w:t xml:space="preserve"> are the weights</w:t>
      </w:r>
      <w:r w:rsidR="00987EE2" w:rsidRPr="00C03DBA">
        <w:rPr>
          <w:lang w:val="en-US" w:eastAsia="fi-FI"/>
        </w:rPr>
        <w:t xml:space="preserve"> and each </w:t>
      </w:r>
      <m:oMath>
        <m:sSub>
          <m:sSubPr>
            <m:ctrlPr>
              <w:rPr>
                <w:rFonts w:ascii="Cambria Math" w:hAnsi="Cambria Math"/>
                <w:i/>
                <w:lang w:val="en-US" w:eastAsia="fi-FI"/>
              </w:rPr>
            </m:ctrlPr>
          </m:sSubPr>
          <m:e>
            <m:r>
              <w:rPr>
                <w:rFonts w:ascii="Cambria Math" w:hAnsi="Cambria Math"/>
                <w:lang w:val="en-US" w:eastAsia="fi-FI"/>
              </w:rPr>
              <m:t>I</m:t>
            </m:r>
          </m:e>
          <m:sub>
            <m:r>
              <w:rPr>
                <w:rFonts w:ascii="Cambria Math" w:hAnsi="Cambria Math"/>
                <w:lang w:val="en-US" w:eastAsia="fi-FI"/>
              </w:rPr>
              <m:t>i</m:t>
            </m:r>
          </m:sub>
        </m:sSub>
      </m:oMath>
      <w:r w:rsidR="00987EE2" w:rsidRPr="00C03DBA">
        <w:rPr>
          <w:rFonts w:eastAsiaTheme="minorEastAsia"/>
          <w:lang w:val="en-US" w:eastAsia="fi-FI"/>
        </w:rPr>
        <w:t xml:space="preserve"> is </w:t>
      </w:r>
      <w:r w:rsidR="00C03DBA" w:rsidRPr="00C03DBA">
        <w:rPr>
          <w:rFonts w:eastAsiaTheme="minorEastAsia"/>
          <w:lang w:val="en-US" w:eastAsia="fi-FI"/>
        </w:rPr>
        <w:t xml:space="preserve">either </w:t>
      </w:r>
      <w:r w:rsidR="00A34D76">
        <w:rPr>
          <w:rFonts w:eastAsiaTheme="minorEastAsia"/>
          <w:lang w:val="en-US" w:eastAsia="fi-FI"/>
        </w:rPr>
        <w:t>1</w:t>
      </w:r>
      <w:r w:rsidR="00987EE2" w:rsidRPr="00C03DBA">
        <w:rPr>
          <w:rFonts w:eastAsiaTheme="minorEastAsia"/>
          <w:lang w:val="en-US" w:eastAsia="fi-FI"/>
        </w:rPr>
        <w:t xml:space="preserve"> (</w:t>
      </w:r>
      <w:r w:rsidR="00A34D76">
        <w:rPr>
          <w:rFonts w:eastAsiaTheme="minorEastAsia"/>
          <w:lang w:val="en-US" w:eastAsia="fi-FI"/>
        </w:rPr>
        <w:t xml:space="preserve">exuberance indicator </w:t>
      </w:r>
      <w:r w:rsidR="00A34D76" w:rsidRPr="00AF6EAB">
        <w:rPr>
          <w:rFonts w:eastAsiaTheme="minorEastAsia"/>
          <w:i/>
          <w:lang w:val="en-US" w:eastAsia="fi-FI"/>
        </w:rPr>
        <w:t>i</w:t>
      </w:r>
      <w:r w:rsidR="00A34D76">
        <w:rPr>
          <w:rFonts w:eastAsiaTheme="minorEastAsia"/>
          <w:lang w:val="en-US" w:eastAsia="fi-FI"/>
        </w:rPr>
        <w:t xml:space="preserve"> issues an </w:t>
      </w:r>
      <w:r w:rsidR="00987EE2" w:rsidRPr="00C03DBA">
        <w:rPr>
          <w:rFonts w:eastAsiaTheme="minorEastAsia"/>
          <w:lang w:val="en-US" w:eastAsia="fi-FI"/>
        </w:rPr>
        <w:t xml:space="preserve">alert) or </w:t>
      </w:r>
      <w:r w:rsidR="00A34D76">
        <w:rPr>
          <w:rFonts w:eastAsiaTheme="minorEastAsia"/>
          <w:lang w:val="en-US" w:eastAsia="fi-FI"/>
        </w:rPr>
        <w:t>0</w:t>
      </w:r>
      <w:r w:rsidR="00987EE2" w:rsidRPr="00C03DBA">
        <w:rPr>
          <w:rFonts w:eastAsiaTheme="minorEastAsia"/>
          <w:lang w:val="en-US" w:eastAsia="fi-FI"/>
        </w:rPr>
        <w:t xml:space="preserve"> (</w:t>
      </w:r>
      <w:r w:rsidR="00A34D76">
        <w:rPr>
          <w:rFonts w:eastAsiaTheme="minorEastAsia"/>
          <w:lang w:val="en-US" w:eastAsia="fi-FI"/>
        </w:rPr>
        <w:t xml:space="preserve">no </w:t>
      </w:r>
      <w:r w:rsidR="00987EE2" w:rsidRPr="00C03DBA">
        <w:rPr>
          <w:rFonts w:eastAsiaTheme="minorEastAsia"/>
          <w:lang w:val="en-US" w:eastAsia="fi-FI"/>
        </w:rPr>
        <w:t>alert)</w:t>
      </w:r>
      <w:r w:rsidRPr="00C03DBA">
        <w:rPr>
          <w:lang w:val="en-US" w:eastAsia="fi-FI"/>
        </w:rPr>
        <w:t xml:space="preserve">. </w:t>
      </w:r>
      <w:r w:rsidR="00987EE2" w:rsidRPr="00C03DBA">
        <w:rPr>
          <w:lang w:val="en-US" w:eastAsia="fi-FI"/>
        </w:rPr>
        <w:t xml:space="preserve">A </w:t>
      </w:r>
      <w:r w:rsidR="00450B9D">
        <w:rPr>
          <w:lang w:val="en-US" w:eastAsia="fi-FI"/>
        </w:rPr>
        <w:t xml:space="preserve">warning </w:t>
      </w:r>
      <w:r w:rsidRPr="00C03DBA">
        <w:rPr>
          <w:lang w:val="en-US" w:eastAsia="fi-FI"/>
        </w:rPr>
        <w:t xml:space="preserve">signal </w:t>
      </w:r>
      <w:r w:rsidR="00987EE2" w:rsidRPr="00C03DBA">
        <w:rPr>
          <w:lang w:val="en-US" w:eastAsia="fi-FI"/>
        </w:rPr>
        <w:t xml:space="preserve">is </w:t>
      </w:r>
      <w:r w:rsidR="008D424B">
        <w:rPr>
          <w:lang w:val="en-US" w:eastAsia="fi-FI"/>
        </w:rPr>
        <w:t>issued</w:t>
      </w:r>
      <w:r w:rsidR="008D424B" w:rsidRPr="00C03DBA">
        <w:rPr>
          <w:lang w:val="en-US" w:eastAsia="fi-FI"/>
        </w:rPr>
        <w:t xml:space="preserve"> </w:t>
      </w:r>
      <w:r w:rsidRPr="00C03DBA">
        <w:rPr>
          <w:lang w:val="en-US" w:eastAsia="fi-FI"/>
        </w:rPr>
        <w:t>when</w:t>
      </w:r>
      <w:r w:rsidR="00C03DBA">
        <w:rPr>
          <w:lang w:val="en-US" w:eastAsia="fi-FI"/>
        </w:rPr>
        <w:t xml:space="preserve"> the </w:t>
      </w:r>
      <w:r w:rsidR="00450B9D">
        <w:rPr>
          <w:lang w:val="en-US" w:eastAsia="fi-FI"/>
        </w:rPr>
        <w:t xml:space="preserve">composite </w:t>
      </w:r>
      <w:r w:rsidR="008D424B">
        <w:rPr>
          <w:lang w:val="en-US" w:eastAsia="fi-FI"/>
        </w:rPr>
        <w:t xml:space="preserve">signal </w:t>
      </w:r>
      <w:r w:rsidR="00C03DBA">
        <w:rPr>
          <w:lang w:val="en-US" w:eastAsia="fi-FI"/>
        </w:rPr>
        <w:t xml:space="preserve">is </w:t>
      </w:r>
      <w:r w:rsidR="008D424B">
        <w:rPr>
          <w:lang w:val="en-US" w:eastAsia="fi-FI"/>
        </w:rPr>
        <w:t>above</w:t>
      </w:r>
      <w:r w:rsidR="00C03DBA">
        <w:rPr>
          <w:lang w:val="en-US" w:eastAsia="fi-FI"/>
        </w:rPr>
        <w:t xml:space="preserve"> some threshold</w:t>
      </w:r>
      <w:r w:rsidRPr="00C03DBA">
        <w:rPr>
          <w:lang w:val="en-US" w:eastAsia="fi-FI"/>
        </w:rPr>
        <w:t>. For simplicity</w:t>
      </w:r>
      <w:r w:rsidR="000C6CDF">
        <w:rPr>
          <w:lang w:val="en-US" w:eastAsia="fi-FI"/>
        </w:rPr>
        <w:t xml:space="preserve"> and to avoid </w:t>
      </w:r>
      <w:r w:rsidR="00CF6396">
        <w:rPr>
          <w:lang w:val="en-US" w:eastAsia="fi-FI"/>
        </w:rPr>
        <w:t xml:space="preserve">the </w:t>
      </w:r>
      <w:r w:rsidR="000C6CDF">
        <w:rPr>
          <w:lang w:val="en-US" w:eastAsia="fi-FI"/>
        </w:rPr>
        <w:t>perils of overfitting</w:t>
      </w:r>
      <w:r w:rsidRPr="00C03DBA">
        <w:rPr>
          <w:lang w:val="en-US" w:eastAsia="fi-FI"/>
        </w:rPr>
        <w:t xml:space="preserve">, we </w:t>
      </w:r>
      <w:r w:rsidR="00450B9D">
        <w:rPr>
          <w:lang w:val="en-US" w:eastAsia="fi-FI"/>
        </w:rPr>
        <w:t xml:space="preserve">only </w:t>
      </w:r>
      <w:r w:rsidRPr="00C03DBA">
        <w:rPr>
          <w:lang w:val="en-US" w:eastAsia="fi-FI"/>
        </w:rPr>
        <w:t>consider</w:t>
      </w:r>
      <w:r w:rsidR="00987EE2" w:rsidRPr="00C03DBA">
        <w:rPr>
          <w:i/>
          <w:lang w:val="en-US" w:eastAsia="fi-FI"/>
        </w:rPr>
        <w:t xml:space="preserve"> </w:t>
      </w:r>
      <w:r w:rsidR="00C03DBA">
        <w:rPr>
          <w:lang w:val="en-US" w:eastAsia="fi-FI"/>
        </w:rPr>
        <w:t>uniform</w:t>
      </w:r>
      <w:r w:rsidR="00987EE2" w:rsidRPr="00C03DBA">
        <w:rPr>
          <w:lang w:val="en-US" w:eastAsia="fi-FI"/>
        </w:rPr>
        <w:t xml:space="preserve"> weights</w:t>
      </w:r>
      <w:r w:rsidR="00CF6396">
        <w:rPr>
          <w:lang w:val="en-US" w:eastAsia="fi-FI"/>
        </w:rPr>
        <w:t>:</w:t>
      </w:r>
    </w:p>
    <w:p w14:paraId="407F6765" w14:textId="77777777" w:rsidR="006B7AD6" w:rsidRDefault="006B7AD6" w:rsidP="00450B9D">
      <w:pPr>
        <w:spacing w:line="360" w:lineRule="auto"/>
        <w:ind w:firstLine="0"/>
        <w:rPr>
          <w:lang w:val="en-US" w:eastAsia="fi-FI"/>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712EFC" w14:paraId="4ABD349C" w14:textId="77777777" w:rsidTr="00D06C83">
        <w:tc>
          <w:tcPr>
            <w:tcW w:w="2155" w:type="dxa"/>
          </w:tcPr>
          <w:p w14:paraId="72AE74A4" w14:textId="77777777" w:rsidR="00712EFC" w:rsidRDefault="00712EFC" w:rsidP="00A01142">
            <w:pPr>
              <w:spacing w:line="360" w:lineRule="auto"/>
              <w:ind w:firstLine="0"/>
              <w:rPr>
                <w:lang w:val="en-US"/>
              </w:rPr>
            </w:pPr>
          </w:p>
        </w:tc>
        <w:tc>
          <w:tcPr>
            <w:tcW w:w="6210" w:type="dxa"/>
          </w:tcPr>
          <w:p w14:paraId="29BDA773" w14:textId="77777777" w:rsidR="00712EFC" w:rsidRPr="006B7AD6" w:rsidRDefault="00182CAB" w:rsidP="00A01142">
            <w:pPr>
              <w:spacing w:line="360" w:lineRule="auto"/>
              <w:ind w:firstLine="0"/>
              <w:rPr>
                <w:lang w:val="en-US"/>
              </w:rPr>
            </w:pPr>
            <m:oMath>
              <m:sSub>
                <m:sSubPr>
                  <m:ctrlPr>
                    <w:rPr>
                      <w:rFonts w:ascii="Cambria Math" w:hAnsi="Cambria Math"/>
                      <w:lang w:val="en-US" w:eastAsia="fi-FI"/>
                    </w:rPr>
                  </m:ctrlPr>
                </m:sSubPr>
                <m:e>
                  <m:r>
                    <w:rPr>
                      <w:rFonts w:ascii="Cambria Math" w:hAnsi="Cambria Math"/>
                      <w:lang w:val="en-US" w:eastAsia="fi-FI"/>
                    </w:rPr>
                    <m:t>A</m:t>
                  </m:r>
                </m:e>
                <m:sub>
                  <m:r>
                    <w:rPr>
                      <w:rFonts w:ascii="Cambria Math" w:hAnsi="Cambria Math"/>
                      <w:lang w:val="en-US" w:eastAsia="fi-FI"/>
                    </w:rPr>
                    <m:t>N</m:t>
                  </m:r>
                </m:sub>
              </m:sSub>
              <m:r>
                <m:rPr>
                  <m:sty m:val="p"/>
                </m:rPr>
                <w:rPr>
                  <w:rFonts w:ascii="Cambria Math" w:hAnsi="Cambria Math"/>
                  <w:lang w:val="en-US" w:eastAsia="fi-FI"/>
                </w:rPr>
                <m:t>=</m:t>
              </m:r>
              <m:sSub>
                <m:sSubPr>
                  <m:ctrlPr>
                    <w:rPr>
                      <w:rFonts w:ascii="Cambria Math" w:hAnsi="Cambria Math"/>
                      <w:lang w:val="en-US" w:eastAsia="fi-FI"/>
                    </w:rPr>
                  </m:ctrlPr>
                </m:sSubPr>
                <m:e>
                  <m:r>
                    <w:rPr>
                      <w:rFonts w:ascii="Cambria Math" w:hAnsi="Cambria Math"/>
                      <w:lang w:val="en-US" w:eastAsia="fi-FI"/>
                    </w:rPr>
                    <m:t>I</m:t>
                  </m:r>
                </m:e>
                <m:sub>
                  <m:r>
                    <m:rPr>
                      <m:sty m:val="p"/>
                    </m:rPr>
                    <w:rPr>
                      <w:rFonts w:ascii="Cambria Math" w:hAnsi="Cambria Math"/>
                      <w:lang w:val="en-US" w:eastAsia="fi-FI"/>
                    </w:rPr>
                    <m:t>1</m:t>
                  </m:r>
                </m:sub>
              </m:sSub>
              <m:r>
                <m:rPr>
                  <m:sty m:val="p"/>
                </m:rPr>
                <w:rPr>
                  <w:rFonts w:ascii="Cambria Math" w:hAnsi="Cambria Math"/>
                  <w:lang w:val="en-US" w:eastAsia="fi-FI"/>
                </w:rPr>
                <m:t>+</m:t>
              </m:r>
              <m:sSub>
                <m:sSubPr>
                  <m:ctrlPr>
                    <w:rPr>
                      <w:rFonts w:ascii="Cambria Math" w:hAnsi="Cambria Math"/>
                      <w:lang w:val="en-US" w:eastAsia="fi-FI"/>
                    </w:rPr>
                  </m:ctrlPr>
                </m:sSubPr>
                <m:e>
                  <m:r>
                    <w:rPr>
                      <w:rFonts w:ascii="Cambria Math" w:hAnsi="Cambria Math"/>
                      <w:lang w:val="en-US" w:eastAsia="fi-FI"/>
                    </w:rPr>
                    <m:t>I</m:t>
                  </m:r>
                </m:e>
                <m:sub>
                  <m:r>
                    <m:rPr>
                      <m:sty m:val="p"/>
                    </m:rPr>
                    <w:rPr>
                      <w:rFonts w:ascii="Cambria Math" w:hAnsi="Cambria Math"/>
                      <w:lang w:val="en-US" w:eastAsia="fi-FI"/>
                    </w:rPr>
                    <m:t>2</m:t>
                  </m:r>
                </m:sub>
              </m:sSub>
              <m:r>
                <m:rPr>
                  <m:sty m:val="p"/>
                </m:rPr>
                <w:rPr>
                  <w:rFonts w:ascii="Cambria Math" w:hAnsi="Cambria Math"/>
                  <w:lang w:val="en-US" w:eastAsia="fi-FI"/>
                </w:rPr>
                <m:t>+…+</m:t>
              </m:r>
              <m:sSub>
                <m:sSubPr>
                  <m:ctrlPr>
                    <w:rPr>
                      <w:rFonts w:ascii="Cambria Math" w:hAnsi="Cambria Math"/>
                      <w:lang w:val="en-US" w:eastAsia="fi-FI"/>
                    </w:rPr>
                  </m:ctrlPr>
                </m:sSubPr>
                <m:e>
                  <m:r>
                    <w:rPr>
                      <w:rFonts w:ascii="Cambria Math" w:hAnsi="Cambria Math"/>
                      <w:lang w:val="en-US" w:eastAsia="fi-FI"/>
                    </w:rPr>
                    <m:t>I</m:t>
                  </m:r>
                </m:e>
                <m:sub>
                  <m:r>
                    <w:rPr>
                      <w:rFonts w:ascii="Cambria Math" w:hAnsi="Cambria Math"/>
                      <w:lang w:val="en-US" w:eastAsia="fi-FI"/>
                    </w:rPr>
                    <m:t>N</m:t>
                  </m:r>
                </m:sub>
              </m:sSub>
            </m:oMath>
            <w:r w:rsidR="00426866">
              <w:rPr>
                <w:rFonts w:eastAsiaTheme="minorEastAsia"/>
                <w:lang w:val="en-US" w:eastAsia="fi-FI"/>
              </w:rPr>
              <w:t xml:space="preserve"> .</w:t>
            </w:r>
          </w:p>
        </w:tc>
        <w:tc>
          <w:tcPr>
            <w:tcW w:w="645" w:type="dxa"/>
          </w:tcPr>
          <w:p w14:paraId="6BCDA198" w14:textId="77777777" w:rsidR="00712EFC" w:rsidRDefault="006B7AD6" w:rsidP="00A01142">
            <w:pPr>
              <w:spacing w:line="360" w:lineRule="auto"/>
              <w:ind w:firstLine="0"/>
              <w:rPr>
                <w:lang w:val="en-US"/>
              </w:rPr>
            </w:pPr>
            <w:r>
              <w:rPr>
                <w:lang w:val="en-US"/>
              </w:rPr>
              <w:t>(</w:t>
            </w:r>
            <w:r>
              <w:rPr>
                <w:lang w:val="en-US"/>
              </w:rPr>
              <w:fldChar w:fldCharType="begin"/>
            </w:r>
            <w:r>
              <w:rPr>
                <w:lang w:val="en-US"/>
              </w:rPr>
              <w:instrText xml:space="preserve"> SEQ Eq \* MERGEFORMAT </w:instrText>
            </w:r>
            <w:r>
              <w:rPr>
                <w:lang w:val="en-US"/>
              </w:rPr>
              <w:fldChar w:fldCharType="separate"/>
            </w:r>
            <w:r w:rsidR="003050F5">
              <w:rPr>
                <w:noProof/>
                <w:lang w:val="en-US"/>
              </w:rPr>
              <w:t>12</w:t>
            </w:r>
            <w:r>
              <w:rPr>
                <w:lang w:val="en-US"/>
              </w:rPr>
              <w:fldChar w:fldCharType="end"/>
            </w:r>
            <w:r>
              <w:rPr>
                <w:lang w:val="en-US"/>
              </w:rPr>
              <w:t>)</w:t>
            </w:r>
          </w:p>
        </w:tc>
      </w:tr>
    </w:tbl>
    <w:p w14:paraId="57983031" w14:textId="77777777" w:rsidR="00712EFC" w:rsidRDefault="00712EFC" w:rsidP="00450B9D">
      <w:pPr>
        <w:spacing w:line="360" w:lineRule="auto"/>
        <w:ind w:firstLine="0"/>
        <w:rPr>
          <w:lang w:val="en-US" w:eastAsia="fi-FI"/>
        </w:rPr>
      </w:pPr>
    </w:p>
    <w:p w14:paraId="047DBABF" w14:textId="504126CD" w:rsidR="00911834" w:rsidRPr="00550574" w:rsidRDefault="008D424B" w:rsidP="00561802">
      <w:pPr>
        <w:spacing w:line="360" w:lineRule="auto"/>
        <w:ind w:firstLine="562"/>
        <w:rPr>
          <w:rFonts w:eastAsiaTheme="minorEastAsia"/>
          <w:lang w:val="en-US" w:eastAsia="fi-FI"/>
        </w:rPr>
      </w:pPr>
      <w:r>
        <w:rPr>
          <w:lang w:val="en-US" w:eastAsia="fi-FI"/>
        </w:rPr>
        <w:t>We</w:t>
      </w:r>
      <w:r w:rsidRPr="00561802">
        <w:rPr>
          <w:lang w:val="en-US" w:eastAsia="fi-FI"/>
        </w:rPr>
        <w:t xml:space="preserve"> </w:t>
      </w:r>
      <w:r w:rsidR="00561802" w:rsidRPr="00561802">
        <w:rPr>
          <w:lang w:val="en-US" w:eastAsia="fi-FI"/>
        </w:rPr>
        <w:t xml:space="preserve">define </w:t>
      </w:r>
      <w:r w:rsidR="00450B9D" w:rsidRPr="00561802">
        <w:rPr>
          <w:lang w:val="en-US" w:eastAsia="fi-FI"/>
        </w:rPr>
        <w:t>a</w:t>
      </w:r>
      <w:r w:rsidR="00C03DBA" w:rsidRPr="00561802">
        <w:rPr>
          <w:lang w:val="en-US" w:eastAsia="fi-FI"/>
        </w:rPr>
        <w:t xml:space="preserve"> warning</w:t>
      </w:r>
      <w:r w:rsidR="00561802" w:rsidRPr="00561802">
        <w:rPr>
          <w:lang w:val="en-US" w:eastAsia="fi-FI"/>
        </w:rPr>
        <w:t xml:space="preserve"> signal</w:t>
      </w:r>
      <w:r w:rsidR="00C03DBA" w:rsidRPr="00561802">
        <w:rPr>
          <w:lang w:val="en-US" w:eastAsia="fi-FI"/>
        </w:rPr>
        <w:t xml:space="preserve"> </w:t>
      </w:r>
      <m:oMath>
        <m:sSub>
          <m:sSubPr>
            <m:ctrlPr>
              <w:rPr>
                <w:rFonts w:ascii="Cambria Math" w:hAnsi="Cambria Math"/>
                <w:i/>
                <w:lang w:val="en-US" w:eastAsia="fi-FI"/>
              </w:rPr>
            </m:ctrlPr>
          </m:sSubPr>
          <m:e>
            <m:r>
              <w:rPr>
                <w:rFonts w:ascii="Cambria Math" w:hAnsi="Cambria Math"/>
                <w:lang w:val="en-US" w:eastAsia="fi-FI"/>
              </w:rPr>
              <m:t>W</m:t>
            </m:r>
          </m:e>
          <m:sub>
            <m:r>
              <w:rPr>
                <w:rFonts w:ascii="Cambria Math" w:hAnsi="Cambria Math"/>
                <w:lang w:val="en-US" w:eastAsia="fi-FI"/>
              </w:rPr>
              <m:t>N</m:t>
            </m:r>
          </m:sub>
        </m:sSub>
      </m:oMath>
      <w:r w:rsidR="00561802" w:rsidRPr="00561802">
        <w:rPr>
          <w:rFonts w:eastAsiaTheme="minorEastAsia"/>
          <w:lang w:val="en-US" w:eastAsia="fi-FI"/>
        </w:rPr>
        <w:t xml:space="preserve"> </w:t>
      </w:r>
      <w:r w:rsidR="00561802" w:rsidRPr="00561802">
        <w:rPr>
          <w:lang w:val="en-US" w:eastAsia="fi-FI"/>
        </w:rPr>
        <w:t xml:space="preserve">so that </w:t>
      </w:r>
      <m:oMath>
        <m:sSub>
          <m:sSubPr>
            <m:ctrlPr>
              <w:rPr>
                <w:rFonts w:ascii="Cambria Math" w:hAnsi="Cambria Math"/>
                <w:i/>
                <w:lang w:val="en-US" w:eastAsia="fi-FI"/>
              </w:rPr>
            </m:ctrlPr>
          </m:sSubPr>
          <m:e>
            <m:r>
              <w:rPr>
                <w:rFonts w:ascii="Cambria Math" w:hAnsi="Cambria Math"/>
                <w:lang w:val="en-US" w:eastAsia="fi-FI"/>
              </w:rPr>
              <m:t>W</m:t>
            </m:r>
          </m:e>
          <m:sub>
            <m:r>
              <w:rPr>
                <w:rFonts w:ascii="Cambria Math" w:hAnsi="Cambria Math"/>
                <w:lang w:val="en-US" w:eastAsia="fi-FI"/>
              </w:rPr>
              <m:t>N</m:t>
            </m:r>
          </m:sub>
        </m:sSub>
        <m:r>
          <w:rPr>
            <w:rFonts w:ascii="Cambria Math" w:hAnsi="Cambria Math"/>
            <w:lang w:val="en-US" w:eastAsia="fi-FI"/>
          </w:rPr>
          <m:t xml:space="preserve">=1 </m:t>
        </m:r>
      </m:oMath>
      <w:r w:rsidR="00561802" w:rsidRPr="00561802">
        <w:rPr>
          <w:rFonts w:eastAsiaTheme="minorEastAsia"/>
          <w:lang w:val="en-US" w:eastAsia="fi-FI"/>
        </w:rPr>
        <w:t xml:space="preserve">if </w:t>
      </w:r>
      <m:oMath>
        <m:sSub>
          <m:sSubPr>
            <m:ctrlPr>
              <w:rPr>
                <w:rFonts w:ascii="Cambria Math" w:hAnsi="Cambria Math"/>
                <w:lang w:val="en-US" w:eastAsia="fi-FI"/>
              </w:rPr>
            </m:ctrlPr>
          </m:sSubPr>
          <m:e>
            <m:r>
              <w:rPr>
                <w:rFonts w:ascii="Cambria Math" w:hAnsi="Cambria Math"/>
                <w:lang w:val="en-US" w:eastAsia="fi-FI"/>
              </w:rPr>
              <m:t>A</m:t>
            </m:r>
          </m:e>
          <m:sub>
            <m:r>
              <w:rPr>
                <w:rFonts w:ascii="Cambria Math" w:hAnsi="Cambria Math"/>
                <w:lang w:val="en-US" w:eastAsia="fi-FI"/>
              </w:rPr>
              <m:t>N</m:t>
            </m:r>
          </m:sub>
        </m:sSub>
        <m:r>
          <w:rPr>
            <w:rFonts w:ascii="Cambria Math" w:hAnsi="Cambria Math"/>
            <w:lang w:val="en-US" w:eastAsia="fi-FI"/>
          </w:rPr>
          <m:t>≥T</m:t>
        </m:r>
      </m:oMath>
      <w:r w:rsidR="00561802" w:rsidRPr="00561802">
        <w:rPr>
          <w:rFonts w:eastAsiaTheme="minorEastAsia"/>
          <w:lang w:val="en-US" w:eastAsia="fi-FI"/>
        </w:rPr>
        <w:t xml:space="preserve"> </w:t>
      </w:r>
      <w:r w:rsidR="0006316C">
        <w:rPr>
          <w:rFonts w:eastAsiaTheme="minorEastAsia"/>
          <w:lang w:val="en-US" w:eastAsia="fi-FI"/>
        </w:rPr>
        <w:t xml:space="preserve">and zero otherwise, </w:t>
      </w:r>
      <w:r w:rsidR="00561802" w:rsidRPr="00561802">
        <w:rPr>
          <w:rFonts w:eastAsiaTheme="minorEastAsia"/>
          <w:lang w:val="en-US" w:eastAsia="fi-FI"/>
        </w:rPr>
        <w:t xml:space="preserve">where </w:t>
      </w:r>
      <m:oMath>
        <m:r>
          <w:rPr>
            <w:rFonts w:ascii="Cambria Math" w:hAnsi="Cambria Math"/>
            <w:lang w:val="en-US" w:eastAsia="fi-FI"/>
          </w:rPr>
          <m:t>T=[1,2,…,N]</m:t>
        </m:r>
      </m:oMath>
      <w:r w:rsidR="00561802" w:rsidRPr="00561802">
        <w:rPr>
          <w:rFonts w:eastAsiaTheme="minorEastAsia"/>
          <w:lang w:val="en-US" w:eastAsia="fi-FI"/>
        </w:rPr>
        <w:t xml:space="preserve"> is a threshold value</w:t>
      </w:r>
      <w:r w:rsidR="00C03DBA" w:rsidRPr="00561802">
        <w:rPr>
          <w:rFonts w:eastAsiaTheme="minorEastAsia"/>
          <w:lang w:val="en-US" w:eastAsia="fi-FI"/>
        </w:rPr>
        <w:t xml:space="preserve">. </w:t>
      </w:r>
      <w:r w:rsidR="00CF6396">
        <w:rPr>
          <w:rFonts w:eastAsiaTheme="minorEastAsia"/>
          <w:lang w:val="en-US" w:eastAsia="fi-FI"/>
        </w:rPr>
        <w:t xml:space="preserve">An </w:t>
      </w:r>
      <w:r w:rsidR="00232FE4">
        <w:rPr>
          <w:rFonts w:eastAsiaTheme="minorEastAsia"/>
          <w:lang w:val="en-US" w:eastAsia="fi-FI"/>
        </w:rPr>
        <w:t xml:space="preserve">alert from a single component is called </w:t>
      </w:r>
      <w:r w:rsidR="00CF6396">
        <w:rPr>
          <w:rFonts w:eastAsiaTheme="minorEastAsia"/>
          <w:lang w:val="en-US" w:eastAsia="fi-FI"/>
        </w:rPr>
        <w:t xml:space="preserve">a </w:t>
      </w:r>
      <w:r w:rsidR="00232FE4">
        <w:rPr>
          <w:rFonts w:eastAsiaTheme="minorEastAsia"/>
          <w:lang w:val="en-US" w:eastAsia="fi-FI"/>
        </w:rPr>
        <w:t>“sub-alert</w:t>
      </w:r>
      <w:r w:rsidR="00CF6396">
        <w:rPr>
          <w:rFonts w:eastAsiaTheme="minorEastAsia"/>
          <w:lang w:val="en-US" w:eastAsia="fi-FI"/>
        </w:rPr>
        <w:t>,</w:t>
      </w:r>
      <w:r w:rsidR="00232FE4">
        <w:rPr>
          <w:rFonts w:eastAsiaTheme="minorEastAsia"/>
          <w:lang w:val="en-US" w:eastAsia="fi-FI"/>
        </w:rPr>
        <w:t xml:space="preserve">” </w:t>
      </w:r>
      <w:r w:rsidR="00CF6396">
        <w:rPr>
          <w:rFonts w:eastAsiaTheme="minorEastAsia"/>
          <w:lang w:val="en-US" w:eastAsia="fi-FI"/>
        </w:rPr>
        <w:t xml:space="preserve">and </w:t>
      </w:r>
      <w:r w:rsidR="00232FE4" w:rsidRPr="00212882">
        <w:rPr>
          <w:rFonts w:eastAsiaTheme="minorEastAsia"/>
          <w:i/>
          <w:lang w:val="en-US" w:eastAsia="fi-FI"/>
        </w:rPr>
        <w:t>T</w:t>
      </w:r>
      <w:r w:rsidR="00232FE4">
        <w:rPr>
          <w:rFonts w:eastAsiaTheme="minorEastAsia"/>
          <w:i/>
          <w:lang w:val="en-US" w:eastAsia="fi-FI"/>
        </w:rPr>
        <w:t xml:space="preserve"> </w:t>
      </w:r>
      <w:r w:rsidR="00232FE4">
        <w:rPr>
          <w:rFonts w:eastAsiaTheme="minorEastAsia"/>
          <w:lang w:val="en-US" w:eastAsia="fi-FI"/>
        </w:rPr>
        <w:t>is the number of simultaneous sub-alerts required for the overall composite indicator to alert.</w:t>
      </w:r>
    </w:p>
    <w:p w14:paraId="6671D6EC" w14:textId="3CAC0D88" w:rsidR="00B80A73" w:rsidRDefault="0059317D" w:rsidP="00C65F84">
      <w:pPr>
        <w:spacing w:line="360" w:lineRule="auto"/>
        <w:ind w:firstLine="562"/>
        <w:rPr>
          <w:lang w:val="en-US"/>
        </w:rPr>
      </w:pPr>
      <w:r>
        <w:rPr>
          <w:lang w:val="en-US"/>
        </w:rPr>
        <w:t>T</w:t>
      </w:r>
      <w:r w:rsidR="00B80A73">
        <w:rPr>
          <w:lang w:val="en-US"/>
        </w:rPr>
        <w:t xml:space="preserve">he usefulness of the </w:t>
      </w:r>
      <w:r>
        <w:rPr>
          <w:lang w:val="en-US"/>
        </w:rPr>
        <w:t xml:space="preserve">composite </w:t>
      </w:r>
      <w:r w:rsidR="00A7355C">
        <w:rPr>
          <w:lang w:val="en-US"/>
        </w:rPr>
        <w:t xml:space="preserve">exuberance indicator </w:t>
      </w:r>
      <w:r>
        <w:rPr>
          <w:lang w:val="en-US"/>
        </w:rPr>
        <w:t xml:space="preserve">is evaluated </w:t>
      </w:r>
      <w:r w:rsidR="00B80A73">
        <w:rPr>
          <w:lang w:val="en-US"/>
        </w:rPr>
        <w:t xml:space="preserve">using the same methodology as in </w:t>
      </w:r>
      <w:r w:rsidR="00C05023">
        <w:rPr>
          <w:lang w:val="en-US"/>
        </w:rPr>
        <w:t>the previous section</w:t>
      </w:r>
      <w:r w:rsidR="00B80A73">
        <w:rPr>
          <w:lang w:val="en-US"/>
        </w:rPr>
        <w:t xml:space="preserve">. </w:t>
      </w:r>
      <w:r w:rsidR="00A7355C">
        <w:rPr>
          <w:lang w:val="en-US"/>
        </w:rPr>
        <w:t xml:space="preserve">We estimate benchmark logit models where the explanatory variables are the transformations of those variables used in the composite model and calculate the </w:t>
      </w:r>
      <w:r w:rsidR="00CF6396">
        <w:rPr>
          <w:lang w:val="en-US"/>
        </w:rPr>
        <w:t xml:space="preserve">RU </w:t>
      </w:r>
      <w:r w:rsidR="00A7355C">
        <w:rPr>
          <w:lang w:val="en-US"/>
        </w:rPr>
        <w:t>and AUROC values. The benchmarks should be good as w</w:t>
      </w:r>
      <w:r w:rsidR="00C05023">
        <w:rPr>
          <w:lang w:val="en-US"/>
        </w:rPr>
        <w:t xml:space="preserve">e select the components </w:t>
      </w:r>
      <w:r w:rsidR="00AA63AE">
        <w:rPr>
          <w:lang w:val="en-US"/>
        </w:rPr>
        <w:t>for three</w:t>
      </w:r>
      <w:r w:rsidR="00C05023">
        <w:rPr>
          <w:lang w:val="en-US"/>
        </w:rPr>
        <w:t xml:space="preserve"> composite indicator</w:t>
      </w:r>
      <w:r w:rsidR="00AA63AE">
        <w:rPr>
          <w:lang w:val="en-US"/>
        </w:rPr>
        <w:t>s</w:t>
      </w:r>
      <w:r w:rsidR="00C05023">
        <w:rPr>
          <w:lang w:val="en-US"/>
        </w:rPr>
        <w:t xml:space="preserve"> based on </w:t>
      </w:r>
      <w:r>
        <w:rPr>
          <w:lang w:val="en-US"/>
        </w:rPr>
        <w:t xml:space="preserve">the best performing logit model in Detken </w:t>
      </w:r>
      <w:r w:rsidR="000B2E8F" w:rsidRPr="00C212DD">
        <w:rPr>
          <w:lang w:val="en-US"/>
        </w:rPr>
        <w:t>et al.</w:t>
      </w:r>
      <w:r>
        <w:rPr>
          <w:lang w:val="en-US"/>
        </w:rPr>
        <w:t xml:space="preserve"> (201</w:t>
      </w:r>
      <w:r w:rsidR="002804F3">
        <w:rPr>
          <w:lang w:val="en-US"/>
        </w:rPr>
        <w:t>4</w:t>
      </w:r>
      <w:r>
        <w:rPr>
          <w:lang w:val="en-US"/>
        </w:rPr>
        <w:t>)</w:t>
      </w:r>
      <w:r w:rsidR="00AA63AE">
        <w:rPr>
          <w:lang w:val="en-US"/>
        </w:rPr>
        <w:t>, their Table F3</w:t>
      </w:r>
      <w:r w:rsidR="00C05023">
        <w:rPr>
          <w:lang w:val="en-US"/>
        </w:rPr>
        <w:t>.</w:t>
      </w:r>
      <w:r>
        <w:rPr>
          <w:lang w:val="en-US"/>
        </w:rPr>
        <w:t xml:space="preserve"> </w:t>
      </w:r>
      <w:r w:rsidR="00B80A73">
        <w:rPr>
          <w:lang w:val="en-US"/>
        </w:rPr>
        <w:t xml:space="preserve">We </w:t>
      </w:r>
      <w:r w:rsidR="00A7355C">
        <w:rPr>
          <w:lang w:val="en-US"/>
        </w:rPr>
        <w:t xml:space="preserve">report </w:t>
      </w:r>
      <w:r w:rsidR="00B80A73">
        <w:rPr>
          <w:lang w:val="en-US"/>
        </w:rPr>
        <w:t xml:space="preserve">the </w:t>
      </w:r>
      <w:r w:rsidR="00CF6396">
        <w:rPr>
          <w:lang w:val="en-US"/>
        </w:rPr>
        <w:t xml:space="preserve">RU </w:t>
      </w:r>
      <w:r w:rsidR="00B80A73">
        <w:rPr>
          <w:lang w:val="en-US"/>
        </w:rPr>
        <w:t xml:space="preserve">and AUROC </w:t>
      </w:r>
      <w:r w:rsidR="00CF6396">
        <w:rPr>
          <w:lang w:val="en-US"/>
        </w:rPr>
        <w:t xml:space="preserve">with </w:t>
      </w:r>
      <w:r w:rsidR="00B80A73">
        <w:rPr>
          <w:lang w:val="en-US"/>
        </w:rPr>
        <w:t>different alerting threshold</w:t>
      </w:r>
      <w:r w:rsidR="00CF6396">
        <w:rPr>
          <w:lang w:val="en-US"/>
        </w:rPr>
        <w:t>s</w:t>
      </w:r>
      <w:r w:rsidR="00B80A73">
        <w:rPr>
          <w:lang w:val="en-US"/>
        </w:rPr>
        <w:t xml:space="preserve"> using the full 1980</w:t>
      </w:r>
      <w:r w:rsidR="00CF6396">
        <w:rPr>
          <w:lang w:val="en-US"/>
        </w:rPr>
        <w:t>–</w:t>
      </w:r>
      <w:r w:rsidR="00B80A73">
        <w:rPr>
          <w:lang w:val="en-US"/>
        </w:rPr>
        <w:t xml:space="preserve">2012 sample and the short sample from 2003 onwards. The results are presented in </w:t>
      </w:r>
      <w:r w:rsidR="00C05023">
        <w:rPr>
          <w:lang w:val="en-US"/>
        </w:rPr>
        <w:t xml:space="preserve">the top </w:t>
      </w:r>
      <w:r w:rsidR="00A7355C">
        <w:rPr>
          <w:lang w:val="en-US"/>
        </w:rPr>
        <w:t xml:space="preserve">and middle </w:t>
      </w:r>
      <w:r w:rsidR="00C05023">
        <w:rPr>
          <w:lang w:val="en-US"/>
        </w:rPr>
        <w:t xml:space="preserve">panel of </w:t>
      </w:r>
      <w:r w:rsidR="00B80A73">
        <w:rPr>
          <w:lang w:val="en-US"/>
        </w:rPr>
        <w:t>Table 5</w:t>
      </w:r>
      <w:r w:rsidR="00C05023">
        <w:rPr>
          <w:lang w:val="en-US"/>
        </w:rPr>
        <w:t>. The lower panel shows</w:t>
      </w:r>
      <w:r w:rsidR="00B80A73">
        <w:rPr>
          <w:lang w:val="en-US"/>
        </w:rPr>
        <w:t xml:space="preserve"> the variables included in each model.</w:t>
      </w:r>
      <w:r w:rsidR="00C65F84">
        <w:rPr>
          <w:lang w:val="en-US"/>
        </w:rPr>
        <w:t xml:space="preserve"> </w:t>
      </w:r>
      <w:r w:rsidR="00A7355C">
        <w:rPr>
          <w:lang w:val="en-US"/>
        </w:rPr>
        <w:t xml:space="preserve">The policymaker’s preference is set to </w:t>
      </w:r>
      <m:oMath>
        <m:r>
          <w:rPr>
            <w:rFonts w:ascii="Cambria Math" w:hAnsi="Cambria Math"/>
            <w:lang w:val="en-US"/>
          </w:rPr>
          <m:t xml:space="preserve">θ </m:t>
        </m:r>
      </m:oMath>
      <w:r w:rsidR="00A7355C">
        <w:rPr>
          <w:rFonts w:eastAsiaTheme="minorEastAsia"/>
          <w:lang w:val="en-US"/>
        </w:rPr>
        <w:t>=</w:t>
      </w:r>
      <w:r w:rsidR="00CF6396">
        <w:rPr>
          <w:rFonts w:eastAsiaTheme="minorEastAsia"/>
          <w:lang w:val="en-US"/>
        </w:rPr>
        <w:t xml:space="preserve"> </w:t>
      </w:r>
      <w:r w:rsidR="00A7355C">
        <w:rPr>
          <w:rFonts w:eastAsiaTheme="minorEastAsia"/>
          <w:lang w:val="en-US"/>
        </w:rPr>
        <w:t>0.5.</w:t>
      </w:r>
    </w:p>
    <w:p w14:paraId="384F1C03" w14:textId="5E954441" w:rsidR="00C65F84" w:rsidRPr="00561802" w:rsidRDefault="00EE7496" w:rsidP="00C62EC3">
      <w:pPr>
        <w:spacing w:line="360" w:lineRule="auto"/>
        <w:ind w:firstLine="562"/>
        <w:rPr>
          <w:lang w:val="en-US"/>
        </w:rPr>
      </w:pPr>
      <w:r>
        <w:rPr>
          <w:lang w:val="en-US"/>
        </w:rPr>
        <w:t>Combining different exuberance indicators improves performance markedly</w:t>
      </w:r>
      <w:r w:rsidR="005B0EC8">
        <w:rPr>
          <w:lang w:val="en-US"/>
        </w:rPr>
        <w:t xml:space="preserve"> compared to the single variable case </w:t>
      </w:r>
      <w:r w:rsidR="00CF6396">
        <w:rPr>
          <w:lang w:val="en-US"/>
        </w:rPr>
        <w:t xml:space="preserve">as </w:t>
      </w:r>
      <w:r w:rsidR="00232FE4">
        <w:rPr>
          <w:lang w:val="en-US"/>
        </w:rPr>
        <w:t>we require a reasonable number of sub-alerts (two or three)</w:t>
      </w:r>
      <w:r>
        <w:rPr>
          <w:lang w:val="en-US"/>
        </w:rPr>
        <w:t>.</w:t>
      </w:r>
      <w:r w:rsidR="00232FE4">
        <w:rPr>
          <w:lang w:val="en-US"/>
        </w:rPr>
        <w:t xml:space="preserve"> All three models have quite similar performance, but t</w:t>
      </w:r>
      <w:r w:rsidR="005B0EC8">
        <w:rPr>
          <w:lang w:val="en-US"/>
        </w:rPr>
        <w:t xml:space="preserve">he highest relative usefulness and AUROC are obtained with </w:t>
      </w:r>
      <w:r w:rsidR="00232FE4">
        <w:rPr>
          <w:lang w:val="en-US"/>
        </w:rPr>
        <w:t xml:space="preserve">the third </w:t>
      </w:r>
      <w:r w:rsidR="005B0EC8">
        <w:rPr>
          <w:lang w:val="en-US"/>
        </w:rPr>
        <w:t xml:space="preserve">model. </w:t>
      </w:r>
      <w:r w:rsidR="00232FE4">
        <w:rPr>
          <w:lang w:val="en-US"/>
        </w:rPr>
        <w:t xml:space="preserve">For </w:t>
      </w:r>
      <w:r w:rsidR="00CF6396">
        <w:rPr>
          <w:lang w:val="en-US"/>
        </w:rPr>
        <w:t xml:space="preserve">Model </w:t>
      </w:r>
      <w:r w:rsidR="00232FE4">
        <w:rPr>
          <w:lang w:val="en-US"/>
        </w:rPr>
        <w:t xml:space="preserve">3, </w:t>
      </w:r>
      <w:r w:rsidR="005B0EC8">
        <w:rPr>
          <w:lang w:val="en-US"/>
        </w:rPr>
        <w:t xml:space="preserve">the variation that requires two sub-alerts </w:t>
      </w:r>
      <w:r w:rsidR="00CF6396">
        <w:rPr>
          <w:lang w:val="en-US"/>
        </w:rPr>
        <w:t xml:space="preserve">produces a </w:t>
      </w:r>
      <w:r w:rsidR="005B0EC8">
        <w:rPr>
          <w:lang w:val="en-US"/>
        </w:rPr>
        <w:t>relative usefulness</w:t>
      </w:r>
      <w:r w:rsidR="00CF6396">
        <w:rPr>
          <w:lang w:val="en-US"/>
        </w:rPr>
        <w:t xml:space="preserve"> of </w:t>
      </w:r>
      <w:r w:rsidR="005B0EC8">
        <w:rPr>
          <w:lang w:val="en-US"/>
        </w:rPr>
        <w:t xml:space="preserve">0.63 and AUROC </w:t>
      </w:r>
      <w:r w:rsidR="00CF6396">
        <w:rPr>
          <w:lang w:val="en-US"/>
        </w:rPr>
        <w:t xml:space="preserve">of </w:t>
      </w:r>
      <w:r w:rsidR="005B0EC8">
        <w:rPr>
          <w:lang w:val="en-US"/>
        </w:rPr>
        <w:t>0.841.</w:t>
      </w:r>
      <w:r>
        <w:rPr>
          <w:lang w:val="en-US"/>
        </w:rPr>
        <w:t xml:space="preserve"> </w:t>
      </w:r>
      <w:r w:rsidR="005B0EC8">
        <w:rPr>
          <w:lang w:val="en-US"/>
        </w:rPr>
        <w:t xml:space="preserve">Using the variation that requires three sub-alerts, the relative usefulness is 0.53 and AUROC 0.855. </w:t>
      </w:r>
      <w:r w:rsidR="00232FE4">
        <w:rPr>
          <w:lang w:val="en-US"/>
        </w:rPr>
        <w:t>Overall</w:t>
      </w:r>
      <w:r>
        <w:rPr>
          <w:lang w:val="en-US"/>
        </w:rPr>
        <w:t>, t</w:t>
      </w:r>
      <w:r w:rsidR="00C65F84">
        <w:rPr>
          <w:lang w:val="en-US"/>
        </w:rPr>
        <w:t xml:space="preserve">he comparison between the composite exuberance indicators and the logit model yields similar results as the </w:t>
      </w:r>
      <w:r>
        <w:rPr>
          <w:lang w:val="en-US"/>
        </w:rPr>
        <w:t xml:space="preserve">previous </w:t>
      </w:r>
      <w:r w:rsidR="00C65F84">
        <w:rPr>
          <w:lang w:val="en-US"/>
        </w:rPr>
        <w:t xml:space="preserve">comparison for </w:t>
      </w:r>
      <w:r>
        <w:rPr>
          <w:lang w:val="en-US"/>
        </w:rPr>
        <w:t xml:space="preserve">single </w:t>
      </w:r>
      <w:r w:rsidR="00C65F84">
        <w:rPr>
          <w:lang w:val="en-US"/>
        </w:rPr>
        <w:t xml:space="preserve">variables. </w:t>
      </w:r>
      <w:r w:rsidR="00A7355C">
        <w:rPr>
          <w:lang w:val="en-US"/>
        </w:rPr>
        <w:t xml:space="preserve">Even if </w:t>
      </w:r>
      <w:r w:rsidR="00C65F84">
        <w:rPr>
          <w:lang w:val="en-US"/>
        </w:rPr>
        <w:t>the logit model yields better relative usefulness and AUROC values</w:t>
      </w:r>
      <w:r w:rsidR="00A7355C">
        <w:rPr>
          <w:lang w:val="en-US"/>
        </w:rPr>
        <w:t xml:space="preserve"> in-sample, </w:t>
      </w:r>
      <w:r w:rsidR="00C65F84">
        <w:rPr>
          <w:lang w:val="en-US"/>
        </w:rPr>
        <w:t>the composite exuberance indicator</w:t>
      </w:r>
      <w:r w:rsidR="00A24BE5">
        <w:rPr>
          <w:lang w:val="en-US"/>
        </w:rPr>
        <w:t>s</w:t>
      </w:r>
      <w:r w:rsidR="00C65F84">
        <w:rPr>
          <w:lang w:val="en-US"/>
        </w:rPr>
        <w:t xml:space="preserve"> </w:t>
      </w:r>
      <w:r w:rsidR="00A24BE5">
        <w:rPr>
          <w:lang w:val="en-US"/>
        </w:rPr>
        <w:t>are</w:t>
      </w:r>
      <w:r w:rsidR="00C65F84">
        <w:rPr>
          <w:lang w:val="en-US"/>
        </w:rPr>
        <w:t xml:space="preserve"> more robust </w:t>
      </w:r>
      <w:r w:rsidR="00A24BE5">
        <w:rPr>
          <w:lang w:val="en-US"/>
        </w:rPr>
        <w:t xml:space="preserve">and outperform </w:t>
      </w:r>
      <w:r w:rsidR="00C65F84">
        <w:rPr>
          <w:lang w:val="en-US"/>
        </w:rPr>
        <w:t>the logit model</w:t>
      </w:r>
      <w:r w:rsidR="00A24BE5">
        <w:rPr>
          <w:lang w:val="en-US"/>
        </w:rPr>
        <w:t>s</w:t>
      </w:r>
      <w:r w:rsidR="00C65F84">
        <w:rPr>
          <w:lang w:val="en-US"/>
        </w:rPr>
        <w:t xml:space="preserve"> in the out-of-sample evaluation.</w:t>
      </w:r>
    </w:p>
    <w:p w14:paraId="4DF277BB" w14:textId="7D26DDEA" w:rsidR="009363A4" w:rsidRPr="009363A4" w:rsidRDefault="009363A4" w:rsidP="009363A4">
      <w:pPr>
        <w:spacing w:line="360" w:lineRule="auto"/>
        <w:rPr>
          <w:lang w:val="en-US"/>
        </w:rPr>
      </w:pPr>
      <w:r w:rsidRPr="009363A4">
        <w:rPr>
          <w:lang w:val="en-US"/>
        </w:rPr>
        <w:t xml:space="preserve">It is </w:t>
      </w:r>
      <w:r w:rsidR="00CF6396">
        <w:rPr>
          <w:lang w:val="en-US"/>
        </w:rPr>
        <w:t xml:space="preserve">also </w:t>
      </w:r>
      <w:r w:rsidRPr="009363A4">
        <w:rPr>
          <w:lang w:val="en-US"/>
        </w:rPr>
        <w:t xml:space="preserve">helpful to compare the performance of our composite indicators to </w:t>
      </w:r>
      <w:r w:rsidR="00CF6396">
        <w:rPr>
          <w:lang w:val="en-US"/>
        </w:rPr>
        <w:t xml:space="preserve">a </w:t>
      </w:r>
      <w:r w:rsidRPr="009363A4">
        <w:rPr>
          <w:lang w:val="en-US"/>
        </w:rPr>
        <w:t xml:space="preserve">larger set of early warning models. For this purpose, we utilize a comparison study prepared by the ECB’s Macroprudential Research Network (Alessi </w:t>
      </w:r>
      <w:r w:rsidR="000B2E8F" w:rsidRPr="00C212DD">
        <w:rPr>
          <w:lang w:val="en-US"/>
        </w:rPr>
        <w:t>et al.</w:t>
      </w:r>
      <w:r w:rsidR="00CF6396">
        <w:rPr>
          <w:lang w:val="en-US"/>
        </w:rPr>
        <w:t xml:space="preserve">, </w:t>
      </w:r>
      <w:r w:rsidRPr="009363A4">
        <w:rPr>
          <w:lang w:val="en-US"/>
        </w:rPr>
        <w:t xml:space="preserve">2015). The study features a </w:t>
      </w:r>
      <w:r w:rsidR="00232FE4">
        <w:rPr>
          <w:lang w:val="en-US"/>
        </w:rPr>
        <w:t>family</w:t>
      </w:r>
      <w:r w:rsidR="00232FE4" w:rsidRPr="009363A4">
        <w:rPr>
          <w:lang w:val="en-US"/>
        </w:rPr>
        <w:t xml:space="preserve"> </w:t>
      </w:r>
      <w:r w:rsidRPr="009363A4">
        <w:rPr>
          <w:lang w:val="en-US"/>
        </w:rPr>
        <w:t>of promising early warning modeling frameworks</w:t>
      </w:r>
      <w:r w:rsidR="00CF6396">
        <w:rPr>
          <w:lang w:val="en-US"/>
        </w:rPr>
        <w:t>,</w:t>
      </w:r>
      <w:r w:rsidRPr="009363A4">
        <w:rPr>
          <w:lang w:val="en-US"/>
        </w:rPr>
        <w:t xml:space="preserve"> including Bayesian model averaging, </w:t>
      </w:r>
      <w:r w:rsidR="00142E97">
        <w:rPr>
          <w:lang w:val="en-US"/>
        </w:rPr>
        <w:t xml:space="preserve">a </w:t>
      </w:r>
      <w:r w:rsidRPr="009363A4">
        <w:rPr>
          <w:lang w:val="en-US"/>
        </w:rPr>
        <w:t xml:space="preserve">Bayesian random coefficient model, decision trees, </w:t>
      </w:r>
      <w:r w:rsidR="00142E97">
        <w:rPr>
          <w:lang w:val="en-US"/>
        </w:rPr>
        <w:t xml:space="preserve">a </w:t>
      </w:r>
      <w:r w:rsidRPr="009363A4">
        <w:rPr>
          <w:lang w:val="en-US"/>
        </w:rPr>
        <w:t>dynamic dependent variable model, and probit/logit models. The set</w:t>
      </w:r>
      <w:r w:rsidR="000B2E8F">
        <w:rPr>
          <w:lang w:val="en-US"/>
        </w:rPr>
        <w:t>-</w:t>
      </w:r>
      <w:r w:rsidRPr="009363A4">
        <w:rPr>
          <w:lang w:val="en-US"/>
        </w:rPr>
        <w:t xml:space="preserve">up bears enough similarities </w:t>
      </w:r>
      <w:r w:rsidR="00CF6396">
        <w:rPr>
          <w:lang w:val="en-US"/>
        </w:rPr>
        <w:t xml:space="preserve">to </w:t>
      </w:r>
      <w:r w:rsidRPr="009363A4">
        <w:rPr>
          <w:lang w:val="en-US"/>
        </w:rPr>
        <w:t xml:space="preserve">ours </w:t>
      </w:r>
      <w:r w:rsidR="00CF6396">
        <w:rPr>
          <w:lang w:val="en-US"/>
        </w:rPr>
        <w:t xml:space="preserve">that we obtain </w:t>
      </w:r>
      <w:r w:rsidRPr="009363A4">
        <w:rPr>
          <w:lang w:val="en-US"/>
        </w:rPr>
        <w:t>a closely matched comparison</w:t>
      </w:r>
      <w:r w:rsidR="00CF6396">
        <w:rPr>
          <w:lang w:val="en-US"/>
        </w:rPr>
        <w:t>.</w:t>
      </w:r>
      <w:r w:rsidR="00CF6396">
        <w:rPr>
          <w:rStyle w:val="Alaviitteenviite"/>
          <w:lang w:val="en-US"/>
        </w:rPr>
        <w:footnoteReference w:id="15"/>
      </w:r>
      <w:r w:rsidRPr="009363A4">
        <w:rPr>
          <w:lang w:val="en-US"/>
        </w:rPr>
        <w:t xml:space="preserve"> The dataset is some subset of EU countries for each study and the time period is from 1970/80 to about </w:t>
      </w:r>
      <w:r w:rsidR="003C1844" w:rsidRPr="009363A4">
        <w:rPr>
          <w:lang w:val="en-US"/>
        </w:rPr>
        <w:t>201</w:t>
      </w:r>
      <w:r w:rsidR="003C1844">
        <w:rPr>
          <w:lang w:val="en-US"/>
        </w:rPr>
        <w:t>0</w:t>
      </w:r>
      <w:r w:rsidR="003C1844" w:rsidRPr="009363A4">
        <w:rPr>
          <w:lang w:val="en-US"/>
        </w:rPr>
        <w:t xml:space="preserve"> </w:t>
      </w:r>
      <w:r w:rsidRPr="009363A4">
        <w:rPr>
          <w:lang w:val="en-US"/>
        </w:rPr>
        <w:t>for each study. Therefore, even if the definition of loss function differs</w:t>
      </w:r>
      <w:r w:rsidR="00232FE4">
        <w:rPr>
          <w:lang w:val="en-US"/>
        </w:rPr>
        <w:t xml:space="preserve"> and there are differences in the crisis variable</w:t>
      </w:r>
      <w:r w:rsidRPr="009363A4">
        <w:rPr>
          <w:lang w:val="en-US"/>
        </w:rPr>
        <w:t>, the reported AUROC measures and false rates should be comparable on a crude level.</w:t>
      </w:r>
    </w:p>
    <w:p w14:paraId="69E81633" w14:textId="0DEF486F" w:rsidR="009363A4" w:rsidRPr="009363A4" w:rsidRDefault="009363A4" w:rsidP="009363A4">
      <w:pPr>
        <w:spacing w:line="360" w:lineRule="auto"/>
        <w:rPr>
          <w:lang w:val="en-US"/>
        </w:rPr>
      </w:pPr>
      <w:r w:rsidRPr="009363A4">
        <w:rPr>
          <w:lang w:val="en-US"/>
        </w:rPr>
        <w:t xml:space="preserve">In Alessi </w:t>
      </w:r>
      <w:r w:rsidR="000B2E8F" w:rsidRPr="00C212DD">
        <w:rPr>
          <w:lang w:val="en-US"/>
        </w:rPr>
        <w:t>et al.</w:t>
      </w:r>
      <w:r w:rsidR="00D55118" w:rsidRPr="009363A4">
        <w:rPr>
          <w:lang w:val="en-US"/>
        </w:rPr>
        <w:t xml:space="preserve"> (</w:t>
      </w:r>
      <w:r w:rsidRPr="009363A4">
        <w:rPr>
          <w:lang w:val="en-US"/>
        </w:rPr>
        <w:t>2015), the in-sample AUROC values fall in the interval 0.73–0.989</w:t>
      </w:r>
      <w:r w:rsidR="00D55118">
        <w:rPr>
          <w:lang w:val="en-US"/>
        </w:rPr>
        <w:t xml:space="preserve"> and </w:t>
      </w:r>
      <w:r w:rsidR="00D0772F">
        <w:rPr>
          <w:lang w:val="en-US"/>
        </w:rPr>
        <w:t xml:space="preserve">are </w:t>
      </w:r>
      <w:r w:rsidR="00D55118">
        <w:rPr>
          <w:lang w:val="en-US"/>
        </w:rPr>
        <w:t xml:space="preserve">0.90 on </w:t>
      </w:r>
      <w:r w:rsidR="00D55118" w:rsidRPr="00550574">
        <w:rPr>
          <w:lang w:val="en-US"/>
        </w:rPr>
        <w:t>average (</w:t>
      </w:r>
      <w:r w:rsidR="00D55118" w:rsidRPr="00212882">
        <w:rPr>
          <w:lang w:val="en-US"/>
        </w:rPr>
        <w:t xml:space="preserve">Table </w:t>
      </w:r>
      <w:r w:rsidR="00232FE4" w:rsidRPr="00550574">
        <w:rPr>
          <w:lang w:val="en-US"/>
        </w:rPr>
        <w:t>6</w:t>
      </w:r>
      <w:r w:rsidRPr="00550574">
        <w:rPr>
          <w:lang w:val="en-US"/>
        </w:rPr>
        <w:t>).</w:t>
      </w:r>
      <w:r w:rsidRPr="009363A4">
        <w:rPr>
          <w:lang w:val="en-US"/>
        </w:rPr>
        <w:t xml:space="preserve"> The in-sample AUROC values </w:t>
      </w:r>
      <w:r w:rsidR="00232FE4">
        <w:rPr>
          <w:lang w:val="en-US"/>
        </w:rPr>
        <w:t xml:space="preserve">for composite exuberance indicators </w:t>
      </w:r>
      <w:r w:rsidRPr="009363A4">
        <w:rPr>
          <w:lang w:val="en-US"/>
        </w:rPr>
        <w:t>are 0.05 smaller on average</w:t>
      </w:r>
      <w:r w:rsidR="00232FE4">
        <w:rPr>
          <w:lang w:val="en-US"/>
        </w:rPr>
        <w:t>, correspon</w:t>
      </w:r>
      <w:r w:rsidR="00D0772F">
        <w:rPr>
          <w:lang w:val="en-US"/>
        </w:rPr>
        <w:t xml:space="preserve">ding </w:t>
      </w:r>
      <w:r w:rsidR="00232FE4">
        <w:rPr>
          <w:lang w:val="en-US"/>
        </w:rPr>
        <w:t>to one standard error</w:t>
      </w:r>
      <w:r w:rsidRPr="009363A4">
        <w:rPr>
          <w:lang w:val="en-US"/>
        </w:rPr>
        <w:t xml:space="preserve">. </w:t>
      </w:r>
      <w:r w:rsidR="00D0772F">
        <w:rPr>
          <w:lang w:val="en-US"/>
        </w:rPr>
        <w:t xml:space="preserve">Even so, </w:t>
      </w:r>
      <w:r w:rsidRPr="009363A4">
        <w:rPr>
          <w:lang w:val="en-US"/>
        </w:rPr>
        <w:t xml:space="preserve">it is helpful to point out some likely causes </w:t>
      </w:r>
      <w:r w:rsidR="00D0772F">
        <w:rPr>
          <w:lang w:val="en-US"/>
        </w:rPr>
        <w:t xml:space="preserve">of this </w:t>
      </w:r>
      <w:r w:rsidR="00A24BE5">
        <w:rPr>
          <w:lang w:val="en-US"/>
        </w:rPr>
        <w:t>in-sample</w:t>
      </w:r>
      <w:r w:rsidRPr="009363A4">
        <w:rPr>
          <w:lang w:val="en-US"/>
        </w:rPr>
        <w:t xml:space="preserve"> performance gap </w:t>
      </w:r>
      <w:r w:rsidR="00D0772F">
        <w:rPr>
          <w:lang w:val="en-US"/>
        </w:rPr>
        <w:t xml:space="preserve">for </w:t>
      </w:r>
      <w:r w:rsidRPr="009363A4">
        <w:rPr>
          <w:lang w:val="en-US"/>
        </w:rPr>
        <w:t xml:space="preserve">AUROC. </w:t>
      </w:r>
      <w:r w:rsidR="00C953FC">
        <w:rPr>
          <w:lang w:val="en-US"/>
        </w:rPr>
        <w:t xml:space="preserve">Another </w:t>
      </w:r>
      <w:r w:rsidRPr="009363A4">
        <w:rPr>
          <w:lang w:val="en-US"/>
        </w:rPr>
        <w:t xml:space="preserve">factor </w:t>
      </w:r>
      <w:r w:rsidR="00C953FC">
        <w:rPr>
          <w:lang w:val="en-US"/>
        </w:rPr>
        <w:t xml:space="preserve">noted </w:t>
      </w:r>
      <w:r w:rsidRPr="009363A4">
        <w:rPr>
          <w:lang w:val="en-US"/>
        </w:rPr>
        <w:t xml:space="preserve">by Alessi </w:t>
      </w:r>
      <w:r w:rsidR="000B2E8F" w:rsidRPr="00C212DD">
        <w:rPr>
          <w:lang w:val="en-US"/>
        </w:rPr>
        <w:t>et al.</w:t>
      </w:r>
      <w:r w:rsidR="00A55771">
        <w:rPr>
          <w:lang w:val="en-US"/>
        </w:rPr>
        <w:t xml:space="preserve"> (2015)</w:t>
      </w:r>
      <w:r w:rsidRPr="009363A4">
        <w:rPr>
          <w:lang w:val="en-US"/>
        </w:rPr>
        <w:t xml:space="preserve">, which has less to do with our method, is that some </w:t>
      </w:r>
      <w:r w:rsidR="00232FE4">
        <w:rPr>
          <w:lang w:val="en-US"/>
        </w:rPr>
        <w:t>data</w:t>
      </w:r>
      <w:r w:rsidR="00C953FC">
        <w:rPr>
          <w:lang w:val="en-US"/>
        </w:rPr>
        <w:t>-</w:t>
      </w:r>
      <w:r w:rsidR="00232FE4">
        <w:rPr>
          <w:lang w:val="en-US"/>
        </w:rPr>
        <w:t xml:space="preserve">driven methods </w:t>
      </w:r>
      <w:r w:rsidRPr="009363A4">
        <w:rPr>
          <w:lang w:val="en-US"/>
        </w:rPr>
        <w:t>attain very high AUROC</w:t>
      </w:r>
      <w:r w:rsidR="00C953FC">
        <w:rPr>
          <w:lang w:val="en-US"/>
        </w:rPr>
        <w:t xml:space="preserve"> values</w:t>
      </w:r>
      <w:r w:rsidRPr="009363A4">
        <w:rPr>
          <w:lang w:val="en-US"/>
        </w:rPr>
        <w:t xml:space="preserve"> due to overfitting</w:t>
      </w:r>
      <w:r w:rsidR="00C953FC">
        <w:rPr>
          <w:lang w:val="en-US"/>
        </w:rPr>
        <w:t xml:space="preserve"> (</w:t>
      </w:r>
      <w:r w:rsidRPr="009363A4">
        <w:rPr>
          <w:lang w:val="en-US"/>
        </w:rPr>
        <w:t xml:space="preserve">methods </w:t>
      </w:r>
      <w:r w:rsidR="00C953FC">
        <w:rPr>
          <w:lang w:val="en-US"/>
        </w:rPr>
        <w:t xml:space="preserve">may </w:t>
      </w:r>
      <w:r w:rsidRPr="009363A4">
        <w:rPr>
          <w:lang w:val="en-US"/>
        </w:rPr>
        <w:t>use country</w:t>
      </w:r>
      <w:r w:rsidR="00C953FC">
        <w:rPr>
          <w:lang w:val="en-US"/>
        </w:rPr>
        <w:t>-</w:t>
      </w:r>
      <w:r w:rsidRPr="009363A4">
        <w:rPr>
          <w:lang w:val="en-US"/>
        </w:rPr>
        <w:t>specific estimated coefficients, fixed effects, or a complex fine-tuned set</w:t>
      </w:r>
      <w:r w:rsidR="000B2E8F">
        <w:rPr>
          <w:lang w:val="en-US"/>
        </w:rPr>
        <w:t>-</w:t>
      </w:r>
      <w:r w:rsidRPr="009363A4">
        <w:rPr>
          <w:lang w:val="en-US"/>
        </w:rPr>
        <w:t>up</w:t>
      </w:r>
      <w:r w:rsidR="00C953FC">
        <w:rPr>
          <w:lang w:val="en-US"/>
        </w:rPr>
        <w:t>)</w:t>
      </w:r>
      <w:r w:rsidRPr="009363A4">
        <w:rPr>
          <w:lang w:val="en-US"/>
        </w:rPr>
        <w:t>.</w:t>
      </w:r>
      <w:r w:rsidR="00146D41">
        <w:rPr>
          <w:rStyle w:val="Alaviitteenviite"/>
          <w:lang w:val="en-US"/>
        </w:rPr>
        <w:footnoteReference w:id="16"/>
      </w:r>
      <w:r w:rsidRPr="009363A4">
        <w:rPr>
          <w:lang w:val="en-US"/>
        </w:rPr>
        <w:t xml:space="preserve"> Another side of the coin is that we could use more parameters. If we </w:t>
      </w:r>
      <w:r w:rsidR="00550574">
        <w:rPr>
          <w:lang w:val="en-US"/>
        </w:rPr>
        <w:t xml:space="preserve">allow for adjusting the indicator weights </w:t>
      </w:r>
      <w:r w:rsidRPr="009363A4">
        <w:rPr>
          <w:lang w:val="en-US"/>
        </w:rPr>
        <w:t xml:space="preserve">in </w:t>
      </w:r>
      <w:r w:rsidR="00550574">
        <w:rPr>
          <w:lang w:val="en-US"/>
        </w:rPr>
        <w:t xml:space="preserve">the </w:t>
      </w:r>
      <w:r w:rsidRPr="009363A4">
        <w:rPr>
          <w:lang w:val="en-US"/>
        </w:rPr>
        <w:t>composite</w:t>
      </w:r>
      <w:r w:rsidR="00550574">
        <w:rPr>
          <w:lang w:val="en-US"/>
        </w:rPr>
        <w:t xml:space="preserve"> exuberance</w:t>
      </w:r>
      <w:r w:rsidRPr="009363A4">
        <w:rPr>
          <w:lang w:val="en-US"/>
        </w:rPr>
        <w:t xml:space="preserve"> indicators of Table </w:t>
      </w:r>
      <w:r w:rsidR="004C2EFF">
        <w:rPr>
          <w:lang w:val="en-US"/>
        </w:rPr>
        <w:t>5</w:t>
      </w:r>
      <w:r w:rsidRPr="009363A4">
        <w:rPr>
          <w:lang w:val="en-US"/>
        </w:rPr>
        <w:t>, our AUROC values increase</w:t>
      </w:r>
      <w:r w:rsidR="005420F5">
        <w:rPr>
          <w:lang w:val="en-US"/>
        </w:rPr>
        <w:t xml:space="preserve"> </w:t>
      </w:r>
      <w:r w:rsidRPr="009363A4">
        <w:rPr>
          <w:lang w:val="en-US"/>
        </w:rPr>
        <w:t>to 0.</w:t>
      </w:r>
      <w:r w:rsidR="005420F5">
        <w:rPr>
          <w:lang w:val="en-US"/>
        </w:rPr>
        <w:t>89</w:t>
      </w:r>
      <w:r w:rsidR="00550574">
        <w:rPr>
          <w:lang w:val="en-US"/>
        </w:rPr>
        <w:t>. A</w:t>
      </w:r>
      <w:r w:rsidRPr="009363A4">
        <w:rPr>
          <w:lang w:val="en-US"/>
        </w:rPr>
        <w:t xml:space="preserve">dding country fixed effects increases the AUROC </w:t>
      </w:r>
      <w:r w:rsidR="00550574">
        <w:rPr>
          <w:lang w:val="en-US"/>
        </w:rPr>
        <w:t>to 0.9</w:t>
      </w:r>
      <w:r w:rsidR="005420F5">
        <w:rPr>
          <w:lang w:val="en-US"/>
        </w:rPr>
        <w:t>1</w:t>
      </w:r>
      <w:r w:rsidRPr="009363A4">
        <w:rPr>
          <w:lang w:val="en-US"/>
        </w:rPr>
        <w:t>.</w:t>
      </w:r>
      <w:r w:rsidR="005420F5">
        <w:rPr>
          <w:rStyle w:val="Alaviitteenviite"/>
          <w:lang w:val="en-US"/>
        </w:rPr>
        <w:footnoteReference w:id="17"/>
      </w:r>
      <w:r w:rsidRPr="009363A4">
        <w:rPr>
          <w:lang w:val="en-US"/>
        </w:rPr>
        <w:t xml:space="preserve"> Th</w:t>
      </w:r>
      <w:r w:rsidR="00C953FC">
        <w:rPr>
          <w:lang w:val="en-US"/>
        </w:rPr>
        <w:t>us, a</w:t>
      </w:r>
      <w:r w:rsidRPr="009363A4">
        <w:rPr>
          <w:lang w:val="en-US"/>
        </w:rPr>
        <w:t xml:space="preserve"> likely cost of adding parameters is </w:t>
      </w:r>
      <w:r w:rsidR="00142E97">
        <w:rPr>
          <w:lang w:val="en-US"/>
        </w:rPr>
        <w:t>poorer</w:t>
      </w:r>
      <w:r w:rsidR="00142E97" w:rsidRPr="009363A4">
        <w:rPr>
          <w:lang w:val="en-US"/>
        </w:rPr>
        <w:t xml:space="preserve"> </w:t>
      </w:r>
      <w:r w:rsidRPr="009363A4">
        <w:rPr>
          <w:lang w:val="en-US"/>
        </w:rPr>
        <w:t xml:space="preserve">out-of-sample </w:t>
      </w:r>
      <w:r w:rsidR="005420F5">
        <w:rPr>
          <w:lang w:val="en-US"/>
        </w:rPr>
        <w:t xml:space="preserve">performance or </w:t>
      </w:r>
      <w:r w:rsidR="00C953FC">
        <w:rPr>
          <w:lang w:val="en-US"/>
        </w:rPr>
        <w:t xml:space="preserve">simply </w:t>
      </w:r>
      <w:r w:rsidR="005420F5">
        <w:rPr>
          <w:lang w:val="en-US"/>
        </w:rPr>
        <w:t>higher data requirements</w:t>
      </w:r>
      <w:r w:rsidR="00C953FC">
        <w:rPr>
          <w:lang w:val="en-US"/>
        </w:rPr>
        <w:t xml:space="preserve"> in the best case</w:t>
      </w:r>
      <w:r w:rsidRPr="009363A4">
        <w:rPr>
          <w:lang w:val="en-US"/>
        </w:rPr>
        <w:t xml:space="preserve">. As noted earlier, our method with fewer parameters </w:t>
      </w:r>
      <w:r w:rsidR="005420F5">
        <w:rPr>
          <w:lang w:val="en-US"/>
        </w:rPr>
        <w:t xml:space="preserve">that needs not much more than the bare bubble theory </w:t>
      </w:r>
      <w:r w:rsidRPr="009363A4">
        <w:rPr>
          <w:lang w:val="en-US"/>
        </w:rPr>
        <w:t>seems to be particularly robust in out-of-sample evaluation.</w:t>
      </w:r>
    </w:p>
    <w:p w14:paraId="07A8977F" w14:textId="2FBA7AA7" w:rsidR="00550574" w:rsidRPr="00760F64" w:rsidRDefault="00550574" w:rsidP="00550574">
      <w:pPr>
        <w:spacing w:line="360" w:lineRule="auto"/>
        <w:rPr>
          <w:lang w:val="en-US"/>
        </w:rPr>
      </w:pPr>
      <w:r w:rsidRPr="009960C2">
        <w:rPr>
          <w:lang w:val="en-US"/>
        </w:rPr>
        <w:t xml:space="preserve">In summary, the results </w:t>
      </w:r>
      <w:r>
        <w:rPr>
          <w:lang w:val="en-US"/>
        </w:rPr>
        <w:t>show that</w:t>
      </w:r>
      <w:r w:rsidRPr="009960C2">
        <w:rPr>
          <w:lang w:val="en-US"/>
        </w:rPr>
        <w:t xml:space="preserve"> it is useful to consider signals from </w:t>
      </w:r>
      <w:r>
        <w:rPr>
          <w:lang w:val="en-US"/>
        </w:rPr>
        <w:t xml:space="preserve">multiple </w:t>
      </w:r>
      <w:r w:rsidRPr="009960C2">
        <w:rPr>
          <w:lang w:val="en-US"/>
        </w:rPr>
        <w:t xml:space="preserve">indicators at the same time. If a policymaker considers only a few indicators, more weight should go to those indicators that have higher relative usefulness when evaluated alone (e.g. credit-to-GDP ratios and debt-servicing costs). However, when the number of considered indicators increases, </w:t>
      </w:r>
      <w:r w:rsidRPr="00760F64">
        <w:rPr>
          <w:lang w:val="en-US"/>
        </w:rPr>
        <w:t>the relatively weaker and noisy indicators such as the alerts derived from house price ratios add positively to the aggregate useful information.</w:t>
      </w:r>
    </w:p>
    <w:p w14:paraId="69C88501" w14:textId="77777777" w:rsidR="00550574" w:rsidRPr="00760F64" w:rsidRDefault="00550574" w:rsidP="009363A4">
      <w:pPr>
        <w:spacing w:line="360" w:lineRule="auto"/>
        <w:rPr>
          <w:lang w:val="en-US"/>
        </w:rPr>
      </w:pPr>
    </w:p>
    <w:p w14:paraId="310482D7" w14:textId="20003894" w:rsidR="00FD12EF" w:rsidRPr="00760F64" w:rsidRDefault="002A1A27" w:rsidP="00C212DD">
      <w:pPr>
        <w:pStyle w:val="Otsikko2"/>
      </w:pPr>
      <w:r w:rsidRPr="00760F64">
        <w:t xml:space="preserve">C. </w:t>
      </w:r>
      <w:r w:rsidR="00697056" w:rsidRPr="00760F64">
        <w:t>Signal timing</w:t>
      </w:r>
    </w:p>
    <w:p w14:paraId="151C3505" w14:textId="77777777" w:rsidR="00156AB4" w:rsidRDefault="0059317D" w:rsidP="00C65F84">
      <w:pPr>
        <w:spacing w:line="360" w:lineRule="auto"/>
        <w:ind w:firstLine="562"/>
        <w:rPr>
          <w:lang w:val="en-US" w:eastAsia="fi-FI"/>
        </w:rPr>
      </w:pPr>
      <w:r w:rsidRPr="00760F64">
        <w:rPr>
          <w:lang w:val="en-US" w:eastAsia="fi-FI"/>
        </w:rPr>
        <w:t>To obtain more information about the timing of the early warning signals,</w:t>
      </w:r>
      <w:r w:rsidR="00697056" w:rsidRPr="00760F64">
        <w:rPr>
          <w:lang w:val="en-US"/>
        </w:rPr>
        <w:t xml:space="preserve"> </w:t>
      </w:r>
      <w:r w:rsidRPr="00760F64">
        <w:rPr>
          <w:lang w:val="en-US" w:eastAsia="fi-FI"/>
        </w:rPr>
        <w:t>w</w:t>
      </w:r>
      <w:r w:rsidR="00156AB4" w:rsidRPr="00760F64">
        <w:rPr>
          <w:lang w:val="en-US" w:eastAsia="fi-FI"/>
        </w:rPr>
        <w:t xml:space="preserve">e study the typical alerting lead </w:t>
      </w:r>
      <w:r w:rsidR="000B5B18" w:rsidRPr="00760F64">
        <w:rPr>
          <w:lang w:val="en-US" w:eastAsia="fi-FI"/>
        </w:rPr>
        <w:t>of</w:t>
      </w:r>
      <w:r w:rsidRPr="00760F64">
        <w:rPr>
          <w:lang w:val="en-US" w:eastAsia="fi-FI"/>
        </w:rPr>
        <w:t xml:space="preserve"> the</w:t>
      </w:r>
      <w:r w:rsidR="000B5B18" w:rsidRPr="00760F64">
        <w:rPr>
          <w:lang w:val="en-US" w:eastAsia="fi-FI"/>
        </w:rPr>
        <w:t xml:space="preserve"> exuberance</w:t>
      </w:r>
      <w:r w:rsidR="000B5B18">
        <w:rPr>
          <w:lang w:val="en-US" w:eastAsia="fi-FI"/>
        </w:rPr>
        <w:t xml:space="preserve"> indicators</w:t>
      </w:r>
      <w:r w:rsidR="00156AB4" w:rsidRPr="00156AB4">
        <w:rPr>
          <w:lang w:val="en-US" w:eastAsia="fi-FI"/>
        </w:rPr>
        <w:t xml:space="preserve">. To this end we define a dummy variable </w:t>
      </w:r>
      <m:oMath>
        <m:sSub>
          <m:sSubPr>
            <m:ctrlPr>
              <w:rPr>
                <w:rFonts w:ascii="Cambria Math" w:hAnsi="Cambria Math"/>
                <w:lang w:val="en-US" w:eastAsia="fi-FI"/>
              </w:rPr>
            </m:ctrlPr>
          </m:sSubPr>
          <m:e>
            <m:r>
              <w:rPr>
                <w:rFonts w:ascii="Cambria Math" w:hAnsi="Cambria Math"/>
                <w:lang w:val="en-US" w:eastAsia="fi-FI"/>
              </w:rPr>
              <m:t>D</m:t>
            </m:r>
          </m:e>
          <m:sub>
            <m:r>
              <w:rPr>
                <w:rFonts w:ascii="Cambria Math" w:hAnsi="Cambria Math"/>
                <w:lang w:val="en-US" w:eastAsia="fi-FI"/>
              </w:rPr>
              <m:t>i,t</m:t>
            </m:r>
          </m:sub>
        </m:sSub>
        <m:r>
          <w:rPr>
            <w:rFonts w:ascii="Cambria Math" w:hAnsi="Cambria Math"/>
            <w:lang w:val="en-US" w:eastAsia="fi-FI"/>
          </w:rPr>
          <m:t xml:space="preserve"> </m:t>
        </m:r>
      </m:oMath>
      <w:r w:rsidR="00156AB4" w:rsidRPr="00156AB4">
        <w:rPr>
          <w:lang w:val="en-US" w:eastAsia="fi-FI"/>
        </w:rPr>
        <w:t>which flags the starting period of each financial crisis</w:t>
      </w:r>
      <w:r w:rsidR="00156AB4">
        <w:rPr>
          <w:lang w:val="en-US" w:eastAsia="fi-FI"/>
        </w:rPr>
        <w:t>.</w:t>
      </w:r>
      <w:r w:rsidR="00C422AB">
        <w:rPr>
          <w:lang w:val="en-US" w:eastAsia="fi-FI"/>
        </w:rPr>
        <w:t xml:space="preserve"> We consider a set of models explaining the start of crisis with the lagged early warning signal parameterized by the lag </w:t>
      </w:r>
      <w:r w:rsidR="00C422AB" w:rsidRPr="00C422AB">
        <w:rPr>
          <w:i/>
          <w:lang w:val="en-US" w:eastAsia="fi-FI"/>
        </w:rPr>
        <w:t>L</w:t>
      </w:r>
      <w:r w:rsidR="00603216">
        <w:rPr>
          <w:i/>
          <w:lang w:val="en-US" w:eastAsia="fi-FI"/>
        </w:rPr>
        <w:t>=1,2,…,.20 (quarters)</w:t>
      </w:r>
      <w:r w:rsidR="00C422AB" w:rsidRPr="00C422AB">
        <w:rPr>
          <w:lang w:val="en-US" w:eastAsia="fi-FI"/>
        </w:rPr>
        <w:t>:</w:t>
      </w:r>
    </w:p>
    <w:p w14:paraId="762ABC28" w14:textId="77777777" w:rsidR="006B7AD6" w:rsidRDefault="006B7AD6" w:rsidP="00697056">
      <w:pPr>
        <w:spacing w:line="360" w:lineRule="auto"/>
        <w:ind w:firstLine="0"/>
        <w:rPr>
          <w:lang w:val="en-US" w:eastAsia="fi-FI"/>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5"/>
        <w:gridCol w:w="6210"/>
        <w:gridCol w:w="645"/>
      </w:tblGrid>
      <w:tr w:rsidR="00712EFC" w14:paraId="24DA6C91" w14:textId="77777777" w:rsidTr="00D06C83">
        <w:tc>
          <w:tcPr>
            <w:tcW w:w="2155" w:type="dxa"/>
          </w:tcPr>
          <w:p w14:paraId="60814556" w14:textId="77777777" w:rsidR="00712EFC" w:rsidRDefault="00712EFC" w:rsidP="00A01142">
            <w:pPr>
              <w:spacing w:line="360" w:lineRule="auto"/>
              <w:ind w:firstLine="0"/>
              <w:rPr>
                <w:lang w:val="en-US"/>
              </w:rPr>
            </w:pPr>
          </w:p>
        </w:tc>
        <w:tc>
          <w:tcPr>
            <w:tcW w:w="6210" w:type="dxa"/>
          </w:tcPr>
          <w:p w14:paraId="5A4DE95B" w14:textId="77777777" w:rsidR="00712EFC" w:rsidRPr="006B7AD6" w:rsidRDefault="00182CAB" w:rsidP="00A01142">
            <w:pPr>
              <w:spacing w:line="360" w:lineRule="auto"/>
              <w:ind w:firstLine="0"/>
              <w:rPr>
                <w:lang w:val="en-US"/>
              </w:rPr>
            </w:pPr>
            <m:oMath>
              <m:sSub>
                <m:sSubPr>
                  <m:ctrlPr>
                    <w:rPr>
                      <w:rFonts w:ascii="Cambria Math" w:hAnsi="Cambria Math"/>
                      <w:lang w:val="en-US" w:eastAsia="fi-FI"/>
                    </w:rPr>
                  </m:ctrlPr>
                </m:sSubPr>
                <m:e>
                  <m:r>
                    <w:rPr>
                      <w:rFonts w:ascii="Cambria Math" w:hAnsi="Cambria Math"/>
                      <w:lang w:val="en-US" w:eastAsia="fi-FI"/>
                    </w:rPr>
                    <m:t>P(D</m:t>
                  </m:r>
                </m:e>
                <m:sub>
                  <m:r>
                    <w:rPr>
                      <w:rFonts w:ascii="Cambria Math" w:hAnsi="Cambria Math"/>
                      <w:lang w:val="en-US" w:eastAsia="fi-FI"/>
                    </w:rPr>
                    <m:t>i,t</m:t>
                  </m:r>
                </m:sub>
              </m:sSub>
              <m:r>
                <w:rPr>
                  <w:rFonts w:ascii="Cambria Math" w:eastAsiaTheme="minorEastAsia" w:hAnsi="Cambria Math"/>
                  <w:lang w:val="en-US" w:eastAsia="fi-FI"/>
                </w:rPr>
                <m:t>=1</m:t>
              </m:r>
              <m:d>
                <m:dPr>
                  <m:begChr m:val="|"/>
                  <m:ctrlPr>
                    <w:rPr>
                      <w:rFonts w:ascii="Cambria Math" w:eastAsiaTheme="minorEastAsia" w:hAnsi="Cambria Math"/>
                      <w:i/>
                      <w:lang w:val="en-US" w:eastAsia="fi-FI"/>
                    </w:rPr>
                  </m:ctrlPr>
                </m:dPr>
                <m:e>
                  <m:sSub>
                    <m:sSubPr>
                      <m:ctrlPr>
                        <w:rPr>
                          <w:rFonts w:ascii="Cambria Math" w:hAnsi="Cambria Math"/>
                          <w:lang w:val="en-US" w:eastAsia="fi-FI"/>
                        </w:rPr>
                      </m:ctrlPr>
                    </m:sSubPr>
                    <m:e>
                      <m:r>
                        <w:rPr>
                          <w:rFonts w:ascii="Cambria Math" w:hAnsi="Cambria Math"/>
                          <w:lang w:val="en-US" w:eastAsia="fi-FI"/>
                        </w:rPr>
                        <m:t>I</m:t>
                      </m:r>
                    </m:e>
                    <m:sub>
                      <m:r>
                        <w:rPr>
                          <w:rFonts w:ascii="Cambria Math" w:hAnsi="Cambria Math"/>
                          <w:lang w:val="en-US" w:eastAsia="fi-FI"/>
                        </w:rPr>
                        <m:t>i,t-L</m:t>
                      </m:r>
                    </m:sub>
                  </m:sSub>
                </m:e>
              </m:d>
              <m:r>
                <w:rPr>
                  <w:rFonts w:ascii="Cambria Math" w:eastAsiaTheme="minorEastAsia" w:hAnsi="Cambria Math"/>
                  <w:lang w:val="en-US" w:eastAsia="fi-FI"/>
                </w:rPr>
                <m:t>=F</m:t>
              </m:r>
              <m:d>
                <m:dPr>
                  <m:ctrlPr>
                    <w:rPr>
                      <w:rFonts w:ascii="Cambria Math" w:eastAsiaTheme="minorEastAsia" w:hAnsi="Cambria Math"/>
                      <w:i/>
                      <w:lang w:val="en-US" w:eastAsia="fi-FI"/>
                    </w:rPr>
                  </m:ctrlPr>
                </m:dPr>
                <m:e>
                  <m:sSub>
                    <m:sSubPr>
                      <m:ctrlPr>
                        <w:rPr>
                          <w:rFonts w:ascii="Cambria Math" w:hAnsi="Cambria Math"/>
                          <w:lang w:val="en-US" w:eastAsia="fi-FI"/>
                        </w:rPr>
                      </m:ctrlPr>
                    </m:sSubPr>
                    <m:e>
                      <m:r>
                        <w:rPr>
                          <w:rFonts w:ascii="Cambria Math" w:hAnsi="Cambria Math"/>
                          <w:lang w:val="en-US" w:eastAsia="fi-FI"/>
                        </w:rPr>
                        <m:t>α+βI</m:t>
                      </m:r>
                    </m:e>
                    <m:sub>
                      <m:r>
                        <w:rPr>
                          <w:rFonts w:ascii="Cambria Math" w:hAnsi="Cambria Math"/>
                          <w:lang w:val="en-US" w:eastAsia="fi-FI"/>
                        </w:rPr>
                        <m:t>i,t-L</m:t>
                      </m:r>
                    </m:sub>
                  </m:sSub>
                  <m:ctrlPr>
                    <w:rPr>
                      <w:rFonts w:ascii="Cambria Math" w:hAnsi="Cambria Math"/>
                      <w:i/>
                      <w:lang w:val="en-US" w:eastAsia="fi-FI"/>
                    </w:rPr>
                  </m:ctrlPr>
                </m:e>
              </m:d>
            </m:oMath>
            <w:r w:rsidR="00426866">
              <w:rPr>
                <w:rFonts w:eastAsiaTheme="minorEastAsia"/>
                <w:lang w:val="en-US" w:eastAsia="fi-FI"/>
              </w:rPr>
              <w:t xml:space="preserve"> ,</w:t>
            </w:r>
          </w:p>
        </w:tc>
        <w:tc>
          <w:tcPr>
            <w:tcW w:w="645" w:type="dxa"/>
          </w:tcPr>
          <w:p w14:paraId="79FE1E39" w14:textId="77777777" w:rsidR="00712EFC" w:rsidRDefault="006B7AD6" w:rsidP="00A01142">
            <w:pPr>
              <w:spacing w:line="360" w:lineRule="auto"/>
              <w:ind w:firstLine="0"/>
              <w:rPr>
                <w:lang w:val="en-US"/>
              </w:rPr>
            </w:pPr>
            <w:r>
              <w:rPr>
                <w:lang w:val="en-US"/>
              </w:rPr>
              <w:t>(</w:t>
            </w:r>
            <w:r>
              <w:rPr>
                <w:lang w:val="en-US"/>
              </w:rPr>
              <w:fldChar w:fldCharType="begin"/>
            </w:r>
            <w:r>
              <w:rPr>
                <w:lang w:val="en-US"/>
              </w:rPr>
              <w:instrText xml:space="preserve"> SEQ Eq \* MERGEFORMAT </w:instrText>
            </w:r>
            <w:r>
              <w:rPr>
                <w:lang w:val="en-US"/>
              </w:rPr>
              <w:fldChar w:fldCharType="separate"/>
            </w:r>
            <w:r w:rsidR="003050F5">
              <w:rPr>
                <w:noProof/>
                <w:lang w:val="en-US"/>
              </w:rPr>
              <w:t>13</w:t>
            </w:r>
            <w:r>
              <w:rPr>
                <w:lang w:val="en-US"/>
              </w:rPr>
              <w:fldChar w:fldCharType="end"/>
            </w:r>
            <w:r>
              <w:rPr>
                <w:lang w:val="en-US"/>
              </w:rPr>
              <w:t>)</w:t>
            </w:r>
          </w:p>
        </w:tc>
      </w:tr>
    </w:tbl>
    <w:p w14:paraId="6A83B3E4" w14:textId="77777777" w:rsidR="00C422AB" w:rsidRDefault="00C422AB" w:rsidP="00697056">
      <w:pPr>
        <w:spacing w:line="360" w:lineRule="auto"/>
        <w:ind w:firstLine="0"/>
        <w:rPr>
          <w:lang w:val="en-US" w:eastAsia="fi-FI"/>
        </w:rPr>
      </w:pPr>
    </w:p>
    <w:p w14:paraId="59991B07" w14:textId="61EF2890" w:rsidR="00156AB4" w:rsidRDefault="00F56299" w:rsidP="00697056">
      <w:pPr>
        <w:spacing w:line="360" w:lineRule="auto"/>
        <w:ind w:firstLine="0"/>
        <w:rPr>
          <w:lang w:val="en-US"/>
        </w:rPr>
      </w:pPr>
      <w:r>
        <w:rPr>
          <w:lang w:val="en-US" w:eastAsia="fi-FI"/>
        </w:rPr>
        <w:t>w</w:t>
      </w:r>
      <w:r w:rsidR="00C422AB">
        <w:rPr>
          <w:lang w:val="en-US" w:eastAsia="fi-FI"/>
        </w:rPr>
        <w:t>here</w:t>
      </w:r>
      <w:r>
        <w:rPr>
          <w:lang w:val="en-US" w:eastAsia="fi-FI"/>
        </w:rPr>
        <w:t xml:space="preserve"> </w:t>
      </w:r>
      <m:oMath>
        <m:r>
          <w:rPr>
            <w:rFonts w:ascii="Cambria Math" w:hAnsi="Cambria Math"/>
            <w:lang w:val="en-US" w:eastAsia="fi-FI"/>
          </w:rPr>
          <m:t>F(·)</m:t>
        </m:r>
      </m:oMath>
      <w:r w:rsidR="00C422AB">
        <w:rPr>
          <w:lang w:val="en-US" w:eastAsia="fi-FI"/>
        </w:rPr>
        <w:t xml:space="preserve"> </w:t>
      </w:r>
      <w:r>
        <w:rPr>
          <w:lang w:val="en-US" w:eastAsia="fi-FI"/>
        </w:rPr>
        <w:t xml:space="preserve">is the logistic link function and </w:t>
      </w:r>
      <m:oMath>
        <m:sSub>
          <m:sSubPr>
            <m:ctrlPr>
              <w:rPr>
                <w:rFonts w:ascii="Cambria Math" w:hAnsi="Cambria Math"/>
                <w:lang w:val="en-US" w:eastAsia="fi-FI"/>
              </w:rPr>
            </m:ctrlPr>
          </m:sSubPr>
          <m:e>
            <m:r>
              <w:rPr>
                <w:rFonts w:ascii="Cambria Math" w:hAnsi="Cambria Math"/>
                <w:lang w:val="en-US" w:eastAsia="fi-FI"/>
              </w:rPr>
              <m:t>I</m:t>
            </m:r>
          </m:e>
          <m:sub>
            <m:r>
              <w:rPr>
                <w:rFonts w:ascii="Cambria Math" w:hAnsi="Cambria Math"/>
                <w:lang w:val="en-US" w:eastAsia="fi-FI"/>
              </w:rPr>
              <m:t>i,t</m:t>
            </m:r>
          </m:sub>
        </m:sSub>
      </m:oMath>
      <w:r w:rsidR="00C422AB">
        <w:rPr>
          <w:rFonts w:eastAsiaTheme="minorEastAsia"/>
          <w:lang w:val="en-US" w:eastAsia="fi-FI"/>
        </w:rPr>
        <w:t xml:space="preserve"> are the warning signals. </w:t>
      </w:r>
      <w:r w:rsidR="00EC5A59" w:rsidRPr="00EC5A59">
        <w:rPr>
          <w:rFonts w:eastAsiaTheme="minorEastAsia"/>
          <w:lang w:val="en-US" w:eastAsia="fi-FI"/>
        </w:rPr>
        <w:t xml:space="preserve">The </w:t>
      </w:r>
      <w:r w:rsidR="00603216">
        <w:rPr>
          <w:rFonts w:eastAsiaTheme="minorEastAsia"/>
          <w:lang w:val="en-US" w:eastAsia="fi-FI"/>
        </w:rPr>
        <w:t xml:space="preserve">RHS </w:t>
      </w:r>
      <w:r w:rsidR="00EC5A59" w:rsidRPr="00EC5A59">
        <w:rPr>
          <w:rFonts w:eastAsiaTheme="minorEastAsia"/>
          <w:lang w:val="en-US" w:eastAsia="fi-FI"/>
        </w:rPr>
        <w:t xml:space="preserve">estimation sample includes the tranquil periods and those pre-crisis periods that match the lag length </w:t>
      </w:r>
      <w:r w:rsidR="00EC5A59" w:rsidRPr="00212882">
        <w:rPr>
          <w:rFonts w:eastAsiaTheme="minorEastAsia"/>
          <w:i/>
          <w:lang w:val="en-US" w:eastAsia="fi-FI"/>
        </w:rPr>
        <w:t>L</w:t>
      </w:r>
      <w:r w:rsidR="00603216">
        <w:rPr>
          <w:rFonts w:eastAsiaTheme="minorEastAsia"/>
          <w:i/>
          <w:lang w:val="en-US" w:eastAsia="fi-FI"/>
        </w:rPr>
        <w:t>.</w:t>
      </w:r>
      <w:r w:rsidR="00603216">
        <w:rPr>
          <w:rFonts w:eastAsiaTheme="minorEastAsia"/>
          <w:lang w:val="en-US" w:eastAsia="fi-FI"/>
        </w:rPr>
        <w:t xml:space="preserve"> This allows </w:t>
      </w:r>
      <w:r w:rsidR="00C953FC">
        <w:rPr>
          <w:rFonts w:eastAsiaTheme="minorEastAsia"/>
          <w:lang w:val="en-US" w:eastAsia="fi-FI"/>
        </w:rPr>
        <w:t xml:space="preserve">us </w:t>
      </w:r>
      <w:r w:rsidR="00603216">
        <w:rPr>
          <w:rFonts w:eastAsiaTheme="minorEastAsia"/>
          <w:lang w:val="en-US" w:eastAsia="fi-FI"/>
        </w:rPr>
        <w:t>to calculate AUROC for different prediction horizons as</w:t>
      </w:r>
      <w:r w:rsidR="00EC5A59" w:rsidRPr="00EC5A59">
        <w:rPr>
          <w:rFonts w:eastAsiaTheme="minorEastAsia"/>
          <w:lang w:val="en-US" w:eastAsia="fi-FI"/>
        </w:rPr>
        <w:t xml:space="preserve"> </w:t>
      </w:r>
      <w:r w:rsidR="00C953FC">
        <w:rPr>
          <w:rFonts w:eastAsiaTheme="minorEastAsia"/>
          <w:lang w:val="en-US" w:eastAsia="fi-FI"/>
        </w:rPr>
        <w:t xml:space="preserve">in </w:t>
      </w:r>
      <w:r w:rsidR="00EC5A59" w:rsidRPr="00EC5A59">
        <w:rPr>
          <w:rFonts w:eastAsiaTheme="minorEastAsia"/>
          <w:lang w:val="en-US" w:eastAsia="fi-FI"/>
        </w:rPr>
        <w:t xml:space="preserve">Drehmann and Juselius </w:t>
      </w:r>
      <w:r w:rsidR="00603216">
        <w:rPr>
          <w:rFonts w:eastAsiaTheme="minorEastAsia"/>
          <w:lang w:val="en-US" w:eastAsia="fi-FI"/>
        </w:rPr>
        <w:t>(</w:t>
      </w:r>
      <w:r w:rsidR="00EC5A59" w:rsidRPr="00EC5A59">
        <w:rPr>
          <w:rFonts w:eastAsiaTheme="minorEastAsia"/>
          <w:lang w:val="en-US" w:eastAsia="fi-FI"/>
        </w:rPr>
        <w:t xml:space="preserve">2014). </w:t>
      </w:r>
      <w:r w:rsidR="00427CA3">
        <w:rPr>
          <w:rFonts w:eastAsiaTheme="minorEastAsia"/>
          <w:lang w:val="en-US" w:eastAsia="fi-FI"/>
        </w:rPr>
        <w:t>T</w:t>
      </w:r>
      <w:r w:rsidR="00C422AB">
        <w:rPr>
          <w:rFonts w:eastAsiaTheme="minorEastAsia"/>
          <w:lang w:val="en-US" w:eastAsia="fi-FI"/>
        </w:rPr>
        <w:t xml:space="preserve">he typical alerting lead is taken to be the lag length </w:t>
      </w:r>
      <w:r w:rsidR="00C422AB" w:rsidRPr="00C422AB">
        <w:rPr>
          <w:rFonts w:eastAsiaTheme="minorEastAsia"/>
          <w:i/>
          <w:lang w:val="en-US" w:eastAsia="fi-FI"/>
        </w:rPr>
        <w:t>L</w:t>
      </w:r>
      <w:r w:rsidR="00C422AB">
        <w:rPr>
          <w:rFonts w:eastAsiaTheme="minorEastAsia"/>
          <w:i/>
          <w:lang w:val="en-US" w:eastAsia="fi-FI"/>
        </w:rPr>
        <w:t xml:space="preserve"> </w:t>
      </w:r>
      <w:r w:rsidR="00C422AB">
        <w:rPr>
          <w:rFonts w:eastAsiaTheme="minorEastAsia"/>
          <w:lang w:val="en-US" w:eastAsia="fi-FI"/>
        </w:rPr>
        <w:t xml:space="preserve">of the model with </w:t>
      </w:r>
      <w:r>
        <w:rPr>
          <w:rFonts w:eastAsiaTheme="minorEastAsia"/>
          <w:lang w:val="en-US" w:eastAsia="fi-FI"/>
        </w:rPr>
        <w:t xml:space="preserve">the </w:t>
      </w:r>
      <w:r w:rsidR="00C422AB">
        <w:rPr>
          <w:rFonts w:eastAsiaTheme="minorEastAsia"/>
          <w:lang w:val="en-US" w:eastAsia="fi-FI"/>
        </w:rPr>
        <w:t xml:space="preserve">highest </w:t>
      </w:r>
      <w:r>
        <w:rPr>
          <w:rFonts w:eastAsiaTheme="minorEastAsia"/>
          <w:lang w:val="en-US" w:eastAsia="fi-FI"/>
        </w:rPr>
        <w:t>AUROC</w:t>
      </w:r>
      <w:r w:rsidR="00C422AB">
        <w:rPr>
          <w:rFonts w:eastAsiaTheme="minorEastAsia"/>
          <w:lang w:val="en-US" w:eastAsia="fi-FI"/>
        </w:rPr>
        <w:t xml:space="preserve">. </w:t>
      </w:r>
      <w:r w:rsidR="00C953FC">
        <w:rPr>
          <w:lang w:val="en-US"/>
        </w:rPr>
        <w:t>A larger</w:t>
      </w:r>
      <w:r w:rsidR="00C953FC" w:rsidRPr="00A22DE9">
        <w:rPr>
          <w:lang w:val="en-US"/>
        </w:rPr>
        <w:t xml:space="preserve"> </w:t>
      </w:r>
      <w:r w:rsidR="00C422AB">
        <w:rPr>
          <w:lang w:val="en-US"/>
        </w:rPr>
        <w:t xml:space="preserve">alerting lead </w:t>
      </w:r>
      <w:r w:rsidR="00C422AB" w:rsidRPr="00A22DE9">
        <w:rPr>
          <w:lang w:val="en-US"/>
        </w:rPr>
        <w:t xml:space="preserve">means a </w:t>
      </w:r>
      <w:r w:rsidR="00C422AB">
        <w:rPr>
          <w:lang w:val="en-US"/>
        </w:rPr>
        <w:t xml:space="preserve">longer </w:t>
      </w:r>
      <w:r w:rsidR="00C422AB" w:rsidRPr="00A22DE9">
        <w:rPr>
          <w:lang w:val="en-US"/>
        </w:rPr>
        <w:t xml:space="preserve">time on average between indicator alerts and the onset of the </w:t>
      </w:r>
      <w:r w:rsidR="00C422AB">
        <w:rPr>
          <w:lang w:val="en-US"/>
        </w:rPr>
        <w:t xml:space="preserve">financial </w:t>
      </w:r>
      <w:r w:rsidR="00C422AB" w:rsidRPr="00A22DE9">
        <w:rPr>
          <w:lang w:val="en-US"/>
        </w:rPr>
        <w:t>crisis.</w:t>
      </w:r>
    </w:p>
    <w:p w14:paraId="61AEB648" w14:textId="40945EAF" w:rsidR="00042C30" w:rsidRPr="00C422AB" w:rsidRDefault="00042C30" w:rsidP="00D06C83">
      <w:pPr>
        <w:spacing w:line="360" w:lineRule="auto"/>
        <w:ind w:firstLine="576"/>
        <w:rPr>
          <w:lang w:val="en-US" w:eastAsia="fi-FI"/>
        </w:rPr>
      </w:pPr>
      <w:r>
        <w:rPr>
          <w:lang w:val="en-US"/>
        </w:rPr>
        <w:t>In addition, we experiment with how the location of the pre-crisis window affects the usefulness of different variables</w:t>
      </w:r>
      <w:r w:rsidR="00603216">
        <w:rPr>
          <w:lang w:val="en-US"/>
        </w:rPr>
        <w:t xml:space="preserve"> given policymaker’s preference </w:t>
      </w:r>
      <m:oMath>
        <m:r>
          <w:rPr>
            <w:rFonts w:ascii="Cambria Math" w:hAnsi="Cambria Math"/>
            <w:lang w:val="en-US"/>
          </w:rPr>
          <m:t>θ</m:t>
        </m:r>
      </m:oMath>
      <w:r w:rsidR="004D71C4">
        <w:rPr>
          <w:rFonts w:eastAsiaTheme="minorEastAsia"/>
          <w:lang w:val="en-US"/>
        </w:rPr>
        <w:t xml:space="preserve"> </w:t>
      </w:r>
      <w:r w:rsidR="00603216">
        <w:rPr>
          <w:rFonts w:eastAsiaTheme="minorEastAsia"/>
          <w:lang w:val="en-US"/>
        </w:rPr>
        <w:t>=</w:t>
      </w:r>
      <w:r w:rsidR="004D71C4">
        <w:rPr>
          <w:rFonts w:eastAsiaTheme="minorEastAsia"/>
          <w:lang w:val="en-US"/>
        </w:rPr>
        <w:t xml:space="preserve"> </w:t>
      </w:r>
      <w:r w:rsidR="00603216">
        <w:rPr>
          <w:rFonts w:eastAsiaTheme="minorEastAsia"/>
          <w:lang w:val="en-US"/>
        </w:rPr>
        <w:t>0.5</w:t>
      </w:r>
      <w:r>
        <w:rPr>
          <w:lang w:val="en-US"/>
        </w:rPr>
        <w:t xml:space="preserve">. </w:t>
      </w:r>
      <w:r w:rsidR="000B5B18">
        <w:rPr>
          <w:lang w:val="en-US"/>
        </w:rPr>
        <w:t>While</w:t>
      </w:r>
      <w:r>
        <w:rPr>
          <w:lang w:val="en-US"/>
        </w:rPr>
        <w:t xml:space="preserve"> keep</w:t>
      </w:r>
      <w:r w:rsidR="000B5B18">
        <w:rPr>
          <w:lang w:val="en-US"/>
        </w:rPr>
        <w:t>ing</w:t>
      </w:r>
      <w:r>
        <w:rPr>
          <w:lang w:val="en-US"/>
        </w:rPr>
        <w:t xml:space="preserve"> the length of the pre-crisis window fixed in two years, </w:t>
      </w:r>
      <w:r w:rsidR="000B5B18">
        <w:rPr>
          <w:lang w:val="en-US"/>
        </w:rPr>
        <w:t>we</w:t>
      </w:r>
      <w:r>
        <w:rPr>
          <w:lang w:val="en-US"/>
        </w:rPr>
        <w:t xml:space="preserve"> let the endpoints of the pre-crisis windows change from 1 quarter to 24 quarters before the crisis</w:t>
      </w:r>
      <w:r w:rsidR="000B5B18">
        <w:rPr>
          <w:lang w:val="en-US"/>
        </w:rPr>
        <w:t xml:space="preserve"> and</w:t>
      </w:r>
      <w:r>
        <w:rPr>
          <w:lang w:val="en-US"/>
        </w:rPr>
        <w:t xml:space="preserve"> </w:t>
      </w:r>
      <w:r w:rsidR="000B5B18">
        <w:rPr>
          <w:lang w:val="en-US"/>
        </w:rPr>
        <w:t>determine</w:t>
      </w:r>
      <w:r>
        <w:rPr>
          <w:lang w:val="en-US"/>
        </w:rPr>
        <w:t xml:space="preserve"> the </w:t>
      </w:r>
      <w:r w:rsidR="000B5B18">
        <w:rPr>
          <w:lang w:val="en-US"/>
        </w:rPr>
        <w:t xml:space="preserve">pre-crisis window location associated with the </w:t>
      </w:r>
      <w:r>
        <w:rPr>
          <w:lang w:val="en-US"/>
        </w:rPr>
        <w:t xml:space="preserve">maximum value of the </w:t>
      </w:r>
      <w:r w:rsidR="000B5B18">
        <w:rPr>
          <w:lang w:val="en-US"/>
        </w:rPr>
        <w:t xml:space="preserve">relative </w:t>
      </w:r>
      <w:r>
        <w:rPr>
          <w:lang w:val="en-US"/>
        </w:rPr>
        <w:t>usefulness</w:t>
      </w:r>
      <w:r w:rsidR="000B5B18">
        <w:rPr>
          <w:lang w:val="en-US"/>
        </w:rPr>
        <w:t>.</w:t>
      </w:r>
    </w:p>
    <w:p w14:paraId="1D2C6FB5" w14:textId="3557781A" w:rsidR="007553EF" w:rsidRDefault="00697056" w:rsidP="00BF33ED">
      <w:pPr>
        <w:spacing w:line="360" w:lineRule="auto"/>
        <w:rPr>
          <w:lang w:val="en-US" w:eastAsia="fi-FI"/>
        </w:rPr>
      </w:pPr>
      <w:r w:rsidRPr="00A22DE9">
        <w:rPr>
          <w:lang w:val="en-US"/>
        </w:rPr>
        <w:t xml:space="preserve">Table </w:t>
      </w:r>
      <w:r w:rsidR="004F21A7">
        <w:rPr>
          <w:lang w:val="en-US"/>
        </w:rPr>
        <w:t>7</w:t>
      </w:r>
      <w:r w:rsidRPr="00A22DE9">
        <w:rPr>
          <w:lang w:val="en-US"/>
        </w:rPr>
        <w:t xml:space="preserve"> shows the </w:t>
      </w:r>
      <w:r w:rsidR="00C422AB">
        <w:rPr>
          <w:lang w:val="en-US"/>
        </w:rPr>
        <w:t>alerting lead</w:t>
      </w:r>
      <w:r w:rsidR="00042C30">
        <w:rPr>
          <w:lang w:val="en-US"/>
        </w:rPr>
        <w:t xml:space="preserve">s and pre-crisis window </w:t>
      </w:r>
      <w:r w:rsidR="000B5B18">
        <w:rPr>
          <w:lang w:val="en-US"/>
        </w:rPr>
        <w:t xml:space="preserve">endpoint </w:t>
      </w:r>
      <w:r w:rsidR="00042C30">
        <w:rPr>
          <w:lang w:val="en-US"/>
        </w:rPr>
        <w:t>locations that produce the highest usefulness value</w:t>
      </w:r>
      <w:r w:rsidRPr="00A22DE9">
        <w:rPr>
          <w:lang w:val="en-US"/>
        </w:rPr>
        <w:t xml:space="preserve">. </w:t>
      </w:r>
      <w:r w:rsidR="00042C30">
        <w:rPr>
          <w:lang w:val="en-US"/>
        </w:rPr>
        <w:t xml:space="preserve">Both measures tell a consistent story. </w:t>
      </w:r>
      <w:r w:rsidR="00C422AB">
        <w:rPr>
          <w:lang w:val="en-US"/>
        </w:rPr>
        <w:t>D</w:t>
      </w:r>
      <w:r w:rsidRPr="00A22DE9">
        <w:rPr>
          <w:lang w:val="en-US"/>
        </w:rPr>
        <w:t xml:space="preserve">ebt-servicing costs </w:t>
      </w:r>
      <w:r w:rsidR="000B5B18">
        <w:rPr>
          <w:lang w:val="en-US"/>
        </w:rPr>
        <w:t>(</w:t>
      </w:r>
      <w:r w:rsidRPr="00A22DE9">
        <w:rPr>
          <w:lang w:val="en-US"/>
        </w:rPr>
        <w:t>and equity prices</w:t>
      </w:r>
      <w:r w:rsidR="000B5B18">
        <w:rPr>
          <w:lang w:val="en-US"/>
        </w:rPr>
        <w:t>)</w:t>
      </w:r>
      <w:r w:rsidR="00C422AB">
        <w:rPr>
          <w:lang w:val="en-US"/>
        </w:rPr>
        <w:t xml:space="preserve"> alert relatively </w:t>
      </w:r>
      <w:r w:rsidR="00115328">
        <w:rPr>
          <w:lang w:val="en-US"/>
        </w:rPr>
        <w:t>close to an upcoming crisis</w:t>
      </w:r>
      <w:r w:rsidRPr="00A22DE9">
        <w:rPr>
          <w:lang w:val="en-US"/>
        </w:rPr>
        <w:t xml:space="preserve">. </w:t>
      </w:r>
      <w:r w:rsidR="00C422AB">
        <w:rPr>
          <w:lang w:val="en-US"/>
        </w:rPr>
        <w:t>Earliest warning</w:t>
      </w:r>
      <w:r w:rsidR="00C14D75">
        <w:rPr>
          <w:lang w:val="en-US"/>
        </w:rPr>
        <w:t>s</w:t>
      </w:r>
      <w:r w:rsidR="00C422AB">
        <w:rPr>
          <w:lang w:val="en-US"/>
        </w:rPr>
        <w:t xml:space="preserve"> are obtained</w:t>
      </w:r>
      <w:r w:rsidRPr="00A22DE9">
        <w:rPr>
          <w:lang w:val="en-US"/>
        </w:rPr>
        <w:t xml:space="preserve"> with the house price-based indicators</w:t>
      </w:r>
      <w:r w:rsidR="0059317D">
        <w:rPr>
          <w:lang w:val="en-US"/>
        </w:rPr>
        <w:t xml:space="preserve">; explosive growth of house prices </w:t>
      </w:r>
      <w:r w:rsidR="00DB556C">
        <w:rPr>
          <w:lang w:val="en-US"/>
        </w:rPr>
        <w:t>on average</w:t>
      </w:r>
      <w:r w:rsidR="0059317D">
        <w:rPr>
          <w:lang w:val="en-US"/>
        </w:rPr>
        <w:t xml:space="preserve"> begin</w:t>
      </w:r>
      <w:r w:rsidR="00DB556C">
        <w:rPr>
          <w:lang w:val="en-US"/>
        </w:rPr>
        <w:t>s two</w:t>
      </w:r>
      <w:r w:rsidR="004D71C4">
        <w:rPr>
          <w:lang w:val="en-US"/>
        </w:rPr>
        <w:t>-</w:t>
      </w:r>
      <w:r w:rsidR="00DB556C">
        <w:rPr>
          <w:lang w:val="en-US"/>
        </w:rPr>
        <w:t>and</w:t>
      </w:r>
      <w:r w:rsidR="004D71C4">
        <w:rPr>
          <w:lang w:val="en-US"/>
        </w:rPr>
        <w:t>-</w:t>
      </w:r>
      <w:r w:rsidR="00DB556C">
        <w:rPr>
          <w:lang w:val="en-US"/>
        </w:rPr>
        <w:t>a</w:t>
      </w:r>
      <w:r w:rsidR="004D71C4">
        <w:rPr>
          <w:lang w:val="en-US"/>
        </w:rPr>
        <w:t>-</w:t>
      </w:r>
      <w:r w:rsidR="00DB556C">
        <w:rPr>
          <w:lang w:val="en-US"/>
        </w:rPr>
        <w:t>half</w:t>
      </w:r>
      <w:r w:rsidRPr="00A22DE9">
        <w:rPr>
          <w:lang w:val="en-US"/>
        </w:rPr>
        <w:t xml:space="preserve"> years</w:t>
      </w:r>
      <w:r w:rsidR="0059317D">
        <w:rPr>
          <w:lang w:val="en-US"/>
        </w:rPr>
        <w:t xml:space="preserve"> before a crisis</w:t>
      </w:r>
      <w:r w:rsidRPr="00A22DE9">
        <w:rPr>
          <w:lang w:val="en-US"/>
        </w:rPr>
        <w:t xml:space="preserve">. The credit-based indicators fall somewhere within a </w:t>
      </w:r>
      <w:r w:rsidR="00DB556C">
        <w:rPr>
          <w:lang w:val="en-US"/>
        </w:rPr>
        <w:t>one</w:t>
      </w:r>
      <w:r w:rsidRPr="00A22DE9">
        <w:rPr>
          <w:lang w:val="en-US"/>
        </w:rPr>
        <w:t xml:space="preserve">- to </w:t>
      </w:r>
      <w:r w:rsidR="00DB556C" w:rsidRPr="00A22DE9">
        <w:rPr>
          <w:lang w:val="en-US"/>
        </w:rPr>
        <w:t>t</w:t>
      </w:r>
      <w:r w:rsidR="00DB556C">
        <w:rPr>
          <w:lang w:val="en-US"/>
        </w:rPr>
        <w:t>wo</w:t>
      </w:r>
      <w:r w:rsidRPr="00A22DE9">
        <w:rPr>
          <w:lang w:val="en-US"/>
        </w:rPr>
        <w:t xml:space="preserve">-year </w:t>
      </w:r>
      <w:r w:rsidR="0059317D">
        <w:rPr>
          <w:lang w:val="en-US"/>
        </w:rPr>
        <w:t>lead</w:t>
      </w:r>
      <w:r w:rsidRPr="00A22DE9">
        <w:rPr>
          <w:lang w:val="en-US"/>
        </w:rPr>
        <w:t xml:space="preserve">. Hence, it appears that the credit-based indicators may benefit </w:t>
      </w:r>
      <w:r w:rsidR="007553EF">
        <w:rPr>
          <w:lang w:val="en-US"/>
        </w:rPr>
        <w:t xml:space="preserve">from having </w:t>
      </w:r>
      <w:r w:rsidRPr="00A22DE9">
        <w:rPr>
          <w:lang w:val="en-US"/>
        </w:rPr>
        <w:t>near</w:t>
      </w:r>
      <w:r w:rsidR="007553EF">
        <w:rPr>
          <w:lang w:val="en-US"/>
        </w:rPr>
        <w:t>-</w:t>
      </w:r>
      <w:r w:rsidRPr="00A22DE9">
        <w:rPr>
          <w:lang w:val="en-US"/>
        </w:rPr>
        <w:t xml:space="preserve">optimal </w:t>
      </w:r>
      <w:r w:rsidR="0059317D">
        <w:rPr>
          <w:lang w:val="en-US"/>
        </w:rPr>
        <w:t>alerting</w:t>
      </w:r>
      <w:r w:rsidR="0059317D" w:rsidRPr="00A22DE9">
        <w:rPr>
          <w:lang w:val="en-US"/>
        </w:rPr>
        <w:t xml:space="preserve"> </w:t>
      </w:r>
      <w:r w:rsidR="0059317D">
        <w:rPr>
          <w:lang w:val="en-US"/>
        </w:rPr>
        <w:t>lead</w:t>
      </w:r>
      <w:r w:rsidR="007553EF">
        <w:rPr>
          <w:lang w:val="en-US"/>
        </w:rPr>
        <w:t>s</w:t>
      </w:r>
      <w:r w:rsidR="0059317D" w:rsidRPr="00A22DE9">
        <w:rPr>
          <w:lang w:val="en-US"/>
        </w:rPr>
        <w:t xml:space="preserve"> </w:t>
      </w:r>
      <w:r w:rsidRPr="00A22DE9">
        <w:rPr>
          <w:lang w:val="en-US"/>
        </w:rPr>
        <w:t xml:space="preserve">when </w:t>
      </w:r>
      <w:r w:rsidR="00CE520F">
        <w:rPr>
          <w:lang w:val="en-US"/>
        </w:rPr>
        <w:t xml:space="preserve">calculating </w:t>
      </w:r>
      <w:r w:rsidRPr="00A22DE9">
        <w:rPr>
          <w:lang w:val="en-US"/>
        </w:rPr>
        <w:t xml:space="preserve">the </w:t>
      </w:r>
      <w:r w:rsidR="007553EF">
        <w:rPr>
          <w:lang w:val="en-US"/>
        </w:rPr>
        <w:t xml:space="preserve">RU </w:t>
      </w:r>
      <w:r w:rsidRPr="00A22DE9">
        <w:rPr>
          <w:lang w:val="en-US"/>
        </w:rPr>
        <w:t>measure. The usefulness of equity prices and debt</w:t>
      </w:r>
      <w:r w:rsidR="007553EF">
        <w:rPr>
          <w:lang w:val="en-US"/>
        </w:rPr>
        <w:t>-</w:t>
      </w:r>
      <w:r w:rsidRPr="00A22DE9">
        <w:rPr>
          <w:lang w:val="en-US"/>
        </w:rPr>
        <w:t>servicing ratios increase</w:t>
      </w:r>
      <w:r w:rsidR="007553EF">
        <w:rPr>
          <w:lang w:val="en-US"/>
        </w:rPr>
        <w:t>s</w:t>
      </w:r>
      <w:r w:rsidRPr="00A22DE9">
        <w:rPr>
          <w:lang w:val="en-US"/>
        </w:rPr>
        <w:t xml:space="preserve"> if prediction horizons </w:t>
      </w:r>
      <w:r w:rsidR="007553EF">
        <w:rPr>
          <w:lang w:val="en-US"/>
        </w:rPr>
        <w:t xml:space="preserve">are </w:t>
      </w:r>
      <w:r w:rsidRPr="00A22DE9">
        <w:rPr>
          <w:lang w:val="en-US"/>
        </w:rPr>
        <w:t xml:space="preserve">shorter, while the house price-based indicators benefit </w:t>
      </w:r>
      <w:r w:rsidR="007553EF">
        <w:rPr>
          <w:lang w:val="en-US"/>
        </w:rPr>
        <w:t xml:space="preserve">from </w:t>
      </w:r>
      <w:r w:rsidRPr="00A22DE9">
        <w:rPr>
          <w:lang w:val="en-US"/>
        </w:rPr>
        <w:t>longer prediction horizon</w:t>
      </w:r>
      <w:r w:rsidR="007553EF">
        <w:rPr>
          <w:lang w:val="en-US"/>
        </w:rPr>
        <w:t>s</w:t>
      </w:r>
      <w:r w:rsidRPr="003E2A18">
        <w:rPr>
          <w:lang w:val="en-US"/>
        </w:rPr>
        <w:t>.</w:t>
      </w:r>
    </w:p>
    <w:p w14:paraId="6D554781" w14:textId="5EB769D7" w:rsidR="00697056" w:rsidRPr="00AA0EB3" w:rsidRDefault="003E2A18">
      <w:pPr>
        <w:spacing w:line="360" w:lineRule="auto"/>
        <w:rPr>
          <w:lang w:val="en-US"/>
        </w:rPr>
      </w:pPr>
      <w:r w:rsidRPr="003E2A18">
        <w:rPr>
          <w:lang w:val="en-US" w:eastAsia="fi-FI"/>
        </w:rPr>
        <w:t xml:space="preserve">Drehmann </w:t>
      </w:r>
      <w:r w:rsidR="000B2E8F" w:rsidRPr="00C212DD">
        <w:rPr>
          <w:lang w:val="en-US" w:eastAsia="fi-FI"/>
        </w:rPr>
        <w:t>et al.</w:t>
      </w:r>
      <w:r w:rsidRPr="003E2A18">
        <w:rPr>
          <w:lang w:val="en-US" w:eastAsia="fi-FI"/>
        </w:rPr>
        <w:t xml:space="preserve"> (2011) address </w:t>
      </w:r>
      <w:r w:rsidR="007553EF">
        <w:rPr>
          <w:lang w:val="en-US" w:eastAsia="fi-FI"/>
        </w:rPr>
        <w:t xml:space="preserve">the </w:t>
      </w:r>
      <w:r w:rsidRPr="003E2A18">
        <w:rPr>
          <w:lang w:val="en-US" w:eastAsia="fi-FI"/>
        </w:rPr>
        <w:t>issue by recommending flexibility in forecast horizons.</w:t>
      </w:r>
      <w:r w:rsidR="007553EF">
        <w:rPr>
          <w:lang w:val="en-US"/>
        </w:rPr>
        <w:t xml:space="preserve"> Thus, to </w:t>
      </w:r>
      <w:r w:rsidR="00697056" w:rsidRPr="003E2A18">
        <w:rPr>
          <w:lang w:val="en-US"/>
        </w:rPr>
        <w:t xml:space="preserve">allow </w:t>
      </w:r>
      <w:r w:rsidR="007553EF">
        <w:rPr>
          <w:lang w:val="en-US"/>
        </w:rPr>
        <w:t xml:space="preserve">ourselves </w:t>
      </w:r>
      <w:r w:rsidR="00697056" w:rsidRPr="003E2A18">
        <w:rPr>
          <w:lang w:val="en-US"/>
        </w:rPr>
        <w:t xml:space="preserve">greater flexibility in the timing and pattern of signals, we construct an additional measure: the </w:t>
      </w:r>
      <w:r w:rsidR="00697056" w:rsidRPr="003E2A18">
        <w:rPr>
          <w:i/>
          <w:lang w:val="en-US"/>
        </w:rPr>
        <w:t>success rate</w:t>
      </w:r>
      <w:r w:rsidR="00697056" w:rsidRPr="003E2A18">
        <w:rPr>
          <w:lang w:val="en-US"/>
        </w:rPr>
        <w:t xml:space="preserve"> of each variable </w:t>
      </w:r>
      <w:r w:rsidR="007553EF">
        <w:rPr>
          <w:lang w:val="en-US"/>
        </w:rPr>
        <w:t xml:space="preserve">in </w:t>
      </w:r>
      <w:r w:rsidR="00697056" w:rsidRPr="003E2A18">
        <w:rPr>
          <w:lang w:val="en-US"/>
        </w:rPr>
        <w:t>predict</w:t>
      </w:r>
      <w:r w:rsidR="007553EF">
        <w:rPr>
          <w:lang w:val="en-US"/>
        </w:rPr>
        <w:t>ing</w:t>
      </w:r>
      <w:r w:rsidR="00697056" w:rsidRPr="003E2A18">
        <w:rPr>
          <w:lang w:val="en-US"/>
        </w:rPr>
        <w:t xml:space="preserve"> a forthcoming crisis within a window of five years before the crisis starts. </w:t>
      </w:r>
      <w:r w:rsidR="00697056" w:rsidRPr="00315FB0">
        <w:rPr>
          <w:lang w:val="en-US"/>
        </w:rPr>
        <w:t xml:space="preserve">Here, the criterion for “predicted crisis” is that a warning is signaled for at least </w:t>
      </w:r>
      <w:r w:rsidR="009541CB">
        <w:rPr>
          <w:lang w:val="en-US"/>
        </w:rPr>
        <w:t>N</w:t>
      </w:r>
      <w:r w:rsidR="007553EF">
        <w:rPr>
          <w:lang w:val="en-US"/>
        </w:rPr>
        <w:t xml:space="preserve"> </w:t>
      </w:r>
      <w:r w:rsidR="009541CB">
        <w:rPr>
          <w:lang w:val="en-US"/>
        </w:rPr>
        <w:t>=</w:t>
      </w:r>
      <w:r w:rsidR="007553EF">
        <w:rPr>
          <w:lang w:val="en-US"/>
        </w:rPr>
        <w:t xml:space="preserve"> </w:t>
      </w:r>
      <w:r w:rsidR="009541CB">
        <w:rPr>
          <w:lang w:val="en-US"/>
        </w:rPr>
        <w:t>6, 8</w:t>
      </w:r>
      <w:r w:rsidR="007553EF">
        <w:rPr>
          <w:lang w:val="en-US"/>
        </w:rPr>
        <w:t>,</w:t>
      </w:r>
      <w:r w:rsidR="009541CB">
        <w:rPr>
          <w:lang w:val="en-US"/>
        </w:rPr>
        <w:t xml:space="preserve"> or 10</w:t>
      </w:r>
      <w:r w:rsidR="00115328">
        <w:rPr>
          <w:lang w:val="en-US"/>
        </w:rPr>
        <w:t xml:space="preserve"> </w:t>
      </w:r>
      <w:r w:rsidR="00697056" w:rsidRPr="00315FB0">
        <w:rPr>
          <w:lang w:val="en-US"/>
        </w:rPr>
        <w:t xml:space="preserve">consecutive quarters within the five-year pre-crisis window, </w:t>
      </w:r>
      <w:r w:rsidR="007553EF">
        <w:rPr>
          <w:lang w:val="en-US"/>
        </w:rPr>
        <w:t xml:space="preserve">and </w:t>
      </w:r>
      <w:r w:rsidR="00697056" w:rsidRPr="00315FB0">
        <w:rPr>
          <w:lang w:val="en-US"/>
        </w:rPr>
        <w:t>allowing a break of one quarter</w:t>
      </w:r>
      <w:r w:rsidR="007553EF">
        <w:rPr>
          <w:lang w:val="en-US"/>
        </w:rPr>
        <w:t xml:space="preserve"> at most</w:t>
      </w:r>
      <w:r w:rsidR="00697056" w:rsidRPr="00315FB0">
        <w:rPr>
          <w:lang w:val="en-US"/>
        </w:rPr>
        <w:t xml:space="preserve">. </w:t>
      </w:r>
      <w:r w:rsidR="007553EF">
        <w:rPr>
          <w:color w:val="000000" w:themeColor="text1"/>
          <w:lang w:val="en-US"/>
        </w:rPr>
        <w:t xml:space="preserve">This </w:t>
      </w:r>
      <w:r w:rsidR="0059317D">
        <w:rPr>
          <w:color w:val="000000" w:themeColor="text1"/>
          <w:lang w:val="en-US"/>
        </w:rPr>
        <w:t xml:space="preserve">measure </w:t>
      </w:r>
      <w:r w:rsidR="00697056" w:rsidRPr="00315FB0">
        <w:rPr>
          <w:color w:val="000000" w:themeColor="text1"/>
          <w:lang w:val="en-US"/>
        </w:rPr>
        <w:t xml:space="preserve">does not </w:t>
      </w:r>
      <w:r w:rsidR="007553EF">
        <w:rPr>
          <w:color w:val="000000" w:themeColor="text1"/>
          <w:lang w:val="en-US"/>
        </w:rPr>
        <w:t xml:space="preserve">consider the </w:t>
      </w:r>
      <w:r w:rsidR="00697056" w:rsidRPr="00315FB0">
        <w:rPr>
          <w:color w:val="000000" w:themeColor="text1"/>
          <w:lang w:val="en-US"/>
        </w:rPr>
        <w:t xml:space="preserve">indicator </w:t>
      </w:r>
      <w:r w:rsidR="007553EF">
        <w:rPr>
          <w:color w:val="000000" w:themeColor="text1"/>
          <w:lang w:val="en-US"/>
        </w:rPr>
        <w:t xml:space="preserve">that </w:t>
      </w:r>
      <w:r w:rsidR="00697056" w:rsidRPr="00315FB0">
        <w:rPr>
          <w:color w:val="000000" w:themeColor="text1"/>
          <w:lang w:val="en-US"/>
        </w:rPr>
        <w:t xml:space="preserve">signals </w:t>
      </w:r>
      <w:r w:rsidR="007553EF">
        <w:rPr>
          <w:color w:val="000000" w:themeColor="text1"/>
          <w:lang w:val="en-US"/>
        </w:rPr>
        <w:t xml:space="preserve">constantly and </w:t>
      </w:r>
      <w:r w:rsidR="00697056" w:rsidRPr="00315FB0">
        <w:rPr>
          <w:color w:val="000000" w:themeColor="text1"/>
          <w:lang w:val="en-US"/>
        </w:rPr>
        <w:t>predict</w:t>
      </w:r>
      <w:r w:rsidR="007553EF">
        <w:rPr>
          <w:color w:val="000000" w:themeColor="text1"/>
          <w:lang w:val="en-US"/>
        </w:rPr>
        <w:t>s</w:t>
      </w:r>
      <w:r w:rsidR="00697056" w:rsidRPr="00315FB0">
        <w:rPr>
          <w:color w:val="000000" w:themeColor="text1"/>
          <w:lang w:val="en-US"/>
        </w:rPr>
        <w:t xml:space="preserve"> every crisis</w:t>
      </w:r>
      <w:r w:rsidR="00A24BE5">
        <w:rPr>
          <w:color w:val="000000" w:themeColor="text1"/>
          <w:lang w:val="en-US"/>
        </w:rPr>
        <w:t xml:space="preserve">, so </w:t>
      </w:r>
      <w:r w:rsidR="00697056" w:rsidRPr="00315FB0">
        <w:rPr>
          <w:color w:val="000000" w:themeColor="text1"/>
          <w:lang w:val="en-US"/>
        </w:rPr>
        <w:t xml:space="preserve">we </w:t>
      </w:r>
      <w:r w:rsidR="0059317D">
        <w:rPr>
          <w:color w:val="000000" w:themeColor="text1"/>
          <w:lang w:val="en-US"/>
        </w:rPr>
        <w:t xml:space="preserve">also </w:t>
      </w:r>
      <w:r w:rsidR="007553EF">
        <w:rPr>
          <w:color w:val="000000" w:themeColor="text1"/>
          <w:lang w:val="en-US"/>
        </w:rPr>
        <w:t xml:space="preserve">need to </w:t>
      </w:r>
      <w:r w:rsidR="0059317D">
        <w:rPr>
          <w:color w:val="000000" w:themeColor="text1"/>
          <w:lang w:val="en-US"/>
        </w:rPr>
        <w:t>calculate</w:t>
      </w:r>
      <w:r w:rsidR="00697056" w:rsidRPr="00315FB0">
        <w:rPr>
          <w:color w:val="000000" w:themeColor="text1"/>
          <w:lang w:val="en-US"/>
        </w:rPr>
        <w:t xml:space="preserve"> </w:t>
      </w:r>
      <w:r w:rsidR="007553EF">
        <w:rPr>
          <w:color w:val="000000" w:themeColor="text1"/>
          <w:lang w:val="en-US"/>
        </w:rPr>
        <w:t xml:space="preserve">some </w:t>
      </w:r>
      <w:r w:rsidR="00697056" w:rsidRPr="00315FB0">
        <w:rPr>
          <w:color w:val="000000" w:themeColor="text1"/>
          <w:lang w:val="en-US"/>
        </w:rPr>
        <w:t xml:space="preserve">number of </w:t>
      </w:r>
      <w:r w:rsidR="0059317D">
        <w:rPr>
          <w:color w:val="000000" w:themeColor="text1"/>
          <w:lang w:val="en-US"/>
        </w:rPr>
        <w:t>false predictions</w:t>
      </w:r>
      <w:r w:rsidR="00697056" w:rsidRPr="00315FB0">
        <w:rPr>
          <w:color w:val="000000" w:themeColor="text1"/>
          <w:lang w:val="en-US"/>
        </w:rPr>
        <w:t xml:space="preserve">. As above, a pattern of </w:t>
      </w:r>
      <w:r w:rsidR="009541CB">
        <w:rPr>
          <w:color w:val="000000" w:themeColor="text1"/>
          <w:lang w:val="en-US"/>
        </w:rPr>
        <w:t>N</w:t>
      </w:r>
      <w:r w:rsidR="009541CB" w:rsidRPr="00315FB0">
        <w:rPr>
          <w:color w:val="000000" w:themeColor="text1"/>
          <w:lang w:val="en-US"/>
        </w:rPr>
        <w:t xml:space="preserve"> </w:t>
      </w:r>
      <w:r w:rsidR="00697056" w:rsidRPr="00315FB0">
        <w:rPr>
          <w:color w:val="000000" w:themeColor="text1"/>
          <w:lang w:val="en-US"/>
        </w:rPr>
        <w:t xml:space="preserve">consecutive alarms is treated as a false alert. </w:t>
      </w:r>
      <w:r w:rsidR="0059317D">
        <w:rPr>
          <w:color w:val="000000" w:themeColor="text1"/>
          <w:lang w:val="en-US"/>
        </w:rPr>
        <w:t xml:space="preserve">Naturally, we </w:t>
      </w:r>
      <w:r w:rsidR="009D362D">
        <w:rPr>
          <w:color w:val="000000" w:themeColor="text1"/>
          <w:lang w:val="en-US"/>
        </w:rPr>
        <w:t>include</w:t>
      </w:r>
      <w:r w:rsidR="0059317D">
        <w:rPr>
          <w:color w:val="000000" w:themeColor="text1"/>
          <w:lang w:val="en-US"/>
        </w:rPr>
        <w:t xml:space="preserve"> only the crises for which the warning signal can be calculated inside the pre-crisis window</w:t>
      </w:r>
      <w:r w:rsidR="00697056" w:rsidRPr="00AA0EB3">
        <w:rPr>
          <w:color w:val="000000" w:themeColor="text1"/>
          <w:lang w:val="en-US"/>
        </w:rPr>
        <w:t>.</w:t>
      </w:r>
    </w:p>
    <w:p w14:paraId="7BA518F2" w14:textId="3C408CBB" w:rsidR="00697056" w:rsidRPr="00AA0EB3" w:rsidRDefault="004F21A7">
      <w:pPr>
        <w:spacing w:line="360" w:lineRule="auto"/>
        <w:rPr>
          <w:lang w:val="en-US"/>
        </w:rPr>
      </w:pPr>
      <w:r>
        <w:rPr>
          <w:lang w:val="en-US"/>
        </w:rPr>
        <w:t>T</w:t>
      </w:r>
      <w:r w:rsidR="00697056" w:rsidRPr="00AA0EB3">
        <w:rPr>
          <w:lang w:val="en-US"/>
        </w:rPr>
        <w:t xml:space="preserve">he </w:t>
      </w:r>
      <w:r w:rsidR="00697056" w:rsidRPr="00AF6EAB">
        <w:rPr>
          <w:lang w:val="en-US"/>
        </w:rPr>
        <w:t>number</w:t>
      </w:r>
      <w:r w:rsidR="00697056" w:rsidRPr="00AA0EB3">
        <w:rPr>
          <w:lang w:val="en-US"/>
        </w:rPr>
        <w:t xml:space="preserve"> of predicted </w:t>
      </w:r>
      <w:r w:rsidR="009D362D">
        <w:rPr>
          <w:lang w:val="en-US"/>
        </w:rPr>
        <w:t xml:space="preserve">crises </w:t>
      </w:r>
      <w:r w:rsidR="00697056" w:rsidRPr="00AA0EB3">
        <w:rPr>
          <w:lang w:val="en-US"/>
        </w:rPr>
        <w:t xml:space="preserve">and false alarms </w:t>
      </w:r>
      <w:r>
        <w:rPr>
          <w:lang w:val="en-US"/>
        </w:rPr>
        <w:t xml:space="preserve">is </w:t>
      </w:r>
      <w:r w:rsidR="009D362D">
        <w:rPr>
          <w:lang w:val="en-US"/>
        </w:rPr>
        <w:t xml:space="preserve">shown </w:t>
      </w:r>
      <w:r>
        <w:rPr>
          <w:lang w:val="en-US"/>
        </w:rPr>
        <w:t>in</w:t>
      </w:r>
      <w:r w:rsidR="00697056" w:rsidRPr="00AA0EB3">
        <w:rPr>
          <w:lang w:val="en-US"/>
        </w:rPr>
        <w:t xml:space="preserve"> </w:t>
      </w:r>
      <w:r>
        <w:rPr>
          <w:lang w:val="en-US"/>
        </w:rPr>
        <w:t>T</w:t>
      </w:r>
      <w:r w:rsidR="00697056" w:rsidRPr="00AA0EB3">
        <w:rPr>
          <w:lang w:val="en-US"/>
        </w:rPr>
        <w:t xml:space="preserve">able </w:t>
      </w:r>
      <w:r>
        <w:rPr>
          <w:lang w:val="en-US"/>
        </w:rPr>
        <w:t>8</w:t>
      </w:r>
      <w:r w:rsidR="00697056" w:rsidRPr="00AA0EB3">
        <w:rPr>
          <w:lang w:val="en-US"/>
        </w:rPr>
        <w:t xml:space="preserve">. While </w:t>
      </w:r>
      <w:r w:rsidRPr="00AA0EB3">
        <w:rPr>
          <w:lang w:val="en-US"/>
        </w:rPr>
        <w:t>th</w:t>
      </w:r>
      <w:r>
        <w:rPr>
          <w:lang w:val="en-US"/>
        </w:rPr>
        <w:t>e five-year pre-crisis</w:t>
      </w:r>
      <w:r w:rsidRPr="00AA0EB3">
        <w:rPr>
          <w:lang w:val="en-US"/>
        </w:rPr>
        <w:t xml:space="preserve"> </w:t>
      </w:r>
      <w:r>
        <w:rPr>
          <w:lang w:val="en-US"/>
        </w:rPr>
        <w:t>window</w:t>
      </w:r>
      <w:r w:rsidRPr="00AA0EB3">
        <w:rPr>
          <w:lang w:val="en-US"/>
        </w:rPr>
        <w:t xml:space="preserve"> </w:t>
      </w:r>
      <w:r w:rsidR="00697056" w:rsidRPr="00AA0EB3">
        <w:rPr>
          <w:lang w:val="en-US"/>
        </w:rPr>
        <w:t xml:space="preserve">is laxer than </w:t>
      </w:r>
      <w:r w:rsidR="00A25D0C">
        <w:rPr>
          <w:lang w:val="en-US"/>
        </w:rPr>
        <w:t>the three-to-one-year window used in calculating the</w:t>
      </w:r>
      <w:r w:rsidR="00A25D0C" w:rsidRPr="00AA0EB3">
        <w:rPr>
          <w:lang w:val="en-US"/>
        </w:rPr>
        <w:t xml:space="preserve"> </w:t>
      </w:r>
      <w:r w:rsidR="00697056" w:rsidRPr="00AA0EB3">
        <w:rPr>
          <w:lang w:val="en-US"/>
        </w:rPr>
        <w:t xml:space="preserve">usefulness measure, it provides </w:t>
      </w:r>
      <w:r w:rsidR="00A25D0C">
        <w:rPr>
          <w:lang w:val="en-US"/>
        </w:rPr>
        <w:t xml:space="preserve">additional </w:t>
      </w:r>
      <w:r w:rsidR="00697056" w:rsidRPr="00AA0EB3">
        <w:rPr>
          <w:lang w:val="en-US"/>
        </w:rPr>
        <w:t xml:space="preserve">insight into the </w:t>
      </w:r>
      <w:r w:rsidR="00A25D0C">
        <w:rPr>
          <w:lang w:val="en-US"/>
        </w:rPr>
        <w:t>usefulness</w:t>
      </w:r>
      <w:r w:rsidR="00A25D0C" w:rsidRPr="00AA0EB3">
        <w:rPr>
          <w:lang w:val="en-US"/>
        </w:rPr>
        <w:t xml:space="preserve"> </w:t>
      </w:r>
      <w:r w:rsidR="00697056" w:rsidRPr="00AA0EB3">
        <w:rPr>
          <w:lang w:val="en-US"/>
        </w:rPr>
        <w:t xml:space="preserve">of different variables. </w:t>
      </w:r>
      <w:r w:rsidR="00A25D0C">
        <w:rPr>
          <w:lang w:val="en-US"/>
        </w:rPr>
        <w:t>The credit-to-GDP ratios seem to produce highest success rates of crisis prediction</w:t>
      </w:r>
      <w:r w:rsidR="009C6A52">
        <w:rPr>
          <w:lang w:val="en-US"/>
        </w:rPr>
        <w:t xml:space="preserve"> (true positives)</w:t>
      </w:r>
      <w:r w:rsidR="00A25D0C">
        <w:rPr>
          <w:lang w:val="en-US"/>
        </w:rPr>
        <w:t xml:space="preserve">, while the number of false alerts </w:t>
      </w:r>
      <w:r w:rsidR="009C6A52">
        <w:rPr>
          <w:lang w:val="en-US"/>
        </w:rPr>
        <w:t xml:space="preserve">(false negatives) </w:t>
      </w:r>
      <w:r w:rsidR="00A25D0C">
        <w:rPr>
          <w:lang w:val="en-US"/>
        </w:rPr>
        <w:t>remains controlled. D</w:t>
      </w:r>
      <w:r w:rsidR="00115328">
        <w:rPr>
          <w:lang w:val="en-US"/>
        </w:rPr>
        <w:t xml:space="preserve">epending on </w:t>
      </w:r>
      <w:r w:rsidR="007553EF">
        <w:rPr>
          <w:lang w:val="en-US"/>
        </w:rPr>
        <w:t xml:space="preserve">the </w:t>
      </w:r>
      <w:r w:rsidR="00115328">
        <w:rPr>
          <w:lang w:val="en-US"/>
        </w:rPr>
        <w:t xml:space="preserve">data used, </w:t>
      </w:r>
      <w:r w:rsidR="007553EF">
        <w:rPr>
          <w:lang w:val="en-US"/>
        </w:rPr>
        <w:t xml:space="preserve">roughly </w:t>
      </w:r>
      <w:r w:rsidR="00685417">
        <w:rPr>
          <w:lang w:val="en-US"/>
        </w:rPr>
        <w:t>half to two</w:t>
      </w:r>
      <w:r w:rsidR="007553EF">
        <w:rPr>
          <w:lang w:val="en-US"/>
        </w:rPr>
        <w:t>-</w:t>
      </w:r>
      <w:r w:rsidR="00685417">
        <w:rPr>
          <w:lang w:val="en-US"/>
        </w:rPr>
        <w:t>thirds</w:t>
      </w:r>
      <w:r w:rsidR="00697056" w:rsidRPr="00AA0EB3">
        <w:rPr>
          <w:lang w:val="en-US"/>
        </w:rPr>
        <w:t xml:space="preserve"> of crises in our data </w:t>
      </w:r>
      <w:r w:rsidR="007553EF">
        <w:rPr>
          <w:lang w:val="en-US"/>
        </w:rPr>
        <w:t xml:space="preserve">are </w:t>
      </w:r>
      <w:r w:rsidR="00697056" w:rsidRPr="00AA0EB3">
        <w:rPr>
          <w:lang w:val="en-US"/>
        </w:rPr>
        <w:t xml:space="preserve">preceded by a bubble in the residential real estate market. </w:t>
      </w:r>
      <w:r w:rsidR="00286904">
        <w:rPr>
          <w:lang w:val="en-US"/>
        </w:rPr>
        <w:t>House price d</w:t>
      </w:r>
      <w:r w:rsidR="00685417">
        <w:rPr>
          <w:lang w:val="en-US"/>
        </w:rPr>
        <w:t xml:space="preserve">ata from the </w:t>
      </w:r>
      <w:r w:rsidR="007553EF">
        <w:rPr>
          <w:lang w:val="en-US"/>
        </w:rPr>
        <w:t xml:space="preserve">Dallas </w:t>
      </w:r>
      <w:r w:rsidR="00685417">
        <w:rPr>
          <w:lang w:val="en-US"/>
        </w:rPr>
        <w:t>Fed</w:t>
      </w:r>
      <w:r w:rsidR="007553EF">
        <w:rPr>
          <w:lang w:val="en-US"/>
        </w:rPr>
        <w:t xml:space="preserve">’s </w:t>
      </w:r>
      <w:r w:rsidR="00685417">
        <w:rPr>
          <w:lang w:val="en-US"/>
        </w:rPr>
        <w:t xml:space="preserve">International House Price </w:t>
      </w:r>
      <w:r w:rsidR="007553EF">
        <w:rPr>
          <w:lang w:val="en-US"/>
        </w:rPr>
        <w:t xml:space="preserve">Database </w:t>
      </w:r>
      <w:r w:rsidR="00685417">
        <w:rPr>
          <w:lang w:val="en-US"/>
        </w:rPr>
        <w:t>seem</w:t>
      </w:r>
      <w:r w:rsidR="00685417" w:rsidRPr="00D06C83">
        <w:rPr>
          <w:strike/>
          <w:lang w:val="en-US"/>
        </w:rPr>
        <w:t>s</w:t>
      </w:r>
      <w:r w:rsidR="00685417">
        <w:rPr>
          <w:lang w:val="en-US"/>
        </w:rPr>
        <w:t xml:space="preserve"> to have the highest success rate in predicting a crisis. </w:t>
      </w:r>
      <w:r w:rsidR="00845ADA">
        <w:rPr>
          <w:lang w:val="en-US"/>
        </w:rPr>
        <w:t>The real estate price-to-income variables</w:t>
      </w:r>
      <w:r w:rsidR="008F77CC">
        <w:rPr>
          <w:lang w:val="en-US"/>
        </w:rPr>
        <w:t xml:space="preserve"> perform best in terms of the ratio of true to false alerts</w:t>
      </w:r>
      <w:r w:rsidR="00A25D0C">
        <w:rPr>
          <w:lang w:val="en-US"/>
        </w:rPr>
        <w:t xml:space="preserve">. </w:t>
      </w:r>
      <w:r w:rsidR="000B5B18">
        <w:rPr>
          <w:lang w:val="en-US"/>
        </w:rPr>
        <w:t>In the view of this evaluation, equity prices appear to be rather poor predictors of financial crises.</w:t>
      </w:r>
    </w:p>
    <w:p w14:paraId="07BAEA23" w14:textId="3B14EBA6" w:rsidR="00697056" w:rsidRDefault="00697056" w:rsidP="00697056">
      <w:pPr>
        <w:spacing w:line="360" w:lineRule="auto"/>
        <w:rPr>
          <w:lang w:val="en-US"/>
        </w:rPr>
      </w:pPr>
      <w:r w:rsidRPr="00AA0EB3">
        <w:rPr>
          <w:lang w:val="en-US"/>
        </w:rPr>
        <w:t xml:space="preserve">Recalling Paul Samuelson’s famous observation that “the stock market has forecast nine of the last five recessions,” we concede the same </w:t>
      </w:r>
      <w:r w:rsidR="00E55552">
        <w:rPr>
          <w:lang w:val="en-US"/>
        </w:rPr>
        <w:t>feature</w:t>
      </w:r>
      <w:r w:rsidR="00E55552" w:rsidRPr="00AA0EB3">
        <w:rPr>
          <w:lang w:val="en-US"/>
        </w:rPr>
        <w:t xml:space="preserve"> </w:t>
      </w:r>
      <w:r w:rsidR="00E55552">
        <w:rPr>
          <w:lang w:val="en-US"/>
        </w:rPr>
        <w:t xml:space="preserve">is present </w:t>
      </w:r>
      <w:r w:rsidRPr="00AA0EB3">
        <w:rPr>
          <w:lang w:val="en-US"/>
        </w:rPr>
        <w:t>in early warning models for banking crises. Here, the model performance is similar to earlier studies</w:t>
      </w:r>
      <w:r w:rsidR="00E55552">
        <w:rPr>
          <w:lang w:val="en-US"/>
        </w:rPr>
        <w:t>, yet t</w:t>
      </w:r>
      <w:r w:rsidRPr="00AA0EB3">
        <w:rPr>
          <w:lang w:val="en-US"/>
        </w:rPr>
        <w:t xml:space="preserve">he ratio of correct crisis prediction to false crisis prediction is </w:t>
      </w:r>
      <w:r w:rsidR="00685417">
        <w:rPr>
          <w:lang w:val="en-US"/>
        </w:rPr>
        <w:t xml:space="preserve">about </w:t>
      </w:r>
      <w:r w:rsidR="000B5B18">
        <w:rPr>
          <w:lang w:val="en-US"/>
        </w:rPr>
        <w:t>unity</w:t>
      </w:r>
      <w:r w:rsidRPr="00AA0EB3">
        <w:rPr>
          <w:lang w:val="en-US"/>
        </w:rPr>
        <w:t xml:space="preserve"> for the </w:t>
      </w:r>
      <w:r w:rsidR="00685417">
        <w:rPr>
          <w:lang w:val="en-US"/>
        </w:rPr>
        <w:t xml:space="preserve">credit </w:t>
      </w:r>
      <w:r w:rsidRPr="00AA0EB3">
        <w:rPr>
          <w:lang w:val="en-US"/>
        </w:rPr>
        <w:t>ratio</w:t>
      </w:r>
      <w:r w:rsidR="00685417">
        <w:rPr>
          <w:lang w:val="en-US"/>
        </w:rPr>
        <w:t xml:space="preserve"> variables</w:t>
      </w:r>
      <w:r w:rsidR="007553EF">
        <w:rPr>
          <w:lang w:val="en-US"/>
        </w:rPr>
        <w:t>. E</w:t>
      </w:r>
      <w:r w:rsidR="00685417">
        <w:rPr>
          <w:lang w:val="en-US"/>
        </w:rPr>
        <w:t xml:space="preserve">ven the best variables </w:t>
      </w:r>
      <w:r w:rsidR="007553EF">
        <w:rPr>
          <w:lang w:val="en-US"/>
        </w:rPr>
        <w:t xml:space="preserve">such as </w:t>
      </w:r>
      <w:r w:rsidR="00685417">
        <w:rPr>
          <w:lang w:val="en-US"/>
        </w:rPr>
        <w:t>debt service ratios</w:t>
      </w:r>
      <w:r w:rsidRPr="00AA0EB3">
        <w:rPr>
          <w:lang w:val="en-US"/>
        </w:rPr>
        <w:t xml:space="preserve"> predict </w:t>
      </w:r>
      <w:r w:rsidR="007553EF">
        <w:rPr>
          <w:lang w:val="en-US"/>
        </w:rPr>
        <w:t xml:space="preserve">over </w:t>
      </w:r>
      <w:r w:rsidRPr="00AA0EB3">
        <w:rPr>
          <w:lang w:val="en-US"/>
        </w:rPr>
        <w:t>seven of the past five crises.</w:t>
      </w:r>
    </w:p>
    <w:p w14:paraId="28B4FBAF" w14:textId="77777777" w:rsidR="00697056" w:rsidRDefault="00697056" w:rsidP="00C212DD">
      <w:pPr>
        <w:spacing w:line="360" w:lineRule="auto"/>
        <w:ind w:firstLine="0"/>
        <w:rPr>
          <w:lang w:val="en-US"/>
        </w:rPr>
      </w:pPr>
    </w:p>
    <w:p w14:paraId="4228408A" w14:textId="2CA10A89" w:rsidR="00A42DB1" w:rsidRPr="00FA78F6" w:rsidRDefault="008C4BD5" w:rsidP="00C212DD">
      <w:pPr>
        <w:pStyle w:val="Otsikko2"/>
      </w:pPr>
      <w:r>
        <w:t xml:space="preserve">D. </w:t>
      </w:r>
      <w:r w:rsidR="00697056" w:rsidRPr="00FA78F6">
        <w:t>Robustness checks</w:t>
      </w:r>
    </w:p>
    <w:p w14:paraId="1D40D16A" w14:textId="77777777" w:rsidR="00454B57" w:rsidRDefault="00454B57" w:rsidP="00454B57">
      <w:pPr>
        <w:spacing w:line="360" w:lineRule="auto"/>
        <w:rPr>
          <w:lang w:val="en-US"/>
        </w:rPr>
      </w:pPr>
      <w:r>
        <w:rPr>
          <w:lang w:val="en-US"/>
        </w:rPr>
        <w:t>In the following, we report number of robustness checks against alternative parameterizations and alternative crisis definitions.</w:t>
      </w:r>
    </w:p>
    <w:p w14:paraId="7C8870D7" w14:textId="77777777" w:rsidR="00E15376" w:rsidRDefault="00E15376" w:rsidP="00454B57">
      <w:pPr>
        <w:spacing w:line="360" w:lineRule="auto"/>
        <w:rPr>
          <w:lang w:val="en-US"/>
        </w:rPr>
      </w:pPr>
    </w:p>
    <w:p w14:paraId="5AAE9CD5" w14:textId="6989A6EA" w:rsidR="00AA78FD" w:rsidRPr="00C212DD" w:rsidRDefault="00AA78FD" w:rsidP="00AA78FD">
      <w:pPr>
        <w:spacing w:line="360" w:lineRule="auto"/>
        <w:ind w:firstLine="0"/>
        <w:rPr>
          <w:rFonts w:eastAsiaTheme="minorEastAsia"/>
          <w:i/>
          <w:u w:val="single"/>
          <w:lang w:val="en-US"/>
        </w:rPr>
      </w:pPr>
      <w:r w:rsidRPr="00C212DD">
        <w:rPr>
          <w:i/>
          <w:u w:val="single"/>
          <w:lang w:val="en-US"/>
        </w:rPr>
        <w:t xml:space="preserve">Alternative policy preferences </w:t>
      </w:r>
      <m:oMath>
        <m:r>
          <w:rPr>
            <w:rFonts w:ascii="Cambria Math" w:hAnsi="Cambria Math"/>
            <w:u w:val="single"/>
            <w:lang w:val="en-US"/>
          </w:rPr>
          <m:t>θ</m:t>
        </m:r>
      </m:oMath>
      <w:r w:rsidRPr="00C212DD">
        <w:rPr>
          <w:rFonts w:eastAsiaTheme="minorEastAsia"/>
          <w:i/>
          <w:u w:val="single"/>
          <w:lang w:val="en-US"/>
        </w:rPr>
        <w:t xml:space="preserve"> and significance level </w:t>
      </w:r>
      <m:oMath>
        <m:r>
          <w:rPr>
            <w:rFonts w:ascii="Cambria Math" w:hAnsi="Cambria Math"/>
            <w:u w:val="single"/>
            <w:lang w:val="en-US"/>
          </w:rPr>
          <m:t>α</m:t>
        </m:r>
      </m:oMath>
    </w:p>
    <w:p w14:paraId="77C38299" w14:textId="446DDC0F" w:rsidR="003B18DE" w:rsidRPr="00EF05B9" w:rsidRDefault="00AA78FD" w:rsidP="003B18DE">
      <w:pPr>
        <w:spacing w:line="360" w:lineRule="auto"/>
        <w:rPr>
          <w:lang w:val="en-US"/>
        </w:rPr>
      </w:pPr>
      <w:r w:rsidRPr="00B356D5">
        <w:rPr>
          <w:lang w:val="en-US"/>
        </w:rPr>
        <w:t xml:space="preserve">The </w:t>
      </w:r>
      <w:r>
        <w:rPr>
          <w:lang w:val="en-US"/>
        </w:rPr>
        <w:t xml:space="preserve">most important parameter that </w:t>
      </w:r>
      <w:r w:rsidR="00E000F6">
        <w:rPr>
          <w:lang w:val="en-US"/>
        </w:rPr>
        <w:t xml:space="preserve">largely </w:t>
      </w:r>
      <w:r>
        <w:rPr>
          <w:lang w:val="en-US"/>
        </w:rPr>
        <w:t>determine</w:t>
      </w:r>
      <w:r w:rsidR="00E000F6">
        <w:rPr>
          <w:lang w:val="en-US"/>
        </w:rPr>
        <w:t>s</w:t>
      </w:r>
      <w:r>
        <w:rPr>
          <w:lang w:val="en-US"/>
        </w:rPr>
        <w:t xml:space="preserve"> when</w:t>
      </w:r>
      <w:r w:rsidRPr="00B356D5">
        <w:rPr>
          <w:lang w:val="en-US"/>
        </w:rPr>
        <w:t xml:space="preserve"> the exuberance indicator issue</w:t>
      </w:r>
      <w:r w:rsidR="00E000F6">
        <w:rPr>
          <w:lang w:val="en-US"/>
        </w:rPr>
        <w:t>s</w:t>
      </w:r>
      <w:r w:rsidRPr="00B356D5">
        <w:rPr>
          <w:lang w:val="en-US"/>
        </w:rPr>
        <w:t xml:space="preserve"> </w:t>
      </w:r>
      <w:r>
        <w:rPr>
          <w:lang w:val="en-US"/>
        </w:rPr>
        <w:t xml:space="preserve">a warning signal is the significance level of the BSADF test. The significance level should be chosen according to the policymaker’s preferences </w:t>
      </w:r>
      <m:oMath>
        <m:r>
          <w:rPr>
            <w:rFonts w:ascii="Cambria Math" w:hAnsi="Cambria Math"/>
            <w:lang w:val="en-US"/>
          </w:rPr>
          <m:t>θ</m:t>
        </m:r>
      </m:oMath>
      <w:r>
        <w:rPr>
          <w:lang w:val="en-US"/>
        </w:rPr>
        <w:t xml:space="preserve"> for the trade-off with respect to the false alarms and missed crises.</w:t>
      </w:r>
      <w:r w:rsidR="00EC183E">
        <w:rPr>
          <w:lang w:val="en-US"/>
        </w:rPr>
        <w:t xml:space="preserve"> Previously, we assumed </w:t>
      </w:r>
      <m:oMath>
        <m:r>
          <w:rPr>
            <w:rFonts w:ascii="Cambria Math" w:hAnsi="Cambria Math"/>
            <w:lang w:val="en-US"/>
          </w:rPr>
          <m:t xml:space="preserve">θ </m:t>
        </m:r>
      </m:oMath>
      <w:r w:rsidR="00EC183E">
        <w:rPr>
          <w:rFonts w:eastAsiaTheme="minorEastAsia"/>
          <w:lang w:val="en-US"/>
        </w:rPr>
        <w:t>=</w:t>
      </w:r>
      <w:r w:rsidR="002C6692">
        <w:rPr>
          <w:rFonts w:eastAsiaTheme="minorEastAsia"/>
          <w:lang w:val="en-US"/>
        </w:rPr>
        <w:t xml:space="preserve"> </w:t>
      </w:r>
      <w:r w:rsidR="00EC183E">
        <w:rPr>
          <w:rFonts w:eastAsiaTheme="minorEastAsia"/>
          <w:lang w:val="en-US"/>
        </w:rPr>
        <w:t xml:space="preserve">0.5. To motivate and test the robustness of that choice, here we report results also </w:t>
      </w:r>
      <m:oMath>
        <m:r>
          <w:rPr>
            <w:rFonts w:ascii="Cambria Math" w:hAnsi="Cambria Math"/>
            <w:lang w:val="en-US"/>
          </w:rPr>
          <m:t xml:space="preserve">θ </m:t>
        </m:r>
      </m:oMath>
      <w:r w:rsidR="00EC183E">
        <w:rPr>
          <w:rFonts w:eastAsiaTheme="minorEastAsia"/>
          <w:lang w:val="en-US"/>
        </w:rPr>
        <w:t>=</w:t>
      </w:r>
      <w:r w:rsidR="002C6692">
        <w:rPr>
          <w:rFonts w:eastAsiaTheme="minorEastAsia"/>
          <w:lang w:val="en-US"/>
        </w:rPr>
        <w:t xml:space="preserve"> </w:t>
      </w:r>
      <w:r w:rsidR="00EC183E">
        <w:rPr>
          <w:rFonts w:eastAsiaTheme="minorEastAsia"/>
          <w:lang w:val="en-US"/>
        </w:rPr>
        <w:t xml:space="preserve">0.6 and </w:t>
      </w:r>
      <m:oMath>
        <m:r>
          <w:rPr>
            <w:rFonts w:ascii="Cambria Math" w:hAnsi="Cambria Math"/>
            <w:lang w:val="en-US"/>
          </w:rPr>
          <m:t xml:space="preserve">θ </m:t>
        </m:r>
      </m:oMath>
      <w:r w:rsidR="00EC183E">
        <w:rPr>
          <w:rFonts w:eastAsiaTheme="minorEastAsia"/>
          <w:lang w:val="en-US"/>
        </w:rPr>
        <w:t>=</w:t>
      </w:r>
      <w:r w:rsidR="002C6692">
        <w:rPr>
          <w:rFonts w:eastAsiaTheme="minorEastAsia"/>
          <w:lang w:val="en-US"/>
        </w:rPr>
        <w:t xml:space="preserve"> </w:t>
      </w:r>
      <w:r w:rsidR="00EC183E">
        <w:rPr>
          <w:rFonts w:eastAsiaTheme="minorEastAsia"/>
          <w:lang w:val="en-US"/>
        </w:rPr>
        <w:t>0.7.</w:t>
      </w:r>
      <w:r w:rsidR="00E37065">
        <w:rPr>
          <w:rFonts w:eastAsiaTheme="minorEastAsia"/>
          <w:lang w:val="en-US"/>
        </w:rPr>
        <w:t xml:space="preserve"> </w:t>
      </w:r>
      <w:r w:rsidR="003B18DE">
        <w:rPr>
          <w:rFonts w:eastAsiaTheme="minorEastAsia"/>
          <w:lang w:val="en-US"/>
        </w:rPr>
        <w:t xml:space="preserve">A </w:t>
      </w:r>
      <w:r w:rsidR="004E12DD">
        <w:rPr>
          <w:rFonts w:eastAsiaTheme="minorEastAsia"/>
          <w:lang w:val="en-US"/>
        </w:rPr>
        <w:t>p</w:t>
      </w:r>
      <w:r w:rsidR="00E37065">
        <w:rPr>
          <w:rFonts w:eastAsiaTheme="minorEastAsia"/>
          <w:lang w:val="en-US"/>
        </w:rPr>
        <w:t xml:space="preserve">olicymaker with </w:t>
      </w:r>
      <m:oMath>
        <m:r>
          <w:rPr>
            <w:rFonts w:ascii="Cambria Math" w:hAnsi="Cambria Math"/>
            <w:lang w:val="en-US"/>
          </w:rPr>
          <m:t xml:space="preserve">θ </m:t>
        </m:r>
      </m:oMath>
      <w:r w:rsidR="00E37065">
        <w:rPr>
          <w:rFonts w:eastAsiaTheme="minorEastAsia"/>
          <w:lang w:val="en-US"/>
        </w:rPr>
        <w:t>&gt;</w:t>
      </w:r>
      <m:oMath>
        <m:r>
          <w:rPr>
            <w:rFonts w:ascii="Cambria Math" w:hAnsi="Cambria Math"/>
            <w:lang w:val="en-US"/>
          </w:rPr>
          <m:t xml:space="preserve"> θ'</m:t>
        </m:r>
      </m:oMath>
      <w:r w:rsidR="00E37065">
        <w:rPr>
          <w:rFonts w:eastAsiaTheme="minorEastAsia"/>
          <w:lang w:val="en-US"/>
        </w:rPr>
        <w:t xml:space="preserve"> is relatively more averse </w:t>
      </w:r>
      <w:r w:rsidR="002C6692">
        <w:rPr>
          <w:rFonts w:eastAsiaTheme="minorEastAsia"/>
          <w:lang w:val="en-US"/>
        </w:rPr>
        <w:t xml:space="preserve">to </w:t>
      </w:r>
      <w:r w:rsidR="00E37065">
        <w:rPr>
          <w:rFonts w:eastAsiaTheme="minorEastAsia"/>
          <w:lang w:val="en-US"/>
        </w:rPr>
        <w:t xml:space="preserve">missed crises than a policymaker with </w:t>
      </w:r>
      <m:oMath>
        <m:r>
          <w:rPr>
            <w:rFonts w:ascii="Cambria Math" w:hAnsi="Cambria Math"/>
            <w:lang w:val="en-US"/>
          </w:rPr>
          <m:t>θ'</m:t>
        </m:r>
      </m:oMath>
      <w:r w:rsidR="00E37065">
        <w:rPr>
          <w:rFonts w:eastAsiaTheme="minorEastAsia"/>
          <w:lang w:val="en-US"/>
        </w:rPr>
        <w:t>.</w:t>
      </w:r>
      <w:r w:rsidR="003B18DE">
        <w:rPr>
          <w:rFonts w:eastAsiaTheme="minorEastAsia"/>
          <w:lang w:val="en-US"/>
        </w:rPr>
        <w:t xml:space="preserve"> </w:t>
      </w:r>
      <w:r w:rsidR="003B18DE">
        <w:rPr>
          <w:lang w:val="en-US"/>
        </w:rPr>
        <w:t xml:space="preserve">In practice, when </w:t>
      </w:r>
      <m:oMath>
        <m:r>
          <w:rPr>
            <w:rFonts w:ascii="Cambria Math" w:hAnsi="Cambria Math"/>
            <w:lang w:val="en-US"/>
          </w:rPr>
          <m:t>θ</m:t>
        </m:r>
        <m:r>
          <w:rPr>
            <w:rFonts w:ascii="Cambria Math" w:eastAsiaTheme="minorEastAsia" w:hAnsi="Cambria Math"/>
            <w:lang w:val="en-US"/>
          </w:rPr>
          <m:t>=0.5</m:t>
        </m:r>
      </m:oMath>
      <w:r w:rsidR="003B18DE">
        <w:rPr>
          <w:rFonts w:eastAsiaTheme="minorEastAsia"/>
          <w:lang w:val="en-US"/>
        </w:rPr>
        <w:t xml:space="preserve"> </w:t>
      </w:r>
      <w:r w:rsidR="003B18DE">
        <w:rPr>
          <w:lang w:val="en-US"/>
        </w:rPr>
        <w:t xml:space="preserve">the number of actual false positive signals may already </w:t>
      </w:r>
      <w:r w:rsidR="00FD4358">
        <w:rPr>
          <w:lang w:val="en-US"/>
        </w:rPr>
        <w:t xml:space="preserve">be an order of magnitude higher than </w:t>
      </w:r>
      <w:r w:rsidR="003B18DE">
        <w:rPr>
          <w:lang w:val="en-US"/>
        </w:rPr>
        <w:t xml:space="preserve">the number of false negatives. </w:t>
      </w:r>
      <w:r w:rsidR="00FD4358">
        <w:rPr>
          <w:lang w:val="en-US"/>
        </w:rPr>
        <w:t>In the absolute sense</w:t>
      </w:r>
      <w:r w:rsidR="003B18DE">
        <w:rPr>
          <w:lang w:val="en-US"/>
        </w:rPr>
        <w:t xml:space="preserve">, the policymaker </w:t>
      </w:r>
      <w:r w:rsidR="00FD4358">
        <w:rPr>
          <w:lang w:val="en-US"/>
        </w:rPr>
        <w:t xml:space="preserve">is already </w:t>
      </w:r>
      <w:r w:rsidR="003B18DE">
        <w:rPr>
          <w:lang w:val="en-US"/>
        </w:rPr>
        <w:t xml:space="preserve">averse to missing a crisis with </w:t>
      </w:r>
      <m:oMath>
        <m:r>
          <w:rPr>
            <w:rFonts w:ascii="Cambria Math" w:hAnsi="Cambria Math"/>
            <w:lang w:val="en-US"/>
          </w:rPr>
          <m:t>θ</m:t>
        </m:r>
        <m:r>
          <w:rPr>
            <w:rFonts w:ascii="Cambria Math" w:eastAsiaTheme="minorEastAsia" w:hAnsi="Cambria Math"/>
            <w:lang w:val="en-US"/>
          </w:rPr>
          <m:t>=0.5</m:t>
        </m:r>
      </m:oMath>
      <w:r w:rsidR="00FD4358">
        <w:rPr>
          <w:rFonts w:eastAsiaTheme="minorEastAsia"/>
          <w:lang w:val="en-US"/>
        </w:rPr>
        <w:t xml:space="preserve">. Thus, </w:t>
      </w:r>
      <w:r w:rsidR="00FD4358">
        <w:rPr>
          <w:lang w:val="en-US"/>
        </w:rPr>
        <w:t xml:space="preserve">a </w:t>
      </w:r>
      <w:r w:rsidR="003B18DE">
        <w:rPr>
          <w:lang w:val="en-US"/>
        </w:rPr>
        <w:t xml:space="preserve">higher value of </w:t>
      </w:r>
      <m:oMath>
        <m:r>
          <w:rPr>
            <w:rFonts w:ascii="Cambria Math" w:hAnsi="Cambria Math"/>
            <w:lang w:val="en-US"/>
          </w:rPr>
          <m:t>θ</m:t>
        </m:r>
      </m:oMath>
      <w:r w:rsidR="003B18DE">
        <w:rPr>
          <w:rFonts w:eastAsiaTheme="minorEastAsia"/>
          <w:lang w:val="en-US"/>
        </w:rPr>
        <w:t xml:space="preserve"> </w:t>
      </w:r>
      <w:r w:rsidR="00FD4358">
        <w:rPr>
          <w:rFonts w:eastAsiaTheme="minorEastAsia"/>
          <w:lang w:val="en-US"/>
        </w:rPr>
        <w:t>seems un</w:t>
      </w:r>
      <w:r w:rsidR="003B18DE">
        <w:rPr>
          <w:rFonts w:eastAsiaTheme="minorEastAsia"/>
          <w:lang w:val="en-US"/>
        </w:rPr>
        <w:t xml:space="preserve">realistic. Still, it is customary to check the performance for higher </w:t>
      </w:r>
      <m:oMath>
        <m:r>
          <w:rPr>
            <w:rFonts w:ascii="Cambria Math" w:hAnsi="Cambria Math"/>
            <w:lang w:val="en-US"/>
          </w:rPr>
          <m:t>θ</m:t>
        </m:r>
      </m:oMath>
      <w:r w:rsidR="003B18DE">
        <w:rPr>
          <w:rFonts w:eastAsiaTheme="minorEastAsia"/>
          <w:lang w:val="en-US"/>
        </w:rPr>
        <w:t>.</w:t>
      </w:r>
    </w:p>
    <w:p w14:paraId="22762504" w14:textId="26B2BCA9" w:rsidR="003B18DE" w:rsidRDefault="00EC183E" w:rsidP="00454B57">
      <w:pPr>
        <w:spacing w:line="360" w:lineRule="auto"/>
        <w:rPr>
          <w:rFonts w:eastAsiaTheme="minorEastAsia"/>
          <w:shd w:val="clear" w:color="auto" w:fill="FFFF00"/>
          <w:lang w:val="en-US"/>
        </w:rPr>
      </w:pPr>
      <w:r>
        <w:rPr>
          <w:rFonts w:eastAsiaTheme="minorEastAsia"/>
          <w:lang w:val="en-US"/>
        </w:rPr>
        <w:t xml:space="preserve">Table 9 presents the in-sample and out-of-sample performance for the exuberance indicators for alternative values of </w:t>
      </w:r>
      <m:oMath>
        <m:r>
          <w:rPr>
            <w:rFonts w:ascii="Cambria Math" w:hAnsi="Cambria Math"/>
            <w:lang w:val="en-US"/>
          </w:rPr>
          <m:t>θ</m:t>
        </m:r>
      </m:oMath>
      <w:r>
        <w:rPr>
          <w:rFonts w:eastAsiaTheme="minorEastAsia"/>
          <w:lang w:val="en-US"/>
        </w:rPr>
        <w:t xml:space="preserve"> such that the significance level </w:t>
      </w:r>
      <m:oMath>
        <m:r>
          <w:rPr>
            <w:rFonts w:ascii="Cambria Math" w:hAnsi="Cambria Math"/>
            <w:lang w:val="en-US"/>
          </w:rPr>
          <m:t>α</m:t>
        </m:r>
      </m:oMath>
      <w:r w:rsidRPr="00EC183E">
        <w:rPr>
          <w:rFonts w:eastAsiaTheme="minorEastAsia"/>
          <w:lang w:val="en-US"/>
        </w:rPr>
        <w:t xml:space="preserve"> </w:t>
      </w:r>
      <w:r>
        <w:rPr>
          <w:rFonts w:eastAsiaTheme="minorEastAsia"/>
          <w:lang w:val="en-US"/>
        </w:rPr>
        <w:t xml:space="preserve">is optimized for each </w:t>
      </w:r>
      <m:oMath>
        <m:r>
          <w:rPr>
            <w:rFonts w:ascii="Cambria Math" w:hAnsi="Cambria Math"/>
            <w:lang w:val="en-US"/>
          </w:rPr>
          <m:t>θ</m:t>
        </m:r>
      </m:oMath>
      <w:r>
        <w:rPr>
          <w:rFonts w:eastAsiaTheme="minorEastAsia"/>
          <w:lang w:val="en-US"/>
        </w:rPr>
        <w:t>.</w:t>
      </w:r>
      <w:r w:rsidR="004E12DD">
        <w:rPr>
          <w:rFonts w:eastAsiaTheme="minorEastAsia"/>
          <w:lang w:val="en-US"/>
        </w:rPr>
        <w:t xml:space="preserve"> </w:t>
      </w:r>
      <w:r>
        <w:rPr>
          <w:rFonts w:eastAsiaTheme="minorEastAsia"/>
          <w:lang w:val="en-US"/>
        </w:rPr>
        <w:t xml:space="preserve">Corresponding statistics for the signaling method is included for comparison. </w:t>
      </w:r>
      <w:r w:rsidR="00E177A3">
        <w:rPr>
          <w:rFonts w:eastAsiaTheme="minorEastAsia"/>
          <w:lang w:val="en-US"/>
        </w:rPr>
        <w:t>F</w:t>
      </w:r>
      <w:r>
        <w:rPr>
          <w:rFonts w:eastAsiaTheme="minorEastAsia"/>
          <w:lang w:val="en-US"/>
        </w:rPr>
        <w:t>or both exuberance indicators and the signaling method, relative usefulness decrease</w:t>
      </w:r>
      <w:r w:rsidR="00FD4358">
        <w:rPr>
          <w:rFonts w:eastAsiaTheme="minorEastAsia"/>
          <w:lang w:val="en-US"/>
        </w:rPr>
        <w:t>s</w:t>
      </w:r>
      <w:r>
        <w:rPr>
          <w:rFonts w:eastAsiaTheme="minorEastAsia"/>
          <w:lang w:val="en-US"/>
        </w:rPr>
        <w:t xml:space="preserve"> as </w:t>
      </w:r>
      <m:oMath>
        <m:r>
          <w:rPr>
            <w:rFonts w:ascii="Cambria Math" w:hAnsi="Cambria Math"/>
            <w:lang w:val="en-US"/>
          </w:rPr>
          <m:t>θ</m:t>
        </m:r>
      </m:oMath>
      <w:r>
        <w:rPr>
          <w:rFonts w:eastAsiaTheme="minorEastAsia"/>
          <w:lang w:val="en-US"/>
        </w:rPr>
        <w:t xml:space="preserve"> </w:t>
      </w:r>
      <w:r w:rsidR="00FD4358">
        <w:rPr>
          <w:rFonts w:eastAsiaTheme="minorEastAsia"/>
          <w:lang w:val="en-US"/>
        </w:rPr>
        <w:t xml:space="preserve">is </w:t>
      </w:r>
      <w:r>
        <w:rPr>
          <w:rFonts w:eastAsiaTheme="minorEastAsia"/>
          <w:lang w:val="en-US"/>
        </w:rPr>
        <w:t xml:space="preserve">increased. </w:t>
      </w:r>
      <w:r w:rsidR="00E177A3">
        <w:rPr>
          <w:rFonts w:eastAsiaTheme="minorEastAsia"/>
          <w:lang w:val="en-US"/>
        </w:rPr>
        <w:t xml:space="preserve">Similar to the </w:t>
      </w:r>
      <m:oMath>
        <m:r>
          <w:rPr>
            <w:rFonts w:ascii="Cambria Math" w:hAnsi="Cambria Math"/>
            <w:lang w:val="en-US"/>
          </w:rPr>
          <m:t xml:space="preserve">θ </m:t>
        </m:r>
      </m:oMath>
      <w:r w:rsidR="00E177A3">
        <w:rPr>
          <w:rFonts w:eastAsiaTheme="minorEastAsia"/>
          <w:lang w:val="en-US"/>
        </w:rPr>
        <w:t>=</w:t>
      </w:r>
      <w:r w:rsidR="00FD4358">
        <w:rPr>
          <w:rFonts w:eastAsiaTheme="minorEastAsia"/>
          <w:lang w:val="en-US"/>
        </w:rPr>
        <w:t xml:space="preserve"> </w:t>
      </w:r>
      <w:r w:rsidR="00E177A3">
        <w:rPr>
          <w:rFonts w:eastAsiaTheme="minorEastAsia"/>
          <w:lang w:val="en-US"/>
        </w:rPr>
        <w:t xml:space="preserve">0.5 case, the similar performance of the two methods in-sample, and the relative advantage of the exuberance indicators out-of-sample, broadly carry on to higher values of </w:t>
      </w:r>
      <m:oMath>
        <m:r>
          <w:rPr>
            <w:rFonts w:ascii="Cambria Math" w:hAnsi="Cambria Math"/>
            <w:lang w:val="en-US"/>
          </w:rPr>
          <m:t>θ</m:t>
        </m:r>
      </m:oMath>
      <w:r w:rsidR="00E177A3">
        <w:rPr>
          <w:rFonts w:eastAsiaTheme="minorEastAsia"/>
          <w:lang w:val="en-US"/>
        </w:rPr>
        <w:t xml:space="preserve">. However, the performance of the exuberance indicators for higher values of </w:t>
      </w:r>
      <m:oMath>
        <m:r>
          <w:rPr>
            <w:rFonts w:ascii="Cambria Math" w:hAnsi="Cambria Math"/>
            <w:lang w:val="en-US"/>
          </w:rPr>
          <m:t>θ</m:t>
        </m:r>
      </m:oMath>
      <w:r w:rsidR="00E177A3">
        <w:rPr>
          <w:rFonts w:eastAsiaTheme="minorEastAsia"/>
          <w:lang w:val="en-US"/>
        </w:rPr>
        <w:t xml:space="preserve"> is somewhat limited by our imposed cap </w:t>
      </w:r>
      <m:oMath>
        <m:r>
          <w:rPr>
            <w:rFonts w:ascii="Cambria Math" w:hAnsi="Cambria Math"/>
            <w:lang w:val="en-US"/>
          </w:rPr>
          <m:t xml:space="preserve">α </m:t>
        </m:r>
      </m:oMath>
      <w:r w:rsidR="00E177A3">
        <w:rPr>
          <w:rFonts w:eastAsiaTheme="minorEastAsia"/>
          <w:lang w:val="en-US"/>
        </w:rPr>
        <w:t>=</w:t>
      </w:r>
      <w:r w:rsidR="00FD4358">
        <w:rPr>
          <w:rFonts w:eastAsiaTheme="minorEastAsia"/>
          <w:lang w:val="en-US"/>
        </w:rPr>
        <w:t xml:space="preserve"> </w:t>
      </w:r>
      <w:r w:rsidR="00E177A3">
        <w:rPr>
          <w:rFonts w:eastAsiaTheme="minorEastAsia"/>
          <w:lang w:val="en-US"/>
        </w:rPr>
        <w:t>0.2.</w:t>
      </w:r>
    </w:p>
    <w:p w14:paraId="2976C0A1" w14:textId="1CB8B078" w:rsidR="00E177A3" w:rsidRDefault="00FD4358" w:rsidP="00E000F6">
      <w:pPr>
        <w:spacing w:line="360" w:lineRule="auto"/>
        <w:rPr>
          <w:rFonts w:eastAsiaTheme="minorEastAsia"/>
          <w:lang w:val="en-US"/>
        </w:rPr>
      </w:pPr>
      <w:r>
        <w:rPr>
          <w:rFonts w:eastAsiaTheme="minorEastAsia"/>
          <w:lang w:val="en-US"/>
        </w:rPr>
        <w:t>We have</w:t>
      </w:r>
      <w:r w:rsidR="003B18DE">
        <w:rPr>
          <w:rFonts w:eastAsiaTheme="minorEastAsia"/>
          <w:lang w:val="en-US"/>
        </w:rPr>
        <w:t xml:space="preserve"> </w:t>
      </w:r>
      <w:r>
        <w:rPr>
          <w:rFonts w:eastAsiaTheme="minorEastAsia"/>
          <w:lang w:val="en-US"/>
        </w:rPr>
        <w:t xml:space="preserve">so far only </w:t>
      </w:r>
      <w:r w:rsidR="003B18DE">
        <w:rPr>
          <w:rFonts w:eastAsiaTheme="minorEastAsia"/>
          <w:lang w:val="en-US"/>
        </w:rPr>
        <w:t xml:space="preserve">optimized the significance level </w:t>
      </w:r>
      <m:oMath>
        <m:r>
          <w:rPr>
            <w:rFonts w:ascii="Cambria Math" w:hAnsi="Cambria Math"/>
            <w:lang w:val="en-US"/>
          </w:rPr>
          <m:t>α</m:t>
        </m:r>
      </m:oMath>
      <w:r w:rsidR="003B18DE" w:rsidRPr="00EC183E">
        <w:rPr>
          <w:rFonts w:eastAsiaTheme="minorEastAsia"/>
          <w:lang w:val="en-US"/>
        </w:rPr>
        <w:t xml:space="preserve"> </w:t>
      </w:r>
      <w:r w:rsidR="003B18DE">
        <w:rPr>
          <w:rFonts w:eastAsiaTheme="minorEastAsia"/>
          <w:lang w:val="en-US"/>
        </w:rPr>
        <w:t xml:space="preserve">of the BSADF test based on the training period. However, a statistician would simply </w:t>
      </w:r>
      <w:r w:rsidR="00941BD6">
        <w:rPr>
          <w:rFonts w:eastAsiaTheme="minorEastAsia"/>
          <w:lang w:val="en-US"/>
        </w:rPr>
        <w:t xml:space="preserve">calculate the signals for </w:t>
      </w:r>
      <m:oMath>
        <m:r>
          <w:rPr>
            <w:rFonts w:ascii="Cambria Math" w:hAnsi="Cambria Math"/>
            <w:lang w:val="en-US"/>
          </w:rPr>
          <m:t>α</m:t>
        </m:r>
      </m:oMath>
      <w:r>
        <w:rPr>
          <w:rFonts w:eastAsiaTheme="minorEastAsia"/>
          <w:lang w:val="en-US"/>
        </w:rPr>
        <w:t xml:space="preserve"> </w:t>
      </w:r>
      <w:r w:rsidR="003B18DE">
        <w:rPr>
          <w:rFonts w:eastAsiaTheme="minorEastAsia"/>
          <w:lang w:val="en-US"/>
        </w:rPr>
        <w:t>=</w:t>
      </w:r>
      <w:r>
        <w:rPr>
          <w:rFonts w:eastAsiaTheme="minorEastAsia"/>
          <w:lang w:val="en-US"/>
        </w:rPr>
        <w:t xml:space="preserve"> </w:t>
      </w:r>
      <w:r w:rsidR="003B18DE">
        <w:rPr>
          <w:rFonts w:eastAsiaTheme="minorEastAsia"/>
          <w:lang w:val="en-US"/>
        </w:rPr>
        <w:t xml:space="preserve">0.05 </w:t>
      </w:r>
      <w:r w:rsidR="00941BD6">
        <w:rPr>
          <w:rFonts w:eastAsiaTheme="minorEastAsia"/>
          <w:lang w:val="en-US"/>
        </w:rPr>
        <w:t xml:space="preserve">(and </w:t>
      </w:r>
      <w:r>
        <w:rPr>
          <w:rFonts w:eastAsiaTheme="minorEastAsia"/>
          <w:lang w:val="en-US"/>
        </w:rPr>
        <w:t xml:space="preserve">possibly </w:t>
      </w:r>
      <w:r w:rsidR="00941BD6">
        <w:rPr>
          <w:rFonts w:eastAsiaTheme="minorEastAsia"/>
          <w:lang w:val="en-US"/>
        </w:rPr>
        <w:t>for</w:t>
      </w:r>
      <w:r w:rsidR="003B18DE">
        <w:rPr>
          <w:rFonts w:eastAsiaTheme="minorEastAsia"/>
          <w:lang w:val="en-US"/>
        </w:rPr>
        <w:t xml:space="preserve"> </w:t>
      </w:r>
      <m:oMath>
        <m:r>
          <w:rPr>
            <w:rFonts w:ascii="Cambria Math" w:hAnsi="Cambria Math"/>
            <w:lang w:val="en-US"/>
          </w:rPr>
          <m:t>α</m:t>
        </m:r>
      </m:oMath>
      <w:r>
        <w:rPr>
          <w:rFonts w:eastAsiaTheme="minorEastAsia"/>
          <w:lang w:val="en-US"/>
        </w:rPr>
        <w:t xml:space="preserve"> </w:t>
      </w:r>
      <w:r w:rsidR="003B18DE">
        <w:rPr>
          <w:rFonts w:eastAsiaTheme="minorEastAsia"/>
          <w:lang w:val="en-US"/>
        </w:rPr>
        <w:t>=</w:t>
      </w:r>
      <w:r>
        <w:rPr>
          <w:rFonts w:eastAsiaTheme="minorEastAsia"/>
          <w:lang w:val="en-US"/>
        </w:rPr>
        <w:t xml:space="preserve"> </w:t>
      </w:r>
      <w:r w:rsidR="003B18DE">
        <w:rPr>
          <w:rFonts w:eastAsiaTheme="minorEastAsia"/>
          <w:lang w:val="en-US"/>
        </w:rPr>
        <w:t>0.01</w:t>
      </w:r>
      <w:r w:rsidR="00941BD6">
        <w:rPr>
          <w:rFonts w:eastAsiaTheme="minorEastAsia"/>
          <w:lang w:val="en-US"/>
        </w:rPr>
        <w:t xml:space="preserve"> and </w:t>
      </w:r>
      <m:oMath>
        <m:r>
          <w:rPr>
            <w:rFonts w:ascii="Cambria Math" w:hAnsi="Cambria Math"/>
            <w:lang w:val="en-US"/>
          </w:rPr>
          <m:t xml:space="preserve">α </m:t>
        </m:r>
      </m:oMath>
      <w:r w:rsidR="00941BD6">
        <w:rPr>
          <w:rFonts w:eastAsiaTheme="minorEastAsia"/>
          <w:lang w:val="en-US"/>
        </w:rPr>
        <w:t>=</w:t>
      </w:r>
      <w:r>
        <w:rPr>
          <w:rFonts w:eastAsiaTheme="minorEastAsia"/>
          <w:lang w:val="en-US"/>
        </w:rPr>
        <w:t xml:space="preserve"> </w:t>
      </w:r>
      <w:r w:rsidR="00941BD6">
        <w:rPr>
          <w:rFonts w:eastAsiaTheme="minorEastAsia"/>
          <w:lang w:val="en-US"/>
        </w:rPr>
        <w:t xml:space="preserve">0.1). Table 10 shows the in-sample and out-of-sample performance for the exuberance indicators when we make this simple choice for </w:t>
      </w:r>
      <m:oMath>
        <m:r>
          <w:rPr>
            <w:rFonts w:ascii="Cambria Math" w:hAnsi="Cambria Math"/>
            <w:lang w:val="en-US"/>
          </w:rPr>
          <m:t>α</m:t>
        </m:r>
      </m:oMath>
      <w:r w:rsidR="00941BD6">
        <w:rPr>
          <w:rFonts w:eastAsiaTheme="minorEastAsia"/>
          <w:lang w:val="en-US"/>
        </w:rPr>
        <w:t xml:space="preserve">. </w:t>
      </w:r>
      <w:r w:rsidR="00970BF5">
        <w:rPr>
          <w:rFonts w:eastAsiaTheme="minorEastAsia"/>
          <w:lang w:val="en-US"/>
        </w:rPr>
        <w:t xml:space="preserve">Compared to Table 9, optimization based on past data yields only negligible benefits and </w:t>
      </w:r>
      <w:r>
        <w:rPr>
          <w:rFonts w:eastAsiaTheme="minorEastAsia"/>
          <w:lang w:val="en-US"/>
        </w:rPr>
        <w:t xml:space="preserve">is </w:t>
      </w:r>
      <w:r w:rsidR="00970BF5">
        <w:rPr>
          <w:rFonts w:eastAsiaTheme="minorEastAsia"/>
          <w:lang w:val="en-US"/>
        </w:rPr>
        <w:t>sometimes counterproductive. Hence</w:t>
      </w:r>
      <w:r w:rsidR="00E000F6">
        <w:rPr>
          <w:rFonts w:eastAsiaTheme="minorEastAsia"/>
          <w:lang w:val="en-US"/>
        </w:rPr>
        <w:t xml:space="preserve">, selecting significance level </w:t>
      </w:r>
      <m:oMath>
        <m:r>
          <w:rPr>
            <w:rFonts w:ascii="Cambria Math" w:hAnsi="Cambria Math"/>
            <w:lang w:val="en-US"/>
          </w:rPr>
          <m:t>α</m:t>
        </m:r>
      </m:oMath>
      <w:r w:rsidR="00E000F6" w:rsidRPr="00EC183E">
        <w:rPr>
          <w:rFonts w:eastAsiaTheme="minorEastAsia"/>
          <w:lang w:val="en-US"/>
        </w:rPr>
        <w:t xml:space="preserve"> </w:t>
      </w:r>
      <w:r w:rsidR="00E000F6">
        <w:rPr>
          <w:rFonts w:eastAsiaTheme="minorEastAsia"/>
          <w:lang w:val="en-US"/>
        </w:rPr>
        <w:t>based on usual statistical practice seems to be adequate</w:t>
      </w:r>
      <w:r w:rsidR="00E177A3">
        <w:rPr>
          <w:rFonts w:eastAsiaTheme="minorEastAsia"/>
          <w:lang w:val="en-US"/>
        </w:rPr>
        <w:t xml:space="preserve"> </w:t>
      </w:r>
      <w:r>
        <w:rPr>
          <w:rFonts w:eastAsiaTheme="minorEastAsia"/>
          <w:lang w:val="en-US"/>
        </w:rPr>
        <w:t xml:space="preserve">as long as </w:t>
      </w:r>
      <m:oMath>
        <m:r>
          <w:rPr>
            <w:rFonts w:ascii="Cambria Math" w:hAnsi="Cambria Math"/>
            <w:lang w:val="en-US"/>
          </w:rPr>
          <m:t>θ</m:t>
        </m:r>
      </m:oMath>
      <w:r w:rsidR="00E177A3">
        <w:rPr>
          <w:rFonts w:eastAsiaTheme="minorEastAsia"/>
          <w:lang w:val="en-US"/>
        </w:rPr>
        <w:t xml:space="preserve"> is close to 0.5</w:t>
      </w:r>
      <w:r w:rsidR="00E000F6">
        <w:rPr>
          <w:rFonts w:eastAsiaTheme="minorEastAsia"/>
          <w:lang w:val="en-US"/>
        </w:rPr>
        <w:t>.</w:t>
      </w:r>
    </w:p>
    <w:p w14:paraId="4BC8A07A" w14:textId="77777777" w:rsidR="00970BF5" w:rsidRPr="00E000F6" w:rsidRDefault="00970BF5" w:rsidP="00E000F6">
      <w:pPr>
        <w:spacing w:line="360" w:lineRule="auto"/>
        <w:rPr>
          <w:rFonts w:eastAsiaTheme="minorEastAsia"/>
          <w:lang w:val="en-US"/>
        </w:rPr>
      </w:pPr>
    </w:p>
    <w:p w14:paraId="13C6288D" w14:textId="7456B8B1" w:rsidR="00E177A3" w:rsidRPr="00EF05B9" w:rsidRDefault="00454B57" w:rsidP="00454B57">
      <w:pPr>
        <w:spacing w:line="360" w:lineRule="auto"/>
        <w:ind w:firstLine="0"/>
        <w:rPr>
          <w:b/>
          <w:i/>
          <w:lang w:val="en-US"/>
        </w:rPr>
      </w:pPr>
      <w:r w:rsidRPr="00C212DD">
        <w:rPr>
          <w:rFonts w:eastAsiaTheme="minorEastAsia"/>
          <w:i/>
          <w:u w:val="single"/>
          <w:lang w:val="en-US"/>
        </w:rPr>
        <w:t>Alternative window and lag lengths</w:t>
      </w:r>
    </w:p>
    <w:p w14:paraId="340E694A" w14:textId="3DF85AFB" w:rsidR="005A174F" w:rsidRDefault="002963FD" w:rsidP="005A174F">
      <w:pPr>
        <w:spacing w:line="360" w:lineRule="auto"/>
        <w:rPr>
          <w:lang w:val="en-US"/>
        </w:rPr>
      </w:pPr>
      <w:r w:rsidRPr="00B356D5">
        <w:rPr>
          <w:lang w:val="en-US"/>
        </w:rPr>
        <w:t xml:space="preserve">The </w:t>
      </w:r>
      <w:r w:rsidR="00B356D5">
        <w:rPr>
          <w:lang w:val="en-US"/>
        </w:rPr>
        <w:t>warning signal</w:t>
      </w:r>
      <w:r w:rsidR="00E000F6">
        <w:rPr>
          <w:lang w:val="en-US"/>
        </w:rPr>
        <w:t>s also</w:t>
      </w:r>
      <w:r w:rsidR="00B356D5">
        <w:rPr>
          <w:lang w:val="en-US"/>
        </w:rPr>
        <w:t xml:space="preserve"> depend on the </w:t>
      </w:r>
      <w:r w:rsidR="00E000F6">
        <w:rPr>
          <w:lang w:val="en-US"/>
        </w:rPr>
        <w:t xml:space="preserve">choice of minimum window length and </w:t>
      </w:r>
      <w:r w:rsidR="00B356D5">
        <w:rPr>
          <w:lang w:val="en-US"/>
        </w:rPr>
        <w:t xml:space="preserve">lag length of the </w:t>
      </w:r>
      <w:r w:rsidR="005A6437">
        <w:rPr>
          <w:lang w:val="en-US"/>
        </w:rPr>
        <w:t xml:space="preserve">BSADF </w:t>
      </w:r>
      <w:r w:rsidR="00B356D5">
        <w:rPr>
          <w:lang w:val="en-US"/>
        </w:rPr>
        <w:t xml:space="preserve">test. </w:t>
      </w:r>
      <w:r w:rsidR="00E000F6">
        <w:rPr>
          <w:lang w:val="en-US"/>
        </w:rPr>
        <w:t xml:space="preserve">In Table 11, we report </w:t>
      </w:r>
      <w:r w:rsidR="00B356D5">
        <w:rPr>
          <w:lang w:val="en-US"/>
        </w:rPr>
        <w:t xml:space="preserve">the sensitivity </w:t>
      </w:r>
      <w:r w:rsidR="00E000F6">
        <w:rPr>
          <w:lang w:val="en-US"/>
        </w:rPr>
        <w:t>analysis along these dimensions</w:t>
      </w:r>
      <w:r w:rsidR="00FD4358">
        <w:rPr>
          <w:lang w:val="en-US"/>
        </w:rPr>
        <w:t>,</w:t>
      </w:r>
      <w:r w:rsidR="00B356D5">
        <w:rPr>
          <w:lang w:val="en-US"/>
        </w:rPr>
        <w:t xml:space="preserve"> while keeping the </w:t>
      </w:r>
      <w:r w:rsidR="005A6437">
        <w:rPr>
          <w:lang w:val="en-US"/>
        </w:rPr>
        <w:t xml:space="preserve">significance </w:t>
      </w:r>
      <w:r w:rsidR="00B356D5">
        <w:rPr>
          <w:lang w:val="en-US"/>
        </w:rPr>
        <w:t>level fixed</w:t>
      </w:r>
      <w:r w:rsidR="005A6437">
        <w:rPr>
          <w:lang w:val="en-US"/>
        </w:rPr>
        <w:t xml:space="preserve"> at </w:t>
      </w:r>
      <m:oMath>
        <m:r>
          <w:rPr>
            <w:rFonts w:ascii="Cambria Math" w:eastAsiaTheme="minorEastAsia" w:hAnsi="Cambria Math"/>
            <w:lang w:val="en-US"/>
          </w:rPr>
          <m:t>α=0.05</m:t>
        </m:r>
      </m:oMath>
      <w:r w:rsidR="00B356D5">
        <w:rPr>
          <w:lang w:val="en-US"/>
        </w:rPr>
        <w:t>.</w:t>
      </w:r>
    </w:p>
    <w:p w14:paraId="27E9FAF9" w14:textId="173D926A" w:rsidR="00E000F6" w:rsidRDefault="005A174F" w:rsidP="005A174F">
      <w:pPr>
        <w:spacing w:line="360" w:lineRule="auto"/>
        <w:rPr>
          <w:lang w:val="en-US"/>
        </w:rPr>
      </w:pPr>
      <w:r>
        <w:rPr>
          <w:lang w:val="en-US"/>
        </w:rPr>
        <w:t>Our original choice of window and lag lengths</w:t>
      </w:r>
      <w:r w:rsidR="00D85D1D">
        <w:rPr>
          <w:lang w:val="en-US"/>
        </w:rPr>
        <w:t xml:space="preserve">, </w:t>
      </w:r>
      <w:r>
        <w:rPr>
          <w:lang w:val="en-US"/>
        </w:rPr>
        <w:t xml:space="preserve">based on recommendations in the Phillips </w:t>
      </w:r>
      <w:r w:rsidR="000B2E8F" w:rsidRPr="00C212DD">
        <w:rPr>
          <w:lang w:val="en-US"/>
        </w:rPr>
        <w:t>et al.</w:t>
      </w:r>
      <w:r>
        <w:rPr>
          <w:lang w:val="en-US"/>
        </w:rPr>
        <w:t xml:space="preserve"> (2015) paper</w:t>
      </w:r>
      <w:r w:rsidR="00D85D1D">
        <w:rPr>
          <w:lang w:val="en-US"/>
        </w:rPr>
        <w:t>,</w:t>
      </w:r>
      <w:r>
        <w:rPr>
          <w:lang w:val="en-US"/>
        </w:rPr>
        <w:t xml:space="preserve"> seem to produce results that are reasonably good compared to </w:t>
      </w:r>
      <w:r w:rsidR="00E000F6">
        <w:rPr>
          <w:lang w:val="en-US"/>
        </w:rPr>
        <w:t>other parameterizations</w:t>
      </w:r>
      <w:r>
        <w:rPr>
          <w:lang w:val="en-US"/>
        </w:rPr>
        <w:t>. A longer window length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0</m:t>
            </m:r>
          </m:sub>
        </m:sSub>
        <m:r>
          <w:rPr>
            <w:rFonts w:ascii="Cambria Math" w:hAnsi="Cambria Math"/>
            <w:lang w:val="en-US"/>
          </w:rPr>
          <m:t>=36)</m:t>
        </m:r>
      </m:oMath>
      <w:r>
        <w:rPr>
          <w:lang w:val="en-US"/>
        </w:rPr>
        <w:t xml:space="preserve"> in </w:t>
      </w:r>
      <w:r w:rsidR="00E000F6">
        <w:rPr>
          <w:lang w:val="en-US"/>
        </w:rPr>
        <w:t xml:space="preserve">our sample </w:t>
      </w:r>
      <w:r w:rsidR="00D85D1D">
        <w:rPr>
          <w:lang w:val="en-US"/>
        </w:rPr>
        <w:t xml:space="preserve">only </w:t>
      </w:r>
      <w:r>
        <w:rPr>
          <w:lang w:val="en-US"/>
        </w:rPr>
        <w:t>slightly improve</w:t>
      </w:r>
      <w:r w:rsidR="00D85D1D">
        <w:rPr>
          <w:lang w:val="en-US"/>
        </w:rPr>
        <w:t>s</w:t>
      </w:r>
      <w:r>
        <w:rPr>
          <w:lang w:val="en-US"/>
        </w:rPr>
        <w:t xml:space="preserve"> the results in terms of AUROC, while longer lag length in the ADF equation makes the results slightly worse. Thus</w:t>
      </w:r>
      <w:r w:rsidR="00D85D1D">
        <w:rPr>
          <w:lang w:val="en-US"/>
        </w:rPr>
        <w:t>,</w:t>
      </w:r>
      <w:r>
        <w:rPr>
          <w:lang w:val="en-US"/>
        </w:rPr>
        <w:t xml:space="preserve"> it seems reasonable to follow the original recommendations when selecting the parameters of the test.</w:t>
      </w:r>
    </w:p>
    <w:p w14:paraId="564DFA0C" w14:textId="3A8E4EAC" w:rsidR="005A174F" w:rsidRDefault="00D85D1D" w:rsidP="005A174F">
      <w:pPr>
        <w:spacing w:line="360" w:lineRule="auto"/>
        <w:rPr>
          <w:rFonts w:eastAsiaTheme="minorEastAsia"/>
          <w:lang w:val="en-US"/>
        </w:rPr>
      </w:pPr>
      <w:r>
        <w:rPr>
          <w:rFonts w:eastAsiaTheme="minorEastAsia"/>
          <w:lang w:val="en-US"/>
        </w:rPr>
        <w:t>A</w:t>
      </w:r>
      <w:r w:rsidR="005A174F">
        <w:rPr>
          <w:rFonts w:eastAsiaTheme="minorEastAsia"/>
          <w:lang w:val="en-US"/>
        </w:rPr>
        <w:t>n earlier working paper version of this study</w:t>
      </w:r>
      <w:r>
        <w:rPr>
          <w:rFonts w:eastAsiaTheme="minorEastAsia"/>
          <w:lang w:val="en-US"/>
        </w:rPr>
        <w:t xml:space="preserve"> </w:t>
      </w:r>
      <w:r w:rsidR="005A174F">
        <w:rPr>
          <w:rFonts w:eastAsiaTheme="minorEastAsia"/>
          <w:lang w:val="en-US"/>
        </w:rPr>
        <w:t>also consider</w:t>
      </w:r>
      <w:r>
        <w:rPr>
          <w:rFonts w:eastAsiaTheme="minorEastAsia"/>
          <w:lang w:val="en-US"/>
        </w:rPr>
        <w:t>s</w:t>
      </w:r>
      <w:r w:rsidR="005A174F">
        <w:rPr>
          <w:rFonts w:eastAsiaTheme="minorEastAsia"/>
          <w:lang w:val="en-US"/>
        </w:rPr>
        <w:t xml:space="preserve"> rolling window ADF (RADF) tests where the right-tailed ADF test uses fixed window length</w:t>
      </w:r>
      <w:r>
        <w:rPr>
          <w:rFonts w:eastAsiaTheme="minorEastAsia"/>
          <w:lang w:val="en-US"/>
        </w:rPr>
        <w:t xml:space="preserve">. That version </w:t>
      </w:r>
      <w:r w:rsidR="005A174F">
        <w:rPr>
          <w:rFonts w:eastAsiaTheme="minorEastAsia"/>
          <w:lang w:val="en-US"/>
        </w:rPr>
        <w:t>find</w:t>
      </w:r>
      <w:r>
        <w:rPr>
          <w:rFonts w:eastAsiaTheme="minorEastAsia"/>
          <w:lang w:val="en-US"/>
        </w:rPr>
        <w:t>s</w:t>
      </w:r>
      <w:r w:rsidR="005A174F">
        <w:rPr>
          <w:rFonts w:eastAsiaTheme="minorEastAsia"/>
          <w:lang w:val="en-US"/>
        </w:rPr>
        <w:t xml:space="preserve"> largely similar results </w:t>
      </w:r>
      <w:r>
        <w:rPr>
          <w:rFonts w:eastAsiaTheme="minorEastAsia"/>
          <w:lang w:val="en-US"/>
        </w:rPr>
        <w:t xml:space="preserve">to those </w:t>
      </w:r>
      <w:r w:rsidR="005A174F">
        <w:rPr>
          <w:rFonts w:eastAsiaTheme="minorEastAsia"/>
          <w:lang w:val="en-US"/>
        </w:rPr>
        <w:t xml:space="preserve">as presented </w:t>
      </w:r>
      <w:r>
        <w:rPr>
          <w:rFonts w:eastAsiaTheme="minorEastAsia"/>
          <w:lang w:val="en-US"/>
        </w:rPr>
        <w:t xml:space="preserve">here </w:t>
      </w:r>
      <w:r w:rsidR="005A174F">
        <w:rPr>
          <w:rFonts w:eastAsiaTheme="minorEastAsia"/>
          <w:lang w:val="en-US"/>
        </w:rPr>
        <w:t xml:space="preserve">(see Virtanen </w:t>
      </w:r>
      <w:r w:rsidR="000B2E8F" w:rsidRPr="00C212DD">
        <w:rPr>
          <w:rFonts w:eastAsiaTheme="minorEastAsia"/>
          <w:lang w:val="en-US"/>
        </w:rPr>
        <w:t>et al</w:t>
      </w:r>
      <w:r w:rsidR="000B2E8F" w:rsidRPr="000B2E8F">
        <w:rPr>
          <w:rFonts w:eastAsiaTheme="minorEastAsia"/>
          <w:i/>
          <w:lang w:val="en-US"/>
        </w:rPr>
        <w:t>.</w:t>
      </w:r>
      <w:r>
        <w:rPr>
          <w:rFonts w:eastAsiaTheme="minorEastAsia"/>
          <w:lang w:val="en-US"/>
        </w:rPr>
        <w:t xml:space="preserve">, </w:t>
      </w:r>
      <w:r w:rsidR="005A174F">
        <w:rPr>
          <w:rFonts w:eastAsiaTheme="minorEastAsia"/>
          <w:lang w:val="en-US"/>
        </w:rPr>
        <w:t>2017).</w:t>
      </w:r>
      <w:r w:rsidR="00046525">
        <w:rPr>
          <w:rFonts w:eastAsiaTheme="minorEastAsia"/>
          <w:lang w:val="en-US"/>
        </w:rPr>
        <w:t xml:space="preserve"> </w:t>
      </w:r>
      <w:r>
        <w:rPr>
          <w:rFonts w:eastAsiaTheme="minorEastAsia"/>
          <w:lang w:val="en-US"/>
        </w:rPr>
        <w:t>T</w:t>
      </w:r>
      <w:r w:rsidR="00046525">
        <w:rPr>
          <w:rFonts w:eastAsiaTheme="minorEastAsia"/>
          <w:lang w:val="en-US"/>
        </w:rPr>
        <w:t>h</w:t>
      </w:r>
      <w:r>
        <w:rPr>
          <w:rFonts w:eastAsiaTheme="minorEastAsia"/>
          <w:lang w:val="en-US"/>
        </w:rPr>
        <w:t xml:space="preserve">is earlier </w:t>
      </w:r>
      <w:r w:rsidR="00046525">
        <w:rPr>
          <w:rFonts w:eastAsiaTheme="minorEastAsia"/>
          <w:lang w:val="en-US"/>
        </w:rPr>
        <w:t xml:space="preserve">paper also </w:t>
      </w:r>
      <w:r>
        <w:rPr>
          <w:rFonts w:eastAsiaTheme="minorEastAsia"/>
          <w:lang w:val="en-US"/>
        </w:rPr>
        <w:t xml:space="preserve">considers available </w:t>
      </w:r>
      <w:r w:rsidR="00046525">
        <w:rPr>
          <w:rFonts w:eastAsiaTheme="minorEastAsia"/>
          <w:lang w:val="en-US"/>
        </w:rPr>
        <w:t>higher frequency data</w:t>
      </w:r>
      <w:r>
        <w:rPr>
          <w:rFonts w:eastAsiaTheme="minorEastAsia"/>
          <w:lang w:val="en-US"/>
        </w:rPr>
        <w:t xml:space="preserve">, producing </w:t>
      </w:r>
      <w:r w:rsidR="00046525">
        <w:rPr>
          <w:rFonts w:eastAsiaTheme="minorEastAsia"/>
          <w:lang w:val="en-US"/>
        </w:rPr>
        <w:t xml:space="preserve">largely </w:t>
      </w:r>
      <w:r>
        <w:rPr>
          <w:rFonts w:eastAsiaTheme="minorEastAsia"/>
          <w:lang w:val="en-US"/>
        </w:rPr>
        <w:t xml:space="preserve">similar </w:t>
      </w:r>
      <w:r w:rsidR="00046525">
        <w:rPr>
          <w:rFonts w:eastAsiaTheme="minorEastAsia"/>
          <w:lang w:val="en-US"/>
        </w:rPr>
        <w:t>results.</w:t>
      </w:r>
      <w:r w:rsidR="005A174F">
        <w:rPr>
          <w:rFonts w:eastAsiaTheme="minorEastAsia"/>
          <w:lang w:val="en-US"/>
        </w:rPr>
        <w:t xml:space="preserve"> This further confirms our finding that the unit root based methods are </w:t>
      </w:r>
      <w:r w:rsidR="00142E97">
        <w:rPr>
          <w:rFonts w:eastAsiaTheme="minorEastAsia"/>
          <w:lang w:val="en-US"/>
        </w:rPr>
        <w:t xml:space="preserve">robust </w:t>
      </w:r>
      <w:r w:rsidR="005A174F">
        <w:rPr>
          <w:rFonts w:eastAsiaTheme="minorEastAsia"/>
          <w:lang w:val="en-US"/>
        </w:rPr>
        <w:t>against even quite significant changes in the windowing systems.</w:t>
      </w:r>
    </w:p>
    <w:p w14:paraId="087E852A" w14:textId="77777777" w:rsidR="00E000F6" w:rsidRDefault="00E000F6" w:rsidP="00454B57">
      <w:pPr>
        <w:spacing w:line="360" w:lineRule="auto"/>
        <w:ind w:firstLine="0"/>
        <w:rPr>
          <w:b/>
          <w:i/>
          <w:lang w:val="en-US"/>
        </w:rPr>
      </w:pPr>
    </w:p>
    <w:p w14:paraId="12812301" w14:textId="006CE0E6" w:rsidR="00454B57" w:rsidRDefault="00454B57" w:rsidP="00C212DD">
      <w:pPr>
        <w:pStyle w:val="Otsikko2"/>
      </w:pPr>
      <w:r w:rsidRPr="00C212DD">
        <w:rPr>
          <w:i w:val="0"/>
        </w:rPr>
        <w:t>Alternative crisis definitions</w:t>
      </w:r>
    </w:p>
    <w:p w14:paraId="5698EF4A" w14:textId="70647EF1" w:rsidR="00D85D1D" w:rsidRDefault="005A174F" w:rsidP="005A174F">
      <w:pPr>
        <w:spacing w:line="360" w:lineRule="auto"/>
        <w:rPr>
          <w:rFonts w:ascii="NimbusRomNo9L-Regu" w:hAnsi="NimbusRomNo9L-Regu" w:cs="NimbusRomNo9L-Regu"/>
          <w:szCs w:val="24"/>
          <w:lang w:val="en-US"/>
        </w:rPr>
      </w:pPr>
      <w:r>
        <w:rPr>
          <w:lang w:val="en-US"/>
        </w:rPr>
        <w:t xml:space="preserve">Finally, we test the robustness </w:t>
      </w:r>
      <w:r w:rsidR="00A24BE5">
        <w:rPr>
          <w:lang w:val="en-US"/>
        </w:rPr>
        <w:t xml:space="preserve">or results </w:t>
      </w:r>
      <w:r>
        <w:rPr>
          <w:lang w:val="en-US"/>
        </w:rPr>
        <w:t xml:space="preserve">against alternative </w:t>
      </w:r>
      <w:r w:rsidR="00A24BE5">
        <w:rPr>
          <w:lang w:val="en-US"/>
        </w:rPr>
        <w:t>definitions of crises using t</w:t>
      </w:r>
      <w:r w:rsidR="00D85D1D">
        <w:rPr>
          <w:lang w:val="en-US"/>
        </w:rPr>
        <w:t>w</w:t>
      </w:r>
      <w:r w:rsidR="00A24BE5">
        <w:rPr>
          <w:lang w:val="en-US"/>
        </w:rPr>
        <w:t xml:space="preserve">o additional crisis </w:t>
      </w:r>
      <w:r>
        <w:rPr>
          <w:lang w:val="en-US"/>
        </w:rPr>
        <w:t>databases</w:t>
      </w:r>
      <w:r w:rsidR="00D85D1D">
        <w:rPr>
          <w:lang w:val="en-US"/>
        </w:rPr>
        <w:t>:</w:t>
      </w:r>
      <w:r w:rsidR="00A24BE5">
        <w:rPr>
          <w:lang w:val="en-US"/>
        </w:rPr>
        <w:t xml:space="preserve"> </w:t>
      </w:r>
      <w:r w:rsidR="00D85D1D">
        <w:rPr>
          <w:lang w:val="en-US"/>
        </w:rPr>
        <w:t xml:space="preserve">the </w:t>
      </w:r>
      <w:r w:rsidR="008C4BD5">
        <w:rPr>
          <w:lang w:val="en-US"/>
        </w:rPr>
        <w:t>widely-</w:t>
      </w:r>
      <w:r>
        <w:rPr>
          <w:lang w:val="en-US"/>
        </w:rPr>
        <w:t xml:space="preserve">used crisis dataset </w:t>
      </w:r>
      <w:r w:rsidR="00D85D1D">
        <w:rPr>
          <w:lang w:val="en-US"/>
        </w:rPr>
        <w:t xml:space="preserve">of </w:t>
      </w:r>
      <w:r>
        <w:rPr>
          <w:lang w:val="en-US"/>
        </w:rPr>
        <w:t xml:space="preserve">Laeven and Valencia (2012), and a dataset produced recently by the joint efforts of </w:t>
      </w:r>
      <w:r w:rsidR="00D85D1D">
        <w:rPr>
          <w:lang w:val="en-US"/>
        </w:rPr>
        <w:t xml:space="preserve">the </w:t>
      </w:r>
      <w:r>
        <w:rPr>
          <w:lang w:val="en-US"/>
        </w:rPr>
        <w:t xml:space="preserve">ECB and ESRB </w:t>
      </w:r>
      <w:r>
        <w:rPr>
          <w:rFonts w:cs="Times New Roman"/>
          <w:szCs w:val="24"/>
          <w:lang w:val="en-US"/>
        </w:rPr>
        <w:t xml:space="preserve">(Lo Duca </w:t>
      </w:r>
      <w:r w:rsidR="000B2E8F" w:rsidRPr="00C212DD">
        <w:rPr>
          <w:rFonts w:cs="Times New Roman"/>
          <w:szCs w:val="24"/>
          <w:lang w:val="en-US"/>
        </w:rPr>
        <w:t>et al.</w:t>
      </w:r>
      <w:r w:rsidR="00BE257C">
        <w:rPr>
          <w:rFonts w:cs="Times New Roman"/>
          <w:szCs w:val="24"/>
          <w:lang w:val="en-US"/>
        </w:rPr>
        <w:t>,</w:t>
      </w:r>
      <w:r>
        <w:rPr>
          <w:rFonts w:cs="Times New Roman"/>
          <w:szCs w:val="24"/>
          <w:lang w:val="en-US"/>
        </w:rPr>
        <w:t xml:space="preserve"> 2017).</w:t>
      </w:r>
    </w:p>
    <w:p w14:paraId="7F289FD2" w14:textId="3A0D180A" w:rsidR="00C52AF2" w:rsidRDefault="00A25D0C" w:rsidP="005A174F">
      <w:pPr>
        <w:spacing w:line="360" w:lineRule="auto"/>
        <w:rPr>
          <w:lang w:val="en-US"/>
        </w:rPr>
      </w:pPr>
      <w:r>
        <w:rPr>
          <w:lang w:val="en-US"/>
        </w:rPr>
        <w:t xml:space="preserve">When the systemic banking crisis database of </w:t>
      </w:r>
      <w:r w:rsidR="00C52AF2">
        <w:rPr>
          <w:lang w:val="en-US"/>
        </w:rPr>
        <w:t xml:space="preserve">Laeven and Valencia (2012) </w:t>
      </w:r>
      <w:r>
        <w:rPr>
          <w:lang w:val="en-US"/>
        </w:rPr>
        <w:t xml:space="preserve">is used </w:t>
      </w:r>
      <w:r w:rsidR="00D85D1D">
        <w:rPr>
          <w:lang w:val="en-US"/>
        </w:rPr>
        <w:t xml:space="preserve">to </w:t>
      </w:r>
      <w:r>
        <w:rPr>
          <w:lang w:val="en-US"/>
        </w:rPr>
        <w:t>defin</w:t>
      </w:r>
      <w:r w:rsidR="00D85D1D">
        <w:rPr>
          <w:lang w:val="en-US"/>
        </w:rPr>
        <w:t>e</w:t>
      </w:r>
      <w:r>
        <w:rPr>
          <w:lang w:val="en-US"/>
        </w:rPr>
        <w:t xml:space="preserve"> crises, the </w:t>
      </w:r>
      <w:r w:rsidR="00C52AF2">
        <w:rPr>
          <w:lang w:val="en-US"/>
        </w:rPr>
        <w:t xml:space="preserve">results </w:t>
      </w:r>
      <w:r>
        <w:rPr>
          <w:lang w:val="en-US"/>
        </w:rPr>
        <w:t xml:space="preserve">change </w:t>
      </w:r>
      <w:r w:rsidR="00C52AF2">
        <w:rPr>
          <w:lang w:val="en-US"/>
        </w:rPr>
        <w:t>a bit</w:t>
      </w:r>
      <w:r>
        <w:rPr>
          <w:lang w:val="en-US"/>
        </w:rPr>
        <w:t xml:space="preserve"> (Table </w:t>
      </w:r>
      <w:r w:rsidR="007F1357">
        <w:rPr>
          <w:lang w:val="en-US"/>
        </w:rPr>
        <w:t>1</w:t>
      </w:r>
      <w:r w:rsidR="00AA78FD">
        <w:rPr>
          <w:lang w:val="en-US"/>
        </w:rPr>
        <w:t>2</w:t>
      </w:r>
      <w:r w:rsidR="007F1357">
        <w:rPr>
          <w:lang w:val="en-US"/>
        </w:rPr>
        <w:t>, top panel</w:t>
      </w:r>
      <w:r>
        <w:rPr>
          <w:lang w:val="en-US"/>
        </w:rPr>
        <w:t>)</w:t>
      </w:r>
      <w:r w:rsidR="00C52AF2">
        <w:rPr>
          <w:lang w:val="en-US"/>
        </w:rPr>
        <w:t xml:space="preserve">. </w:t>
      </w:r>
      <w:r w:rsidR="00D85D1D">
        <w:rPr>
          <w:lang w:val="en-US"/>
        </w:rPr>
        <w:t>In this case</w:t>
      </w:r>
      <w:r w:rsidR="00C52AF2">
        <w:rPr>
          <w:lang w:val="en-US"/>
        </w:rPr>
        <w:t xml:space="preserve">, real estate variables have </w:t>
      </w:r>
      <w:r w:rsidR="00A24BE5">
        <w:rPr>
          <w:lang w:val="en-US"/>
        </w:rPr>
        <w:t xml:space="preserve">the </w:t>
      </w:r>
      <w:r w:rsidR="00C52AF2">
        <w:rPr>
          <w:lang w:val="en-US"/>
        </w:rPr>
        <w:t xml:space="preserve">highest usefulness values, while credit-to-GDP variables </w:t>
      </w:r>
      <w:r w:rsidR="00A24BE5">
        <w:rPr>
          <w:lang w:val="en-US"/>
        </w:rPr>
        <w:t>are somewhat inferior</w:t>
      </w:r>
      <w:r w:rsidR="00C52AF2">
        <w:rPr>
          <w:lang w:val="en-US"/>
        </w:rPr>
        <w:t xml:space="preserve">. </w:t>
      </w:r>
      <w:r w:rsidR="00204B40">
        <w:rPr>
          <w:lang w:val="en-US"/>
        </w:rPr>
        <w:t xml:space="preserve">On average, the AUROC increases by a small amount. </w:t>
      </w:r>
      <w:r w:rsidR="00C52AF2">
        <w:rPr>
          <w:lang w:val="en-US"/>
        </w:rPr>
        <w:t xml:space="preserve">For </w:t>
      </w:r>
      <w:r w:rsidR="00204B40">
        <w:rPr>
          <w:lang w:val="en-US"/>
        </w:rPr>
        <w:t xml:space="preserve">this </w:t>
      </w:r>
      <w:r w:rsidR="00C52AF2">
        <w:rPr>
          <w:lang w:val="en-US"/>
        </w:rPr>
        <w:t>crisis definition, the exuberance indicators seem to perform significantly better than the signaling method</w:t>
      </w:r>
      <w:r>
        <w:rPr>
          <w:lang w:val="en-US"/>
        </w:rPr>
        <w:t xml:space="preserve"> even in the in-sample comparison</w:t>
      </w:r>
      <w:r w:rsidR="00C52AF2">
        <w:rPr>
          <w:lang w:val="en-US"/>
        </w:rPr>
        <w:t>. The improvement seems to be mainly caused by the fact that the Laeven and Valencia dataset includes Austria, Belgium</w:t>
      </w:r>
      <w:r w:rsidR="00D85D1D">
        <w:rPr>
          <w:lang w:val="en-US"/>
        </w:rPr>
        <w:t>,</w:t>
      </w:r>
      <w:r w:rsidR="00C52AF2">
        <w:rPr>
          <w:lang w:val="en-US"/>
        </w:rPr>
        <w:t xml:space="preserve"> and Italy as countries that </w:t>
      </w:r>
      <w:r w:rsidR="00D85D1D">
        <w:rPr>
          <w:lang w:val="en-US"/>
        </w:rPr>
        <w:t xml:space="preserve">experienced </w:t>
      </w:r>
      <w:r w:rsidR="00C52AF2">
        <w:rPr>
          <w:lang w:val="en-US"/>
        </w:rPr>
        <w:t xml:space="preserve">a systemic banking crisis at 2008. Also, the timing of the crises changes slightly in many cases and some crises that are marked in the MPAG database are missing from Laeven and Valencia. The good news is that </w:t>
      </w:r>
      <w:r w:rsidR="00204B40">
        <w:rPr>
          <w:lang w:val="en-US"/>
        </w:rPr>
        <w:t xml:space="preserve">generally </w:t>
      </w:r>
      <w:r w:rsidR="00C52AF2">
        <w:rPr>
          <w:lang w:val="en-US"/>
        </w:rPr>
        <w:t xml:space="preserve">the same variables; </w:t>
      </w:r>
      <w:r w:rsidR="00204B40">
        <w:rPr>
          <w:lang w:val="en-US"/>
        </w:rPr>
        <w:t xml:space="preserve">i.e. </w:t>
      </w:r>
      <w:r w:rsidR="00C52AF2">
        <w:rPr>
          <w:lang w:val="en-US"/>
        </w:rPr>
        <w:t xml:space="preserve">house price-to-income ratios and credit-to-GDP ratios </w:t>
      </w:r>
      <w:r w:rsidR="0051635B">
        <w:rPr>
          <w:lang w:val="en-US"/>
        </w:rPr>
        <w:t xml:space="preserve">remain </w:t>
      </w:r>
      <w:r w:rsidR="00C52AF2">
        <w:rPr>
          <w:lang w:val="en-US"/>
        </w:rPr>
        <w:t xml:space="preserve">the best </w:t>
      </w:r>
      <w:r w:rsidR="0051635B">
        <w:rPr>
          <w:lang w:val="en-US"/>
        </w:rPr>
        <w:t xml:space="preserve">bubble </w:t>
      </w:r>
      <w:r w:rsidR="00C52AF2">
        <w:rPr>
          <w:lang w:val="en-US"/>
        </w:rPr>
        <w:t>predictors.</w:t>
      </w:r>
    </w:p>
    <w:p w14:paraId="54883FE9" w14:textId="24ADF349" w:rsidR="00AF445D" w:rsidRDefault="0051635B" w:rsidP="00AF445D">
      <w:pPr>
        <w:spacing w:line="360" w:lineRule="auto"/>
        <w:rPr>
          <w:lang w:val="en-US"/>
        </w:rPr>
      </w:pPr>
      <w:r>
        <w:rPr>
          <w:lang w:val="en-US"/>
        </w:rPr>
        <w:t xml:space="preserve">Turning to Table 12, lower panel, we see that </w:t>
      </w:r>
      <w:r w:rsidR="00A47879">
        <w:rPr>
          <w:lang w:val="en-US"/>
        </w:rPr>
        <w:t xml:space="preserve">the </w:t>
      </w:r>
      <w:r>
        <w:rPr>
          <w:lang w:val="en-US"/>
        </w:rPr>
        <w:t xml:space="preserve">crisis dates of </w:t>
      </w:r>
      <w:r w:rsidR="00A47879">
        <w:rPr>
          <w:lang w:val="en-US"/>
        </w:rPr>
        <w:t xml:space="preserve">new ECB/ESRB EU crises database </w:t>
      </w:r>
      <w:r w:rsidR="00204B40">
        <w:rPr>
          <w:rFonts w:cs="Times New Roman"/>
          <w:szCs w:val="24"/>
          <w:lang w:val="en-US"/>
        </w:rPr>
        <w:t xml:space="preserve">(Lo Duca </w:t>
      </w:r>
      <w:r w:rsidR="000B2E8F" w:rsidRPr="00C212DD">
        <w:rPr>
          <w:rFonts w:cs="Times New Roman"/>
          <w:szCs w:val="24"/>
          <w:lang w:val="en-US"/>
        </w:rPr>
        <w:t>et al.</w:t>
      </w:r>
      <w:r>
        <w:rPr>
          <w:rFonts w:cs="Times New Roman"/>
          <w:szCs w:val="24"/>
          <w:lang w:val="en-US"/>
        </w:rPr>
        <w:t xml:space="preserve">, </w:t>
      </w:r>
      <w:r w:rsidR="00204B40">
        <w:rPr>
          <w:rFonts w:cs="Times New Roman"/>
          <w:szCs w:val="24"/>
          <w:lang w:val="en-US"/>
        </w:rPr>
        <w:t>2017)</w:t>
      </w:r>
      <w:r>
        <w:rPr>
          <w:lang w:val="en-US"/>
        </w:rPr>
        <w:t xml:space="preserve"> have generally lower </w:t>
      </w:r>
      <w:r w:rsidR="00A47879">
        <w:rPr>
          <w:lang w:val="en-US"/>
        </w:rPr>
        <w:t xml:space="preserve">usefulness values than with the other datasets. </w:t>
      </w:r>
      <w:r w:rsidR="00204B40">
        <w:rPr>
          <w:lang w:val="en-US"/>
        </w:rPr>
        <w:t>This seems to be a feature of the new crisis dataset</w:t>
      </w:r>
      <w:r>
        <w:rPr>
          <w:lang w:val="en-US"/>
        </w:rPr>
        <w:t xml:space="preserve">. </w:t>
      </w:r>
      <w:r w:rsidR="00204B40">
        <w:rPr>
          <w:rFonts w:cs="Times New Roman"/>
          <w:szCs w:val="24"/>
          <w:lang w:val="en-US"/>
        </w:rPr>
        <w:t xml:space="preserve">Lo Duca </w:t>
      </w:r>
      <w:r w:rsidR="000B2E8F" w:rsidRPr="00C212DD">
        <w:rPr>
          <w:rFonts w:cs="Times New Roman"/>
          <w:szCs w:val="24"/>
          <w:lang w:val="en-US"/>
        </w:rPr>
        <w:t>et al.</w:t>
      </w:r>
      <w:r w:rsidR="00204B40">
        <w:rPr>
          <w:rFonts w:cs="Times New Roman"/>
          <w:szCs w:val="24"/>
          <w:lang w:val="en-US"/>
        </w:rPr>
        <w:t xml:space="preserve"> (2017) </w:t>
      </w:r>
      <w:r>
        <w:rPr>
          <w:rFonts w:cs="Times New Roman"/>
          <w:szCs w:val="24"/>
          <w:lang w:val="en-US"/>
        </w:rPr>
        <w:t xml:space="preserve">themselves </w:t>
      </w:r>
      <w:r w:rsidR="00204B40">
        <w:rPr>
          <w:rFonts w:cs="Times New Roman"/>
          <w:szCs w:val="24"/>
          <w:lang w:val="en-US"/>
        </w:rPr>
        <w:t>report similarly low values for their indicators.</w:t>
      </w:r>
      <w:r w:rsidR="00204B40">
        <w:rPr>
          <w:lang w:val="en-US"/>
        </w:rPr>
        <w:t xml:space="preserve"> </w:t>
      </w:r>
      <w:r w:rsidR="00A47879">
        <w:rPr>
          <w:lang w:val="en-US"/>
        </w:rPr>
        <w:t>The average of the AUROC values is the same for the signaling method and exuberance indicators. Still, credit-to-GDP ratios, debt service ratios and house price-to-income ratio have the highest usefulness values.</w:t>
      </w:r>
    </w:p>
    <w:p w14:paraId="0A08BAF8" w14:textId="77777777" w:rsidR="00AF445D" w:rsidRDefault="00AF445D" w:rsidP="00AF445D">
      <w:pPr>
        <w:spacing w:line="360" w:lineRule="auto"/>
        <w:rPr>
          <w:lang w:val="en-US"/>
        </w:rPr>
      </w:pPr>
    </w:p>
    <w:p w14:paraId="0BF97019" w14:textId="77777777" w:rsidR="00717A51" w:rsidRPr="00A22DE9" w:rsidRDefault="00717A51" w:rsidP="00E45E76">
      <w:pPr>
        <w:pStyle w:val="Otsikko1"/>
        <w:spacing w:line="360" w:lineRule="auto"/>
      </w:pPr>
      <w:r w:rsidRPr="00A22DE9">
        <w:t>Concluding remarks</w:t>
      </w:r>
    </w:p>
    <w:p w14:paraId="7B4E24CD" w14:textId="784301B2" w:rsidR="0018522D" w:rsidRDefault="0018522D" w:rsidP="00155F6D">
      <w:pPr>
        <w:spacing w:line="360" w:lineRule="auto"/>
        <w:ind w:firstLine="562"/>
        <w:rPr>
          <w:lang w:val="en-US"/>
        </w:rPr>
      </w:pPr>
      <w:r w:rsidRPr="00A22DE9">
        <w:rPr>
          <w:lang w:val="en-US"/>
        </w:rPr>
        <w:t xml:space="preserve">This study </w:t>
      </w:r>
      <w:r w:rsidR="0051635B">
        <w:rPr>
          <w:lang w:val="en-US"/>
        </w:rPr>
        <w:t xml:space="preserve">found </w:t>
      </w:r>
      <w:r w:rsidRPr="00A22DE9">
        <w:rPr>
          <w:lang w:val="en-US"/>
        </w:rPr>
        <w:t xml:space="preserve">that </w:t>
      </w:r>
      <w:r w:rsidR="00436023" w:rsidRPr="00A22DE9">
        <w:rPr>
          <w:lang w:val="en-US"/>
        </w:rPr>
        <w:t xml:space="preserve">an </w:t>
      </w:r>
      <w:r w:rsidRPr="00A22DE9">
        <w:rPr>
          <w:lang w:val="en-US"/>
        </w:rPr>
        <w:t>early warning indicator or set of indicators</w:t>
      </w:r>
      <w:r w:rsidR="00436023" w:rsidRPr="00A22DE9">
        <w:rPr>
          <w:lang w:val="en-US"/>
        </w:rPr>
        <w:t xml:space="preserve"> based on </w:t>
      </w:r>
      <w:r w:rsidR="00155F6D">
        <w:rPr>
          <w:lang w:val="en-US"/>
        </w:rPr>
        <w:t xml:space="preserve">exuberance indicators of Phillips </w:t>
      </w:r>
      <w:r w:rsidR="000B2E8F" w:rsidRPr="00C212DD">
        <w:rPr>
          <w:lang w:val="en-US"/>
        </w:rPr>
        <w:t>et al.</w:t>
      </w:r>
      <w:r w:rsidR="00155F6D">
        <w:rPr>
          <w:lang w:val="en-US"/>
        </w:rPr>
        <w:t xml:space="preserve"> (2015)</w:t>
      </w:r>
      <w:r w:rsidRPr="00A22DE9">
        <w:rPr>
          <w:lang w:val="en-US"/>
        </w:rPr>
        <w:t xml:space="preserve"> can help </w:t>
      </w:r>
      <w:r w:rsidR="001A4431" w:rsidRPr="00A22DE9">
        <w:rPr>
          <w:lang w:val="en-US"/>
        </w:rPr>
        <w:t xml:space="preserve">in </w:t>
      </w:r>
      <w:r w:rsidRPr="00A22DE9">
        <w:rPr>
          <w:lang w:val="en-US"/>
        </w:rPr>
        <w:t>predicting financial crises</w:t>
      </w:r>
      <w:r w:rsidR="0051635B">
        <w:rPr>
          <w:lang w:val="en-US"/>
        </w:rPr>
        <w:t xml:space="preserve"> </w:t>
      </w:r>
      <w:r w:rsidR="0051635B">
        <w:rPr>
          <w:lang w:val="en-US"/>
        </w:rPr>
        <w:softHyphen/>
        <w:t xml:space="preserve"> with the caveat that </w:t>
      </w:r>
      <w:r w:rsidRPr="00A22DE9">
        <w:rPr>
          <w:lang w:val="en-US"/>
        </w:rPr>
        <w:t xml:space="preserve">that the indicators are based on relevant time-series information and computed using </w:t>
      </w:r>
      <w:r w:rsidR="00040BE5" w:rsidRPr="00A22DE9">
        <w:rPr>
          <w:lang w:val="en-US"/>
        </w:rPr>
        <w:t xml:space="preserve">an appropriate </w:t>
      </w:r>
      <w:r w:rsidRPr="00A22DE9">
        <w:rPr>
          <w:lang w:val="en-US"/>
        </w:rPr>
        <w:t xml:space="preserve">set of parameter values </w:t>
      </w:r>
      <w:r w:rsidR="00B93343" w:rsidRPr="00A22DE9">
        <w:rPr>
          <w:lang w:val="en-US"/>
        </w:rPr>
        <w:t xml:space="preserve">e.g. </w:t>
      </w:r>
      <w:r w:rsidRPr="00A22DE9">
        <w:rPr>
          <w:lang w:val="en-US"/>
        </w:rPr>
        <w:t xml:space="preserve">window </w:t>
      </w:r>
      <w:r w:rsidR="000344E9" w:rsidRPr="00A22DE9">
        <w:rPr>
          <w:lang w:val="en-US"/>
        </w:rPr>
        <w:t xml:space="preserve">length </w:t>
      </w:r>
      <w:r w:rsidRPr="00A22DE9">
        <w:rPr>
          <w:lang w:val="en-US"/>
        </w:rPr>
        <w:t xml:space="preserve">and </w:t>
      </w:r>
      <w:r w:rsidR="000344E9" w:rsidRPr="00A22DE9">
        <w:rPr>
          <w:lang w:val="en-US"/>
        </w:rPr>
        <w:t xml:space="preserve">number of </w:t>
      </w:r>
      <w:r w:rsidRPr="00A22DE9">
        <w:rPr>
          <w:lang w:val="en-US"/>
        </w:rPr>
        <w:t xml:space="preserve">lags. Although the choice of these values creates </w:t>
      </w:r>
      <w:r w:rsidR="009A3695" w:rsidRPr="00A22DE9">
        <w:rPr>
          <w:lang w:val="en-US"/>
        </w:rPr>
        <w:t xml:space="preserve">a certain amount of </w:t>
      </w:r>
      <w:r w:rsidRPr="00A22DE9">
        <w:rPr>
          <w:lang w:val="en-US"/>
        </w:rPr>
        <w:t>specification uncertainty</w:t>
      </w:r>
      <w:r w:rsidR="000344E9" w:rsidRPr="00A22DE9">
        <w:rPr>
          <w:lang w:val="en-US"/>
        </w:rPr>
        <w:t>,</w:t>
      </w:r>
      <w:r w:rsidRPr="00A22DE9">
        <w:rPr>
          <w:lang w:val="en-US"/>
        </w:rPr>
        <w:t xml:space="preserve"> </w:t>
      </w:r>
      <w:r w:rsidR="00155F6D">
        <w:rPr>
          <w:lang w:val="en-US"/>
        </w:rPr>
        <w:t xml:space="preserve">the </w:t>
      </w:r>
      <w:r w:rsidRPr="00A22DE9">
        <w:rPr>
          <w:lang w:val="en-US"/>
        </w:rPr>
        <w:t>approac</w:t>
      </w:r>
      <w:r w:rsidR="00155F6D">
        <w:rPr>
          <w:lang w:val="en-US"/>
        </w:rPr>
        <w:t>h</w:t>
      </w:r>
      <w:r w:rsidRPr="00A22DE9">
        <w:rPr>
          <w:lang w:val="en-US"/>
        </w:rPr>
        <w:t xml:space="preserve"> ha</w:t>
      </w:r>
      <w:r w:rsidR="00155F6D">
        <w:rPr>
          <w:lang w:val="en-US"/>
        </w:rPr>
        <w:t>s</w:t>
      </w:r>
      <w:r w:rsidRPr="00A22DE9">
        <w:rPr>
          <w:lang w:val="en-US"/>
        </w:rPr>
        <w:t xml:space="preserve"> sever</w:t>
      </w:r>
      <w:r w:rsidR="00217B30" w:rsidRPr="00A22DE9">
        <w:rPr>
          <w:lang w:val="en-US"/>
        </w:rPr>
        <w:t>al unquestionable advantages</w:t>
      </w:r>
      <w:r w:rsidR="002D1D5C">
        <w:rPr>
          <w:lang w:val="en-US"/>
        </w:rPr>
        <w:t xml:space="preserve"> </w:t>
      </w:r>
      <w:r w:rsidR="002D1D5C" w:rsidRPr="007009F6">
        <w:rPr>
          <w:lang w:val="en-US"/>
        </w:rPr>
        <w:t xml:space="preserve">compared </w:t>
      </w:r>
      <w:r w:rsidR="0051635B">
        <w:rPr>
          <w:lang w:val="en-US"/>
        </w:rPr>
        <w:t xml:space="preserve">to </w:t>
      </w:r>
      <w:r w:rsidR="002D1D5C" w:rsidRPr="007009F6">
        <w:rPr>
          <w:lang w:val="en-US"/>
        </w:rPr>
        <w:t xml:space="preserve">conventional </w:t>
      </w:r>
      <w:r w:rsidR="00046525">
        <w:rPr>
          <w:lang w:val="en-US"/>
        </w:rPr>
        <w:t>data</w:t>
      </w:r>
      <w:r w:rsidR="0051635B">
        <w:rPr>
          <w:lang w:val="en-US"/>
        </w:rPr>
        <w:t>-</w:t>
      </w:r>
      <w:r w:rsidR="00046525">
        <w:rPr>
          <w:lang w:val="en-US"/>
        </w:rPr>
        <w:t>driven</w:t>
      </w:r>
      <w:r w:rsidR="002D1D5C" w:rsidRPr="007009F6">
        <w:rPr>
          <w:lang w:val="en-US"/>
        </w:rPr>
        <w:t xml:space="preserve"> prediction systems</w:t>
      </w:r>
      <w:r w:rsidR="009A3695" w:rsidRPr="002D1D5C">
        <w:rPr>
          <w:b/>
          <w:lang w:val="en-US"/>
        </w:rPr>
        <w:t xml:space="preserve">. </w:t>
      </w:r>
      <w:r w:rsidR="0051635B">
        <w:rPr>
          <w:lang w:val="en-US"/>
        </w:rPr>
        <w:t>E</w:t>
      </w:r>
      <w:r w:rsidR="00046525">
        <w:rPr>
          <w:color w:val="000000" w:themeColor="text1"/>
          <w:lang w:val="en-US"/>
        </w:rPr>
        <w:t>xuberance indicators</w:t>
      </w:r>
      <w:r w:rsidR="005E6BEE" w:rsidRPr="00A22DE9">
        <w:rPr>
          <w:color w:val="000000" w:themeColor="text1"/>
          <w:lang w:val="en-US"/>
        </w:rPr>
        <w:t xml:space="preserve"> are easy to compute</w:t>
      </w:r>
      <w:r w:rsidR="009A3695" w:rsidRPr="00A22DE9">
        <w:rPr>
          <w:lang w:val="en-US"/>
        </w:rPr>
        <w:t xml:space="preserve"> and</w:t>
      </w:r>
      <w:r w:rsidR="005E6BEE" w:rsidRPr="00A22DE9">
        <w:rPr>
          <w:lang w:val="en-US"/>
        </w:rPr>
        <w:t xml:space="preserve"> </w:t>
      </w:r>
      <w:r w:rsidRPr="00A22DE9">
        <w:rPr>
          <w:lang w:val="en-US"/>
        </w:rPr>
        <w:t>flexible</w:t>
      </w:r>
      <w:r w:rsidR="00D12990">
        <w:rPr>
          <w:lang w:val="en-US"/>
        </w:rPr>
        <w:t xml:space="preserve">, and </w:t>
      </w:r>
      <w:r w:rsidR="009A3695" w:rsidRPr="00A22DE9">
        <w:rPr>
          <w:lang w:val="en-US"/>
        </w:rPr>
        <w:t>may be</w:t>
      </w:r>
      <w:r w:rsidRPr="00A22DE9">
        <w:rPr>
          <w:lang w:val="en-US"/>
        </w:rPr>
        <w:t xml:space="preserve"> use</w:t>
      </w:r>
      <w:r w:rsidR="009A3695" w:rsidRPr="00A22DE9">
        <w:rPr>
          <w:lang w:val="en-US"/>
        </w:rPr>
        <w:t>d</w:t>
      </w:r>
      <w:r w:rsidRPr="00A22DE9">
        <w:rPr>
          <w:lang w:val="en-US"/>
        </w:rPr>
        <w:t xml:space="preserve"> with different time frequencies</w:t>
      </w:r>
      <w:r w:rsidR="009A3695" w:rsidRPr="00A22DE9">
        <w:rPr>
          <w:lang w:val="en-US"/>
        </w:rPr>
        <w:t>.</w:t>
      </w:r>
      <w:r w:rsidR="00155F6D">
        <w:rPr>
          <w:lang w:val="en-US"/>
        </w:rPr>
        <w:t xml:space="preserve"> They do not need to rely on historical data </w:t>
      </w:r>
      <w:r w:rsidR="00046525">
        <w:rPr>
          <w:lang w:val="en-US"/>
        </w:rPr>
        <w:t xml:space="preserve">or panel of countries </w:t>
      </w:r>
      <w:r w:rsidR="00155F6D">
        <w:rPr>
          <w:lang w:val="en-US"/>
        </w:rPr>
        <w:t>to estimate the early warning.</w:t>
      </w:r>
      <w:r w:rsidRPr="00A22DE9">
        <w:rPr>
          <w:lang w:val="en-US"/>
        </w:rPr>
        <w:t xml:space="preserve"> </w:t>
      </w:r>
      <w:r w:rsidR="00382E96">
        <w:rPr>
          <w:lang w:val="en-US"/>
        </w:rPr>
        <w:t>I</w:t>
      </w:r>
      <w:r w:rsidR="00382E96" w:rsidRPr="00A22DE9">
        <w:rPr>
          <w:lang w:val="en-US"/>
        </w:rPr>
        <w:t>n principle</w:t>
      </w:r>
      <w:r w:rsidR="00382E96">
        <w:rPr>
          <w:lang w:val="en-US"/>
        </w:rPr>
        <w:t>, t</w:t>
      </w:r>
      <w:r w:rsidR="009A3695" w:rsidRPr="00A22DE9">
        <w:rPr>
          <w:lang w:val="en-US"/>
        </w:rPr>
        <w:t xml:space="preserve">here is </w:t>
      </w:r>
      <w:r w:rsidR="00B93343" w:rsidRPr="00A22DE9">
        <w:rPr>
          <w:lang w:val="en-US"/>
        </w:rPr>
        <w:t xml:space="preserve">no upper </w:t>
      </w:r>
      <w:r w:rsidR="00382E96">
        <w:rPr>
          <w:lang w:val="en-US"/>
        </w:rPr>
        <w:t xml:space="preserve">or even lower </w:t>
      </w:r>
      <w:r w:rsidR="00B93343" w:rsidRPr="00A22DE9">
        <w:rPr>
          <w:lang w:val="en-US"/>
        </w:rPr>
        <w:t>limit</w:t>
      </w:r>
      <w:r w:rsidR="009A3695" w:rsidRPr="00A22DE9">
        <w:rPr>
          <w:lang w:val="en-US"/>
        </w:rPr>
        <w:t xml:space="preserve"> </w:t>
      </w:r>
      <w:r w:rsidR="00B93343" w:rsidRPr="00A22DE9">
        <w:rPr>
          <w:lang w:val="en-US"/>
        </w:rPr>
        <w:t xml:space="preserve">for the size of the </w:t>
      </w:r>
      <w:r w:rsidRPr="00A22DE9">
        <w:rPr>
          <w:lang w:val="en-US"/>
        </w:rPr>
        <w:t>data</w:t>
      </w:r>
      <w:r w:rsidR="00217B30" w:rsidRPr="00A22DE9">
        <w:rPr>
          <w:lang w:val="en-US"/>
        </w:rPr>
        <w:t xml:space="preserve"> in terms of the number of indicators</w:t>
      </w:r>
      <w:r w:rsidRPr="00A22DE9">
        <w:rPr>
          <w:lang w:val="en-US"/>
        </w:rPr>
        <w:t xml:space="preserve">. </w:t>
      </w:r>
      <w:r w:rsidR="009A3695" w:rsidRPr="00A22DE9">
        <w:rPr>
          <w:lang w:val="en-US"/>
        </w:rPr>
        <w:t xml:space="preserve">They </w:t>
      </w:r>
      <w:r w:rsidRPr="00A22DE9">
        <w:rPr>
          <w:lang w:val="en-US"/>
        </w:rPr>
        <w:t xml:space="preserve">also </w:t>
      </w:r>
      <w:r w:rsidR="00D12990">
        <w:rPr>
          <w:lang w:val="en-US"/>
        </w:rPr>
        <w:t>allow</w:t>
      </w:r>
      <w:r w:rsidRPr="00A22DE9">
        <w:rPr>
          <w:lang w:val="en-US"/>
        </w:rPr>
        <w:t xml:space="preserve"> repeated tests and </w:t>
      </w:r>
      <w:r w:rsidR="00B93343" w:rsidRPr="00A22DE9">
        <w:rPr>
          <w:lang w:val="en-US"/>
        </w:rPr>
        <w:t>ac</w:t>
      </w:r>
      <w:r w:rsidRPr="00A22DE9">
        <w:rPr>
          <w:lang w:val="en-US"/>
        </w:rPr>
        <w:t>cumulation of information</w:t>
      </w:r>
      <w:r w:rsidR="00046525">
        <w:rPr>
          <w:lang w:val="en-US"/>
        </w:rPr>
        <w:t xml:space="preserve"> and present a step towards leveraging the full time series information of relevant variables</w:t>
      </w:r>
      <w:r w:rsidR="009A3695" w:rsidRPr="00A22DE9">
        <w:rPr>
          <w:lang w:val="en-US"/>
        </w:rPr>
        <w:t>.</w:t>
      </w:r>
    </w:p>
    <w:p w14:paraId="7FE6D5BD" w14:textId="3058C3B0" w:rsidR="00662A7D" w:rsidRPr="00874215" w:rsidRDefault="00662A7D" w:rsidP="00155F6D">
      <w:pPr>
        <w:spacing w:line="360" w:lineRule="auto"/>
        <w:ind w:firstLine="562"/>
        <w:rPr>
          <w:strike/>
          <w:color w:val="FF0000"/>
          <w:lang w:val="en-US"/>
        </w:rPr>
      </w:pPr>
      <w:r>
        <w:rPr>
          <w:lang w:val="en-US"/>
        </w:rPr>
        <w:t xml:space="preserve">For </w:t>
      </w:r>
      <w:r w:rsidR="0051635B">
        <w:rPr>
          <w:lang w:val="en-US"/>
        </w:rPr>
        <w:t xml:space="preserve">the </w:t>
      </w:r>
      <w:r w:rsidR="002850E1">
        <w:rPr>
          <w:lang w:val="en-US"/>
        </w:rPr>
        <w:t>policymaker</w:t>
      </w:r>
      <w:r w:rsidR="00874215">
        <w:rPr>
          <w:lang w:val="en-US"/>
        </w:rPr>
        <w:t>,</w:t>
      </w:r>
      <w:r>
        <w:rPr>
          <w:lang w:val="en-US"/>
        </w:rPr>
        <w:t xml:space="preserve"> exuberance indicators provide policy</w:t>
      </w:r>
      <w:r w:rsidR="0051635B">
        <w:rPr>
          <w:lang w:val="en-US"/>
        </w:rPr>
        <w:t>-</w:t>
      </w:r>
      <w:r>
        <w:rPr>
          <w:lang w:val="en-US"/>
        </w:rPr>
        <w:t xml:space="preserve">relevant information about the risk of a financial crisis occurring in the future. </w:t>
      </w:r>
      <w:r w:rsidR="00874215">
        <w:rPr>
          <w:lang w:val="en-US"/>
        </w:rPr>
        <w:t>O</w:t>
      </w:r>
      <w:r w:rsidR="00CE520F">
        <w:rPr>
          <w:lang w:val="en-US"/>
        </w:rPr>
        <w:t>ur results</w:t>
      </w:r>
      <w:r w:rsidR="00426866">
        <w:rPr>
          <w:lang w:val="en-US"/>
        </w:rPr>
        <w:t xml:space="preserve"> </w:t>
      </w:r>
      <w:r w:rsidR="0051635B">
        <w:rPr>
          <w:lang w:val="en-US"/>
        </w:rPr>
        <w:t xml:space="preserve">bolster the case for </w:t>
      </w:r>
      <w:r w:rsidR="00CE520F">
        <w:rPr>
          <w:lang w:val="en-US"/>
        </w:rPr>
        <w:t>monitoring credit-to-GDP ratios, house price-to-income (or price-to-rent) ratios and debt service ratios for</w:t>
      </w:r>
      <w:r>
        <w:rPr>
          <w:lang w:val="en-US"/>
        </w:rPr>
        <w:t xml:space="preserve"> explosive growth that continues for extended periods</w:t>
      </w:r>
      <w:r w:rsidR="0051635B">
        <w:rPr>
          <w:lang w:val="en-US"/>
        </w:rPr>
        <w:t xml:space="preserve">, because </w:t>
      </w:r>
      <w:r w:rsidR="00CE520F">
        <w:rPr>
          <w:lang w:val="en-US"/>
        </w:rPr>
        <w:t>as such occurrences</w:t>
      </w:r>
      <w:r w:rsidR="00DC4177">
        <w:rPr>
          <w:lang w:val="en-US"/>
        </w:rPr>
        <w:t xml:space="preserve"> </w:t>
      </w:r>
      <w:r w:rsidR="0051635B">
        <w:rPr>
          <w:lang w:val="en-US"/>
        </w:rPr>
        <w:t xml:space="preserve">historically </w:t>
      </w:r>
      <w:r w:rsidR="00CE520F">
        <w:rPr>
          <w:lang w:val="en-US"/>
        </w:rPr>
        <w:t xml:space="preserve">have often been </w:t>
      </w:r>
      <w:r>
        <w:rPr>
          <w:lang w:val="en-US"/>
        </w:rPr>
        <w:t xml:space="preserve">associated with systemic banking crises and other financial crises. </w:t>
      </w:r>
      <w:r w:rsidR="0051635B">
        <w:rPr>
          <w:lang w:val="en-US"/>
        </w:rPr>
        <w:t>E</w:t>
      </w:r>
      <w:r w:rsidR="00CE520F">
        <w:rPr>
          <w:lang w:val="en-US"/>
        </w:rPr>
        <w:t>xuberance indicators usually alert early enough to give policy</w:t>
      </w:r>
      <w:r w:rsidR="0051635B">
        <w:rPr>
          <w:lang w:val="en-US"/>
        </w:rPr>
        <w:t xml:space="preserve">makers time to make and implement </w:t>
      </w:r>
      <w:r w:rsidR="00CE520F">
        <w:rPr>
          <w:lang w:val="en-US"/>
        </w:rPr>
        <w:t xml:space="preserve">decisions before </w:t>
      </w:r>
      <w:r w:rsidR="0051635B">
        <w:rPr>
          <w:lang w:val="en-US"/>
        </w:rPr>
        <w:t xml:space="preserve">the </w:t>
      </w:r>
      <w:r w:rsidR="00CE520F">
        <w:rPr>
          <w:lang w:val="en-US"/>
        </w:rPr>
        <w:t>crisis erupts.</w:t>
      </w:r>
    </w:p>
    <w:p w14:paraId="55A2AADF" w14:textId="38E75308" w:rsidR="00A12BEE" w:rsidRPr="00170DEF" w:rsidRDefault="00B93343" w:rsidP="00170DEF">
      <w:pPr>
        <w:spacing w:line="360" w:lineRule="auto"/>
        <w:rPr>
          <w:lang w:val="en-US"/>
        </w:rPr>
      </w:pPr>
      <w:r w:rsidRPr="00A22DE9">
        <w:rPr>
          <w:lang w:val="en-US"/>
        </w:rPr>
        <w:t>As for extensions</w:t>
      </w:r>
      <w:r w:rsidR="00662A7D">
        <w:rPr>
          <w:lang w:val="en-US"/>
        </w:rPr>
        <w:t xml:space="preserve"> and future research</w:t>
      </w:r>
      <w:r w:rsidRPr="00A22DE9">
        <w:rPr>
          <w:lang w:val="en-US"/>
        </w:rPr>
        <w:t xml:space="preserve">, </w:t>
      </w:r>
      <w:r w:rsidR="008A72CE">
        <w:rPr>
          <w:lang w:val="en-US"/>
        </w:rPr>
        <w:t xml:space="preserve">it seems evident that combining the information from multiple exuberance </w:t>
      </w:r>
      <w:r w:rsidR="008A72CE" w:rsidRPr="00426866">
        <w:rPr>
          <w:lang w:val="en-US"/>
        </w:rPr>
        <w:t xml:space="preserve">indicators </w:t>
      </w:r>
      <w:r w:rsidR="00874215" w:rsidRPr="00426866">
        <w:rPr>
          <w:lang w:val="en-US"/>
        </w:rPr>
        <w:t xml:space="preserve">and </w:t>
      </w:r>
      <w:r w:rsidR="00A768DB">
        <w:rPr>
          <w:lang w:val="en-US"/>
        </w:rPr>
        <w:t>using</w:t>
      </w:r>
      <w:r w:rsidR="008A72CE">
        <w:rPr>
          <w:lang w:val="en-US"/>
        </w:rPr>
        <w:t xml:space="preserve"> a more flexible model would </w:t>
      </w:r>
      <w:r w:rsidR="00DB7BC0">
        <w:rPr>
          <w:lang w:val="en-US"/>
        </w:rPr>
        <w:t>further</w:t>
      </w:r>
      <w:r w:rsidR="008A72CE">
        <w:rPr>
          <w:lang w:val="en-US"/>
        </w:rPr>
        <w:t xml:space="preserve"> improve</w:t>
      </w:r>
      <w:r w:rsidR="00DB7BC0">
        <w:rPr>
          <w:lang w:val="en-US"/>
        </w:rPr>
        <w:t xml:space="preserve"> the </w:t>
      </w:r>
      <w:r w:rsidR="008A72CE">
        <w:rPr>
          <w:lang w:val="en-US"/>
        </w:rPr>
        <w:t xml:space="preserve">prediction performance, especially if the duration of the explosive growth is considered </w:t>
      </w:r>
      <w:r w:rsidR="00A768DB">
        <w:rPr>
          <w:lang w:val="en-US"/>
        </w:rPr>
        <w:t>as well</w:t>
      </w:r>
      <w:r w:rsidR="00170DEF">
        <w:rPr>
          <w:lang w:val="en-US"/>
        </w:rPr>
        <w:t>. Constructing s</w:t>
      </w:r>
      <w:r w:rsidR="00A12BEE" w:rsidRPr="00A22DE9">
        <w:rPr>
          <w:lang w:val="en-US"/>
        </w:rPr>
        <w:t xml:space="preserve">uch </w:t>
      </w:r>
      <w:r w:rsidR="008A72CE">
        <w:rPr>
          <w:lang w:val="en-US"/>
        </w:rPr>
        <w:t>model</w:t>
      </w:r>
      <w:r w:rsidR="0051635B">
        <w:rPr>
          <w:lang w:val="en-US"/>
        </w:rPr>
        <w:t>s</w:t>
      </w:r>
      <w:r w:rsidR="008A72CE">
        <w:rPr>
          <w:lang w:val="en-US"/>
        </w:rPr>
        <w:t xml:space="preserve"> </w:t>
      </w:r>
      <w:r w:rsidR="00170DEF">
        <w:rPr>
          <w:lang w:val="en-US"/>
        </w:rPr>
        <w:t xml:space="preserve">by means of </w:t>
      </w:r>
      <w:r w:rsidR="00A12BEE" w:rsidRPr="00A22DE9">
        <w:rPr>
          <w:lang w:val="en-US"/>
        </w:rPr>
        <w:t>optimization using historical data</w:t>
      </w:r>
      <w:r w:rsidR="0051635B">
        <w:rPr>
          <w:lang w:val="en-US"/>
        </w:rPr>
        <w:t xml:space="preserve">, </w:t>
      </w:r>
      <w:r w:rsidR="008A72CE">
        <w:rPr>
          <w:lang w:val="en-US"/>
        </w:rPr>
        <w:t>however</w:t>
      </w:r>
      <w:r w:rsidR="0051635B">
        <w:rPr>
          <w:lang w:val="en-US"/>
        </w:rPr>
        <w:t>, means</w:t>
      </w:r>
      <w:r w:rsidR="008A72CE">
        <w:rPr>
          <w:lang w:val="en-US"/>
        </w:rPr>
        <w:t xml:space="preserve"> </w:t>
      </w:r>
      <w:r w:rsidR="00A12BEE" w:rsidRPr="00A22DE9">
        <w:rPr>
          <w:lang w:val="en-US"/>
        </w:rPr>
        <w:t>bet</w:t>
      </w:r>
      <w:r w:rsidR="009A3695" w:rsidRPr="00A22DE9">
        <w:rPr>
          <w:lang w:val="en-US"/>
        </w:rPr>
        <w:t>ting</w:t>
      </w:r>
      <w:r w:rsidR="00A12BEE" w:rsidRPr="00A22DE9">
        <w:rPr>
          <w:lang w:val="en-US"/>
        </w:rPr>
        <w:t xml:space="preserve"> on the probability that future crises will </w:t>
      </w:r>
      <w:r w:rsidR="009A3695" w:rsidRPr="00A22DE9">
        <w:rPr>
          <w:lang w:val="en-US"/>
        </w:rPr>
        <w:t xml:space="preserve">unfold </w:t>
      </w:r>
      <w:r w:rsidR="00A12BEE" w:rsidRPr="00A22DE9">
        <w:rPr>
          <w:lang w:val="en-US"/>
        </w:rPr>
        <w:t>in the same way as past crises</w:t>
      </w:r>
      <w:r w:rsidR="0051635B">
        <w:rPr>
          <w:lang w:val="en-US"/>
        </w:rPr>
        <w:t xml:space="preserve"> –</w:t>
      </w:r>
      <w:r w:rsidR="00A12BEE" w:rsidRPr="00A22DE9">
        <w:rPr>
          <w:lang w:val="en-US"/>
        </w:rPr>
        <w:t xml:space="preserve"> </w:t>
      </w:r>
      <w:r w:rsidR="009A3695" w:rsidRPr="00A22DE9">
        <w:rPr>
          <w:lang w:val="en-US"/>
        </w:rPr>
        <w:t xml:space="preserve">an assumption that </w:t>
      </w:r>
      <w:r w:rsidR="00A12BEE" w:rsidRPr="00A22DE9">
        <w:rPr>
          <w:lang w:val="en-US"/>
        </w:rPr>
        <w:t xml:space="preserve">may not </w:t>
      </w:r>
      <w:r w:rsidR="009A3695" w:rsidRPr="00A22DE9">
        <w:rPr>
          <w:lang w:val="en-US"/>
        </w:rPr>
        <w:t>hold</w:t>
      </w:r>
      <w:r w:rsidR="00A12BEE" w:rsidRPr="00A22DE9">
        <w:rPr>
          <w:lang w:val="en-US"/>
        </w:rPr>
        <w:t>.</w:t>
      </w:r>
      <w:r w:rsidR="004835C6" w:rsidRPr="00A22DE9">
        <w:rPr>
          <w:lang w:val="en-US"/>
        </w:rPr>
        <w:t xml:space="preserve"> </w:t>
      </w:r>
      <w:r w:rsidR="0051635B">
        <w:rPr>
          <w:lang w:val="en-US"/>
        </w:rPr>
        <w:t xml:space="preserve">Fortunately, the </w:t>
      </w:r>
      <w:r w:rsidR="004835C6" w:rsidRPr="00A22DE9">
        <w:rPr>
          <w:color w:val="000000" w:themeColor="text1"/>
          <w:lang w:val="en-US"/>
        </w:rPr>
        <w:t xml:space="preserve">irony </w:t>
      </w:r>
      <w:r w:rsidR="009A3695" w:rsidRPr="00A22DE9">
        <w:rPr>
          <w:color w:val="000000" w:themeColor="text1"/>
          <w:lang w:val="en-US"/>
        </w:rPr>
        <w:t xml:space="preserve">of </w:t>
      </w:r>
      <w:r w:rsidR="004835C6" w:rsidRPr="00A22DE9">
        <w:rPr>
          <w:color w:val="000000" w:themeColor="text1"/>
          <w:lang w:val="en-US"/>
        </w:rPr>
        <w:t xml:space="preserve">Reinhart </w:t>
      </w:r>
      <w:r w:rsidR="000E5A92">
        <w:rPr>
          <w:color w:val="000000" w:themeColor="text1"/>
          <w:lang w:val="en-US"/>
        </w:rPr>
        <w:t xml:space="preserve">and </w:t>
      </w:r>
      <w:r w:rsidR="004835C6" w:rsidRPr="00A22DE9">
        <w:rPr>
          <w:color w:val="000000" w:themeColor="text1"/>
          <w:lang w:val="en-US"/>
        </w:rPr>
        <w:t>Rogoff</w:t>
      </w:r>
      <w:r w:rsidR="009A3695" w:rsidRPr="00A22DE9">
        <w:rPr>
          <w:color w:val="000000" w:themeColor="text1"/>
          <w:lang w:val="en-US"/>
        </w:rPr>
        <w:t xml:space="preserve">’s </w:t>
      </w:r>
      <w:r w:rsidR="004835C6" w:rsidRPr="00A22DE9">
        <w:rPr>
          <w:color w:val="000000" w:themeColor="text1"/>
          <w:lang w:val="en-US"/>
        </w:rPr>
        <w:t xml:space="preserve">“this time is different” </w:t>
      </w:r>
      <w:r w:rsidR="009A3695" w:rsidRPr="00A22DE9">
        <w:rPr>
          <w:color w:val="000000" w:themeColor="text1"/>
          <w:lang w:val="en-US"/>
        </w:rPr>
        <w:t xml:space="preserve">policymaker excuse is </w:t>
      </w:r>
      <w:r w:rsidR="004835C6" w:rsidRPr="00A22DE9">
        <w:rPr>
          <w:color w:val="000000" w:themeColor="text1"/>
          <w:lang w:val="en-US"/>
        </w:rPr>
        <w:t xml:space="preserve">that historical regularities </w:t>
      </w:r>
      <w:r w:rsidR="000344E9" w:rsidRPr="00A22DE9">
        <w:rPr>
          <w:color w:val="000000" w:themeColor="text1"/>
          <w:lang w:val="en-US"/>
        </w:rPr>
        <w:t xml:space="preserve">seem to be </w:t>
      </w:r>
      <w:r w:rsidR="004835C6" w:rsidRPr="00A22DE9">
        <w:rPr>
          <w:color w:val="000000" w:themeColor="text1"/>
          <w:lang w:val="en-US"/>
        </w:rPr>
        <w:t>strikingly persistent.</w:t>
      </w:r>
    </w:p>
    <w:p w14:paraId="5C82068D" w14:textId="77777777" w:rsidR="00E5535E" w:rsidRDefault="00E5535E">
      <w:pPr>
        <w:tabs>
          <w:tab w:val="clear" w:pos="2520"/>
        </w:tabs>
        <w:spacing w:after="160" w:line="259" w:lineRule="auto"/>
        <w:ind w:firstLine="0"/>
        <w:jc w:val="left"/>
        <w:textAlignment w:val="auto"/>
        <w:rPr>
          <w:lang w:val="en-US"/>
        </w:rPr>
      </w:pPr>
      <w:r>
        <w:rPr>
          <w:lang w:val="en-US"/>
        </w:rPr>
        <w:br w:type="page"/>
      </w:r>
    </w:p>
    <w:p w14:paraId="1C87387A" w14:textId="1D69231D" w:rsidR="00E058BE" w:rsidRPr="00A22DE9" w:rsidRDefault="00E058BE" w:rsidP="00C212DD">
      <w:pPr>
        <w:spacing w:afterLines="24" w:after="57" w:line="360" w:lineRule="auto"/>
        <w:ind w:firstLine="0"/>
        <w:rPr>
          <w:lang w:val="en-US" w:eastAsia="fi-FI"/>
        </w:rPr>
      </w:pPr>
      <w:r w:rsidRPr="00A22DE9">
        <w:rPr>
          <w:b/>
          <w:lang w:val="en-US" w:eastAsia="fi-FI"/>
        </w:rPr>
        <w:t>References</w:t>
      </w:r>
    </w:p>
    <w:p w14:paraId="14FA5634" w14:textId="3BE51B99" w:rsidR="004735FB" w:rsidRPr="004735FB" w:rsidRDefault="004735FB" w:rsidP="00C212DD">
      <w:pPr>
        <w:spacing w:after="200" w:line="259" w:lineRule="auto"/>
        <w:ind w:left="567" w:hanging="567"/>
        <w:rPr>
          <w:rFonts w:cs="Times New Roman"/>
          <w:szCs w:val="24"/>
          <w:lang w:val="en-US"/>
        </w:rPr>
      </w:pPr>
      <w:r w:rsidRPr="002804F3">
        <w:rPr>
          <w:lang w:val="en-US"/>
        </w:rPr>
        <w:t>Alessi, L., Antunes, A., Babecky, J., Baltussen, S., Behn, M., Bonfim, D., Bush, O., Detken, C., Frost, J., Guimaraes, R., Havranek, T., Joy, M., Kauko, K., Mateju, J., Monteiro, N., Neudorfer, B., Peltonen, T., Rodrigues, P., Rusnak, M., Schudel, W., Sigmund, M., Stremmel, H., Smidkova, K., van Tilburg, R., Vasicek, B., Zigraiova, D.</w:t>
      </w:r>
      <w:r w:rsidR="00D54963">
        <w:rPr>
          <w:lang w:val="en-US"/>
        </w:rPr>
        <w:t xml:space="preserve">, </w:t>
      </w:r>
      <w:r w:rsidRPr="002804F3">
        <w:rPr>
          <w:lang w:val="en-US"/>
        </w:rPr>
        <w:t>2015</w:t>
      </w:r>
      <w:r w:rsidRPr="006C6D11">
        <w:rPr>
          <w:lang w:val="en-US"/>
        </w:rPr>
        <w:t>. Comparing different early warning systems: Results from a horse race c</w:t>
      </w:r>
      <w:r w:rsidRPr="00AF6EAB">
        <w:rPr>
          <w:lang w:val="en-US"/>
        </w:rPr>
        <w:t xml:space="preserve">ompetition among members of the macro-prudential research network. </w:t>
      </w:r>
      <w:r w:rsidR="007C23A0" w:rsidRPr="00C212DD">
        <w:rPr>
          <w:lang w:val="en-US"/>
        </w:rPr>
        <w:t>MPRA pa</w:t>
      </w:r>
      <w:r w:rsidRPr="00C212DD">
        <w:rPr>
          <w:lang w:val="en-US"/>
        </w:rPr>
        <w:t>per</w:t>
      </w:r>
      <w:r w:rsidR="007C23A0" w:rsidRPr="00C212DD">
        <w:rPr>
          <w:lang w:val="en-US"/>
        </w:rPr>
        <w:t xml:space="preserve"> </w:t>
      </w:r>
      <w:r w:rsidR="00D54963">
        <w:rPr>
          <w:lang w:val="en-US"/>
        </w:rPr>
        <w:t>n</w:t>
      </w:r>
      <w:r w:rsidR="007C23A0" w:rsidRPr="00426866">
        <w:rPr>
          <w:lang w:val="en-US"/>
        </w:rPr>
        <w:t>. 62194</w:t>
      </w:r>
      <w:r w:rsidR="00D54963">
        <w:rPr>
          <w:lang w:val="en-US"/>
        </w:rPr>
        <w:t>,</w:t>
      </w:r>
      <w:r w:rsidR="007C23A0" w:rsidRPr="00426866">
        <w:rPr>
          <w:i/>
          <w:lang w:val="en-US"/>
        </w:rPr>
        <w:t xml:space="preserve"> </w:t>
      </w:r>
      <w:r w:rsidRPr="00C212DD">
        <w:rPr>
          <w:lang w:val="en-US"/>
        </w:rPr>
        <w:t>University Library of Munich</w:t>
      </w:r>
      <w:r w:rsidR="0094602B" w:rsidRPr="00D54963">
        <w:rPr>
          <w:lang w:val="en-US"/>
        </w:rPr>
        <w:t>,</w:t>
      </w:r>
      <w:r w:rsidR="0094602B">
        <w:rPr>
          <w:lang w:val="en-US"/>
        </w:rPr>
        <w:t xml:space="preserve"> Germany.</w:t>
      </w:r>
    </w:p>
    <w:p w14:paraId="62C9D17F" w14:textId="4ADC73D9" w:rsidR="006346DD" w:rsidRDefault="006346DD" w:rsidP="00C212DD">
      <w:pPr>
        <w:spacing w:after="200" w:line="259" w:lineRule="auto"/>
        <w:ind w:left="567" w:hanging="567"/>
        <w:rPr>
          <w:lang w:val="en-US"/>
        </w:rPr>
      </w:pPr>
      <w:r w:rsidRPr="00A22DE9">
        <w:rPr>
          <w:lang w:val="en-US"/>
        </w:rPr>
        <w:t>Alessi</w:t>
      </w:r>
      <w:r w:rsidR="00EF338B" w:rsidRPr="00A22DE9">
        <w:rPr>
          <w:lang w:val="en-US"/>
        </w:rPr>
        <w:t>,</w:t>
      </w:r>
      <w:r w:rsidRPr="00A22DE9">
        <w:rPr>
          <w:lang w:val="en-US"/>
        </w:rPr>
        <w:t xml:space="preserve"> L</w:t>
      </w:r>
      <w:r w:rsidR="00B54518" w:rsidRPr="00A22DE9">
        <w:rPr>
          <w:lang w:val="en-US"/>
        </w:rPr>
        <w:t>.</w:t>
      </w:r>
      <w:r w:rsidR="00D54963">
        <w:rPr>
          <w:lang w:val="en-US"/>
        </w:rPr>
        <w:t xml:space="preserve">, </w:t>
      </w:r>
      <w:r w:rsidRPr="00A22DE9">
        <w:rPr>
          <w:lang w:val="en-US"/>
        </w:rPr>
        <w:t>Detken</w:t>
      </w:r>
      <w:r w:rsidR="00EF338B" w:rsidRPr="00A22DE9">
        <w:rPr>
          <w:lang w:val="en-US"/>
        </w:rPr>
        <w:t>,</w:t>
      </w:r>
      <w:r w:rsidR="00616EDA" w:rsidRPr="00A22DE9">
        <w:rPr>
          <w:lang w:val="en-US"/>
        </w:rPr>
        <w:t xml:space="preserve"> C</w:t>
      </w:r>
      <w:r w:rsidR="00F354E1" w:rsidRPr="00A22DE9">
        <w:rPr>
          <w:lang w:val="en-US"/>
        </w:rPr>
        <w:t>.</w:t>
      </w:r>
      <w:r w:rsidR="00D54963">
        <w:rPr>
          <w:lang w:val="en-US"/>
        </w:rPr>
        <w:t xml:space="preserve">, </w:t>
      </w:r>
      <w:r w:rsidRPr="00A22DE9">
        <w:rPr>
          <w:lang w:val="en-US"/>
        </w:rPr>
        <w:t>2011</w:t>
      </w:r>
      <w:r w:rsidR="00F354E1" w:rsidRPr="00A22DE9">
        <w:rPr>
          <w:lang w:val="en-US"/>
        </w:rPr>
        <w:t>.</w:t>
      </w:r>
      <w:r w:rsidRPr="00A22DE9">
        <w:rPr>
          <w:lang w:val="en-US"/>
        </w:rPr>
        <w:t xml:space="preserve"> Quasi real time early warning indicators for costly asset price boom/bust cycles: A role for global liquidity</w:t>
      </w:r>
      <w:r w:rsidR="00F354E1" w:rsidRPr="00A22DE9">
        <w:rPr>
          <w:lang w:val="en-US"/>
        </w:rPr>
        <w:t>.</w:t>
      </w:r>
      <w:r w:rsidRPr="00A22DE9">
        <w:rPr>
          <w:lang w:val="en-US"/>
        </w:rPr>
        <w:t xml:space="preserve"> </w:t>
      </w:r>
      <w:r w:rsidRPr="00C212DD">
        <w:rPr>
          <w:lang w:val="en-US"/>
        </w:rPr>
        <w:t>European Journal of Political Economy</w:t>
      </w:r>
      <w:r w:rsidRPr="00A22DE9">
        <w:rPr>
          <w:lang w:val="en-US"/>
        </w:rPr>
        <w:t xml:space="preserve"> 27</w:t>
      </w:r>
      <w:r w:rsidR="00EF338B" w:rsidRPr="00A22DE9">
        <w:rPr>
          <w:lang w:val="en-US"/>
        </w:rPr>
        <w:t>(3)</w:t>
      </w:r>
      <w:r w:rsidR="00D54963">
        <w:rPr>
          <w:lang w:val="en-US"/>
        </w:rPr>
        <w:t>,</w:t>
      </w:r>
      <w:r w:rsidRPr="00A22DE9">
        <w:rPr>
          <w:lang w:val="en-US"/>
        </w:rPr>
        <w:t xml:space="preserve"> 520–533.</w:t>
      </w:r>
    </w:p>
    <w:p w14:paraId="7376CF59" w14:textId="5918046D" w:rsidR="00FF6C6D" w:rsidRPr="00FF6C6D" w:rsidRDefault="00FF6C6D" w:rsidP="00C212DD">
      <w:pPr>
        <w:spacing w:after="200" w:line="259" w:lineRule="auto"/>
        <w:ind w:left="567" w:hanging="567"/>
        <w:rPr>
          <w:rFonts w:cs="Times New Roman"/>
          <w:szCs w:val="24"/>
          <w:shd w:val="clear" w:color="auto" w:fill="FAFAFA"/>
          <w:lang w:val="en-US"/>
        </w:rPr>
      </w:pPr>
      <w:r>
        <w:rPr>
          <w:shd w:val="clear" w:color="auto" w:fill="FAFAFA"/>
          <w:lang w:val="en-US"/>
        </w:rPr>
        <w:t>Anundsen, A., Gerdrup</w:t>
      </w:r>
      <w:r w:rsidR="00D54963">
        <w:rPr>
          <w:shd w:val="clear" w:color="auto" w:fill="FAFAFA"/>
          <w:lang w:val="en-US"/>
        </w:rPr>
        <w:t>, K.</w:t>
      </w:r>
      <w:r>
        <w:rPr>
          <w:shd w:val="clear" w:color="auto" w:fill="FAFAFA"/>
          <w:lang w:val="en-US"/>
        </w:rPr>
        <w:t>, Hansen</w:t>
      </w:r>
      <w:r w:rsidR="00D54963">
        <w:rPr>
          <w:shd w:val="clear" w:color="auto" w:fill="FAFAFA"/>
          <w:lang w:val="en-US"/>
        </w:rPr>
        <w:t xml:space="preserve">, F., </w:t>
      </w:r>
      <w:r>
        <w:rPr>
          <w:shd w:val="clear" w:color="auto" w:fill="FAFAFA"/>
          <w:lang w:val="en-US"/>
        </w:rPr>
        <w:t>Kragh-Sorensen</w:t>
      </w:r>
      <w:r w:rsidR="00D54963">
        <w:rPr>
          <w:shd w:val="clear" w:color="auto" w:fill="FAFAFA"/>
          <w:lang w:val="en-US"/>
        </w:rPr>
        <w:t xml:space="preserve">, K., </w:t>
      </w:r>
      <w:r>
        <w:rPr>
          <w:shd w:val="clear" w:color="auto" w:fill="FAFAFA"/>
          <w:lang w:val="en-US"/>
        </w:rPr>
        <w:t>2016</w:t>
      </w:r>
      <w:r w:rsidR="00655A64">
        <w:rPr>
          <w:shd w:val="clear" w:color="auto" w:fill="FAFAFA"/>
          <w:lang w:val="en-US"/>
        </w:rPr>
        <w:t>.</w:t>
      </w:r>
      <w:r>
        <w:rPr>
          <w:shd w:val="clear" w:color="auto" w:fill="FAFAFA"/>
          <w:lang w:val="en-US"/>
        </w:rPr>
        <w:t xml:space="preserve"> Bubbles and crises: The role of house prices and credit. </w:t>
      </w:r>
      <w:r w:rsidRPr="00C212DD">
        <w:rPr>
          <w:rStyle w:val="current-selection"/>
          <w:rFonts w:cs="Times New Roman"/>
          <w:color w:val="000000"/>
          <w:szCs w:val="24"/>
          <w:shd w:val="clear" w:color="auto" w:fill="FFFFFF"/>
          <w:lang w:val="en-US"/>
        </w:rPr>
        <w:t>Journal of Applied</w:t>
      </w:r>
      <w:r w:rsidRPr="00C212DD">
        <w:rPr>
          <w:rStyle w:val="a"/>
          <w:rFonts w:cs="Times New Roman"/>
          <w:szCs w:val="24"/>
          <w:shd w:val="clear" w:color="auto" w:fill="FFFFFF"/>
          <w:lang w:val="en-US"/>
        </w:rPr>
        <w:t xml:space="preserve"> </w:t>
      </w:r>
      <w:r w:rsidRPr="00C212DD">
        <w:rPr>
          <w:rStyle w:val="current-selection"/>
          <w:rFonts w:cs="Times New Roman"/>
          <w:color w:val="000000"/>
          <w:szCs w:val="24"/>
          <w:shd w:val="clear" w:color="auto" w:fill="FFFFFF"/>
          <w:lang w:val="en-US"/>
        </w:rPr>
        <w:t>Econometrics</w:t>
      </w:r>
      <w:r w:rsidRPr="00FF6C6D">
        <w:rPr>
          <w:rStyle w:val="a"/>
          <w:rFonts w:cs="Times New Roman"/>
          <w:szCs w:val="24"/>
          <w:shd w:val="clear" w:color="auto" w:fill="FFFFFF"/>
          <w:lang w:val="en-US"/>
        </w:rPr>
        <w:t xml:space="preserve"> </w:t>
      </w:r>
      <w:r w:rsidRPr="00FF6C6D">
        <w:rPr>
          <w:rStyle w:val="current-selection"/>
          <w:rFonts w:cs="Times New Roman"/>
          <w:color w:val="000000"/>
          <w:szCs w:val="24"/>
          <w:shd w:val="clear" w:color="auto" w:fill="FFFFFF"/>
          <w:lang w:val="en-US"/>
        </w:rPr>
        <w:t>31, 1291–1311.</w:t>
      </w:r>
    </w:p>
    <w:p w14:paraId="2FFD7DD9" w14:textId="7CFAC0A8" w:rsidR="00307FF9" w:rsidRDefault="00307FF9" w:rsidP="00C212DD">
      <w:pPr>
        <w:spacing w:after="200" w:line="259" w:lineRule="auto"/>
        <w:ind w:left="567" w:hanging="567"/>
        <w:rPr>
          <w:lang w:val="en-US"/>
        </w:rPr>
      </w:pPr>
      <w:r w:rsidRPr="002804F3">
        <w:rPr>
          <w:lang w:val="en-US"/>
        </w:rPr>
        <w:t>Babecky, J., Havranek, T., Mateju, J., Rusnak, M., Smidkova, K., and Vasicek, B.</w:t>
      </w:r>
      <w:r w:rsidR="004E62C7">
        <w:rPr>
          <w:lang w:val="en-US"/>
        </w:rPr>
        <w:t xml:space="preserve">, </w:t>
      </w:r>
      <w:r w:rsidRPr="002804F3">
        <w:rPr>
          <w:lang w:val="en-US"/>
        </w:rPr>
        <w:t xml:space="preserve">2012. Banking, debt and currency crises: </w:t>
      </w:r>
      <w:r w:rsidR="004E62C7">
        <w:rPr>
          <w:lang w:val="en-US"/>
        </w:rPr>
        <w:t>E</w:t>
      </w:r>
      <w:r w:rsidRPr="002804F3">
        <w:rPr>
          <w:lang w:val="en-US"/>
        </w:rPr>
        <w:t xml:space="preserve">arly warning indicators for developed countries. </w:t>
      </w:r>
      <w:r w:rsidR="00226EA7" w:rsidRPr="00C212DD">
        <w:rPr>
          <w:lang w:val="en-US"/>
        </w:rPr>
        <w:t xml:space="preserve">ECB </w:t>
      </w:r>
      <w:r w:rsidRPr="00C212DD">
        <w:rPr>
          <w:lang w:val="en-US"/>
        </w:rPr>
        <w:t>Working Paper</w:t>
      </w:r>
      <w:r w:rsidRPr="004C0648">
        <w:rPr>
          <w:i/>
          <w:lang w:val="en-US"/>
        </w:rPr>
        <w:t xml:space="preserve"> </w:t>
      </w:r>
      <w:r w:rsidRPr="002804F3">
        <w:rPr>
          <w:lang w:val="en-US"/>
        </w:rPr>
        <w:t>1485</w:t>
      </w:r>
      <w:r w:rsidR="00226EA7">
        <w:rPr>
          <w:lang w:val="en-US"/>
        </w:rPr>
        <w:t>.</w:t>
      </w:r>
    </w:p>
    <w:p w14:paraId="2AD1B2B1" w14:textId="25F775EA" w:rsidR="007B2464" w:rsidRPr="00A22DE9" w:rsidRDefault="00EF338B" w:rsidP="00C212DD">
      <w:pPr>
        <w:spacing w:after="200" w:line="259" w:lineRule="auto"/>
        <w:ind w:left="567" w:hanging="567"/>
        <w:rPr>
          <w:shd w:val="clear" w:color="auto" w:fill="FAFAFA"/>
          <w:lang w:val="en-US"/>
        </w:rPr>
      </w:pPr>
      <w:r w:rsidRPr="00A22DE9">
        <w:rPr>
          <w:shd w:val="clear" w:color="auto" w:fill="FAFAFA"/>
          <w:lang w:val="en-US"/>
        </w:rPr>
        <w:t xml:space="preserve">Ball, </w:t>
      </w:r>
      <w:r w:rsidR="00D455E0" w:rsidRPr="00A22DE9">
        <w:rPr>
          <w:shd w:val="clear" w:color="auto" w:fill="FAFAFA"/>
          <w:lang w:val="en-US"/>
        </w:rPr>
        <w:t>L.</w:t>
      </w:r>
      <w:r w:rsidR="00D54963">
        <w:rPr>
          <w:shd w:val="clear" w:color="auto" w:fill="FAFAFA"/>
          <w:lang w:val="en-US"/>
        </w:rPr>
        <w:t xml:space="preserve">, </w:t>
      </w:r>
      <w:r w:rsidR="00D455E0" w:rsidRPr="00A22DE9">
        <w:rPr>
          <w:shd w:val="clear" w:color="auto" w:fill="FAFAFA"/>
          <w:lang w:val="en-US"/>
        </w:rPr>
        <w:t>2014</w:t>
      </w:r>
      <w:r w:rsidR="00F354E1" w:rsidRPr="00A22DE9">
        <w:rPr>
          <w:shd w:val="clear" w:color="auto" w:fill="FAFAFA"/>
          <w:lang w:val="en-US"/>
        </w:rPr>
        <w:t>.</w:t>
      </w:r>
      <w:r w:rsidR="00D455E0" w:rsidRPr="00A22DE9">
        <w:rPr>
          <w:shd w:val="clear" w:color="auto" w:fill="FAFAFA"/>
          <w:lang w:val="en-US"/>
        </w:rPr>
        <w:t xml:space="preserve"> Long-</w:t>
      </w:r>
      <w:r w:rsidR="00F354E1" w:rsidRPr="00A22DE9">
        <w:rPr>
          <w:shd w:val="clear" w:color="auto" w:fill="FAFAFA"/>
          <w:lang w:val="en-US"/>
        </w:rPr>
        <w:t>t</w:t>
      </w:r>
      <w:r w:rsidR="00D455E0" w:rsidRPr="00A22DE9">
        <w:rPr>
          <w:shd w:val="clear" w:color="auto" w:fill="FAFAFA"/>
          <w:lang w:val="en-US"/>
        </w:rPr>
        <w:t xml:space="preserve">erm </w:t>
      </w:r>
      <w:r w:rsidR="00F354E1" w:rsidRPr="00A22DE9">
        <w:rPr>
          <w:shd w:val="clear" w:color="auto" w:fill="FAFAFA"/>
          <w:lang w:val="en-US"/>
        </w:rPr>
        <w:t>d</w:t>
      </w:r>
      <w:r w:rsidR="00D455E0" w:rsidRPr="00A22DE9">
        <w:rPr>
          <w:shd w:val="clear" w:color="auto" w:fill="FAFAFA"/>
          <w:lang w:val="en-US"/>
        </w:rPr>
        <w:t xml:space="preserve">amage from the Great Recession in OECD </w:t>
      </w:r>
      <w:r w:rsidR="00F354E1" w:rsidRPr="00A22DE9">
        <w:rPr>
          <w:shd w:val="clear" w:color="auto" w:fill="FAFAFA"/>
          <w:lang w:val="en-US"/>
        </w:rPr>
        <w:t>c</w:t>
      </w:r>
      <w:r w:rsidR="00D455E0" w:rsidRPr="00A22DE9">
        <w:rPr>
          <w:shd w:val="clear" w:color="auto" w:fill="FAFAFA"/>
          <w:lang w:val="en-US"/>
        </w:rPr>
        <w:t>ountries</w:t>
      </w:r>
      <w:r w:rsidR="00F354E1" w:rsidRPr="00A22DE9">
        <w:rPr>
          <w:shd w:val="clear" w:color="auto" w:fill="FAFAFA"/>
          <w:lang w:val="en-US"/>
        </w:rPr>
        <w:t>.</w:t>
      </w:r>
      <w:r w:rsidR="00D455E0" w:rsidRPr="00A22DE9">
        <w:rPr>
          <w:shd w:val="clear" w:color="auto" w:fill="FAFAFA"/>
          <w:lang w:val="en-US"/>
        </w:rPr>
        <w:t xml:space="preserve"> </w:t>
      </w:r>
      <w:r w:rsidR="00D455E0" w:rsidRPr="00C212DD">
        <w:rPr>
          <w:shd w:val="clear" w:color="auto" w:fill="FAFAFA"/>
          <w:lang w:val="en-US"/>
        </w:rPr>
        <w:t>NBER Working Paper 20185</w:t>
      </w:r>
      <w:r w:rsidR="00D455E0" w:rsidRPr="00A22DE9">
        <w:rPr>
          <w:shd w:val="clear" w:color="auto" w:fill="FAFAFA"/>
          <w:lang w:val="en-US"/>
        </w:rPr>
        <w:t>.</w:t>
      </w:r>
    </w:p>
    <w:p w14:paraId="49C1075E" w14:textId="110D1DEB" w:rsidR="007B2464" w:rsidRPr="00426866" w:rsidRDefault="00B067BD" w:rsidP="00C212DD">
      <w:pPr>
        <w:spacing w:after="200" w:line="259" w:lineRule="auto"/>
        <w:ind w:left="567" w:hanging="567"/>
        <w:rPr>
          <w:szCs w:val="24"/>
          <w:lang w:val="en-US"/>
        </w:rPr>
      </w:pPr>
      <w:r w:rsidRPr="00DF5A93">
        <w:rPr>
          <w:lang w:val="en-US"/>
        </w:rPr>
        <w:t>Banerjee</w:t>
      </w:r>
      <w:r w:rsidR="00EF338B" w:rsidRPr="00DF5A93">
        <w:rPr>
          <w:lang w:val="en-US"/>
        </w:rPr>
        <w:t>,</w:t>
      </w:r>
      <w:r w:rsidRPr="00DF5A93">
        <w:rPr>
          <w:lang w:val="en-US"/>
        </w:rPr>
        <w:t xml:space="preserve"> A</w:t>
      </w:r>
      <w:r w:rsidR="00EF338B" w:rsidRPr="00DF5A93">
        <w:rPr>
          <w:lang w:val="en-US"/>
        </w:rPr>
        <w:t>.</w:t>
      </w:r>
      <w:r w:rsidRPr="00DF5A93">
        <w:rPr>
          <w:lang w:val="en-US"/>
        </w:rPr>
        <w:t>, Chevillon</w:t>
      </w:r>
      <w:r w:rsidR="00EF338B" w:rsidRPr="00DF5A93">
        <w:rPr>
          <w:lang w:val="en-US"/>
        </w:rPr>
        <w:t>,</w:t>
      </w:r>
      <w:r w:rsidR="00616EDA" w:rsidRPr="00DF5A93">
        <w:rPr>
          <w:lang w:val="en-US"/>
        </w:rPr>
        <w:t xml:space="preserve"> G</w:t>
      </w:r>
      <w:r w:rsidR="00EF338B" w:rsidRPr="00DF5A93">
        <w:rPr>
          <w:lang w:val="en-US"/>
        </w:rPr>
        <w:t xml:space="preserve">., </w:t>
      </w:r>
      <w:r w:rsidRPr="00DF5A93">
        <w:rPr>
          <w:lang w:val="en-US"/>
        </w:rPr>
        <w:t>Kratz</w:t>
      </w:r>
      <w:r w:rsidR="00EF338B" w:rsidRPr="00DF5A93">
        <w:rPr>
          <w:lang w:val="en-US"/>
        </w:rPr>
        <w:t xml:space="preserve">, </w:t>
      </w:r>
      <w:r w:rsidR="00616EDA" w:rsidRPr="00DF5A93">
        <w:rPr>
          <w:lang w:val="en-US"/>
        </w:rPr>
        <w:t>M.</w:t>
      </w:r>
      <w:r w:rsidR="00D54963" w:rsidRPr="00DF5A93">
        <w:rPr>
          <w:lang w:val="en-US"/>
        </w:rPr>
        <w:t xml:space="preserve">, </w:t>
      </w:r>
      <w:r w:rsidRPr="00DF5A93">
        <w:rPr>
          <w:lang w:val="en-US"/>
        </w:rPr>
        <w:t>2013</w:t>
      </w:r>
      <w:r w:rsidR="00F354E1" w:rsidRPr="00DF5A93">
        <w:rPr>
          <w:lang w:val="en-US"/>
        </w:rPr>
        <w:t>.</w:t>
      </w:r>
      <w:r w:rsidRPr="00DF5A93">
        <w:rPr>
          <w:lang w:val="en-US"/>
        </w:rPr>
        <w:t xml:space="preserve"> </w:t>
      </w:r>
      <w:r w:rsidRPr="00A22DE9">
        <w:rPr>
          <w:lang w:val="en-US"/>
        </w:rPr>
        <w:t xml:space="preserve">Detecting and </w:t>
      </w:r>
      <w:r w:rsidR="00F354E1" w:rsidRPr="00A22DE9">
        <w:rPr>
          <w:lang w:val="en-US"/>
        </w:rPr>
        <w:t xml:space="preserve">forecasting large deviations </w:t>
      </w:r>
      <w:r w:rsidRPr="00A22DE9">
        <w:rPr>
          <w:lang w:val="en-US"/>
        </w:rPr>
        <w:t xml:space="preserve">and </w:t>
      </w:r>
      <w:r w:rsidR="00F354E1" w:rsidRPr="00A22DE9">
        <w:rPr>
          <w:lang w:val="en-US"/>
        </w:rPr>
        <w:t xml:space="preserve">bubbles </w:t>
      </w:r>
      <w:r w:rsidRPr="00A22DE9">
        <w:rPr>
          <w:lang w:val="en-US"/>
        </w:rPr>
        <w:t xml:space="preserve">in a </w:t>
      </w:r>
      <w:r w:rsidR="00F354E1" w:rsidRPr="00A22DE9">
        <w:rPr>
          <w:lang w:val="en-US"/>
        </w:rPr>
        <w:t>near</w:t>
      </w:r>
      <w:r w:rsidRPr="00A22DE9">
        <w:rPr>
          <w:lang w:val="en-US"/>
        </w:rPr>
        <w:t>-</w:t>
      </w:r>
      <w:r w:rsidR="00F354E1" w:rsidRPr="00A22DE9">
        <w:rPr>
          <w:lang w:val="en-US"/>
        </w:rPr>
        <w:t>e</w:t>
      </w:r>
      <w:r w:rsidRPr="00A22DE9">
        <w:rPr>
          <w:lang w:val="en-US"/>
        </w:rPr>
        <w:t xml:space="preserve">xplosive </w:t>
      </w:r>
      <w:r w:rsidR="00F354E1" w:rsidRPr="00A22DE9">
        <w:rPr>
          <w:lang w:val="en-US"/>
        </w:rPr>
        <w:t>random c</w:t>
      </w:r>
      <w:r w:rsidRPr="00A22DE9">
        <w:rPr>
          <w:lang w:val="en-US"/>
        </w:rPr>
        <w:t xml:space="preserve">oefficient </w:t>
      </w:r>
      <w:r w:rsidR="00F354E1" w:rsidRPr="00A22DE9">
        <w:rPr>
          <w:lang w:val="en-US"/>
        </w:rPr>
        <w:t>m</w:t>
      </w:r>
      <w:r w:rsidRPr="00A22DE9">
        <w:rPr>
          <w:lang w:val="en-US"/>
        </w:rPr>
        <w:t xml:space="preserve">odel. </w:t>
      </w:r>
      <w:r w:rsidRPr="00C212DD">
        <w:rPr>
          <w:lang w:val="en-US"/>
        </w:rPr>
        <w:t>ESSEC Business School,</w:t>
      </w:r>
      <w:r w:rsidR="00616EDA" w:rsidRPr="00C212DD">
        <w:rPr>
          <w:lang w:val="en-US"/>
        </w:rPr>
        <w:t xml:space="preserve"> </w:t>
      </w:r>
      <w:r w:rsidRPr="00C212DD">
        <w:rPr>
          <w:lang w:val="en-US"/>
        </w:rPr>
        <w:t>ESSEC Working Paper 1314.</w:t>
      </w:r>
    </w:p>
    <w:p w14:paraId="0D447D8A" w14:textId="78CED2D3" w:rsidR="00701B05" w:rsidRPr="00375E4D" w:rsidRDefault="00701B05" w:rsidP="00C212DD">
      <w:pPr>
        <w:spacing w:after="200" w:line="259" w:lineRule="auto"/>
        <w:ind w:left="567" w:hanging="567"/>
        <w:rPr>
          <w:rFonts w:cs="Times New Roman"/>
          <w:szCs w:val="24"/>
          <w:lang w:val="en-US"/>
        </w:rPr>
      </w:pPr>
      <w:r w:rsidRPr="00426866">
        <w:rPr>
          <w:szCs w:val="24"/>
          <w:lang w:val="en-US"/>
        </w:rPr>
        <w:t xml:space="preserve">Barberis, N., Greenwood, </w:t>
      </w:r>
      <w:r w:rsidR="00D54963" w:rsidRPr="00426866">
        <w:rPr>
          <w:szCs w:val="24"/>
          <w:lang w:val="en-US"/>
        </w:rPr>
        <w:t>R.</w:t>
      </w:r>
      <w:r w:rsidR="00D54963">
        <w:rPr>
          <w:szCs w:val="24"/>
          <w:lang w:val="en-US"/>
        </w:rPr>
        <w:t>,</w:t>
      </w:r>
      <w:r w:rsidR="00D54963" w:rsidRPr="00426866">
        <w:rPr>
          <w:szCs w:val="24"/>
          <w:lang w:val="en-US"/>
        </w:rPr>
        <w:t xml:space="preserve"> </w:t>
      </w:r>
      <w:r w:rsidRPr="00426866">
        <w:rPr>
          <w:szCs w:val="24"/>
          <w:lang w:val="en-US"/>
        </w:rPr>
        <w:t xml:space="preserve">Jin, </w:t>
      </w:r>
      <w:r w:rsidR="00D54963" w:rsidRPr="00426866">
        <w:rPr>
          <w:szCs w:val="24"/>
          <w:lang w:val="en-US"/>
        </w:rPr>
        <w:t>L.</w:t>
      </w:r>
      <w:r w:rsidR="00D54963">
        <w:rPr>
          <w:szCs w:val="24"/>
          <w:lang w:val="en-US"/>
        </w:rPr>
        <w:t>,</w:t>
      </w:r>
      <w:r w:rsidR="00D54963" w:rsidRPr="00426866">
        <w:rPr>
          <w:szCs w:val="24"/>
          <w:lang w:val="en-US"/>
        </w:rPr>
        <w:t xml:space="preserve"> </w:t>
      </w:r>
      <w:r w:rsidRPr="00426866">
        <w:rPr>
          <w:szCs w:val="24"/>
          <w:lang w:val="en-US"/>
        </w:rPr>
        <w:t>Shleifer</w:t>
      </w:r>
      <w:r w:rsidR="00D54963">
        <w:rPr>
          <w:szCs w:val="24"/>
          <w:lang w:val="en-US"/>
        </w:rPr>
        <w:t xml:space="preserve">, </w:t>
      </w:r>
      <w:r w:rsidR="00D54963" w:rsidRPr="00426866">
        <w:rPr>
          <w:szCs w:val="24"/>
          <w:lang w:val="en-US"/>
        </w:rPr>
        <w:t>A.</w:t>
      </w:r>
      <w:r w:rsidR="00D54963">
        <w:rPr>
          <w:szCs w:val="24"/>
          <w:lang w:val="en-US"/>
        </w:rPr>
        <w:t xml:space="preserve">, </w:t>
      </w:r>
      <w:r w:rsidRPr="00426866">
        <w:rPr>
          <w:szCs w:val="24"/>
          <w:lang w:val="en-US"/>
        </w:rPr>
        <w:t>2017</w:t>
      </w:r>
      <w:r w:rsidR="00655A64" w:rsidRPr="00426866">
        <w:rPr>
          <w:szCs w:val="24"/>
          <w:lang w:val="en-US"/>
        </w:rPr>
        <w:t>.</w:t>
      </w:r>
      <w:r w:rsidRPr="00426866">
        <w:rPr>
          <w:szCs w:val="24"/>
          <w:lang w:val="en-US"/>
        </w:rPr>
        <w:t xml:space="preserve"> Extrapolation and bubbles.</w:t>
      </w:r>
      <w:r w:rsidRPr="00426866">
        <w:rPr>
          <w:i/>
          <w:szCs w:val="24"/>
          <w:lang w:val="en-US"/>
        </w:rPr>
        <w:t xml:space="preserve"> </w:t>
      </w:r>
      <w:r w:rsidRPr="00C212DD">
        <w:rPr>
          <w:szCs w:val="24"/>
          <w:lang w:val="en-US"/>
        </w:rPr>
        <w:t>Ha</w:t>
      </w:r>
      <w:r w:rsidR="008919A2" w:rsidRPr="00C212DD">
        <w:rPr>
          <w:szCs w:val="24"/>
          <w:lang w:val="en-US"/>
        </w:rPr>
        <w:t>r</w:t>
      </w:r>
      <w:r w:rsidRPr="00C212DD">
        <w:rPr>
          <w:szCs w:val="24"/>
          <w:lang w:val="en-US"/>
        </w:rPr>
        <w:t xml:space="preserve">vard Business School, </w:t>
      </w:r>
      <w:r w:rsidR="00D54963">
        <w:rPr>
          <w:szCs w:val="24"/>
          <w:lang w:val="en-US"/>
        </w:rPr>
        <w:t>u</w:t>
      </w:r>
      <w:r w:rsidRPr="00C212DD">
        <w:rPr>
          <w:szCs w:val="24"/>
          <w:lang w:val="en-US"/>
        </w:rPr>
        <w:t>npublished mimeo</w:t>
      </w:r>
      <w:r w:rsidR="007C23A0" w:rsidRPr="00C212DD">
        <w:rPr>
          <w:szCs w:val="24"/>
          <w:lang w:val="en-US"/>
        </w:rPr>
        <w:t>,</w:t>
      </w:r>
      <w:r w:rsidR="007C23A0" w:rsidRPr="00426866">
        <w:rPr>
          <w:i/>
          <w:szCs w:val="24"/>
          <w:lang w:val="en-US"/>
        </w:rPr>
        <w:t xml:space="preserve"> </w:t>
      </w:r>
      <w:r w:rsidR="007C23A0" w:rsidRPr="00426866">
        <w:rPr>
          <w:szCs w:val="24"/>
          <w:lang w:val="en-US"/>
        </w:rPr>
        <w:t xml:space="preserve">forthcoming in </w:t>
      </w:r>
      <w:r w:rsidR="007C23A0" w:rsidRPr="00C212DD">
        <w:rPr>
          <w:bCs/>
          <w:szCs w:val="24"/>
          <w:shd w:val="clear" w:color="auto" w:fill="FFFFFF"/>
          <w:lang w:val="en-US"/>
        </w:rPr>
        <w:t>Journal of Financial Economics</w:t>
      </w:r>
      <w:r w:rsidR="00426866">
        <w:rPr>
          <w:bCs/>
          <w:i/>
          <w:szCs w:val="24"/>
          <w:shd w:val="clear" w:color="auto" w:fill="FFFFFF"/>
          <w:lang w:val="en-US"/>
        </w:rPr>
        <w:t>.</w:t>
      </w:r>
    </w:p>
    <w:p w14:paraId="1790C930" w14:textId="0B02173C" w:rsidR="007B2464" w:rsidRDefault="00B067BD" w:rsidP="00C212DD">
      <w:pPr>
        <w:spacing w:after="200" w:line="259" w:lineRule="auto"/>
        <w:ind w:left="567" w:hanging="567"/>
        <w:rPr>
          <w:lang w:val="en-US"/>
        </w:rPr>
      </w:pPr>
      <w:r w:rsidRPr="00A22DE9">
        <w:rPr>
          <w:lang w:val="en-US"/>
        </w:rPr>
        <w:t>Betz</w:t>
      </w:r>
      <w:r w:rsidR="00EF338B" w:rsidRPr="00A22DE9">
        <w:rPr>
          <w:lang w:val="en-US"/>
        </w:rPr>
        <w:t>,</w:t>
      </w:r>
      <w:r w:rsidRPr="00A22DE9">
        <w:rPr>
          <w:lang w:val="en-US"/>
        </w:rPr>
        <w:t xml:space="preserve"> F</w:t>
      </w:r>
      <w:r w:rsidR="00EF338B" w:rsidRPr="00A22DE9">
        <w:rPr>
          <w:lang w:val="en-US"/>
        </w:rPr>
        <w:t>.</w:t>
      </w:r>
      <w:r w:rsidRPr="00A22DE9">
        <w:rPr>
          <w:lang w:val="en-US"/>
        </w:rPr>
        <w:t>, Oprică</w:t>
      </w:r>
      <w:r w:rsidR="00EF338B" w:rsidRPr="00A22DE9">
        <w:rPr>
          <w:lang w:val="en-US"/>
        </w:rPr>
        <w:t>,</w:t>
      </w:r>
      <w:r w:rsidR="00616EDA" w:rsidRPr="00A22DE9">
        <w:rPr>
          <w:lang w:val="en-US"/>
        </w:rPr>
        <w:t xml:space="preserve"> S</w:t>
      </w:r>
      <w:r w:rsidR="00EF338B" w:rsidRPr="00A22DE9">
        <w:rPr>
          <w:lang w:val="en-US"/>
        </w:rPr>
        <w:t>.</w:t>
      </w:r>
      <w:r w:rsidR="00616EDA" w:rsidRPr="00A22DE9">
        <w:rPr>
          <w:lang w:val="en-US"/>
        </w:rPr>
        <w:t>,</w:t>
      </w:r>
      <w:r w:rsidRPr="00A22DE9">
        <w:rPr>
          <w:lang w:val="en-US"/>
        </w:rPr>
        <w:t xml:space="preserve"> Peltonen</w:t>
      </w:r>
      <w:r w:rsidR="00EF338B" w:rsidRPr="00A22DE9">
        <w:rPr>
          <w:lang w:val="en-US"/>
        </w:rPr>
        <w:t>,</w:t>
      </w:r>
      <w:r w:rsidR="00616EDA" w:rsidRPr="00A22DE9">
        <w:rPr>
          <w:lang w:val="en-US"/>
        </w:rPr>
        <w:t xml:space="preserve"> T</w:t>
      </w:r>
      <w:r w:rsidR="00EF338B" w:rsidRPr="00A22DE9">
        <w:rPr>
          <w:lang w:val="en-US"/>
        </w:rPr>
        <w:t>.</w:t>
      </w:r>
      <w:r w:rsidR="00F354E1" w:rsidRPr="00A22DE9">
        <w:rPr>
          <w:lang w:val="en-US"/>
        </w:rPr>
        <w:t>,</w:t>
      </w:r>
      <w:r w:rsidR="00616EDA" w:rsidRPr="00A22DE9">
        <w:rPr>
          <w:lang w:val="en-US"/>
        </w:rPr>
        <w:t xml:space="preserve"> </w:t>
      </w:r>
      <w:r w:rsidR="00EF338B" w:rsidRPr="00A22DE9">
        <w:rPr>
          <w:lang w:val="en-US"/>
        </w:rPr>
        <w:t xml:space="preserve">and </w:t>
      </w:r>
      <w:r w:rsidRPr="00A22DE9">
        <w:rPr>
          <w:lang w:val="en-US"/>
        </w:rPr>
        <w:t>Sarlin</w:t>
      </w:r>
      <w:r w:rsidR="00EF338B" w:rsidRPr="00A22DE9">
        <w:rPr>
          <w:lang w:val="en-US"/>
        </w:rPr>
        <w:t>,</w:t>
      </w:r>
      <w:r w:rsidR="00616EDA" w:rsidRPr="00A22DE9">
        <w:rPr>
          <w:lang w:val="en-US"/>
        </w:rPr>
        <w:t xml:space="preserve"> P.</w:t>
      </w:r>
      <w:r w:rsidR="00D54963">
        <w:rPr>
          <w:lang w:val="en-US"/>
        </w:rPr>
        <w:t xml:space="preserve">, </w:t>
      </w:r>
      <w:r w:rsidRPr="00A22DE9">
        <w:rPr>
          <w:lang w:val="en-US"/>
        </w:rPr>
        <w:t>2013</w:t>
      </w:r>
      <w:r w:rsidR="00F354E1" w:rsidRPr="00A22DE9">
        <w:rPr>
          <w:lang w:val="en-US"/>
        </w:rPr>
        <w:t>.</w:t>
      </w:r>
      <w:r w:rsidRPr="00A22DE9">
        <w:rPr>
          <w:lang w:val="en-US"/>
        </w:rPr>
        <w:t xml:space="preserve"> Predicting </w:t>
      </w:r>
      <w:r w:rsidR="00B3784F" w:rsidRPr="00A22DE9">
        <w:rPr>
          <w:lang w:val="en-US"/>
        </w:rPr>
        <w:t>d</w:t>
      </w:r>
      <w:r w:rsidRPr="00A22DE9">
        <w:rPr>
          <w:lang w:val="en-US"/>
        </w:rPr>
        <w:t>istress in European</w:t>
      </w:r>
      <w:r w:rsidR="00091C56" w:rsidRPr="00A22DE9">
        <w:rPr>
          <w:lang w:val="en-US"/>
        </w:rPr>
        <w:t xml:space="preserve"> </w:t>
      </w:r>
      <w:r w:rsidR="00B3784F" w:rsidRPr="00A22DE9">
        <w:rPr>
          <w:lang w:val="en-US"/>
        </w:rPr>
        <w:t>b</w:t>
      </w:r>
      <w:r w:rsidR="00091C56" w:rsidRPr="00A22DE9">
        <w:rPr>
          <w:lang w:val="en-US"/>
        </w:rPr>
        <w:t xml:space="preserve">anks. </w:t>
      </w:r>
      <w:r w:rsidR="00091C56" w:rsidRPr="00C212DD">
        <w:rPr>
          <w:lang w:val="en-US"/>
        </w:rPr>
        <w:t>ECB Working Paper</w:t>
      </w:r>
      <w:r w:rsidR="00091C56" w:rsidRPr="00A22DE9">
        <w:rPr>
          <w:lang w:val="en-US"/>
        </w:rPr>
        <w:t xml:space="preserve"> 1597.</w:t>
      </w:r>
    </w:p>
    <w:p w14:paraId="2882F6CD" w14:textId="485F4B1D" w:rsidR="00701B05" w:rsidRDefault="00701B05" w:rsidP="00C212DD">
      <w:pPr>
        <w:spacing w:after="200" w:line="259" w:lineRule="auto"/>
        <w:ind w:left="567" w:hanging="567"/>
        <w:rPr>
          <w:lang w:val="en-US"/>
        </w:rPr>
      </w:pPr>
      <w:r w:rsidRPr="00F90185">
        <w:rPr>
          <w:lang w:val="en-US"/>
        </w:rPr>
        <w:t>Brunnermeier, M.</w:t>
      </w:r>
      <w:r w:rsidR="00D54963">
        <w:rPr>
          <w:lang w:val="en-US"/>
        </w:rPr>
        <w:t xml:space="preserve">, </w:t>
      </w:r>
      <w:r w:rsidRPr="00F90185">
        <w:rPr>
          <w:lang w:val="en-US"/>
        </w:rPr>
        <w:t>2008</w:t>
      </w:r>
      <w:r w:rsidR="00D54963">
        <w:rPr>
          <w:lang w:val="en-US"/>
        </w:rPr>
        <w:t>.</w:t>
      </w:r>
      <w:r w:rsidRPr="00F90185">
        <w:rPr>
          <w:lang w:val="en-US"/>
        </w:rPr>
        <w:t xml:space="preserve"> Bubbles. </w:t>
      </w:r>
      <w:r w:rsidRPr="00C212DD">
        <w:rPr>
          <w:lang w:val="en-US"/>
        </w:rPr>
        <w:t>In</w:t>
      </w:r>
      <w:r w:rsidR="00D54963">
        <w:rPr>
          <w:lang w:val="en-US"/>
        </w:rPr>
        <w:t>:</w:t>
      </w:r>
      <w:r w:rsidRPr="004C0648">
        <w:rPr>
          <w:i/>
          <w:lang w:val="en-US"/>
        </w:rPr>
        <w:t xml:space="preserve"> </w:t>
      </w:r>
      <w:r w:rsidR="00D54963" w:rsidRPr="00C212DD">
        <w:rPr>
          <w:lang w:val="en-US"/>
        </w:rPr>
        <w:t>Durlauf</w:t>
      </w:r>
      <w:r w:rsidR="004E62C7">
        <w:rPr>
          <w:lang w:val="en-US"/>
        </w:rPr>
        <w:t xml:space="preserve">, </w:t>
      </w:r>
      <w:r w:rsidR="004E62C7" w:rsidRPr="00C212DD">
        <w:rPr>
          <w:lang w:val="en-US"/>
        </w:rPr>
        <w:t>S</w:t>
      </w:r>
      <w:r w:rsidR="004E62C7">
        <w:rPr>
          <w:lang w:val="en-US"/>
        </w:rPr>
        <w:t xml:space="preserve">., </w:t>
      </w:r>
      <w:r w:rsidR="00D54963" w:rsidRPr="00C212DD">
        <w:rPr>
          <w:lang w:val="en-US"/>
        </w:rPr>
        <w:t>Blume</w:t>
      </w:r>
      <w:r w:rsidR="004E62C7">
        <w:rPr>
          <w:lang w:val="en-US"/>
        </w:rPr>
        <w:t xml:space="preserve">, </w:t>
      </w:r>
      <w:r w:rsidR="004E62C7" w:rsidRPr="00C212DD">
        <w:rPr>
          <w:lang w:val="en-US"/>
        </w:rPr>
        <w:t>L.</w:t>
      </w:r>
      <w:r w:rsidR="004E62C7">
        <w:rPr>
          <w:lang w:val="en-US"/>
        </w:rPr>
        <w:t>,</w:t>
      </w:r>
      <w:r w:rsidR="004E62C7">
        <w:rPr>
          <w:i/>
          <w:lang w:val="en-US"/>
        </w:rPr>
        <w:t xml:space="preserve"> </w:t>
      </w:r>
      <w:r w:rsidR="004E62C7" w:rsidRPr="00C212DD">
        <w:rPr>
          <w:lang w:val="en-US"/>
        </w:rPr>
        <w:t>(Eds.)</w:t>
      </w:r>
      <w:r w:rsidR="004E62C7">
        <w:rPr>
          <w:i/>
          <w:lang w:val="en-US"/>
        </w:rPr>
        <w:t xml:space="preserve">, </w:t>
      </w:r>
      <w:r w:rsidRPr="004C0648">
        <w:rPr>
          <w:i/>
          <w:lang w:val="en-US"/>
        </w:rPr>
        <w:t xml:space="preserve">New Palgrave Dictionary of Economics. </w:t>
      </w:r>
      <w:r w:rsidRPr="00C212DD">
        <w:rPr>
          <w:lang w:val="en-US"/>
        </w:rPr>
        <w:t>2nd edition,</w:t>
      </w:r>
      <w:r w:rsidRPr="004C0648">
        <w:rPr>
          <w:i/>
          <w:lang w:val="en-US"/>
        </w:rPr>
        <w:t xml:space="preserve"> </w:t>
      </w:r>
      <w:r w:rsidRPr="00C212DD">
        <w:rPr>
          <w:lang w:val="en-US"/>
        </w:rPr>
        <w:t>Palgrave Macmillan,</w:t>
      </w:r>
      <w:r w:rsidRPr="00F90185">
        <w:rPr>
          <w:lang w:val="en-US"/>
        </w:rPr>
        <w:t xml:space="preserve"> 1</w:t>
      </w:r>
      <w:r w:rsidR="004E62C7">
        <w:rPr>
          <w:lang w:val="en-US"/>
        </w:rPr>
        <w:t>–</w:t>
      </w:r>
      <w:r w:rsidRPr="00F90185">
        <w:rPr>
          <w:lang w:val="en-US"/>
        </w:rPr>
        <w:t>17.</w:t>
      </w:r>
    </w:p>
    <w:p w14:paraId="4342F170" w14:textId="3253A53B" w:rsidR="00701B05" w:rsidRPr="00F90185" w:rsidRDefault="00701B05" w:rsidP="00C212DD">
      <w:pPr>
        <w:spacing w:after="200" w:line="259" w:lineRule="auto"/>
        <w:ind w:left="567" w:hanging="567"/>
        <w:rPr>
          <w:lang w:val="en-US"/>
        </w:rPr>
      </w:pPr>
      <w:r w:rsidRPr="00F90185">
        <w:rPr>
          <w:lang w:val="en-US"/>
        </w:rPr>
        <w:t xml:space="preserve">Brunnermeier, M., Eisenbach, </w:t>
      </w:r>
      <w:r w:rsidR="004E62C7" w:rsidRPr="00F90185">
        <w:rPr>
          <w:lang w:val="en-US"/>
        </w:rPr>
        <w:t>T.</w:t>
      </w:r>
      <w:r w:rsidR="004E62C7">
        <w:rPr>
          <w:lang w:val="en-US"/>
        </w:rPr>
        <w:t>,</w:t>
      </w:r>
      <w:r w:rsidR="004E62C7" w:rsidRPr="00F90185">
        <w:rPr>
          <w:lang w:val="en-US"/>
        </w:rPr>
        <w:t xml:space="preserve"> </w:t>
      </w:r>
      <w:r w:rsidRPr="00F90185">
        <w:rPr>
          <w:lang w:val="en-US"/>
        </w:rPr>
        <w:t>Sannikov</w:t>
      </w:r>
      <w:r w:rsidR="004E62C7">
        <w:rPr>
          <w:lang w:val="en-US"/>
        </w:rPr>
        <w:t xml:space="preserve">, </w:t>
      </w:r>
      <w:r w:rsidR="004E62C7" w:rsidRPr="00F90185">
        <w:rPr>
          <w:lang w:val="en-US"/>
        </w:rPr>
        <w:t>Y.</w:t>
      </w:r>
      <w:r w:rsidR="004E62C7">
        <w:rPr>
          <w:lang w:val="en-US"/>
        </w:rPr>
        <w:t>,</w:t>
      </w:r>
      <w:r w:rsidR="004E62C7" w:rsidRPr="00F90185">
        <w:rPr>
          <w:lang w:val="en-US"/>
        </w:rPr>
        <w:t xml:space="preserve"> </w:t>
      </w:r>
      <w:r w:rsidRPr="00F90185">
        <w:rPr>
          <w:lang w:val="en-US"/>
        </w:rPr>
        <w:t>2013</w:t>
      </w:r>
      <w:r w:rsidR="00655A64">
        <w:rPr>
          <w:lang w:val="en-US"/>
        </w:rPr>
        <w:t>.</w:t>
      </w:r>
      <w:r w:rsidRPr="00F90185">
        <w:rPr>
          <w:lang w:val="en-US"/>
        </w:rPr>
        <w:t xml:space="preserve"> </w:t>
      </w:r>
      <w:hyperlink r:id="rId9" w:history="1">
        <w:r w:rsidRPr="00F90185">
          <w:rPr>
            <w:lang w:val="en-US"/>
          </w:rPr>
          <w:t>Macroeconomics with Financial Frictions: A Survey</w:t>
        </w:r>
      </w:hyperlink>
      <w:r w:rsidRPr="004C0648">
        <w:rPr>
          <w:i/>
          <w:lang w:val="en-US"/>
        </w:rPr>
        <w:t xml:space="preserve">. Advances in Economics and Econometrics, Tenth World Congress of the Econometric Society. </w:t>
      </w:r>
      <w:r w:rsidRPr="00C212DD">
        <w:rPr>
          <w:lang w:val="en-US"/>
        </w:rPr>
        <w:t>New York: Cambridge University Press, 2013, 1</w:t>
      </w:r>
      <w:r w:rsidR="004E62C7">
        <w:rPr>
          <w:lang w:val="en-US"/>
        </w:rPr>
        <w:t>–</w:t>
      </w:r>
      <w:r w:rsidRPr="004E62C7">
        <w:rPr>
          <w:lang w:val="en-US"/>
        </w:rPr>
        <w:t>93</w:t>
      </w:r>
      <w:r w:rsidRPr="00F90185">
        <w:rPr>
          <w:lang w:val="en-US"/>
        </w:rPr>
        <w:t>.</w:t>
      </w:r>
    </w:p>
    <w:p w14:paraId="7A351CCB" w14:textId="08E0126A" w:rsidR="007B2464" w:rsidRPr="00A22DE9" w:rsidRDefault="00EF338B" w:rsidP="00C212DD">
      <w:pPr>
        <w:spacing w:after="200" w:line="259" w:lineRule="auto"/>
        <w:ind w:left="567" w:hanging="567"/>
        <w:rPr>
          <w:lang w:val="en-US"/>
        </w:rPr>
      </w:pPr>
      <w:r w:rsidRPr="00A22DE9">
        <w:rPr>
          <w:lang w:val="en-US"/>
        </w:rPr>
        <w:t xml:space="preserve">Borio, </w:t>
      </w:r>
      <w:r w:rsidR="00B067BD" w:rsidRPr="00A22DE9">
        <w:rPr>
          <w:lang w:val="en-US"/>
        </w:rPr>
        <w:t>C.</w:t>
      </w:r>
      <w:r w:rsidR="004E62C7">
        <w:rPr>
          <w:lang w:val="en-US"/>
        </w:rPr>
        <w:t xml:space="preserve">, </w:t>
      </w:r>
      <w:r w:rsidR="00B067BD" w:rsidRPr="00A22DE9">
        <w:rPr>
          <w:lang w:val="en-US"/>
        </w:rPr>
        <w:t>2012</w:t>
      </w:r>
      <w:r w:rsidR="00BB5991" w:rsidRPr="00A22DE9">
        <w:rPr>
          <w:lang w:val="en-US"/>
        </w:rPr>
        <w:t>.</w:t>
      </w:r>
      <w:r w:rsidR="00B067BD" w:rsidRPr="00A22DE9">
        <w:rPr>
          <w:lang w:val="en-US"/>
        </w:rPr>
        <w:t xml:space="preserve"> The </w:t>
      </w:r>
      <w:r w:rsidR="008C6704" w:rsidRPr="00A22DE9">
        <w:rPr>
          <w:lang w:val="en-US"/>
        </w:rPr>
        <w:t>fi</w:t>
      </w:r>
      <w:r w:rsidR="00B067BD" w:rsidRPr="00A22DE9">
        <w:rPr>
          <w:lang w:val="en-US"/>
        </w:rPr>
        <w:t xml:space="preserve">nancial cycle and macroeconomics: What have we learnt? </w:t>
      </w:r>
      <w:r w:rsidR="00226EA7" w:rsidRPr="00C212DD">
        <w:rPr>
          <w:lang w:val="en-US"/>
        </w:rPr>
        <w:t xml:space="preserve">BIS </w:t>
      </w:r>
      <w:r w:rsidR="00B067BD" w:rsidRPr="00C212DD">
        <w:rPr>
          <w:lang w:val="en-US"/>
        </w:rPr>
        <w:t>Working Paper</w:t>
      </w:r>
      <w:r w:rsidR="00B067BD" w:rsidRPr="004C0648">
        <w:rPr>
          <w:i/>
          <w:lang w:val="en-US"/>
        </w:rPr>
        <w:t xml:space="preserve"> </w:t>
      </w:r>
      <w:r w:rsidR="00B067BD" w:rsidRPr="00A22DE9">
        <w:rPr>
          <w:lang w:val="en-US"/>
        </w:rPr>
        <w:t>2012/395</w:t>
      </w:r>
      <w:r w:rsidR="004C1B63" w:rsidRPr="00A22DE9">
        <w:rPr>
          <w:lang w:val="en-US"/>
        </w:rPr>
        <w:t>.</w:t>
      </w:r>
    </w:p>
    <w:p w14:paraId="629E800B" w14:textId="57AD2621" w:rsidR="00AB44BD" w:rsidRPr="00A22DE9" w:rsidRDefault="00AC53B4" w:rsidP="00C212DD">
      <w:pPr>
        <w:spacing w:after="200" w:line="259" w:lineRule="auto"/>
        <w:ind w:left="567" w:hanging="567"/>
        <w:rPr>
          <w:shd w:val="clear" w:color="auto" w:fill="FAFAFA"/>
          <w:lang w:val="en-US"/>
        </w:rPr>
      </w:pPr>
      <w:r w:rsidRPr="00A22DE9">
        <w:rPr>
          <w:shd w:val="clear" w:color="auto" w:fill="FAFAFA"/>
          <w:lang w:val="en-US"/>
        </w:rPr>
        <w:t>Busetti</w:t>
      </w:r>
      <w:r w:rsidR="00EF338B" w:rsidRPr="00A22DE9">
        <w:rPr>
          <w:shd w:val="clear" w:color="auto" w:fill="FAFAFA"/>
          <w:lang w:val="en-US"/>
        </w:rPr>
        <w:t>,</w:t>
      </w:r>
      <w:r w:rsidRPr="00A22DE9">
        <w:rPr>
          <w:shd w:val="clear" w:color="auto" w:fill="FAFAFA"/>
          <w:lang w:val="en-US"/>
        </w:rPr>
        <w:t xml:space="preserve"> F</w:t>
      </w:r>
      <w:r w:rsidR="00EF338B" w:rsidRPr="00A22DE9">
        <w:rPr>
          <w:shd w:val="clear" w:color="auto" w:fill="FAFAFA"/>
          <w:lang w:val="en-US"/>
        </w:rPr>
        <w:t>.</w:t>
      </w:r>
      <w:r w:rsidR="004E62C7">
        <w:rPr>
          <w:shd w:val="clear" w:color="auto" w:fill="FAFAFA"/>
          <w:lang w:val="en-US"/>
        </w:rPr>
        <w:t xml:space="preserve">, </w:t>
      </w:r>
      <w:r w:rsidRPr="00A22DE9">
        <w:rPr>
          <w:shd w:val="clear" w:color="auto" w:fill="FAFAFA"/>
          <w:lang w:val="en-US"/>
        </w:rPr>
        <w:t>Taylor</w:t>
      </w:r>
      <w:r w:rsidR="00EF338B" w:rsidRPr="00A22DE9">
        <w:rPr>
          <w:shd w:val="clear" w:color="auto" w:fill="FAFAFA"/>
          <w:lang w:val="en-US"/>
        </w:rPr>
        <w:t>,</w:t>
      </w:r>
      <w:r w:rsidR="00616EDA" w:rsidRPr="00A22DE9">
        <w:rPr>
          <w:shd w:val="clear" w:color="auto" w:fill="FAFAFA"/>
          <w:lang w:val="en-US"/>
        </w:rPr>
        <w:t xml:space="preserve"> A.</w:t>
      </w:r>
      <w:r w:rsidR="004E62C7">
        <w:rPr>
          <w:shd w:val="clear" w:color="auto" w:fill="FAFAFA"/>
          <w:lang w:val="en-US"/>
        </w:rPr>
        <w:t xml:space="preserve">, </w:t>
      </w:r>
      <w:r w:rsidRPr="00A22DE9">
        <w:rPr>
          <w:shd w:val="clear" w:color="auto" w:fill="FAFAFA"/>
          <w:lang w:val="en-US"/>
        </w:rPr>
        <w:t>2004</w:t>
      </w:r>
      <w:r w:rsidR="00BF1079" w:rsidRPr="00A22DE9">
        <w:rPr>
          <w:shd w:val="clear" w:color="auto" w:fill="FAFAFA"/>
          <w:lang w:val="en-US"/>
        </w:rPr>
        <w:t>.</w:t>
      </w:r>
      <w:r w:rsidRPr="00A22DE9">
        <w:rPr>
          <w:shd w:val="clear" w:color="auto" w:fill="FAFAFA"/>
          <w:lang w:val="en-US"/>
        </w:rPr>
        <w:t xml:space="preserve"> Tests of stationarity against a change in persistence</w:t>
      </w:r>
      <w:r w:rsidR="00BF1079" w:rsidRPr="00A22DE9">
        <w:rPr>
          <w:shd w:val="clear" w:color="auto" w:fill="FAFAFA"/>
          <w:lang w:val="en-US"/>
        </w:rPr>
        <w:t>.</w:t>
      </w:r>
      <w:r w:rsidRPr="00A22DE9">
        <w:rPr>
          <w:shd w:val="clear" w:color="auto" w:fill="FAFAFA"/>
          <w:lang w:val="en-US"/>
        </w:rPr>
        <w:t xml:space="preserve"> </w:t>
      </w:r>
      <w:r w:rsidRPr="00C212DD">
        <w:rPr>
          <w:shd w:val="clear" w:color="auto" w:fill="FAFAFA"/>
          <w:lang w:val="en-US"/>
        </w:rPr>
        <w:t>Journal of Econometrics</w:t>
      </w:r>
      <w:r w:rsidR="00EF338B" w:rsidRPr="00A22DE9">
        <w:rPr>
          <w:shd w:val="clear" w:color="auto" w:fill="FAFAFA"/>
          <w:lang w:val="en-US"/>
        </w:rPr>
        <w:t xml:space="preserve"> </w:t>
      </w:r>
      <w:r w:rsidRPr="00A22DE9">
        <w:rPr>
          <w:shd w:val="clear" w:color="auto" w:fill="FAFAFA"/>
          <w:lang w:val="en-US"/>
        </w:rPr>
        <w:t>123</w:t>
      </w:r>
      <w:r w:rsidR="004E62C7">
        <w:rPr>
          <w:shd w:val="clear" w:color="auto" w:fill="FAFAFA"/>
          <w:lang w:val="en-US"/>
        </w:rPr>
        <w:t>,</w:t>
      </w:r>
      <w:r w:rsidR="00EF338B" w:rsidRPr="00A22DE9">
        <w:rPr>
          <w:shd w:val="clear" w:color="auto" w:fill="FAFAFA"/>
          <w:lang w:val="en-US"/>
        </w:rPr>
        <w:t xml:space="preserve"> </w:t>
      </w:r>
      <w:r w:rsidRPr="00A22DE9">
        <w:rPr>
          <w:shd w:val="clear" w:color="auto" w:fill="FAFAFA"/>
          <w:lang w:val="en-US"/>
        </w:rPr>
        <w:t>33–66.</w:t>
      </w:r>
    </w:p>
    <w:p w14:paraId="75A32034" w14:textId="73158BD4" w:rsidR="00AB44BD" w:rsidRPr="00A22DE9" w:rsidRDefault="00273140" w:rsidP="00C212DD">
      <w:pPr>
        <w:spacing w:after="200" w:line="259" w:lineRule="auto"/>
        <w:ind w:left="567" w:hanging="567"/>
        <w:rPr>
          <w:shd w:val="clear" w:color="auto" w:fill="FAFAFA"/>
          <w:lang w:val="en-US"/>
        </w:rPr>
      </w:pPr>
      <w:r w:rsidRPr="00A22DE9">
        <w:rPr>
          <w:shd w:val="clear" w:color="auto" w:fill="FAFAFA"/>
          <w:lang w:val="en-US"/>
        </w:rPr>
        <w:t>Bu</w:t>
      </w:r>
      <w:r w:rsidR="00B86B0F" w:rsidRPr="00A22DE9">
        <w:rPr>
          <w:shd w:val="clear" w:color="auto" w:fill="FAFAFA"/>
          <w:lang w:val="en-US"/>
        </w:rPr>
        <w:t>ssière</w:t>
      </w:r>
      <w:r w:rsidR="00EF338B" w:rsidRPr="00A22DE9">
        <w:rPr>
          <w:shd w:val="clear" w:color="auto" w:fill="FAFAFA"/>
          <w:lang w:val="en-US"/>
        </w:rPr>
        <w:t>,</w:t>
      </w:r>
      <w:r w:rsidR="00B86B0F" w:rsidRPr="00A22DE9">
        <w:rPr>
          <w:shd w:val="clear" w:color="auto" w:fill="FAFAFA"/>
          <w:lang w:val="en-US"/>
        </w:rPr>
        <w:t xml:space="preserve"> M</w:t>
      </w:r>
      <w:r w:rsidR="00EF338B" w:rsidRPr="00A22DE9">
        <w:rPr>
          <w:shd w:val="clear" w:color="auto" w:fill="FAFAFA"/>
          <w:lang w:val="en-US"/>
        </w:rPr>
        <w:t>.</w:t>
      </w:r>
      <w:r w:rsidR="00BF1079" w:rsidRPr="00A22DE9">
        <w:rPr>
          <w:shd w:val="clear" w:color="auto" w:fill="FAFAFA"/>
          <w:lang w:val="en-US"/>
        </w:rPr>
        <w:t>,</w:t>
      </w:r>
      <w:r w:rsidR="00B86B0F" w:rsidRPr="00A22DE9">
        <w:rPr>
          <w:shd w:val="clear" w:color="auto" w:fill="FAFAFA"/>
          <w:lang w:val="en-US"/>
        </w:rPr>
        <w:t xml:space="preserve"> Fratzscher</w:t>
      </w:r>
      <w:r w:rsidR="00EF338B" w:rsidRPr="00A22DE9">
        <w:rPr>
          <w:shd w:val="clear" w:color="auto" w:fill="FAFAFA"/>
          <w:lang w:val="en-US"/>
        </w:rPr>
        <w:t>,</w:t>
      </w:r>
      <w:r w:rsidR="00B86B0F" w:rsidRPr="00A22DE9">
        <w:rPr>
          <w:shd w:val="clear" w:color="auto" w:fill="FAFAFA"/>
          <w:lang w:val="en-US"/>
        </w:rPr>
        <w:t xml:space="preserve"> M.</w:t>
      </w:r>
      <w:r w:rsidR="004E62C7">
        <w:rPr>
          <w:shd w:val="clear" w:color="auto" w:fill="FAFAFA"/>
          <w:lang w:val="en-US"/>
        </w:rPr>
        <w:t xml:space="preserve">, </w:t>
      </w:r>
      <w:r w:rsidR="00B86B0F" w:rsidRPr="00A22DE9">
        <w:rPr>
          <w:shd w:val="clear" w:color="auto" w:fill="FAFAFA"/>
          <w:lang w:val="en-US"/>
        </w:rPr>
        <w:t>2008</w:t>
      </w:r>
      <w:r w:rsidR="00BF1079" w:rsidRPr="00A22DE9">
        <w:rPr>
          <w:shd w:val="clear" w:color="auto" w:fill="FAFAFA"/>
          <w:lang w:val="en-US"/>
        </w:rPr>
        <w:t>.</w:t>
      </w:r>
      <w:r w:rsidRPr="00A22DE9">
        <w:rPr>
          <w:shd w:val="clear" w:color="auto" w:fill="FAFAFA"/>
          <w:lang w:val="en-US"/>
        </w:rPr>
        <w:t xml:space="preserve"> </w:t>
      </w:r>
      <w:r w:rsidR="00B86B0F" w:rsidRPr="00A22DE9">
        <w:rPr>
          <w:shd w:val="clear" w:color="auto" w:fill="FAFAFA"/>
          <w:lang w:val="en-US"/>
        </w:rPr>
        <w:t>Low probability, high impact: Policy making and extreme events</w:t>
      </w:r>
      <w:r w:rsidR="00BF1079" w:rsidRPr="00A22DE9">
        <w:rPr>
          <w:shd w:val="clear" w:color="auto" w:fill="FAFAFA"/>
          <w:lang w:val="en-US"/>
        </w:rPr>
        <w:t>.</w:t>
      </w:r>
      <w:r w:rsidR="00B86B0F" w:rsidRPr="00A22DE9">
        <w:rPr>
          <w:shd w:val="clear" w:color="auto" w:fill="FAFAFA"/>
          <w:lang w:val="en-US"/>
        </w:rPr>
        <w:t xml:space="preserve"> </w:t>
      </w:r>
      <w:r w:rsidR="00B86B0F" w:rsidRPr="00C212DD">
        <w:rPr>
          <w:shd w:val="clear" w:color="auto" w:fill="FAFAFA"/>
          <w:lang w:val="en-US"/>
        </w:rPr>
        <w:t>Journal of Policy Modeling</w:t>
      </w:r>
      <w:r w:rsidR="00EF338B" w:rsidRPr="00A22DE9">
        <w:rPr>
          <w:shd w:val="clear" w:color="auto" w:fill="FAFAFA"/>
          <w:lang w:val="en-US"/>
        </w:rPr>
        <w:t xml:space="preserve"> </w:t>
      </w:r>
      <w:r w:rsidR="00B86B0F" w:rsidRPr="00A22DE9">
        <w:rPr>
          <w:shd w:val="clear" w:color="auto" w:fill="FAFAFA"/>
          <w:lang w:val="en-US"/>
        </w:rPr>
        <w:t>30</w:t>
      </w:r>
      <w:r w:rsidR="00BF1079" w:rsidRPr="00A22DE9">
        <w:rPr>
          <w:shd w:val="clear" w:color="auto" w:fill="FAFAFA"/>
          <w:lang w:val="en-US"/>
        </w:rPr>
        <w:t>(</w:t>
      </w:r>
      <w:r w:rsidR="00B86B0F" w:rsidRPr="00A22DE9">
        <w:rPr>
          <w:shd w:val="clear" w:color="auto" w:fill="FAFAFA"/>
          <w:lang w:val="en-US"/>
        </w:rPr>
        <w:t>1</w:t>
      </w:r>
      <w:r w:rsidR="00BF1079" w:rsidRPr="00A22DE9">
        <w:rPr>
          <w:shd w:val="clear" w:color="auto" w:fill="FAFAFA"/>
          <w:lang w:val="en-US"/>
        </w:rPr>
        <w:t>)</w:t>
      </w:r>
      <w:r w:rsidR="004E62C7">
        <w:rPr>
          <w:shd w:val="clear" w:color="auto" w:fill="FAFAFA"/>
          <w:lang w:val="en-US"/>
        </w:rPr>
        <w:t>,</w:t>
      </w:r>
      <w:r w:rsidR="00B86B0F" w:rsidRPr="00A22DE9">
        <w:rPr>
          <w:shd w:val="clear" w:color="auto" w:fill="FAFAFA"/>
          <w:lang w:val="en-US"/>
        </w:rPr>
        <w:t xml:space="preserve"> 111</w:t>
      </w:r>
      <w:r w:rsidR="00BF1079" w:rsidRPr="00A22DE9">
        <w:rPr>
          <w:shd w:val="clear" w:color="auto" w:fill="FAFAFA"/>
          <w:lang w:val="en-US"/>
        </w:rPr>
        <w:t>–</w:t>
      </w:r>
      <w:r w:rsidR="00B86B0F" w:rsidRPr="00A22DE9">
        <w:rPr>
          <w:shd w:val="clear" w:color="auto" w:fill="FAFAFA"/>
          <w:lang w:val="en-US"/>
        </w:rPr>
        <w:t>121.</w:t>
      </w:r>
    </w:p>
    <w:p w14:paraId="0E174E8C" w14:textId="2ADD69F1" w:rsidR="00AB44BD" w:rsidRPr="00226EA7" w:rsidRDefault="00E058BE" w:rsidP="00C212DD">
      <w:pPr>
        <w:spacing w:after="200" w:line="259" w:lineRule="auto"/>
        <w:ind w:left="567" w:hanging="567"/>
        <w:rPr>
          <w:shd w:val="clear" w:color="auto" w:fill="FAFAFA"/>
          <w:lang w:val="en-US"/>
        </w:rPr>
      </w:pPr>
      <w:r w:rsidRPr="00A22DE9">
        <w:rPr>
          <w:shd w:val="clear" w:color="auto" w:fill="FAFAFA"/>
          <w:lang w:val="en-US"/>
        </w:rPr>
        <w:t>Campbell</w:t>
      </w:r>
      <w:r w:rsidR="000105E7" w:rsidRPr="00A22DE9">
        <w:rPr>
          <w:shd w:val="clear" w:color="auto" w:fill="FAFAFA"/>
          <w:lang w:val="en-US"/>
        </w:rPr>
        <w:t>,</w:t>
      </w:r>
      <w:r w:rsidRPr="00A22DE9">
        <w:rPr>
          <w:shd w:val="clear" w:color="auto" w:fill="FAFAFA"/>
          <w:lang w:val="en-US"/>
        </w:rPr>
        <w:t xml:space="preserve"> </w:t>
      </w:r>
      <w:r w:rsidR="00616EDA" w:rsidRPr="00A22DE9">
        <w:rPr>
          <w:shd w:val="clear" w:color="auto" w:fill="FAFAFA"/>
          <w:lang w:val="en-US"/>
        </w:rPr>
        <w:t>J</w:t>
      </w:r>
      <w:r w:rsidR="000105E7" w:rsidRPr="00A22DE9">
        <w:rPr>
          <w:shd w:val="clear" w:color="auto" w:fill="FAFAFA"/>
          <w:lang w:val="en-US"/>
        </w:rPr>
        <w:t>.</w:t>
      </w:r>
      <w:r w:rsidRPr="00A22DE9">
        <w:rPr>
          <w:shd w:val="clear" w:color="auto" w:fill="FAFAFA"/>
          <w:lang w:val="en-US"/>
        </w:rPr>
        <w:t>Y</w:t>
      </w:r>
      <w:r w:rsidR="000105E7" w:rsidRPr="00A22DE9">
        <w:rPr>
          <w:shd w:val="clear" w:color="auto" w:fill="FAFAFA"/>
          <w:lang w:val="en-US"/>
        </w:rPr>
        <w:t>.</w:t>
      </w:r>
      <w:r w:rsidR="00A51C58" w:rsidRPr="00A22DE9">
        <w:rPr>
          <w:shd w:val="clear" w:color="auto" w:fill="FAFAFA"/>
          <w:lang w:val="en-US"/>
        </w:rPr>
        <w:t>,</w:t>
      </w:r>
      <w:r w:rsidRPr="00A22DE9">
        <w:rPr>
          <w:shd w:val="clear" w:color="auto" w:fill="FAFAFA"/>
          <w:lang w:val="en-US"/>
        </w:rPr>
        <w:t xml:space="preserve"> Lo</w:t>
      </w:r>
      <w:r w:rsidR="000105E7" w:rsidRPr="00A22DE9">
        <w:rPr>
          <w:shd w:val="clear" w:color="auto" w:fill="FAFAFA"/>
          <w:lang w:val="en-US"/>
        </w:rPr>
        <w:t>,</w:t>
      </w:r>
      <w:r w:rsidRPr="00A22DE9">
        <w:rPr>
          <w:shd w:val="clear" w:color="auto" w:fill="FAFAFA"/>
          <w:lang w:val="en-US"/>
        </w:rPr>
        <w:t xml:space="preserve"> </w:t>
      </w:r>
      <w:r w:rsidR="00616EDA" w:rsidRPr="00A22DE9">
        <w:rPr>
          <w:shd w:val="clear" w:color="auto" w:fill="FAFAFA"/>
          <w:lang w:val="en-US"/>
        </w:rPr>
        <w:t>A</w:t>
      </w:r>
      <w:r w:rsidR="000105E7" w:rsidRPr="00A22DE9">
        <w:rPr>
          <w:shd w:val="clear" w:color="auto" w:fill="FAFAFA"/>
          <w:lang w:val="en-US"/>
        </w:rPr>
        <w:t>.</w:t>
      </w:r>
      <w:r w:rsidR="00616EDA" w:rsidRPr="00A22DE9">
        <w:rPr>
          <w:shd w:val="clear" w:color="auto" w:fill="FAFAFA"/>
          <w:lang w:val="en-US"/>
        </w:rPr>
        <w:t>W</w:t>
      </w:r>
      <w:r w:rsidR="000105E7" w:rsidRPr="00A22DE9">
        <w:rPr>
          <w:shd w:val="clear" w:color="auto" w:fill="FAFAFA"/>
          <w:lang w:val="en-US"/>
        </w:rPr>
        <w:t>.</w:t>
      </w:r>
      <w:r w:rsidR="00B3784F" w:rsidRPr="00A22DE9">
        <w:rPr>
          <w:shd w:val="clear" w:color="auto" w:fill="FAFAFA"/>
          <w:lang w:val="en-US"/>
        </w:rPr>
        <w:t>,</w:t>
      </w:r>
      <w:r w:rsidR="00616EDA" w:rsidRPr="00A22DE9">
        <w:rPr>
          <w:shd w:val="clear" w:color="auto" w:fill="FAFAFA"/>
          <w:lang w:val="en-US"/>
        </w:rPr>
        <w:t xml:space="preserve"> </w:t>
      </w:r>
      <w:r w:rsidRPr="00A22DE9">
        <w:rPr>
          <w:shd w:val="clear" w:color="auto" w:fill="FAFAFA"/>
          <w:lang w:val="en-US"/>
        </w:rPr>
        <w:t>McKinlay</w:t>
      </w:r>
      <w:r w:rsidR="000105E7" w:rsidRPr="00A22DE9">
        <w:rPr>
          <w:shd w:val="clear" w:color="auto" w:fill="FAFAFA"/>
          <w:lang w:val="en-US"/>
        </w:rPr>
        <w:t>,</w:t>
      </w:r>
      <w:r w:rsidRPr="00A22DE9">
        <w:rPr>
          <w:shd w:val="clear" w:color="auto" w:fill="FAFAFA"/>
          <w:lang w:val="en-US"/>
        </w:rPr>
        <w:t xml:space="preserve"> </w:t>
      </w:r>
      <w:r w:rsidR="00616EDA" w:rsidRPr="00A22DE9">
        <w:rPr>
          <w:shd w:val="clear" w:color="auto" w:fill="FAFAFA"/>
          <w:lang w:val="en-US"/>
        </w:rPr>
        <w:t>A</w:t>
      </w:r>
      <w:r w:rsidR="000105E7" w:rsidRPr="00A22DE9">
        <w:rPr>
          <w:shd w:val="clear" w:color="auto" w:fill="FAFAFA"/>
          <w:lang w:val="en-US"/>
        </w:rPr>
        <w:t>.</w:t>
      </w:r>
      <w:r w:rsidR="00616EDA" w:rsidRPr="00A22DE9">
        <w:rPr>
          <w:shd w:val="clear" w:color="auto" w:fill="FAFAFA"/>
          <w:lang w:val="en-US"/>
        </w:rPr>
        <w:t>C.</w:t>
      </w:r>
      <w:r w:rsidR="004E62C7">
        <w:rPr>
          <w:shd w:val="clear" w:color="auto" w:fill="FAFAFA"/>
          <w:lang w:val="en-US"/>
        </w:rPr>
        <w:t xml:space="preserve">, </w:t>
      </w:r>
      <w:r w:rsidRPr="00A22DE9">
        <w:rPr>
          <w:shd w:val="clear" w:color="auto" w:fill="FAFAFA"/>
          <w:lang w:val="en-US"/>
        </w:rPr>
        <w:t>1997</w:t>
      </w:r>
      <w:r w:rsidR="00B3784F" w:rsidRPr="00A22DE9">
        <w:rPr>
          <w:shd w:val="clear" w:color="auto" w:fill="FAFAFA"/>
          <w:lang w:val="en-US"/>
        </w:rPr>
        <w:t>.</w:t>
      </w:r>
      <w:r w:rsidRPr="00A22DE9">
        <w:rPr>
          <w:shd w:val="clear" w:color="auto" w:fill="FAFAFA"/>
          <w:lang w:val="en-US"/>
        </w:rPr>
        <w:t xml:space="preserve"> </w:t>
      </w:r>
      <w:r w:rsidRPr="00C212DD">
        <w:rPr>
          <w:i/>
          <w:shd w:val="clear" w:color="auto" w:fill="FAFAFA"/>
          <w:lang w:val="en-US"/>
        </w:rPr>
        <w:t xml:space="preserve">The </w:t>
      </w:r>
      <w:r w:rsidR="00B3784F" w:rsidRPr="00C212DD">
        <w:rPr>
          <w:i/>
          <w:shd w:val="clear" w:color="auto" w:fill="FAFAFA"/>
          <w:lang w:val="en-US"/>
        </w:rPr>
        <w:t xml:space="preserve">Econometrics </w:t>
      </w:r>
      <w:r w:rsidRPr="00C212DD">
        <w:rPr>
          <w:i/>
          <w:shd w:val="clear" w:color="auto" w:fill="FAFAFA"/>
          <w:lang w:val="en-US"/>
        </w:rPr>
        <w:t xml:space="preserve">of </w:t>
      </w:r>
      <w:r w:rsidR="00B3784F" w:rsidRPr="00C212DD">
        <w:rPr>
          <w:i/>
          <w:shd w:val="clear" w:color="auto" w:fill="FAFAFA"/>
          <w:lang w:val="en-US"/>
        </w:rPr>
        <w:t>Financial Markets.</w:t>
      </w:r>
      <w:r w:rsidR="007932AC">
        <w:rPr>
          <w:shd w:val="clear" w:color="auto" w:fill="FAFAFA"/>
          <w:lang w:val="en-US"/>
        </w:rPr>
        <w:t xml:space="preserve"> </w:t>
      </w:r>
      <w:r w:rsidRPr="00C212DD">
        <w:rPr>
          <w:shd w:val="clear" w:color="auto" w:fill="FAFAFA"/>
          <w:lang w:val="en-US"/>
        </w:rPr>
        <w:t>Princeton University Press,</w:t>
      </w:r>
      <w:r w:rsidRPr="00226EA7">
        <w:rPr>
          <w:shd w:val="clear" w:color="auto" w:fill="FAFAFA"/>
          <w:lang w:val="en-US"/>
        </w:rPr>
        <w:t xml:space="preserve"> NJ.</w:t>
      </w:r>
    </w:p>
    <w:p w14:paraId="2F2D1AD1" w14:textId="2A15AABC" w:rsidR="00AB44BD" w:rsidRPr="004C0648" w:rsidRDefault="00E058BE" w:rsidP="00C212DD">
      <w:pPr>
        <w:spacing w:after="200" w:line="259" w:lineRule="auto"/>
        <w:ind w:left="567" w:hanging="567"/>
        <w:rPr>
          <w:szCs w:val="24"/>
          <w:shd w:val="clear" w:color="auto" w:fill="FAFAFA"/>
          <w:lang w:val="en-US"/>
        </w:rPr>
      </w:pPr>
      <w:r w:rsidRPr="008919A2">
        <w:rPr>
          <w:szCs w:val="24"/>
          <w:shd w:val="clear" w:color="auto" w:fill="FAFAFA"/>
          <w:lang w:val="en-US"/>
        </w:rPr>
        <w:t>Campbell</w:t>
      </w:r>
      <w:r w:rsidR="00570C33" w:rsidRPr="008919A2">
        <w:rPr>
          <w:szCs w:val="24"/>
          <w:shd w:val="clear" w:color="auto" w:fill="FAFAFA"/>
          <w:lang w:val="en-US"/>
        </w:rPr>
        <w:t>,</w:t>
      </w:r>
      <w:r w:rsidRPr="008919A2">
        <w:rPr>
          <w:szCs w:val="24"/>
          <w:shd w:val="clear" w:color="auto" w:fill="FAFAFA"/>
          <w:lang w:val="en-US"/>
        </w:rPr>
        <w:t xml:space="preserve"> Y</w:t>
      </w:r>
      <w:r w:rsidR="00570C33" w:rsidRPr="008919A2">
        <w:rPr>
          <w:szCs w:val="24"/>
          <w:shd w:val="clear" w:color="auto" w:fill="FAFAFA"/>
          <w:lang w:val="en-US"/>
        </w:rPr>
        <w:t>.</w:t>
      </w:r>
      <w:r w:rsidR="004E62C7">
        <w:rPr>
          <w:szCs w:val="24"/>
          <w:shd w:val="clear" w:color="auto" w:fill="FAFAFA"/>
          <w:lang w:val="en-US"/>
        </w:rPr>
        <w:t xml:space="preserve">, </w:t>
      </w:r>
      <w:r w:rsidRPr="008919A2">
        <w:rPr>
          <w:szCs w:val="24"/>
          <w:shd w:val="clear" w:color="auto" w:fill="FAFAFA"/>
          <w:lang w:val="en-US"/>
        </w:rPr>
        <w:t>Shiller</w:t>
      </w:r>
      <w:r w:rsidR="00570C33" w:rsidRPr="008919A2">
        <w:rPr>
          <w:szCs w:val="24"/>
          <w:shd w:val="clear" w:color="auto" w:fill="FAFAFA"/>
          <w:lang w:val="en-US"/>
        </w:rPr>
        <w:t xml:space="preserve">, </w:t>
      </w:r>
      <w:r w:rsidR="00616EDA" w:rsidRPr="008919A2">
        <w:rPr>
          <w:szCs w:val="24"/>
          <w:shd w:val="clear" w:color="auto" w:fill="FAFAFA"/>
          <w:lang w:val="en-US"/>
        </w:rPr>
        <w:t>R.</w:t>
      </w:r>
      <w:r w:rsidR="004E62C7">
        <w:rPr>
          <w:szCs w:val="24"/>
          <w:shd w:val="clear" w:color="auto" w:fill="FAFAFA"/>
          <w:lang w:val="en-US"/>
        </w:rPr>
        <w:t xml:space="preserve">, </w:t>
      </w:r>
      <w:r w:rsidRPr="008919A2">
        <w:rPr>
          <w:szCs w:val="24"/>
          <w:shd w:val="clear" w:color="auto" w:fill="FAFAFA"/>
          <w:lang w:val="en-US"/>
        </w:rPr>
        <w:t>1988a</w:t>
      </w:r>
      <w:r w:rsidR="00B3784F" w:rsidRPr="002B6529">
        <w:rPr>
          <w:szCs w:val="24"/>
          <w:shd w:val="clear" w:color="auto" w:fill="FAFAFA"/>
          <w:lang w:val="en-US"/>
        </w:rPr>
        <w:t xml:space="preserve">. </w:t>
      </w:r>
      <w:r w:rsidRPr="00655A64">
        <w:rPr>
          <w:szCs w:val="24"/>
          <w:shd w:val="clear" w:color="auto" w:fill="FAFAFA"/>
          <w:lang w:val="en-US"/>
        </w:rPr>
        <w:t>The dividend-price ratio and expectations of future dividends and discount factors</w:t>
      </w:r>
      <w:r w:rsidR="00B3784F" w:rsidRPr="00655A64">
        <w:rPr>
          <w:szCs w:val="24"/>
          <w:shd w:val="clear" w:color="auto" w:fill="FAFAFA"/>
          <w:lang w:val="en-US"/>
        </w:rPr>
        <w:t>.</w:t>
      </w:r>
      <w:r w:rsidRPr="00655A64">
        <w:rPr>
          <w:szCs w:val="24"/>
          <w:shd w:val="clear" w:color="auto" w:fill="FAFAFA"/>
          <w:lang w:val="en-US"/>
        </w:rPr>
        <w:t xml:space="preserve"> </w:t>
      </w:r>
      <w:r w:rsidRPr="00C212DD">
        <w:rPr>
          <w:szCs w:val="24"/>
          <w:shd w:val="clear" w:color="auto" w:fill="FAFAFA"/>
          <w:lang w:val="en-US"/>
        </w:rPr>
        <w:t>Review of Financial Studies</w:t>
      </w:r>
      <w:r w:rsidR="000105E7" w:rsidRPr="004C0648">
        <w:rPr>
          <w:szCs w:val="24"/>
          <w:shd w:val="clear" w:color="auto" w:fill="FAFAFA"/>
          <w:lang w:val="en-US"/>
        </w:rPr>
        <w:t xml:space="preserve"> </w:t>
      </w:r>
      <w:r w:rsidRPr="004C0648">
        <w:rPr>
          <w:szCs w:val="24"/>
          <w:shd w:val="clear" w:color="auto" w:fill="FAFAFA"/>
          <w:lang w:val="en-US"/>
        </w:rPr>
        <w:t>1</w:t>
      </w:r>
      <w:r w:rsidR="00B3784F" w:rsidRPr="004C0648">
        <w:rPr>
          <w:szCs w:val="24"/>
          <w:shd w:val="clear" w:color="auto" w:fill="FAFAFA"/>
          <w:lang w:val="en-US"/>
        </w:rPr>
        <w:t>(</w:t>
      </w:r>
      <w:r w:rsidRPr="004C0648">
        <w:rPr>
          <w:szCs w:val="24"/>
          <w:shd w:val="clear" w:color="auto" w:fill="FAFAFA"/>
          <w:lang w:val="en-US"/>
        </w:rPr>
        <w:t>3</w:t>
      </w:r>
      <w:r w:rsidR="00B3784F" w:rsidRPr="004C0648">
        <w:rPr>
          <w:szCs w:val="24"/>
          <w:shd w:val="clear" w:color="auto" w:fill="FAFAFA"/>
          <w:lang w:val="en-US"/>
        </w:rPr>
        <w:t>)</w:t>
      </w:r>
      <w:r w:rsidR="004E62C7">
        <w:rPr>
          <w:szCs w:val="24"/>
          <w:shd w:val="clear" w:color="auto" w:fill="FAFAFA"/>
          <w:lang w:val="en-US"/>
        </w:rPr>
        <w:t>,</w:t>
      </w:r>
      <w:r w:rsidRPr="004C0648">
        <w:rPr>
          <w:szCs w:val="24"/>
          <w:shd w:val="clear" w:color="auto" w:fill="FAFAFA"/>
          <w:lang w:val="en-US"/>
        </w:rPr>
        <w:t xml:space="preserve"> 195</w:t>
      </w:r>
      <w:r w:rsidR="00B3784F" w:rsidRPr="004C0648">
        <w:rPr>
          <w:szCs w:val="24"/>
          <w:shd w:val="clear" w:color="auto" w:fill="FAFAFA"/>
          <w:lang w:val="en-US"/>
        </w:rPr>
        <w:t>–</w:t>
      </w:r>
      <w:r w:rsidRPr="004C0648">
        <w:rPr>
          <w:szCs w:val="24"/>
          <w:shd w:val="clear" w:color="auto" w:fill="FAFAFA"/>
          <w:lang w:val="en-US"/>
        </w:rPr>
        <w:t>228.</w:t>
      </w:r>
    </w:p>
    <w:p w14:paraId="706A821D" w14:textId="3506B258" w:rsidR="00AB44BD" w:rsidRPr="004C0648" w:rsidRDefault="00B3784F" w:rsidP="00C212DD">
      <w:pPr>
        <w:spacing w:after="200" w:line="259" w:lineRule="auto"/>
        <w:ind w:left="567" w:hanging="567"/>
        <w:rPr>
          <w:szCs w:val="24"/>
          <w:shd w:val="clear" w:color="auto" w:fill="FAFAFA"/>
          <w:lang w:val="en-US"/>
        </w:rPr>
      </w:pPr>
      <w:r w:rsidRPr="004C0648">
        <w:rPr>
          <w:szCs w:val="24"/>
          <w:shd w:val="clear" w:color="auto" w:fill="FAFAFA"/>
          <w:lang w:val="en-US"/>
        </w:rPr>
        <w:t>Campbell</w:t>
      </w:r>
      <w:r w:rsidR="00570C33" w:rsidRPr="004C0648">
        <w:rPr>
          <w:szCs w:val="24"/>
          <w:shd w:val="clear" w:color="auto" w:fill="FAFAFA"/>
          <w:lang w:val="en-US"/>
        </w:rPr>
        <w:t>,</w:t>
      </w:r>
      <w:r w:rsidRPr="004C0648">
        <w:rPr>
          <w:szCs w:val="24"/>
          <w:shd w:val="clear" w:color="auto" w:fill="FAFAFA"/>
          <w:lang w:val="en-US"/>
        </w:rPr>
        <w:t xml:space="preserve"> Y</w:t>
      </w:r>
      <w:r w:rsidR="00570C33" w:rsidRPr="004C0648">
        <w:rPr>
          <w:szCs w:val="24"/>
          <w:shd w:val="clear" w:color="auto" w:fill="FAFAFA"/>
          <w:lang w:val="en-US"/>
        </w:rPr>
        <w:t>.</w:t>
      </w:r>
      <w:r w:rsidR="004E62C7">
        <w:rPr>
          <w:szCs w:val="24"/>
          <w:shd w:val="clear" w:color="auto" w:fill="FAFAFA"/>
          <w:lang w:val="en-US"/>
        </w:rPr>
        <w:t>,</w:t>
      </w:r>
      <w:r w:rsidR="00570C33" w:rsidRPr="004C0648">
        <w:rPr>
          <w:szCs w:val="24"/>
          <w:shd w:val="clear" w:color="auto" w:fill="FAFAFA"/>
          <w:lang w:val="en-US"/>
        </w:rPr>
        <w:t xml:space="preserve"> </w:t>
      </w:r>
      <w:r w:rsidRPr="004C0648">
        <w:rPr>
          <w:szCs w:val="24"/>
          <w:shd w:val="clear" w:color="auto" w:fill="FAFAFA"/>
          <w:lang w:val="en-US"/>
        </w:rPr>
        <w:t>Shiller</w:t>
      </w:r>
      <w:r w:rsidR="00570C33" w:rsidRPr="004C0648">
        <w:rPr>
          <w:szCs w:val="24"/>
          <w:shd w:val="clear" w:color="auto" w:fill="FAFAFA"/>
          <w:lang w:val="en-US"/>
        </w:rPr>
        <w:t xml:space="preserve">, </w:t>
      </w:r>
      <w:r w:rsidRPr="004C0648">
        <w:rPr>
          <w:szCs w:val="24"/>
          <w:shd w:val="clear" w:color="auto" w:fill="FAFAFA"/>
          <w:lang w:val="en-US"/>
        </w:rPr>
        <w:t>R.</w:t>
      </w:r>
      <w:r w:rsidR="004E62C7">
        <w:rPr>
          <w:szCs w:val="24"/>
          <w:shd w:val="clear" w:color="auto" w:fill="FAFAFA"/>
          <w:lang w:val="en-US"/>
        </w:rPr>
        <w:t xml:space="preserve">, </w:t>
      </w:r>
      <w:r w:rsidR="00E058BE" w:rsidRPr="004C0648">
        <w:rPr>
          <w:szCs w:val="24"/>
          <w:shd w:val="clear" w:color="auto" w:fill="FAFAFA"/>
          <w:lang w:val="en-US"/>
        </w:rPr>
        <w:t>1988b</w:t>
      </w:r>
      <w:r w:rsidRPr="004C0648">
        <w:rPr>
          <w:szCs w:val="24"/>
          <w:shd w:val="clear" w:color="auto" w:fill="FAFAFA"/>
          <w:lang w:val="en-US"/>
        </w:rPr>
        <w:t>.</w:t>
      </w:r>
      <w:r w:rsidR="00E058BE" w:rsidRPr="004C0648">
        <w:rPr>
          <w:szCs w:val="24"/>
          <w:shd w:val="clear" w:color="auto" w:fill="FAFAFA"/>
          <w:lang w:val="en-US"/>
        </w:rPr>
        <w:t xml:space="preserve"> Stock prices, earnings and expected dividends</w:t>
      </w:r>
      <w:r w:rsidRPr="004C0648">
        <w:rPr>
          <w:szCs w:val="24"/>
          <w:shd w:val="clear" w:color="auto" w:fill="FAFAFA"/>
          <w:lang w:val="en-US"/>
        </w:rPr>
        <w:t>.</w:t>
      </w:r>
      <w:r w:rsidR="00E058BE" w:rsidRPr="004C0648">
        <w:rPr>
          <w:szCs w:val="24"/>
          <w:shd w:val="clear" w:color="auto" w:fill="FAFAFA"/>
          <w:lang w:val="en-US"/>
        </w:rPr>
        <w:t xml:space="preserve"> </w:t>
      </w:r>
      <w:r w:rsidR="00E058BE" w:rsidRPr="00C212DD">
        <w:rPr>
          <w:szCs w:val="24"/>
          <w:shd w:val="clear" w:color="auto" w:fill="FAFAFA"/>
          <w:lang w:val="en-US"/>
        </w:rPr>
        <w:t>Journal of Finance</w:t>
      </w:r>
      <w:r w:rsidR="00570C33" w:rsidRPr="004C0648">
        <w:rPr>
          <w:szCs w:val="24"/>
          <w:shd w:val="clear" w:color="auto" w:fill="FAFAFA"/>
          <w:lang w:val="en-US"/>
        </w:rPr>
        <w:t xml:space="preserve"> </w:t>
      </w:r>
      <w:r w:rsidR="00E058BE" w:rsidRPr="004C0648">
        <w:rPr>
          <w:szCs w:val="24"/>
          <w:shd w:val="clear" w:color="auto" w:fill="FAFAFA"/>
          <w:lang w:val="en-US"/>
        </w:rPr>
        <w:t>43</w:t>
      </w:r>
      <w:r w:rsidRPr="004C0648">
        <w:rPr>
          <w:szCs w:val="24"/>
          <w:shd w:val="clear" w:color="auto" w:fill="FAFAFA"/>
          <w:lang w:val="en-US"/>
        </w:rPr>
        <w:t>(</w:t>
      </w:r>
      <w:r w:rsidR="00E058BE" w:rsidRPr="004C0648">
        <w:rPr>
          <w:szCs w:val="24"/>
          <w:shd w:val="clear" w:color="auto" w:fill="FAFAFA"/>
          <w:lang w:val="en-US"/>
        </w:rPr>
        <w:t>3</w:t>
      </w:r>
      <w:r w:rsidRPr="004C0648">
        <w:rPr>
          <w:szCs w:val="24"/>
          <w:shd w:val="clear" w:color="auto" w:fill="FAFAFA"/>
          <w:lang w:val="en-US"/>
        </w:rPr>
        <w:t>)</w:t>
      </w:r>
      <w:r w:rsidR="004E62C7">
        <w:rPr>
          <w:szCs w:val="24"/>
          <w:shd w:val="clear" w:color="auto" w:fill="FAFAFA"/>
          <w:lang w:val="en-US"/>
        </w:rPr>
        <w:t>,</w:t>
      </w:r>
      <w:r w:rsidRPr="004C0648">
        <w:rPr>
          <w:szCs w:val="24"/>
          <w:shd w:val="clear" w:color="auto" w:fill="FAFAFA"/>
          <w:lang w:val="en-US"/>
        </w:rPr>
        <w:t xml:space="preserve"> </w:t>
      </w:r>
      <w:r w:rsidR="00E058BE" w:rsidRPr="004C0648">
        <w:rPr>
          <w:szCs w:val="24"/>
          <w:shd w:val="clear" w:color="auto" w:fill="FAFAFA"/>
          <w:lang w:val="en-US"/>
        </w:rPr>
        <w:t>661</w:t>
      </w:r>
      <w:r w:rsidRPr="004C0648">
        <w:rPr>
          <w:szCs w:val="24"/>
          <w:shd w:val="clear" w:color="auto" w:fill="FAFAFA"/>
          <w:lang w:val="en-US"/>
        </w:rPr>
        <w:t>–</w:t>
      </w:r>
      <w:r w:rsidR="00E058BE" w:rsidRPr="004C0648">
        <w:rPr>
          <w:szCs w:val="24"/>
          <w:shd w:val="clear" w:color="auto" w:fill="FAFAFA"/>
          <w:lang w:val="en-US"/>
        </w:rPr>
        <w:t>676.</w:t>
      </w:r>
    </w:p>
    <w:p w14:paraId="410E8999" w14:textId="4717454D" w:rsidR="008919A2" w:rsidRPr="008919A2" w:rsidRDefault="008919A2" w:rsidP="00C212DD">
      <w:pPr>
        <w:spacing w:after="200" w:line="259" w:lineRule="auto"/>
        <w:ind w:left="567" w:hanging="567"/>
        <w:rPr>
          <w:szCs w:val="24"/>
          <w:shd w:val="clear" w:color="auto" w:fill="FAFAFA"/>
          <w:lang w:val="en-US"/>
        </w:rPr>
      </w:pPr>
      <w:r w:rsidRPr="008919A2">
        <w:rPr>
          <w:szCs w:val="24"/>
          <w:lang w:val="en-US"/>
        </w:rPr>
        <w:t>Caprio, G., Klingebiel, D.</w:t>
      </w:r>
      <w:r w:rsidR="004E62C7">
        <w:rPr>
          <w:szCs w:val="24"/>
          <w:lang w:val="en-US"/>
        </w:rPr>
        <w:t xml:space="preserve">, </w:t>
      </w:r>
      <w:r w:rsidRPr="008919A2">
        <w:rPr>
          <w:szCs w:val="24"/>
          <w:lang w:val="en-US"/>
        </w:rPr>
        <w:t xml:space="preserve">1996. Bank Insolvencies, Cross-Country Experience. </w:t>
      </w:r>
      <w:r w:rsidRPr="008D5A38">
        <w:rPr>
          <w:szCs w:val="24"/>
          <w:lang w:val="en-US"/>
        </w:rPr>
        <w:t xml:space="preserve">World Bank Policy Research Working Paper </w:t>
      </w:r>
      <w:r w:rsidR="004E62C7">
        <w:rPr>
          <w:szCs w:val="24"/>
          <w:lang w:val="en-US"/>
        </w:rPr>
        <w:t>n</w:t>
      </w:r>
      <w:r w:rsidRPr="008D5A38">
        <w:rPr>
          <w:szCs w:val="24"/>
          <w:lang w:val="en-US"/>
        </w:rPr>
        <w:t>. 1620.</w:t>
      </w:r>
    </w:p>
    <w:p w14:paraId="65C17E2F" w14:textId="2EDADE75" w:rsidR="00AB44BD" w:rsidRPr="004C0648" w:rsidRDefault="00382F7B" w:rsidP="00C212DD">
      <w:pPr>
        <w:spacing w:after="200" w:line="259" w:lineRule="auto"/>
        <w:ind w:left="567" w:hanging="567"/>
        <w:rPr>
          <w:szCs w:val="24"/>
          <w:shd w:val="clear" w:color="auto" w:fill="FAFAFA"/>
          <w:lang w:val="en-US"/>
        </w:rPr>
      </w:pPr>
      <w:r w:rsidRPr="00655A64">
        <w:rPr>
          <w:szCs w:val="24"/>
          <w:shd w:val="clear" w:color="auto" w:fill="FAFAFA"/>
          <w:lang w:val="en-US"/>
        </w:rPr>
        <w:t>Cochrane</w:t>
      </w:r>
      <w:r w:rsidR="00570C33" w:rsidRPr="00655A64">
        <w:rPr>
          <w:szCs w:val="24"/>
          <w:shd w:val="clear" w:color="auto" w:fill="FAFAFA"/>
          <w:lang w:val="en-US"/>
        </w:rPr>
        <w:t xml:space="preserve">, </w:t>
      </w:r>
      <w:r w:rsidRPr="00655A64">
        <w:rPr>
          <w:szCs w:val="24"/>
          <w:shd w:val="clear" w:color="auto" w:fill="FAFAFA"/>
          <w:lang w:val="en-US"/>
        </w:rPr>
        <w:t>J.</w:t>
      </w:r>
      <w:r w:rsidR="003B4A8A">
        <w:rPr>
          <w:szCs w:val="24"/>
          <w:shd w:val="clear" w:color="auto" w:fill="FAFAFA"/>
          <w:lang w:val="en-US"/>
        </w:rPr>
        <w:t xml:space="preserve">, </w:t>
      </w:r>
      <w:r w:rsidRPr="004C0648">
        <w:rPr>
          <w:szCs w:val="24"/>
          <w:shd w:val="clear" w:color="auto" w:fill="FAFAFA"/>
          <w:lang w:val="en-US"/>
        </w:rPr>
        <w:t>1992</w:t>
      </w:r>
      <w:r w:rsidR="00B3784F" w:rsidRPr="004C0648">
        <w:rPr>
          <w:szCs w:val="24"/>
          <w:shd w:val="clear" w:color="auto" w:fill="FAFAFA"/>
          <w:lang w:val="en-US"/>
        </w:rPr>
        <w:t>.</w:t>
      </w:r>
      <w:r w:rsidRPr="004C0648">
        <w:rPr>
          <w:szCs w:val="24"/>
          <w:shd w:val="clear" w:color="auto" w:fill="FAFAFA"/>
          <w:lang w:val="en-US"/>
        </w:rPr>
        <w:t xml:space="preserve"> </w:t>
      </w:r>
      <w:r w:rsidR="00B11CDF" w:rsidRPr="004C0648">
        <w:rPr>
          <w:szCs w:val="24"/>
          <w:shd w:val="clear" w:color="auto" w:fill="FAFAFA"/>
          <w:lang w:val="en-US"/>
        </w:rPr>
        <w:t xml:space="preserve">Explaining the </w:t>
      </w:r>
      <w:r w:rsidR="00B3784F" w:rsidRPr="004C0648">
        <w:rPr>
          <w:szCs w:val="24"/>
          <w:shd w:val="clear" w:color="auto" w:fill="FAFAFA"/>
          <w:lang w:val="en-US"/>
        </w:rPr>
        <w:t xml:space="preserve">variance </w:t>
      </w:r>
      <w:r w:rsidR="00B11CDF" w:rsidRPr="004C0648">
        <w:rPr>
          <w:szCs w:val="24"/>
          <w:shd w:val="clear" w:color="auto" w:fill="FAFAFA"/>
          <w:lang w:val="en-US"/>
        </w:rPr>
        <w:t xml:space="preserve">of </w:t>
      </w:r>
      <w:r w:rsidR="00B3784F" w:rsidRPr="004C0648">
        <w:rPr>
          <w:szCs w:val="24"/>
          <w:shd w:val="clear" w:color="auto" w:fill="FAFAFA"/>
          <w:lang w:val="en-US"/>
        </w:rPr>
        <w:t>p</w:t>
      </w:r>
      <w:r w:rsidR="00B11CDF" w:rsidRPr="004C0648">
        <w:rPr>
          <w:szCs w:val="24"/>
          <w:shd w:val="clear" w:color="auto" w:fill="FAFAFA"/>
          <w:lang w:val="en-US"/>
        </w:rPr>
        <w:t>rice-</w:t>
      </w:r>
      <w:r w:rsidR="00B3784F" w:rsidRPr="004C0648">
        <w:rPr>
          <w:szCs w:val="24"/>
          <w:shd w:val="clear" w:color="auto" w:fill="FAFAFA"/>
          <w:lang w:val="en-US"/>
        </w:rPr>
        <w:t>d</w:t>
      </w:r>
      <w:r w:rsidR="00B11CDF" w:rsidRPr="004C0648">
        <w:rPr>
          <w:szCs w:val="24"/>
          <w:shd w:val="clear" w:color="auto" w:fill="FAFAFA"/>
          <w:lang w:val="en-US"/>
        </w:rPr>
        <w:t>ividend ratios</w:t>
      </w:r>
      <w:r w:rsidR="00B3784F" w:rsidRPr="004C0648">
        <w:rPr>
          <w:szCs w:val="24"/>
          <w:shd w:val="clear" w:color="auto" w:fill="FAFAFA"/>
          <w:lang w:val="en-US"/>
        </w:rPr>
        <w:t>.</w:t>
      </w:r>
      <w:r w:rsidR="00B11CDF" w:rsidRPr="004C0648">
        <w:rPr>
          <w:szCs w:val="24"/>
          <w:shd w:val="clear" w:color="auto" w:fill="FAFAFA"/>
          <w:lang w:val="en-US"/>
        </w:rPr>
        <w:t xml:space="preserve"> </w:t>
      </w:r>
      <w:r w:rsidR="00A51C58" w:rsidRPr="00C212DD">
        <w:rPr>
          <w:szCs w:val="24"/>
          <w:shd w:val="clear" w:color="auto" w:fill="FAFAFA"/>
          <w:lang w:val="en-US"/>
        </w:rPr>
        <w:t>R</w:t>
      </w:r>
      <w:r w:rsidR="00B11CDF" w:rsidRPr="00C212DD">
        <w:rPr>
          <w:szCs w:val="24"/>
          <w:shd w:val="clear" w:color="auto" w:fill="FAFAFA"/>
          <w:lang w:val="en-US"/>
        </w:rPr>
        <w:t>eview of Financial Studies</w:t>
      </w:r>
      <w:r w:rsidR="00570C33" w:rsidRPr="004C0648">
        <w:rPr>
          <w:szCs w:val="24"/>
          <w:shd w:val="clear" w:color="auto" w:fill="FAFAFA"/>
          <w:lang w:val="en-US"/>
        </w:rPr>
        <w:t xml:space="preserve"> </w:t>
      </w:r>
      <w:r w:rsidR="00B11CDF" w:rsidRPr="004C0648">
        <w:rPr>
          <w:szCs w:val="24"/>
          <w:shd w:val="clear" w:color="auto" w:fill="FAFAFA"/>
          <w:lang w:val="en-US"/>
        </w:rPr>
        <w:t>5(2)</w:t>
      </w:r>
      <w:r w:rsidR="003B4A8A">
        <w:rPr>
          <w:szCs w:val="24"/>
          <w:shd w:val="clear" w:color="auto" w:fill="FAFAFA"/>
          <w:lang w:val="en-US"/>
        </w:rPr>
        <w:t>,</w:t>
      </w:r>
      <w:r w:rsidR="00B11CDF" w:rsidRPr="004C0648">
        <w:rPr>
          <w:szCs w:val="24"/>
          <w:shd w:val="clear" w:color="auto" w:fill="FAFAFA"/>
          <w:lang w:val="en-US"/>
        </w:rPr>
        <w:t xml:space="preserve"> 243</w:t>
      </w:r>
      <w:r w:rsidR="00B3784F" w:rsidRPr="004C0648">
        <w:rPr>
          <w:szCs w:val="24"/>
          <w:shd w:val="clear" w:color="auto" w:fill="FAFAFA"/>
          <w:lang w:val="en-US"/>
        </w:rPr>
        <w:t>–</w:t>
      </w:r>
      <w:r w:rsidR="00B11CDF" w:rsidRPr="004C0648">
        <w:rPr>
          <w:szCs w:val="24"/>
          <w:shd w:val="clear" w:color="auto" w:fill="FAFAFA"/>
          <w:lang w:val="en-US"/>
        </w:rPr>
        <w:t>280.</w:t>
      </w:r>
    </w:p>
    <w:p w14:paraId="4B12B57A" w14:textId="28B09CB0" w:rsidR="00AB44BD" w:rsidRPr="004C0648" w:rsidRDefault="00943621" w:rsidP="00C212DD">
      <w:pPr>
        <w:spacing w:after="200" w:line="259" w:lineRule="auto"/>
        <w:ind w:left="567" w:hanging="567"/>
        <w:rPr>
          <w:szCs w:val="24"/>
          <w:shd w:val="clear" w:color="auto" w:fill="FAFAFA"/>
          <w:lang w:val="en-US"/>
        </w:rPr>
      </w:pPr>
      <w:r w:rsidRPr="004C0648">
        <w:rPr>
          <w:szCs w:val="24"/>
          <w:shd w:val="clear" w:color="auto" w:fill="FAFAFA"/>
          <w:lang w:val="en-US"/>
        </w:rPr>
        <w:t>Corsi</w:t>
      </w:r>
      <w:r w:rsidR="00570C33" w:rsidRPr="004C0648">
        <w:rPr>
          <w:szCs w:val="24"/>
          <w:shd w:val="clear" w:color="auto" w:fill="FAFAFA"/>
          <w:lang w:val="en-US"/>
        </w:rPr>
        <w:t>,</w:t>
      </w:r>
      <w:r w:rsidRPr="004C0648">
        <w:rPr>
          <w:szCs w:val="24"/>
          <w:shd w:val="clear" w:color="auto" w:fill="FAFAFA"/>
          <w:lang w:val="en-US"/>
        </w:rPr>
        <w:t xml:space="preserve"> F</w:t>
      </w:r>
      <w:r w:rsidR="00570C33" w:rsidRPr="004C0648">
        <w:rPr>
          <w:szCs w:val="24"/>
          <w:shd w:val="clear" w:color="auto" w:fill="FAFAFA"/>
          <w:lang w:val="en-US"/>
        </w:rPr>
        <w:t>.</w:t>
      </w:r>
      <w:r w:rsidR="003B4A8A">
        <w:rPr>
          <w:szCs w:val="24"/>
          <w:shd w:val="clear" w:color="auto" w:fill="FAFAFA"/>
          <w:lang w:val="en-US"/>
        </w:rPr>
        <w:t xml:space="preserve">, </w:t>
      </w:r>
      <w:r w:rsidRPr="004C0648">
        <w:rPr>
          <w:szCs w:val="24"/>
          <w:shd w:val="clear" w:color="auto" w:fill="FAFAFA"/>
          <w:lang w:val="en-US"/>
        </w:rPr>
        <w:t>Sornette</w:t>
      </w:r>
      <w:r w:rsidR="00570C33" w:rsidRPr="004C0648">
        <w:rPr>
          <w:szCs w:val="24"/>
          <w:shd w:val="clear" w:color="auto" w:fill="FAFAFA"/>
          <w:lang w:val="en-US"/>
        </w:rPr>
        <w:t>,</w:t>
      </w:r>
      <w:r w:rsidR="00B3784F" w:rsidRPr="004C0648">
        <w:rPr>
          <w:szCs w:val="24"/>
          <w:shd w:val="clear" w:color="auto" w:fill="FAFAFA"/>
          <w:lang w:val="en-US"/>
        </w:rPr>
        <w:t xml:space="preserve"> </w:t>
      </w:r>
      <w:r w:rsidR="00616EDA" w:rsidRPr="004C0648">
        <w:rPr>
          <w:szCs w:val="24"/>
          <w:shd w:val="clear" w:color="auto" w:fill="FAFAFA"/>
          <w:lang w:val="en-US"/>
        </w:rPr>
        <w:t>D.</w:t>
      </w:r>
      <w:r w:rsidR="003B4A8A">
        <w:rPr>
          <w:szCs w:val="24"/>
          <w:shd w:val="clear" w:color="auto" w:fill="FAFAFA"/>
          <w:lang w:val="en-US"/>
        </w:rPr>
        <w:t xml:space="preserve">, </w:t>
      </w:r>
      <w:r w:rsidRPr="004C0648">
        <w:rPr>
          <w:szCs w:val="24"/>
          <w:shd w:val="clear" w:color="auto" w:fill="FAFAFA"/>
          <w:lang w:val="en-US"/>
        </w:rPr>
        <w:t>2014</w:t>
      </w:r>
      <w:r w:rsidR="00B3784F" w:rsidRPr="004C0648">
        <w:rPr>
          <w:szCs w:val="24"/>
          <w:shd w:val="clear" w:color="auto" w:fill="FAFAFA"/>
          <w:lang w:val="en-US"/>
        </w:rPr>
        <w:t>.</w:t>
      </w:r>
      <w:r w:rsidRPr="004C0648">
        <w:rPr>
          <w:szCs w:val="24"/>
          <w:shd w:val="clear" w:color="auto" w:fill="FAFAFA"/>
          <w:lang w:val="en-US"/>
        </w:rPr>
        <w:t xml:space="preserve"> Follow the money: The monetary roots of bubbles and crashes</w:t>
      </w:r>
      <w:r w:rsidR="00B3784F" w:rsidRPr="004C0648">
        <w:rPr>
          <w:szCs w:val="24"/>
          <w:shd w:val="clear" w:color="auto" w:fill="FAFAFA"/>
          <w:lang w:val="en-US"/>
        </w:rPr>
        <w:t>.</w:t>
      </w:r>
      <w:r w:rsidRPr="004C0648">
        <w:rPr>
          <w:szCs w:val="24"/>
          <w:shd w:val="clear" w:color="auto" w:fill="FAFAFA"/>
          <w:lang w:val="en-US"/>
        </w:rPr>
        <w:t xml:space="preserve"> </w:t>
      </w:r>
      <w:r w:rsidRPr="00C212DD">
        <w:rPr>
          <w:szCs w:val="24"/>
          <w:shd w:val="clear" w:color="auto" w:fill="FAFAFA"/>
          <w:lang w:val="en-US"/>
        </w:rPr>
        <w:t>International Review of Financial Analysis</w:t>
      </w:r>
      <w:r w:rsidR="00570C33" w:rsidRPr="004C0648">
        <w:rPr>
          <w:szCs w:val="24"/>
          <w:shd w:val="clear" w:color="auto" w:fill="FAFAFA"/>
          <w:lang w:val="en-US"/>
        </w:rPr>
        <w:t xml:space="preserve"> </w:t>
      </w:r>
      <w:r w:rsidRPr="004C0648">
        <w:rPr>
          <w:szCs w:val="24"/>
          <w:shd w:val="clear" w:color="auto" w:fill="FAFAFA"/>
          <w:lang w:val="en-US"/>
        </w:rPr>
        <w:t>32</w:t>
      </w:r>
      <w:r w:rsidR="003B4A8A">
        <w:rPr>
          <w:szCs w:val="24"/>
          <w:shd w:val="clear" w:color="auto" w:fill="FAFAFA"/>
          <w:lang w:val="en-US"/>
        </w:rPr>
        <w:t>,</w:t>
      </w:r>
      <w:r w:rsidRPr="004C0648">
        <w:rPr>
          <w:szCs w:val="24"/>
          <w:shd w:val="clear" w:color="auto" w:fill="FAFAFA"/>
          <w:lang w:val="en-US"/>
        </w:rPr>
        <w:t xml:space="preserve"> 47</w:t>
      </w:r>
      <w:r w:rsidR="00B3784F" w:rsidRPr="004C0648">
        <w:rPr>
          <w:szCs w:val="24"/>
          <w:shd w:val="clear" w:color="auto" w:fill="FAFAFA"/>
          <w:lang w:val="en-US"/>
        </w:rPr>
        <w:t>–</w:t>
      </w:r>
      <w:r w:rsidRPr="004C0648">
        <w:rPr>
          <w:szCs w:val="24"/>
          <w:shd w:val="clear" w:color="auto" w:fill="FAFAFA"/>
          <w:lang w:val="en-US"/>
        </w:rPr>
        <w:t>59.</w:t>
      </w:r>
    </w:p>
    <w:p w14:paraId="27C8F272" w14:textId="756DA37C" w:rsidR="00AB44BD" w:rsidRPr="004C0648" w:rsidRDefault="00E058BE" w:rsidP="00C212DD">
      <w:pPr>
        <w:spacing w:after="200" w:line="259" w:lineRule="auto"/>
        <w:ind w:left="567" w:hanging="567"/>
        <w:rPr>
          <w:szCs w:val="24"/>
          <w:shd w:val="clear" w:color="auto" w:fill="FAFAFA"/>
          <w:lang w:val="en-US"/>
        </w:rPr>
      </w:pPr>
      <w:r w:rsidRPr="004C0648">
        <w:rPr>
          <w:szCs w:val="24"/>
          <w:shd w:val="clear" w:color="auto" w:fill="FAFAFA"/>
          <w:lang w:val="en-US"/>
        </w:rPr>
        <w:t>Craine</w:t>
      </w:r>
      <w:r w:rsidR="00570C33" w:rsidRPr="004C0648">
        <w:rPr>
          <w:szCs w:val="24"/>
          <w:shd w:val="clear" w:color="auto" w:fill="FAFAFA"/>
          <w:lang w:val="en-US"/>
        </w:rPr>
        <w:t xml:space="preserve">, </w:t>
      </w:r>
      <w:r w:rsidRPr="004C0648">
        <w:rPr>
          <w:szCs w:val="24"/>
          <w:shd w:val="clear" w:color="auto" w:fill="FAFAFA"/>
          <w:lang w:val="en-US"/>
        </w:rPr>
        <w:t>R.</w:t>
      </w:r>
      <w:r w:rsidR="003A1EE0">
        <w:rPr>
          <w:szCs w:val="24"/>
          <w:shd w:val="clear" w:color="auto" w:fill="FAFAFA"/>
          <w:lang w:val="en-US"/>
        </w:rPr>
        <w:t xml:space="preserve">, </w:t>
      </w:r>
      <w:r w:rsidRPr="004C0648">
        <w:rPr>
          <w:szCs w:val="24"/>
          <w:shd w:val="clear" w:color="auto" w:fill="FAFAFA"/>
          <w:lang w:val="en-US"/>
        </w:rPr>
        <w:t>1993</w:t>
      </w:r>
      <w:r w:rsidR="00B3784F" w:rsidRPr="004C0648">
        <w:rPr>
          <w:szCs w:val="24"/>
          <w:shd w:val="clear" w:color="auto" w:fill="FAFAFA"/>
          <w:lang w:val="en-US"/>
        </w:rPr>
        <w:t>.</w:t>
      </w:r>
      <w:r w:rsidRPr="004C0648">
        <w:rPr>
          <w:szCs w:val="24"/>
          <w:shd w:val="clear" w:color="auto" w:fill="FAFAFA"/>
          <w:lang w:val="en-US"/>
        </w:rPr>
        <w:t xml:space="preserve"> Rational bubbles </w:t>
      </w:r>
      <w:r w:rsidR="00B3784F" w:rsidRPr="004C0648">
        <w:rPr>
          <w:szCs w:val="24"/>
          <w:shd w:val="clear" w:color="auto" w:fill="FAFAFA"/>
          <w:lang w:val="en-US"/>
        </w:rPr>
        <w:t xml:space="preserve">– </w:t>
      </w:r>
      <w:r w:rsidRPr="004C0648">
        <w:rPr>
          <w:szCs w:val="24"/>
          <w:shd w:val="clear" w:color="auto" w:fill="FAFAFA"/>
          <w:lang w:val="en-US"/>
        </w:rPr>
        <w:t>A test</w:t>
      </w:r>
      <w:r w:rsidR="00B3784F" w:rsidRPr="004C0648">
        <w:rPr>
          <w:szCs w:val="24"/>
          <w:shd w:val="clear" w:color="auto" w:fill="FAFAFA"/>
          <w:lang w:val="en-US"/>
        </w:rPr>
        <w:t>.</w:t>
      </w:r>
      <w:r w:rsidRPr="004C0648">
        <w:rPr>
          <w:szCs w:val="24"/>
          <w:shd w:val="clear" w:color="auto" w:fill="FAFAFA"/>
          <w:lang w:val="en-US"/>
        </w:rPr>
        <w:t xml:space="preserve"> </w:t>
      </w:r>
      <w:r w:rsidRPr="00C212DD">
        <w:rPr>
          <w:szCs w:val="24"/>
          <w:shd w:val="clear" w:color="auto" w:fill="FAFAFA"/>
          <w:lang w:val="en-US"/>
        </w:rPr>
        <w:t>Journal of Economic Dynamics and Control</w:t>
      </w:r>
      <w:r w:rsidR="00570C33" w:rsidRPr="004C0648">
        <w:rPr>
          <w:szCs w:val="24"/>
          <w:shd w:val="clear" w:color="auto" w:fill="FAFAFA"/>
          <w:lang w:val="en-US"/>
        </w:rPr>
        <w:t xml:space="preserve"> </w:t>
      </w:r>
      <w:r w:rsidRPr="004C0648">
        <w:rPr>
          <w:szCs w:val="24"/>
          <w:shd w:val="clear" w:color="auto" w:fill="FAFAFA"/>
          <w:lang w:val="en-US"/>
        </w:rPr>
        <w:t>17</w:t>
      </w:r>
      <w:r w:rsidR="003A1EE0">
        <w:rPr>
          <w:szCs w:val="24"/>
          <w:shd w:val="clear" w:color="auto" w:fill="FAFAFA"/>
          <w:lang w:val="en-US"/>
        </w:rPr>
        <w:t>,</w:t>
      </w:r>
      <w:r w:rsidRPr="004C0648">
        <w:rPr>
          <w:szCs w:val="24"/>
          <w:shd w:val="clear" w:color="auto" w:fill="FAFAFA"/>
          <w:lang w:val="en-US"/>
        </w:rPr>
        <w:t xml:space="preserve"> 829</w:t>
      </w:r>
      <w:r w:rsidR="00B3784F" w:rsidRPr="004C0648">
        <w:rPr>
          <w:szCs w:val="24"/>
          <w:shd w:val="clear" w:color="auto" w:fill="FAFAFA"/>
          <w:lang w:val="en-US"/>
        </w:rPr>
        <w:t>–</w:t>
      </w:r>
      <w:r w:rsidRPr="004C0648">
        <w:rPr>
          <w:szCs w:val="24"/>
          <w:shd w:val="clear" w:color="auto" w:fill="FAFAFA"/>
          <w:lang w:val="en-US"/>
        </w:rPr>
        <w:t>846.</w:t>
      </w:r>
    </w:p>
    <w:p w14:paraId="6309D32F" w14:textId="67D17CB8" w:rsidR="008919A2" w:rsidRPr="008919A2" w:rsidRDefault="008919A2" w:rsidP="00C212DD">
      <w:pPr>
        <w:spacing w:after="200" w:line="259" w:lineRule="auto"/>
        <w:ind w:left="567" w:hanging="567"/>
        <w:rPr>
          <w:szCs w:val="24"/>
          <w:shd w:val="clear" w:color="auto" w:fill="FAFAFA"/>
          <w:lang w:val="en-US"/>
        </w:rPr>
      </w:pPr>
      <w:r w:rsidRPr="008919A2">
        <w:rPr>
          <w:szCs w:val="24"/>
          <w:lang w:val="en-US"/>
        </w:rPr>
        <w:t>Demirgüc-Kunt, A., Detragiache, E.</w:t>
      </w:r>
      <w:r w:rsidR="003A1EE0">
        <w:rPr>
          <w:szCs w:val="24"/>
          <w:lang w:val="en-US"/>
        </w:rPr>
        <w:t xml:space="preserve">, </w:t>
      </w:r>
      <w:r w:rsidRPr="008919A2">
        <w:rPr>
          <w:szCs w:val="24"/>
          <w:lang w:val="en-US"/>
        </w:rPr>
        <w:t xml:space="preserve">1998. The Determinants of Banking Crises in Developed Countries. </w:t>
      </w:r>
      <w:r w:rsidRPr="00C212DD">
        <w:rPr>
          <w:szCs w:val="24"/>
          <w:lang w:val="en-US"/>
        </w:rPr>
        <w:t>IMF Staff Papers</w:t>
      </w:r>
      <w:r w:rsidRPr="008D5A38">
        <w:rPr>
          <w:szCs w:val="24"/>
          <w:lang w:val="en-US"/>
        </w:rPr>
        <w:t xml:space="preserve"> 45(1), 81–109.</w:t>
      </w:r>
    </w:p>
    <w:p w14:paraId="0AF78EC4" w14:textId="46F5C28D" w:rsidR="00AB44BD" w:rsidRPr="00A22DE9" w:rsidRDefault="00273140" w:rsidP="00C212DD">
      <w:pPr>
        <w:spacing w:after="200" w:line="259" w:lineRule="auto"/>
        <w:ind w:left="567" w:hanging="567"/>
        <w:rPr>
          <w:shd w:val="clear" w:color="auto" w:fill="FAFAFA"/>
          <w:lang w:val="en-US"/>
        </w:rPr>
      </w:pPr>
      <w:r w:rsidRPr="008919A2">
        <w:rPr>
          <w:szCs w:val="24"/>
          <w:shd w:val="clear" w:color="auto" w:fill="FAFAFA"/>
          <w:lang w:val="en-US"/>
        </w:rPr>
        <w:t>Demirgüc-Kunt</w:t>
      </w:r>
      <w:r w:rsidR="00570C33" w:rsidRPr="008919A2">
        <w:rPr>
          <w:szCs w:val="24"/>
          <w:shd w:val="clear" w:color="auto" w:fill="FAFAFA"/>
          <w:lang w:val="en-US"/>
        </w:rPr>
        <w:t>,</w:t>
      </w:r>
      <w:r w:rsidRPr="008919A2">
        <w:rPr>
          <w:szCs w:val="24"/>
          <w:shd w:val="clear" w:color="auto" w:fill="FAFAFA"/>
          <w:lang w:val="en-US"/>
        </w:rPr>
        <w:t xml:space="preserve"> A</w:t>
      </w:r>
      <w:r w:rsidR="00570C33" w:rsidRPr="008919A2">
        <w:rPr>
          <w:szCs w:val="24"/>
          <w:shd w:val="clear" w:color="auto" w:fill="FAFAFA"/>
          <w:lang w:val="en-US"/>
        </w:rPr>
        <w:t>.</w:t>
      </w:r>
      <w:r w:rsidR="003A1EE0">
        <w:rPr>
          <w:szCs w:val="24"/>
          <w:shd w:val="clear" w:color="auto" w:fill="FAFAFA"/>
          <w:lang w:val="en-US"/>
        </w:rPr>
        <w:t xml:space="preserve">, </w:t>
      </w:r>
      <w:r w:rsidRPr="008919A2">
        <w:rPr>
          <w:szCs w:val="24"/>
          <w:shd w:val="clear" w:color="auto" w:fill="FAFAFA"/>
          <w:lang w:val="en-US"/>
        </w:rPr>
        <w:t>Detragiache</w:t>
      </w:r>
      <w:r w:rsidR="00570C33" w:rsidRPr="008919A2">
        <w:rPr>
          <w:szCs w:val="24"/>
          <w:shd w:val="clear" w:color="auto" w:fill="FAFAFA"/>
          <w:lang w:val="en-US"/>
        </w:rPr>
        <w:t xml:space="preserve">, </w:t>
      </w:r>
      <w:r w:rsidR="00616EDA" w:rsidRPr="008919A2">
        <w:rPr>
          <w:szCs w:val="24"/>
          <w:shd w:val="clear" w:color="auto" w:fill="FAFAFA"/>
          <w:lang w:val="en-US"/>
        </w:rPr>
        <w:t>E.</w:t>
      </w:r>
      <w:r w:rsidR="003A1EE0">
        <w:rPr>
          <w:szCs w:val="24"/>
          <w:shd w:val="clear" w:color="auto" w:fill="FAFAFA"/>
          <w:lang w:val="en-US"/>
        </w:rPr>
        <w:t xml:space="preserve">, </w:t>
      </w:r>
      <w:r w:rsidR="00035260" w:rsidRPr="008919A2">
        <w:rPr>
          <w:szCs w:val="24"/>
          <w:shd w:val="clear" w:color="auto" w:fill="FAFAFA"/>
          <w:lang w:val="en-US"/>
        </w:rPr>
        <w:t>2000</w:t>
      </w:r>
      <w:r w:rsidR="00B3784F" w:rsidRPr="00655A64">
        <w:rPr>
          <w:szCs w:val="24"/>
          <w:shd w:val="clear" w:color="auto" w:fill="FAFAFA"/>
          <w:lang w:val="en-US"/>
        </w:rPr>
        <w:t>.</w:t>
      </w:r>
      <w:r w:rsidRPr="00655A64">
        <w:rPr>
          <w:szCs w:val="24"/>
          <w:shd w:val="clear" w:color="auto" w:fill="FAFAFA"/>
          <w:lang w:val="en-US"/>
        </w:rPr>
        <w:t xml:space="preserve"> Monitoring </w:t>
      </w:r>
      <w:r w:rsidR="00B3784F" w:rsidRPr="00655A64">
        <w:rPr>
          <w:szCs w:val="24"/>
          <w:shd w:val="clear" w:color="auto" w:fill="FAFAFA"/>
          <w:lang w:val="en-US"/>
        </w:rPr>
        <w:t>banking</w:t>
      </w:r>
      <w:r w:rsidR="00B3784F" w:rsidRPr="00A22DE9">
        <w:rPr>
          <w:shd w:val="clear" w:color="auto" w:fill="FAFAFA"/>
          <w:lang w:val="en-US"/>
        </w:rPr>
        <w:t xml:space="preserve"> sector fragility</w:t>
      </w:r>
      <w:r w:rsidRPr="00A22DE9">
        <w:rPr>
          <w:shd w:val="clear" w:color="auto" w:fill="FAFAFA"/>
          <w:lang w:val="en-US"/>
        </w:rPr>
        <w:t xml:space="preserve">: A </w:t>
      </w:r>
      <w:r w:rsidR="00B3784F" w:rsidRPr="00A22DE9">
        <w:rPr>
          <w:shd w:val="clear" w:color="auto" w:fill="FAFAFA"/>
          <w:lang w:val="en-US"/>
        </w:rPr>
        <w:t>multivariate logit approach.</w:t>
      </w:r>
      <w:r w:rsidRPr="00A22DE9">
        <w:rPr>
          <w:shd w:val="clear" w:color="auto" w:fill="FAFAFA"/>
          <w:lang w:val="en-US"/>
        </w:rPr>
        <w:t xml:space="preserve"> </w:t>
      </w:r>
      <w:r w:rsidR="00035260" w:rsidRPr="00C212DD">
        <w:rPr>
          <w:shd w:val="clear" w:color="auto" w:fill="FAFAFA"/>
          <w:lang w:val="en-US"/>
        </w:rPr>
        <w:t>World Bank Economic Revie</w:t>
      </w:r>
      <w:r w:rsidR="007932AC">
        <w:rPr>
          <w:shd w:val="clear" w:color="auto" w:fill="FAFAFA"/>
          <w:lang w:val="en-US"/>
        </w:rPr>
        <w:t>w</w:t>
      </w:r>
      <w:r w:rsidR="00570C33" w:rsidRPr="00A22DE9">
        <w:rPr>
          <w:shd w:val="clear" w:color="auto" w:fill="FAFAFA"/>
          <w:lang w:val="en-US"/>
        </w:rPr>
        <w:t xml:space="preserve"> </w:t>
      </w:r>
      <w:r w:rsidR="00035260" w:rsidRPr="003555A8">
        <w:rPr>
          <w:shd w:val="clear" w:color="auto" w:fill="FAFAFA"/>
          <w:lang w:val="en-US"/>
        </w:rPr>
        <w:t>14</w:t>
      </w:r>
      <w:r w:rsidR="003A1EE0">
        <w:rPr>
          <w:shd w:val="clear" w:color="auto" w:fill="FAFAFA"/>
          <w:lang w:val="en-US"/>
        </w:rPr>
        <w:t>,</w:t>
      </w:r>
      <w:r w:rsidR="00035260" w:rsidRPr="00A22DE9">
        <w:rPr>
          <w:shd w:val="clear" w:color="auto" w:fill="FAFAFA"/>
          <w:lang w:val="en-US"/>
        </w:rPr>
        <w:t xml:space="preserve"> 287</w:t>
      </w:r>
      <w:r w:rsidR="00B3784F" w:rsidRPr="00A22DE9">
        <w:rPr>
          <w:shd w:val="clear" w:color="auto" w:fill="FAFAFA"/>
          <w:lang w:val="en-US"/>
        </w:rPr>
        <w:t>–</w:t>
      </w:r>
      <w:r w:rsidR="00035260" w:rsidRPr="00A22DE9">
        <w:rPr>
          <w:shd w:val="clear" w:color="auto" w:fill="FAFAFA"/>
          <w:lang w:val="en-US"/>
        </w:rPr>
        <w:t>307</w:t>
      </w:r>
      <w:r w:rsidRPr="00A22DE9">
        <w:rPr>
          <w:shd w:val="clear" w:color="auto" w:fill="FAFAFA"/>
          <w:lang w:val="en-US"/>
        </w:rPr>
        <w:t>.</w:t>
      </w:r>
    </w:p>
    <w:p w14:paraId="562C9CC4" w14:textId="25978CD9" w:rsidR="0062595D" w:rsidRPr="001F6941" w:rsidRDefault="0062595D" w:rsidP="00C212DD">
      <w:pPr>
        <w:spacing w:after="200" w:line="259" w:lineRule="auto"/>
        <w:ind w:left="567" w:hanging="567"/>
        <w:rPr>
          <w:shd w:val="clear" w:color="auto" w:fill="FAFAFA"/>
          <w:lang w:val="en-US"/>
        </w:rPr>
      </w:pPr>
      <w:r w:rsidRPr="001F6941">
        <w:rPr>
          <w:shd w:val="clear" w:color="auto" w:fill="FAFAFA"/>
          <w:lang w:val="en-US"/>
        </w:rPr>
        <w:t>Detken</w:t>
      </w:r>
      <w:r>
        <w:rPr>
          <w:shd w:val="clear" w:color="auto" w:fill="FAFAFA"/>
          <w:lang w:val="en-US"/>
        </w:rPr>
        <w:t>,</w:t>
      </w:r>
      <w:r w:rsidRPr="001F6941">
        <w:rPr>
          <w:shd w:val="clear" w:color="auto" w:fill="FAFAFA"/>
          <w:lang w:val="en-US"/>
        </w:rPr>
        <w:t xml:space="preserve"> K, Weeken, O., Alessi, L., Bonfim, D., Boucinha, M., Castro, C., Frontczak, S., Giordana, G., Giese, J., Jahn, N., Kakes, J., Klaus, B., Lang, J., Puzanova, N., Welz, P.</w:t>
      </w:r>
      <w:r w:rsidR="003A1EE0">
        <w:rPr>
          <w:shd w:val="clear" w:color="auto" w:fill="FAFAFA"/>
          <w:lang w:val="en-US"/>
        </w:rPr>
        <w:t xml:space="preserve">, </w:t>
      </w:r>
      <w:r w:rsidRPr="001F6941">
        <w:rPr>
          <w:shd w:val="clear" w:color="auto" w:fill="FAFAFA"/>
          <w:lang w:val="en-US"/>
        </w:rPr>
        <w:t xml:space="preserve">2014. Operationalising the countercyclical capital buffer: indicator selection, threshold identification and calibration options. </w:t>
      </w:r>
      <w:r w:rsidRPr="00C212DD">
        <w:rPr>
          <w:shd w:val="clear" w:color="auto" w:fill="FAFAFA"/>
          <w:lang w:val="en-US"/>
        </w:rPr>
        <w:t xml:space="preserve">ERSB Occasional Paper Series </w:t>
      </w:r>
      <w:r w:rsidR="003A1EE0">
        <w:rPr>
          <w:shd w:val="clear" w:color="auto" w:fill="FAFAFA"/>
          <w:lang w:val="en-US"/>
        </w:rPr>
        <w:t>n</w:t>
      </w:r>
      <w:r w:rsidRPr="003A1EE0">
        <w:rPr>
          <w:shd w:val="clear" w:color="auto" w:fill="FAFAFA"/>
          <w:lang w:val="en-US"/>
        </w:rPr>
        <w:t>. 5</w:t>
      </w:r>
      <w:r w:rsidR="003A1EE0">
        <w:rPr>
          <w:shd w:val="clear" w:color="auto" w:fill="FAFAFA"/>
          <w:lang w:val="en-US"/>
        </w:rPr>
        <w:t xml:space="preserve">, </w:t>
      </w:r>
      <w:r w:rsidRPr="001F6941">
        <w:rPr>
          <w:shd w:val="clear" w:color="auto" w:fill="FAFAFA"/>
          <w:lang w:val="en-US"/>
        </w:rPr>
        <w:t xml:space="preserve"> June 2014.</w:t>
      </w:r>
    </w:p>
    <w:p w14:paraId="0886E173" w14:textId="10E60A20" w:rsidR="00AB44BD" w:rsidRPr="00A22DE9" w:rsidRDefault="00F53401" w:rsidP="00C212DD">
      <w:pPr>
        <w:spacing w:after="200" w:line="259" w:lineRule="auto"/>
        <w:ind w:left="567" w:hanging="567"/>
        <w:rPr>
          <w:shd w:val="clear" w:color="auto" w:fill="FAFAFA"/>
          <w:lang w:val="en-US"/>
        </w:rPr>
      </w:pPr>
      <w:r w:rsidRPr="00A22DE9">
        <w:rPr>
          <w:shd w:val="clear" w:color="auto" w:fill="FAFAFA"/>
          <w:lang w:val="en-US"/>
        </w:rPr>
        <w:t>Drehmann</w:t>
      </w:r>
      <w:r w:rsidR="00570C33" w:rsidRPr="00A22DE9">
        <w:rPr>
          <w:shd w:val="clear" w:color="auto" w:fill="FAFAFA"/>
          <w:lang w:val="en-US"/>
        </w:rPr>
        <w:t>,</w:t>
      </w:r>
      <w:r w:rsidR="00BE32CD" w:rsidRPr="00A22DE9">
        <w:rPr>
          <w:shd w:val="clear" w:color="auto" w:fill="FAFAFA"/>
          <w:lang w:val="en-US"/>
        </w:rPr>
        <w:t xml:space="preserve"> </w:t>
      </w:r>
      <w:r w:rsidRPr="00A22DE9">
        <w:rPr>
          <w:shd w:val="clear" w:color="auto" w:fill="FAFAFA"/>
          <w:lang w:val="en-US"/>
        </w:rPr>
        <w:t>M</w:t>
      </w:r>
      <w:r w:rsidR="00570C33" w:rsidRPr="00A22DE9">
        <w:rPr>
          <w:shd w:val="clear" w:color="auto" w:fill="FAFAFA"/>
          <w:lang w:val="en-US"/>
        </w:rPr>
        <w:t>.</w:t>
      </w:r>
      <w:r w:rsidRPr="00A22DE9">
        <w:rPr>
          <w:shd w:val="clear" w:color="auto" w:fill="FAFAFA"/>
          <w:lang w:val="en-US"/>
        </w:rPr>
        <w:t>, Borio</w:t>
      </w:r>
      <w:r w:rsidR="00570C33" w:rsidRPr="00A22DE9">
        <w:rPr>
          <w:shd w:val="clear" w:color="auto" w:fill="FAFAFA"/>
          <w:lang w:val="en-US"/>
        </w:rPr>
        <w:t>,</w:t>
      </w:r>
      <w:r w:rsidR="00616EDA" w:rsidRPr="00A22DE9">
        <w:rPr>
          <w:shd w:val="clear" w:color="auto" w:fill="FAFAFA"/>
          <w:lang w:val="en-US"/>
        </w:rPr>
        <w:t xml:space="preserve"> M</w:t>
      </w:r>
      <w:r w:rsidR="00570C33" w:rsidRPr="00A22DE9">
        <w:rPr>
          <w:shd w:val="clear" w:color="auto" w:fill="FAFAFA"/>
          <w:lang w:val="en-US"/>
        </w:rPr>
        <w:t>.</w:t>
      </w:r>
      <w:r w:rsidR="00BE32CD" w:rsidRPr="00A22DE9">
        <w:rPr>
          <w:shd w:val="clear" w:color="auto" w:fill="FAFAFA"/>
          <w:lang w:val="en-US"/>
        </w:rPr>
        <w:t>,</w:t>
      </w:r>
      <w:r w:rsidR="00570C33" w:rsidRPr="00A22DE9">
        <w:rPr>
          <w:shd w:val="clear" w:color="auto" w:fill="FAFAFA"/>
          <w:lang w:val="en-US"/>
        </w:rPr>
        <w:t xml:space="preserve"> </w:t>
      </w:r>
      <w:r w:rsidRPr="00A22DE9">
        <w:rPr>
          <w:shd w:val="clear" w:color="auto" w:fill="FAFAFA"/>
          <w:lang w:val="en-US"/>
        </w:rPr>
        <w:t>Tsatsaronis</w:t>
      </w:r>
      <w:r w:rsidR="00570C33" w:rsidRPr="00A22DE9">
        <w:rPr>
          <w:shd w:val="clear" w:color="auto" w:fill="FAFAFA"/>
          <w:lang w:val="en-US"/>
        </w:rPr>
        <w:t xml:space="preserve">, </w:t>
      </w:r>
      <w:r w:rsidR="00616EDA" w:rsidRPr="00A22DE9">
        <w:rPr>
          <w:shd w:val="clear" w:color="auto" w:fill="FAFAFA"/>
          <w:lang w:val="en-US"/>
        </w:rPr>
        <w:t>K.</w:t>
      </w:r>
      <w:r w:rsidR="003A1EE0">
        <w:rPr>
          <w:shd w:val="clear" w:color="auto" w:fill="FAFAFA"/>
          <w:lang w:val="en-US"/>
        </w:rPr>
        <w:t xml:space="preserve">, </w:t>
      </w:r>
      <w:r w:rsidRPr="00A22DE9">
        <w:rPr>
          <w:shd w:val="clear" w:color="auto" w:fill="FAFAFA"/>
          <w:lang w:val="en-US"/>
        </w:rPr>
        <w:t>2011</w:t>
      </w:r>
      <w:r w:rsidR="00BE32CD" w:rsidRPr="00A22DE9">
        <w:rPr>
          <w:shd w:val="clear" w:color="auto" w:fill="FAFAFA"/>
          <w:lang w:val="en-US"/>
        </w:rPr>
        <w:t>.</w:t>
      </w:r>
      <w:r w:rsidRPr="00A22DE9">
        <w:rPr>
          <w:shd w:val="clear" w:color="auto" w:fill="FAFAFA"/>
          <w:lang w:val="en-US"/>
        </w:rPr>
        <w:t xml:space="preserve"> Anchoring countercyclical capital buffers: </w:t>
      </w:r>
      <w:r w:rsidR="00BE32CD" w:rsidRPr="00A22DE9">
        <w:rPr>
          <w:shd w:val="clear" w:color="auto" w:fill="FAFAFA"/>
          <w:lang w:val="en-US"/>
        </w:rPr>
        <w:t xml:space="preserve">The </w:t>
      </w:r>
      <w:r w:rsidRPr="00A22DE9">
        <w:rPr>
          <w:shd w:val="clear" w:color="auto" w:fill="FAFAFA"/>
          <w:lang w:val="en-US"/>
        </w:rPr>
        <w:t>role of credit aggregates</w:t>
      </w:r>
      <w:r w:rsidR="00BE32CD" w:rsidRPr="00A22DE9">
        <w:rPr>
          <w:shd w:val="clear" w:color="auto" w:fill="FAFAFA"/>
          <w:lang w:val="en-US"/>
        </w:rPr>
        <w:t>.</w:t>
      </w:r>
      <w:r w:rsidRPr="00A22DE9">
        <w:rPr>
          <w:shd w:val="clear" w:color="auto" w:fill="FAFAFA"/>
          <w:lang w:val="en-US"/>
        </w:rPr>
        <w:t xml:space="preserve"> </w:t>
      </w:r>
      <w:r w:rsidRPr="00C212DD">
        <w:rPr>
          <w:shd w:val="clear" w:color="auto" w:fill="FAFAFA"/>
          <w:lang w:val="en-US"/>
        </w:rPr>
        <w:t>International Journal of Central Banking</w:t>
      </w:r>
      <w:r w:rsidR="00570C33" w:rsidRPr="00A22DE9">
        <w:rPr>
          <w:shd w:val="clear" w:color="auto" w:fill="FAFAFA"/>
          <w:lang w:val="en-US"/>
        </w:rPr>
        <w:t xml:space="preserve"> </w:t>
      </w:r>
      <w:r w:rsidRPr="003555A8">
        <w:rPr>
          <w:shd w:val="clear" w:color="auto" w:fill="FAFAFA"/>
          <w:lang w:val="en-US"/>
        </w:rPr>
        <w:t>7</w:t>
      </w:r>
      <w:r w:rsidR="003A1EE0">
        <w:rPr>
          <w:shd w:val="clear" w:color="auto" w:fill="FAFAFA"/>
          <w:lang w:val="en-US"/>
        </w:rPr>
        <w:t>,</w:t>
      </w:r>
      <w:r w:rsidR="00570C33" w:rsidRPr="00A22DE9">
        <w:rPr>
          <w:shd w:val="clear" w:color="auto" w:fill="FAFAFA"/>
          <w:lang w:val="en-US"/>
        </w:rPr>
        <w:t xml:space="preserve"> </w:t>
      </w:r>
      <w:r w:rsidRPr="00A22DE9">
        <w:rPr>
          <w:shd w:val="clear" w:color="auto" w:fill="FAFAFA"/>
          <w:lang w:val="en-US"/>
        </w:rPr>
        <w:t>189–240.</w:t>
      </w:r>
    </w:p>
    <w:p w14:paraId="3983AEE0" w14:textId="0A0E5E3E" w:rsidR="00AB44BD" w:rsidRPr="00A22DE9" w:rsidRDefault="00CA5CE7" w:rsidP="00C212DD">
      <w:pPr>
        <w:spacing w:after="200" w:line="259" w:lineRule="auto"/>
        <w:ind w:left="567" w:hanging="567"/>
        <w:rPr>
          <w:shd w:val="clear" w:color="auto" w:fill="FAFAFA"/>
          <w:lang w:val="en-US"/>
        </w:rPr>
      </w:pPr>
      <w:r w:rsidRPr="00A22DE9">
        <w:rPr>
          <w:shd w:val="clear" w:color="auto" w:fill="FAFAFA"/>
          <w:lang w:val="en-US"/>
        </w:rPr>
        <w:t>Drehmann</w:t>
      </w:r>
      <w:r w:rsidR="00570C33" w:rsidRPr="00A22DE9">
        <w:rPr>
          <w:shd w:val="clear" w:color="auto" w:fill="FAFAFA"/>
          <w:lang w:val="en-US"/>
        </w:rPr>
        <w:t>,</w:t>
      </w:r>
      <w:r w:rsidRPr="00A22DE9">
        <w:rPr>
          <w:shd w:val="clear" w:color="auto" w:fill="FAFAFA"/>
          <w:lang w:val="en-US"/>
        </w:rPr>
        <w:t xml:space="preserve"> M</w:t>
      </w:r>
      <w:r w:rsidR="00570C33" w:rsidRPr="00A22DE9">
        <w:rPr>
          <w:shd w:val="clear" w:color="auto" w:fill="FAFAFA"/>
          <w:lang w:val="en-US"/>
        </w:rPr>
        <w:t>.</w:t>
      </w:r>
      <w:r w:rsidR="003A1EE0">
        <w:rPr>
          <w:shd w:val="clear" w:color="auto" w:fill="FAFAFA"/>
          <w:lang w:val="en-US"/>
        </w:rPr>
        <w:t xml:space="preserve">, </w:t>
      </w:r>
      <w:r w:rsidRPr="00A22DE9">
        <w:rPr>
          <w:shd w:val="clear" w:color="auto" w:fill="FAFAFA"/>
          <w:lang w:val="en-US"/>
        </w:rPr>
        <w:t>Juselius</w:t>
      </w:r>
      <w:r w:rsidR="00570C33" w:rsidRPr="00A22DE9">
        <w:rPr>
          <w:shd w:val="clear" w:color="auto" w:fill="FAFAFA"/>
          <w:lang w:val="en-US"/>
        </w:rPr>
        <w:t>,</w:t>
      </w:r>
      <w:r w:rsidRPr="00A22DE9">
        <w:rPr>
          <w:shd w:val="clear" w:color="auto" w:fill="FAFAFA"/>
          <w:lang w:val="en-US"/>
        </w:rPr>
        <w:t xml:space="preserve"> </w:t>
      </w:r>
      <w:r w:rsidR="00616EDA" w:rsidRPr="00A22DE9">
        <w:rPr>
          <w:shd w:val="clear" w:color="auto" w:fill="FAFAFA"/>
          <w:lang w:val="en-US"/>
        </w:rPr>
        <w:t>M.</w:t>
      </w:r>
      <w:r w:rsidR="003A1EE0">
        <w:rPr>
          <w:shd w:val="clear" w:color="auto" w:fill="FAFAFA"/>
          <w:lang w:val="en-US"/>
        </w:rPr>
        <w:t xml:space="preserve">, </w:t>
      </w:r>
      <w:r w:rsidR="005404AB" w:rsidRPr="00A22DE9">
        <w:rPr>
          <w:shd w:val="clear" w:color="auto" w:fill="FAFAFA"/>
          <w:lang w:val="en-US"/>
        </w:rPr>
        <w:t>201</w:t>
      </w:r>
      <w:r w:rsidR="00853B1E">
        <w:rPr>
          <w:shd w:val="clear" w:color="auto" w:fill="FAFAFA"/>
          <w:lang w:val="en-US"/>
        </w:rPr>
        <w:t>4</w:t>
      </w:r>
      <w:r w:rsidR="00BE32CD" w:rsidRPr="00A22DE9">
        <w:rPr>
          <w:shd w:val="clear" w:color="auto" w:fill="FAFAFA"/>
          <w:lang w:val="en-US"/>
        </w:rPr>
        <w:t>.</w:t>
      </w:r>
      <w:r w:rsidR="005404AB" w:rsidRPr="00A22DE9">
        <w:rPr>
          <w:shd w:val="clear" w:color="auto" w:fill="FAFAFA"/>
          <w:lang w:val="en-US"/>
        </w:rPr>
        <w:t xml:space="preserve"> Evaluating early warning indicators of banking crises: Satisfying policy requirements</w:t>
      </w:r>
      <w:r w:rsidR="00BE32CD" w:rsidRPr="00A22DE9">
        <w:rPr>
          <w:shd w:val="clear" w:color="auto" w:fill="FAFAFA"/>
          <w:lang w:val="en-US"/>
        </w:rPr>
        <w:t>.</w:t>
      </w:r>
      <w:r w:rsidR="004C1B63" w:rsidRPr="00A22DE9">
        <w:rPr>
          <w:shd w:val="clear" w:color="auto" w:fill="FAFAFA"/>
          <w:lang w:val="en-US"/>
        </w:rPr>
        <w:t xml:space="preserve"> </w:t>
      </w:r>
      <w:r w:rsidR="00853B1E" w:rsidRPr="00C212DD">
        <w:rPr>
          <w:shd w:val="clear" w:color="auto" w:fill="FAFAFA"/>
          <w:lang w:val="en-US"/>
        </w:rPr>
        <w:t>International Journal of Forecasting</w:t>
      </w:r>
      <w:r w:rsidR="00853B1E">
        <w:rPr>
          <w:shd w:val="clear" w:color="auto" w:fill="FAFAFA"/>
          <w:lang w:val="en-US"/>
        </w:rPr>
        <w:t xml:space="preserve"> 30</w:t>
      </w:r>
      <w:r w:rsidR="003A1EE0">
        <w:rPr>
          <w:shd w:val="clear" w:color="auto" w:fill="FAFAFA"/>
          <w:lang w:val="en-US"/>
        </w:rPr>
        <w:t>,</w:t>
      </w:r>
      <w:r w:rsidR="00853B1E">
        <w:rPr>
          <w:shd w:val="clear" w:color="auto" w:fill="FAFAFA"/>
          <w:lang w:val="en-US"/>
        </w:rPr>
        <w:t xml:space="preserve"> 759–780.</w:t>
      </w:r>
    </w:p>
    <w:p w14:paraId="0BD8A6C3" w14:textId="01BEBF69" w:rsidR="00AB44BD" w:rsidRDefault="00586A1E" w:rsidP="00C212DD">
      <w:pPr>
        <w:spacing w:after="200" w:line="259" w:lineRule="auto"/>
        <w:ind w:left="567" w:hanging="567"/>
        <w:rPr>
          <w:shd w:val="clear" w:color="auto" w:fill="FAFAFA"/>
          <w:lang w:val="en-US"/>
        </w:rPr>
      </w:pPr>
      <w:r w:rsidRPr="00A22DE9">
        <w:rPr>
          <w:shd w:val="clear" w:color="auto" w:fill="FAFAFA"/>
          <w:lang w:val="en-US"/>
        </w:rPr>
        <w:t>Eidenberger</w:t>
      </w:r>
      <w:r w:rsidR="00570C33" w:rsidRPr="00A22DE9">
        <w:rPr>
          <w:shd w:val="clear" w:color="auto" w:fill="FAFAFA"/>
          <w:lang w:val="en-US"/>
        </w:rPr>
        <w:t>,</w:t>
      </w:r>
      <w:r w:rsidRPr="00A22DE9">
        <w:rPr>
          <w:shd w:val="clear" w:color="auto" w:fill="FAFAFA"/>
          <w:lang w:val="en-US"/>
        </w:rPr>
        <w:t xml:space="preserve"> J</w:t>
      </w:r>
      <w:r w:rsidR="00570C33" w:rsidRPr="00A22DE9">
        <w:rPr>
          <w:shd w:val="clear" w:color="auto" w:fill="FAFAFA"/>
          <w:lang w:val="en-US"/>
        </w:rPr>
        <w:t>.</w:t>
      </w:r>
      <w:r w:rsidRPr="00A22DE9">
        <w:rPr>
          <w:shd w:val="clear" w:color="auto" w:fill="FAFAFA"/>
          <w:lang w:val="en-US"/>
        </w:rPr>
        <w:t>, Neudorfer</w:t>
      </w:r>
      <w:r w:rsidR="00570C33" w:rsidRPr="00A22DE9">
        <w:rPr>
          <w:shd w:val="clear" w:color="auto" w:fill="FAFAFA"/>
          <w:lang w:val="en-US"/>
        </w:rPr>
        <w:t xml:space="preserve">, </w:t>
      </w:r>
      <w:r w:rsidR="00616EDA" w:rsidRPr="00A22DE9">
        <w:rPr>
          <w:shd w:val="clear" w:color="auto" w:fill="FAFAFA"/>
          <w:lang w:val="en-US"/>
        </w:rPr>
        <w:t>B</w:t>
      </w:r>
      <w:r w:rsidR="00570C33" w:rsidRPr="00A22DE9">
        <w:rPr>
          <w:shd w:val="clear" w:color="auto" w:fill="FAFAFA"/>
          <w:lang w:val="en-US"/>
        </w:rPr>
        <w:t>.</w:t>
      </w:r>
      <w:r w:rsidR="00616EDA" w:rsidRPr="00A22DE9">
        <w:rPr>
          <w:shd w:val="clear" w:color="auto" w:fill="FAFAFA"/>
          <w:lang w:val="en-US"/>
        </w:rPr>
        <w:t>,</w:t>
      </w:r>
      <w:r w:rsidR="00BE32CD" w:rsidRPr="00A22DE9">
        <w:rPr>
          <w:shd w:val="clear" w:color="auto" w:fill="FAFAFA"/>
          <w:lang w:val="en-US"/>
        </w:rPr>
        <w:t xml:space="preserve"> </w:t>
      </w:r>
      <w:r w:rsidRPr="00A22DE9">
        <w:rPr>
          <w:shd w:val="clear" w:color="auto" w:fill="FAFAFA"/>
          <w:lang w:val="en-US"/>
        </w:rPr>
        <w:t>Sigmund</w:t>
      </w:r>
      <w:r w:rsidR="00570C33" w:rsidRPr="00A22DE9">
        <w:rPr>
          <w:shd w:val="clear" w:color="auto" w:fill="FAFAFA"/>
          <w:lang w:val="en-US"/>
        </w:rPr>
        <w:t xml:space="preserve">, </w:t>
      </w:r>
      <w:r w:rsidR="00616EDA" w:rsidRPr="00A22DE9">
        <w:rPr>
          <w:shd w:val="clear" w:color="auto" w:fill="FAFAFA"/>
          <w:lang w:val="en-US"/>
        </w:rPr>
        <w:t>M</w:t>
      </w:r>
      <w:r w:rsidR="00570C33" w:rsidRPr="00A22DE9">
        <w:rPr>
          <w:shd w:val="clear" w:color="auto" w:fill="FAFAFA"/>
          <w:lang w:val="en-US"/>
        </w:rPr>
        <w:t>.</w:t>
      </w:r>
      <w:r w:rsidR="00BE32CD" w:rsidRPr="00A22DE9">
        <w:rPr>
          <w:shd w:val="clear" w:color="auto" w:fill="FAFAFA"/>
          <w:lang w:val="en-US"/>
        </w:rPr>
        <w:t>,</w:t>
      </w:r>
      <w:r w:rsidR="00616EDA" w:rsidRPr="00A22DE9">
        <w:rPr>
          <w:shd w:val="clear" w:color="auto" w:fill="FAFAFA"/>
          <w:lang w:val="en-US"/>
        </w:rPr>
        <w:t xml:space="preserve"> </w:t>
      </w:r>
      <w:r w:rsidRPr="00A22DE9">
        <w:rPr>
          <w:shd w:val="clear" w:color="auto" w:fill="FAFAFA"/>
          <w:lang w:val="en-US"/>
        </w:rPr>
        <w:t>Stein</w:t>
      </w:r>
      <w:r w:rsidR="00570C33" w:rsidRPr="00A22DE9">
        <w:rPr>
          <w:shd w:val="clear" w:color="auto" w:fill="FAFAFA"/>
          <w:lang w:val="en-US"/>
        </w:rPr>
        <w:t xml:space="preserve">, </w:t>
      </w:r>
      <w:r w:rsidR="00616EDA" w:rsidRPr="00A22DE9">
        <w:rPr>
          <w:shd w:val="clear" w:color="auto" w:fill="FAFAFA"/>
          <w:lang w:val="en-US"/>
        </w:rPr>
        <w:t>I.</w:t>
      </w:r>
      <w:r w:rsidR="007932AC">
        <w:rPr>
          <w:shd w:val="clear" w:color="auto" w:fill="FAFAFA"/>
          <w:lang w:val="en-US"/>
        </w:rPr>
        <w:t xml:space="preserve">, </w:t>
      </w:r>
      <w:r w:rsidRPr="00A22DE9">
        <w:rPr>
          <w:shd w:val="clear" w:color="auto" w:fill="FAFAFA"/>
          <w:lang w:val="en-US"/>
        </w:rPr>
        <w:t>2014</w:t>
      </w:r>
      <w:r w:rsidR="00BE32CD" w:rsidRPr="00A22DE9">
        <w:rPr>
          <w:shd w:val="clear" w:color="auto" w:fill="FAFAFA"/>
          <w:lang w:val="en-US"/>
        </w:rPr>
        <w:t>.</w:t>
      </w:r>
      <w:r w:rsidRPr="00A22DE9">
        <w:rPr>
          <w:shd w:val="clear" w:color="auto" w:fill="FAFAFA"/>
          <w:lang w:val="en-US"/>
        </w:rPr>
        <w:t xml:space="preserve"> What predicts financial (in)stability? A Bayesian approach</w:t>
      </w:r>
      <w:r w:rsidR="00BE32CD" w:rsidRPr="00A22DE9">
        <w:rPr>
          <w:shd w:val="clear" w:color="auto" w:fill="FAFAFA"/>
          <w:lang w:val="en-US"/>
        </w:rPr>
        <w:t>.</w:t>
      </w:r>
      <w:r w:rsidRPr="00A22DE9">
        <w:rPr>
          <w:shd w:val="clear" w:color="auto" w:fill="FAFAFA"/>
          <w:lang w:val="en-US"/>
        </w:rPr>
        <w:t xml:space="preserve"> </w:t>
      </w:r>
      <w:r w:rsidRPr="00C212DD">
        <w:rPr>
          <w:shd w:val="clear" w:color="auto" w:fill="FAFAFA"/>
          <w:lang w:val="en-US"/>
        </w:rPr>
        <w:t xml:space="preserve">Discussion Paper Deutsche Bundesbank </w:t>
      </w:r>
      <w:r w:rsidR="007932AC">
        <w:rPr>
          <w:shd w:val="clear" w:color="auto" w:fill="FAFAFA"/>
          <w:lang w:val="en-US"/>
        </w:rPr>
        <w:t>n</w:t>
      </w:r>
      <w:r w:rsidR="00BE32CD" w:rsidRPr="00A22DE9">
        <w:rPr>
          <w:shd w:val="clear" w:color="auto" w:fill="FAFAFA"/>
          <w:lang w:val="en-US"/>
        </w:rPr>
        <w:t>.</w:t>
      </w:r>
      <w:r w:rsidRPr="00A22DE9">
        <w:rPr>
          <w:shd w:val="clear" w:color="auto" w:fill="FAFAFA"/>
          <w:lang w:val="en-US"/>
        </w:rPr>
        <w:t xml:space="preserve"> 36/2014.</w:t>
      </w:r>
    </w:p>
    <w:p w14:paraId="11824316" w14:textId="615C5E08" w:rsidR="00605269" w:rsidRPr="00A22DE9" w:rsidRDefault="00605269" w:rsidP="00C212DD">
      <w:pPr>
        <w:spacing w:after="200" w:line="259" w:lineRule="auto"/>
        <w:ind w:left="567" w:hanging="567"/>
        <w:rPr>
          <w:shd w:val="clear" w:color="auto" w:fill="FAFAFA"/>
          <w:lang w:val="en-US"/>
        </w:rPr>
      </w:pPr>
      <w:r w:rsidRPr="00605269">
        <w:rPr>
          <w:shd w:val="clear" w:color="auto" w:fill="FAFAFA"/>
          <w:lang w:val="en-US"/>
        </w:rPr>
        <w:t>Efthymios</w:t>
      </w:r>
      <w:r>
        <w:rPr>
          <w:shd w:val="clear" w:color="auto" w:fill="FAFAFA"/>
          <w:lang w:val="en-US"/>
        </w:rPr>
        <w:t>, P.</w:t>
      </w:r>
      <w:r w:rsidR="00D31149">
        <w:rPr>
          <w:shd w:val="clear" w:color="auto" w:fill="FAFAFA"/>
          <w:lang w:val="en-US"/>
        </w:rPr>
        <w:t xml:space="preserve">, </w:t>
      </w:r>
      <w:r w:rsidRPr="00605269">
        <w:rPr>
          <w:shd w:val="clear" w:color="auto" w:fill="FAFAFA"/>
          <w:lang w:val="en-US"/>
        </w:rPr>
        <w:t>Yusupova, A</w:t>
      </w:r>
      <w:r w:rsidR="00D31149">
        <w:rPr>
          <w:shd w:val="clear" w:color="auto" w:fill="FAFAFA"/>
          <w:lang w:val="en-US"/>
        </w:rPr>
        <w:t>.,</w:t>
      </w:r>
      <w:r w:rsidRPr="00605269">
        <w:rPr>
          <w:shd w:val="clear" w:color="auto" w:fill="FAFAFA"/>
          <w:lang w:val="en-US"/>
        </w:rPr>
        <w:t xml:space="preserve"> Paya, I</w:t>
      </w:r>
      <w:r w:rsidR="00D31149">
        <w:rPr>
          <w:shd w:val="clear" w:color="auto" w:fill="FAFAFA"/>
          <w:lang w:val="en-US"/>
        </w:rPr>
        <w:t>.,</w:t>
      </w:r>
      <w:r w:rsidRPr="00605269">
        <w:rPr>
          <w:shd w:val="clear" w:color="auto" w:fill="FAFAFA"/>
          <w:lang w:val="en-US"/>
        </w:rPr>
        <w:t xml:space="preserve"> Peel, </w:t>
      </w:r>
      <w:r w:rsidR="00D31149">
        <w:rPr>
          <w:shd w:val="clear" w:color="auto" w:fill="FAFAFA"/>
          <w:lang w:val="en-US"/>
        </w:rPr>
        <w:t>D.,</w:t>
      </w:r>
      <w:r w:rsidRPr="00605269">
        <w:rPr>
          <w:shd w:val="clear" w:color="auto" w:fill="FAFAFA"/>
          <w:lang w:val="en-US"/>
        </w:rPr>
        <w:t xml:space="preserve"> Martinez-Garcia, E</w:t>
      </w:r>
      <w:r w:rsidR="00D31149">
        <w:rPr>
          <w:shd w:val="clear" w:color="auto" w:fill="FAFAFA"/>
          <w:lang w:val="en-US"/>
        </w:rPr>
        <w:t xml:space="preserve">., </w:t>
      </w:r>
      <w:r w:rsidRPr="00605269">
        <w:rPr>
          <w:shd w:val="clear" w:color="auto" w:fill="FAFAFA"/>
          <w:lang w:val="en-US"/>
        </w:rPr>
        <w:t>Mack, A</w:t>
      </w:r>
      <w:r w:rsidR="00D31149">
        <w:rPr>
          <w:shd w:val="clear" w:color="auto" w:fill="FAFAFA"/>
          <w:lang w:val="en-US"/>
        </w:rPr>
        <w:t>.</w:t>
      </w:r>
      <w:r w:rsidR="007932AC">
        <w:rPr>
          <w:shd w:val="clear" w:color="auto" w:fill="FAFAFA"/>
          <w:lang w:val="en-US"/>
        </w:rPr>
        <w:t xml:space="preserve">, </w:t>
      </w:r>
      <w:r w:rsidR="00D31149">
        <w:rPr>
          <w:shd w:val="clear" w:color="auto" w:fill="FAFAFA"/>
          <w:lang w:val="en-US"/>
        </w:rPr>
        <w:t xml:space="preserve">2016. </w:t>
      </w:r>
      <w:r w:rsidR="00D31149" w:rsidRPr="00D31149">
        <w:rPr>
          <w:shd w:val="clear" w:color="auto" w:fill="FAFAFA"/>
          <w:lang w:val="en-US"/>
        </w:rPr>
        <w:t>Episodes of Exuberance in Housing Markets: In Search of the Smoking Gun</w:t>
      </w:r>
      <w:r w:rsidR="00D31149">
        <w:rPr>
          <w:shd w:val="clear" w:color="auto" w:fill="FAFAFA"/>
          <w:lang w:val="en-US"/>
        </w:rPr>
        <w:t xml:space="preserve">. </w:t>
      </w:r>
      <w:r w:rsidR="00D31149" w:rsidRPr="00C212DD">
        <w:rPr>
          <w:shd w:val="clear" w:color="auto" w:fill="FAFAFA"/>
          <w:lang w:val="en-US"/>
        </w:rPr>
        <w:t>Journal of Real Estate Finance and Economics</w:t>
      </w:r>
      <w:r w:rsidR="00D31149">
        <w:rPr>
          <w:shd w:val="clear" w:color="auto" w:fill="FAFAFA"/>
          <w:lang w:val="en-US"/>
        </w:rPr>
        <w:t xml:space="preserve"> 53</w:t>
      </w:r>
      <w:r w:rsidR="007932AC">
        <w:rPr>
          <w:shd w:val="clear" w:color="auto" w:fill="FAFAFA"/>
          <w:lang w:val="en-US"/>
        </w:rPr>
        <w:t>,</w:t>
      </w:r>
      <w:r w:rsidR="00D31149">
        <w:rPr>
          <w:shd w:val="clear" w:color="auto" w:fill="FAFAFA"/>
          <w:lang w:val="en-US"/>
        </w:rPr>
        <w:t xml:space="preserve"> 419–449.</w:t>
      </w:r>
    </w:p>
    <w:p w14:paraId="4D5457F7" w14:textId="64D2EAF4" w:rsidR="00AB44BD" w:rsidRPr="00A22DE9" w:rsidRDefault="00AC53B4" w:rsidP="00C212DD">
      <w:pPr>
        <w:spacing w:after="200" w:line="259" w:lineRule="auto"/>
        <w:ind w:left="567" w:hanging="567"/>
        <w:rPr>
          <w:shd w:val="clear" w:color="auto" w:fill="FAFAFA"/>
          <w:lang w:val="en-US"/>
        </w:rPr>
      </w:pPr>
      <w:r w:rsidRPr="00A22DE9">
        <w:rPr>
          <w:shd w:val="clear" w:color="auto" w:fill="FAFAFA"/>
          <w:lang w:val="en-US"/>
        </w:rPr>
        <w:t>Elliot</w:t>
      </w:r>
      <w:r w:rsidR="00570C33" w:rsidRPr="00A22DE9">
        <w:rPr>
          <w:shd w:val="clear" w:color="auto" w:fill="FAFAFA"/>
          <w:lang w:val="en-US"/>
        </w:rPr>
        <w:t>,</w:t>
      </w:r>
      <w:r w:rsidRPr="00A22DE9">
        <w:rPr>
          <w:shd w:val="clear" w:color="auto" w:fill="FAFAFA"/>
          <w:lang w:val="en-US"/>
        </w:rPr>
        <w:t xml:space="preserve"> G.</w:t>
      </w:r>
      <w:r w:rsidR="001474B9">
        <w:rPr>
          <w:shd w:val="clear" w:color="auto" w:fill="FAFAFA"/>
          <w:lang w:val="en-US"/>
        </w:rPr>
        <w:t xml:space="preserve">, </w:t>
      </w:r>
      <w:r w:rsidRPr="00A22DE9">
        <w:rPr>
          <w:shd w:val="clear" w:color="auto" w:fill="FAFAFA"/>
          <w:lang w:val="en-US"/>
        </w:rPr>
        <w:t>1999</w:t>
      </w:r>
      <w:r w:rsidR="00BE32CD" w:rsidRPr="00A22DE9">
        <w:rPr>
          <w:shd w:val="clear" w:color="auto" w:fill="FAFAFA"/>
          <w:lang w:val="en-US"/>
        </w:rPr>
        <w:t>.</w:t>
      </w:r>
      <w:r w:rsidRPr="00A22DE9">
        <w:rPr>
          <w:shd w:val="clear" w:color="auto" w:fill="FAFAFA"/>
          <w:lang w:val="en-US"/>
        </w:rPr>
        <w:t xml:space="preserve"> Efficient tests for a unit root when the initial observation is drawn from its </w:t>
      </w:r>
      <w:r w:rsidRPr="00A22DE9">
        <w:rPr>
          <w:rFonts w:cs="Times New Roman"/>
          <w:shd w:val="clear" w:color="auto" w:fill="FAFAFA"/>
          <w:lang w:val="en-US"/>
        </w:rPr>
        <w:t>unconditional distribution</w:t>
      </w:r>
      <w:r w:rsidR="00BE32CD" w:rsidRPr="00A22DE9">
        <w:rPr>
          <w:rFonts w:cs="Times New Roman"/>
          <w:shd w:val="clear" w:color="auto" w:fill="FAFAFA"/>
          <w:lang w:val="en-US"/>
        </w:rPr>
        <w:t>.</w:t>
      </w:r>
      <w:r w:rsidRPr="00A22DE9">
        <w:rPr>
          <w:rFonts w:cs="Times New Roman"/>
          <w:shd w:val="clear" w:color="auto" w:fill="FAFAFA"/>
          <w:lang w:val="en-US"/>
        </w:rPr>
        <w:t xml:space="preserve"> </w:t>
      </w:r>
      <w:r w:rsidRPr="00C212DD">
        <w:rPr>
          <w:rFonts w:cs="Times New Roman"/>
          <w:shd w:val="clear" w:color="auto" w:fill="FAFAFA"/>
          <w:lang w:val="en-US"/>
        </w:rPr>
        <w:t>International Economic Review</w:t>
      </w:r>
      <w:r w:rsidR="00570C33" w:rsidRPr="00A22DE9">
        <w:rPr>
          <w:rFonts w:cs="Times New Roman"/>
          <w:shd w:val="clear" w:color="auto" w:fill="FAFAFA"/>
          <w:lang w:val="en-US"/>
        </w:rPr>
        <w:t xml:space="preserve"> </w:t>
      </w:r>
      <w:r w:rsidRPr="003555A8">
        <w:rPr>
          <w:rFonts w:cs="Times New Roman"/>
          <w:shd w:val="clear" w:color="auto" w:fill="FAFAFA"/>
          <w:lang w:val="en-US"/>
        </w:rPr>
        <w:t>40</w:t>
      </w:r>
      <w:r w:rsidR="001474B9">
        <w:rPr>
          <w:rFonts w:cs="Times New Roman"/>
          <w:shd w:val="clear" w:color="auto" w:fill="FAFAFA"/>
          <w:lang w:val="en-US"/>
        </w:rPr>
        <w:t>,</w:t>
      </w:r>
      <w:r w:rsidRPr="00A22DE9">
        <w:rPr>
          <w:rFonts w:cs="Times New Roman"/>
          <w:shd w:val="clear" w:color="auto" w:fill="FAFAFA"/>
          <w:lang w:val="en-US"/>
        </w:rPr>
        <w:t xml:space="preserve"> 767</w:t>
      </w:r>
      <w:r w:rsidR="00BE32CD" w:rsidRPr="00A22DE9">
        <w:rPr>
          <w:rFonts w:cs="Times New Roman"/>
          <w:shd w:val="clear" w:color="auto" w:fill="FAFAFA"/>
          <w:lang w:val="en-US"/>
        </w:rPr>
        <w:t>–</w:t>
      </w:r>
      <w:r w:rsidRPr="00A22DE9">
        <w:rPr>
          <w:rFonts w:cs="Times New Roman"/>
          <w:shd w:val="clear" w:color="auto" w:fill="FAFAFA"/>
          <w:lang w:val="en-US"/>
        </w:rPr>
        <w:t>783.</w:t>
      </w:r>
    </w:p>
    <w:p w14:paraId="37BF88AE" w14:textId="339C8E12" w:rsidR="00AB44BD" w:rsidRDefault="00616EDA" w:rsidP="00C212DD">
      <w:pPr>
        <w:spacing w:after="200" w:line="259" w:lineRule="auto"/>
        <w:ind w:left="567" w:hanging="567"/>
        <w:rPr>
          <w:lang w:val="en-US"/>
        </w:rPr>
      </w:pPr>
      <w:r w:rsidRPr="00A22DE9">
        <w:rPr>
          <w:lang w:val="en-US"/>
        </w:rPr>
        <w:t>Elliot</w:t>
      </w:r>
      <w:r w:rsidR="00570C33" w:rsidRPr="00A22DE9">
        <w:rPr>
          <w:lang w:val="en-US"/>
        </w:rPr>
        <w:t>.</w:t>
      </w:r>
      <w:r w:rsidRPr="00A22DE9">
        <w:rPr>
          <w:lang w:val="en-US"/>
        </w:rPr>
        <w:t xml:space="preserve"> G</w:t>
      </w:r>
      <w:r w:rsidR="00570C33" w:rsidRPr="00A22DE9">
        <w:rPr>
          <w:lang w:val="en-US"/>
        </w:rPr>
        <w:t>.</w:t>
      </w:r>
      <w:r w:rsidRPr="00A22DE9">
        <w:rPr>
          <w:lang w:val="en-US"/>
        </w:rPr>
        <w:t xml:space="preserve">, </w:t>
      </w:r>
      <w:r w:rsidR="00AC53B4" w:rsidRPr="00A22DE9">
        <w:rPr>
          <w:lang w:val="en-US"/>
        </w:rPr>
        <w:t>Rothenberg</w:t>
      </w:r>
      <w:r w:rsidR="00570C33" w:rsidRPr="00A22DE9">
        <w:rPr>
          <w:lang w:val="en-US"/>
        </w:rPr>
        <w:t>,</w:t>
      </w:r>
      <w:r w:rsidR="00AC53B4" w:rsidRPr="00A22DE9">
        <w:rPr>
          <w:lang w:val="en-US"/>
        </w:rPr>
        <w:t xml:space="preserve"> T</w:t>
      </w:r>
      <w:r w:rsidR="00570C33" w:rsidRPr="00A22DE9">
        <w:rPr>
          <w:lang w:val="en-US"/>
        </w:rPr>
        <w:t>.</w:t>
      </w:r>
      <w:r w:rsidR="00AC53B4" w:rsidRPr="00A22DE9">
        <w:rPr>
          <w:lang w:val="en-US"/>
        </w:rPr>
        <w:t>J</w:t>
      </w:r>
      <w:r w:rsidR="00570C33" w:rsidRPr="00A22DE9">
        <w:rPr>
          <w:lang w:val="en-US"/>
        </w:rPr>
        <w:t>.</w:t>
      </w:r>
      <w:r w:rsidRPr="00A22DE9">
        <w:rPr>
          <w:lang w:val="en-US"/>
        </w:rPr>
        <w:t>,</w:t>
      </w:r>
      <w:r w:rsidR="00AC53B4" w:rsidRPr="00A22DE9">
        <w:rPr>
          <w:lang w:val="en-US"/>
        </w:rPr>
        <w:t xml:space="preserve"> </w:t>
      </w:r>
      <w:r w:rsidR="00570C33" w:rsidRPr="00A22DE9">
        <w:rPr>
          <w:lang w:val="en-US"/>
        </w:rPr>
        <w:t xml:space="preserve">and </w:t>
      </w:r>
      <w:r w:rsidR="00AC53B4" w:rsidRPr="00A22DE9">
        <w:rPr>
          <w:lang w:val="en-US"/>
        </w:rPr>
        <w:t>Stock</w:t>
      </w:r>
      <w:r w:rsidR="00570C33" w:rsidRPr="00A22DE9">
        <w:rPr>
          <w:lang w:val="en-US"/>
        </w:rPr>
        <w:t>,</w:t>
      </w:r>
      <w:r w:rsidR="00AC53B4" w:rsidRPr="00A22DE9">
        <w:rPr>
          <w:lang w:val="en-US"/>
        </w:rPr>
        <w:t xml:space="preserve"> J</w:t>
      </w:r>
      <w:r w:rsidR="00570C33" w:rsidRPr="00A22DE9">
        <w:rPr>
          <w:lang w:val="en-US"/>
        </w:rPr>
        <w:t>.</w:t>
      </w:r>
      <w:r w:rsidR="00AC53B4" w:rsidRPr="00A22DE9">
        <w:rPr>
          <w:lang w:val="en-US"/>
        </w:rPr>
        <w:t>H.</w:t>
      </w:r>
      <w:r w:rsidR="003A1EE0">
        <w:rPr>
          <w:lang w:val="en-US"/>
        </w:rPr>
        <w:t xml:space="preserve">, </w:t>
      </w:r>
      <w:r w:rsidR="00AC53B4" w:rsidRPr="00A22DE9">
        <w:rPr>
          <w:lang w:val="en-US"/>
        </w:rPr>
        <w:t>1996</w:t>
      </w:r>
      <w:r w:rsidR="00BE32CD" w:rsidRPr="00A22DE9">
        <w:rPr>
          <w:lang w:val="en-US"/>
        </w:rPr>
        <w:t>.</w:t>
      </w:r>
      <w:r w:rsidR="00AC53B4" w:rsidRPr="00A22DE9">
        <w:rPr>
          <w:lang w:val="en-US"/>
        </w:rPr>
        <w:t xml:space="preserve"> Efficient tests for an autoregressive unit root</w:t>
      </w:r>
      <w:r w:rsidR="00BE32CD" w:rsidRPr="00A22DE9">
        <w:rPr>
          <w:lang w:val="en-US"/>
        </w:rPr>
        <w:t>.</w:t>
      </w:r>
      <w:r w:rsidR="00AC53B4" w:rsidRPr="00A22DE9">
        <w:rPr>
          <w:lang w:val="en-US"/>
        </w:rPr>
        <w:t xml:space="preserve"> </w:t>
      </w:r>
      <w:r w:rsidR="00AC53B4" w:rsidRPr="00C212DD">
        <w:rPr>
          <w:lang w:val="en-US"/>
        </w:rPr>
        <w:t>Econometrica</w:t>
      </w:r>
      <w:r w:rsidR="00AC53B4" w:rsidRPr="00A22DE9">
        <w:rPr>
          <w:lang w:val="en-US"/>
        </w:rPr>
        <w:t xml:space="preserve"> 64</w:t>
      </w:r>
      <w:r w:rsidR="003A1EE0">
        <w:rPr>
          <w:lang w:val="en-US"/>
        </w:rPr>
        <w:t>,</w:t>
      </w:r>
      <w:r w:rsidR="00AC53B4" w:rsidRPr="00A22DE9">
        <w:rPr>
          <w:lang w:val="en-US"/>
        </w:rPr>
        <w:t xml:space="preserve"> 813</w:t>
      </w:r>
      <w:r w:rsidR="00BE32CD" w:rsidRPr="00A22DE9">
        <w:rPr>
          <w:lang w:val="en-US"/>
        </w:rPr>
        <w:t>–</w:t>
      </w:r>
      <w:r w:rsidR="00AC53B4" w:rsidRPr="00A22DE9">
        <w:rPr>
          <w:lang w:val="en-US"/>
        </w:rPr>
        <w:t>836.</w:t>
      </w:r>
    </w:p>
    <w:p w14:paraId="49EB4EE8" w14:textId="51634AFF" w:rsidR="00D31149" w:rsidRPr="00A22DE9" w:rsidRDefault="00D31149" w:rsidP="00C212DD">
      <w:pPr>
        <w:spacing w:after="200" w:line="259" w:lineRule="auto"/>
        <w:ind w:left="567" w:hanging="567"/>
        <w:rPr>
          <w:lang w:val="en-US"/>
        </w:rPr>
      </w:pPr>
      <w:r>
        <w:rPr>
          <w:lang w:val="en-US"/>
        </w:rPr>
        <w:t>Escobari, D., Jafarinejad, M.</w:t>
      </w:r>
      <w:r w:rsidR="003A1EE0">
        <w:rPr>
          <w:lang w:val="en-US"/>
        </w:rPr>
        <w:t xml:space="preserve">, </w:t>
      </w:r>
      <w:r>
        <w:rPr>
          <w:lang w:val="en-US"/>
        </w:rPr>
        <w:t xml:space="preserve">2016. </w:t>
      </w:r>
      <w:r w:rsidRPr="00D31149">
        <w:rPr>
          <w:lang w:val="en-US"/>
        </w:rPr>
        <w:t>Date Stamping Bubbles in Real Estate Investment Trusts</w:t>
      </w:r>
      <w:r>
        <w:rPr>
          <w:lang w:val="en-US"/>
        </w:rPr>
        <w:t xml:space="preserve">. </w:t>
      </w:r>
      <w:r w:rsidRPr="00C212DD">
        <w:rPr>
          <w:lang w:val="en-US"/>
        </w:rPr>
        <w:t>Quarterly Review of Economics and Finance</w:t>
      </w:r>
      <w:r>
        <w:rPr>
          <w:lang w:val="en-US"/>
        </w:rPr>
        <w:t xml:space="preserve"> 60</w:t>
      </w:r>
      <w:r w:rsidR="003A1EE0">
        <w:rPr>
          <w:lang w:val="en-US"/>
        </w:rPr>
        <w:t>,</w:t>
      </w:r>
      <w:r>
        <w:rPr>
          <w:lang w:val="en-US"/>
        </w:rPr>
        <w:t xml:space="preserve"> 224–230.</w:t>
      </w:r>
    </w:p>
    <w:p w14:paraId="633EEFFF" w14:textId="5C5136E5" w:rsidR="00AB44BD" w:rsidRDefault="00586A1E" w:rsidP="00C212DD">
      <w:pPr>
        <w:spacing w:after="200" w:line="259" w:lineRule="auto"/>
        <w:ind w:left="567" w:hanging="567"/>
        <w:rPr>
          <w:lang w:val="en-US"/>
        </w:rPr>
      </w:pPr>
      <w:r w:rsidRPr="00A22DE9">
        <w:rPr>
          <w:lang w:val="en-US"/>
        </w:rPr>
        <w:t>Ferrari</w:t>
      </w:r>
      <w:r w:rsidR="00570C33" w:rsidRPr="00A22DE9">
        <w:rPr>
          <w:lang w:val="en-US"/>
        </w:rPr>
        <w:t xml:space="preserve">, </w:t>
      </w:r>
      <w:r w:rsidRPr="00A22DE9">
        <w:rPr>
          <w:lang w:val="en-US"/>
        </w:rPr>
        <w:t>S</w:t>
      </w:r>
      <w:r w:rsidR="00570C33" w:rsidRPr="00A22DE9">
        <w:rPr>
          <w:lang w:val="en-US"/>
        </w:rPr>
        <w:t>.</w:t>
      </w:r>
      <w:r w:rsidR="001474B9">
        <w:rPr>
          <w:lang w:val="en-US"/>
        </w:rPr>
        <w:t xml:space="preserve">, </w:t>
      </w:r>
      <w:r w:rsidRPr="00A22DE9">
        <w:rPr>
          <w:lang w:val="en-US"/>
        </w:rPr>
        <w:t>Pirovano</w:t>
      </w:r>
      <w:r w:rsidR="00570C33" w:rsidRPr="00A22DE9">
        <w:rPr>
          <w:lang w:val="en-US"/>
        </w:rPr>
        <w:t>,</w:t>
      </w:r>
      <w:r w:rsidR="00616EDA" w:rsidRPr="00A22DE9">
        <w:rPr>
          <w:lang w:val="en-US"/>
        </w:rPr>
        <w:t xml:space="preserve"> M.</w:t>
      </w:r>
      <w:r w:rsidR="001474B9">
        <w:rPr>
          <w:lang w:val="en-US"/>
        </w:rPr>
        <w:t xml:space="preserve">, </w:t>
      </w:r>
      <w:r w:rsidRPr="00A22DE9">
        <w:rPr>
          <w:lang w:val="en-US"/>
        </w:rPr>
        <w:t>2015</w:t>
      </w:r>
      <w:r w:rsidR="00BE32CD" w:rsidRPr="00A22DE9">
        <w:rPr>
          <w:lang w:val="en-US"/>
        </w:rPr>
        <w:t>.</w:t>
      </w:r>
      <w:r w:rsidRPr="00A22DE9">
        <w:rPr>
          <w:lang w:val="en-US"/>
        </w:rPr>
        <w:t xml:space="preserve"> Early warning indicators for banking crises: </w:t>
      </w:r>
      <w:r w:rsidR="00BE32CD" w:rsidRPr="00A22DE9">
        <w:rPr>
          <w:lang w:val="en-US"/>
        </w:rPr>
        <w:t xml:space="preserve">A </w:t>
      </w:r>
      <w:r w:rsidRPr="00A22DE9">
        <w:rPr>
          <w:lang w:val="en-US"/>
        </w:rPr>
        <w:t>conditional moments approach</w:t>
      </w:r>
      <w:r w:rsidR="00BE32CD" w:rsidRPr="00A22DE9">
        <w:rPr>
          <w:lang w:val="en-US"/>
        </w:rPr>
        <w:t>.</w:t>
      </w:r>
      <w:r w:rsidRPr="00A22DE9">
        <w:rPr>
          <w:lang w:val="en-US"/>
        </w:rPr>
        <w:t xml:space="preserve"> </w:t>
      </w:r>
      <w:r w:rsidRPr="00C212DD">
        <w:rPr>
          <w:lang w:val="en-US"/>
        </w:rPr>
        <w:t>MPRA Discussion Paper</w:t>
      </w:r>
      <w:r w:rsidRPr="00A22DE9">
        <w:rPr>
          <w:lang w:val="en-US"/>
        </w:rPr>
        <w:t xml:space="preserve"> </w:t>
      </w:r>
      <w:r w:rsidR="001474B9">
        <w:rPr>
          <w:lang w:val="en-US"/>
        </w:rPr>
        <w:t>n</w:t>
      </w:r>
      <w:r w:rsidRPr="00A22DE9">
        <w:rPr>
          <w:lang w:val="en-US"/>
        </w:rPr>
        <w:t>. 62406</w:t>
      </w:r>
      <w:r w:rsidR="00E25EF2" w:rsidRPr="00A22DE9">
        <w:rPr>
          <w:lang w:val="en-US"/>
        </w:rPr>
        <w:t>.</w:t>
      </w:r>
    </w:p>
    <w:p w14:paraId="008A020D" w14:textId="0CE452F4" w:rsidR="00E5535E" w:rsidRDefault="00E5535E" w:rsidP="00C212DD">
      <w:pPr>
        <w:spacing w:after="200" w:line="259" w:lineRule="auto"/>
        <w:ind w:left="567" w:hanging="567"/>
        <w:jc w:val="left"/>
        <w:rPr>
          <w:rFonts w:cs="Times New Roman"/>
          <w:shd w:val="clear" w:color="auto" w:fill="FFFFFF"/>
          <w:lang w:val="en-US"/>
        </w:rPr>
      </w:pPr>
      <w:r w:rsidRPr="00E5535E">
        <w:rPr>
          <w:rFonts w:cs="Times New Roman"/>
          <w:shd w:val="clear" w:color="auto" w:fill="FFFFFF"/>
          <w:lang w:val="en-US"/>
        </w:rPr>
        <w:t>Frankel, J</w:t>
      </w:r>
      <w:r w:rsidR="001474B9">
        <w:rPr>
          <w:rFonts w:cs="Times New Roman"/>
          <w:shd w:val="clear" w:color="auto" w:fill="FFFFFF"/>
          <w:lang w:val="en-US"/>
        </w:rPr>
        <w:t xml:space="preserve">., </w:t>
      </w:r>
      <w:r w:rsidRPr="00E5535E">
        <w:rPr>
          <w:rFonts w:cs="Times New Roman"/>
          <w:shd w:val="clear" w:color="auto" w:fill="FFFFFF"/>
          <w:lang w:val="en-US"/>
        </w:rPr>
        <w:t>Saravelos</w:t>
      </w:r>
      <w:r w:rsidR="001474B9">
        <w:rPr>
          <w:rFonts w:cs="Times New Roman"/>
          <w:shd w:val="clear" w:color="auto" w:fill="FFFFFF"/>
          <w:lang w:val="en-US"/>
        </w:rPr>
        <w:t xml:space="preserve">, G., </w:t>
      </w:r>
      <w:r w:rsidRPr="00E5535E">
        <w:rPr>
          <w:rFonts w:cs="Times New Roman"/>
          <w:shd w:val="clear" w:color="auto" w:fill="FFFFFF"/>
          <w:lang w:val="en-US"/>
        </w:rPr>
        <w:t>2010</w:t>
      </w:r>
      <w:r w:rsidR="00811CF1">
        <w:rPr>
          <w:rFonts w:cs="Times New Roman"/>
          <w:shd w:val="clear" w:color="auto" w:fill="FFFFFF"/>
          <w:lang w:val="en-US"/>
        </w:rPr>
        <w:t>.</w:t>
      </w:r>
      <w:r w:rsidRPr="00E5535E">
        <w:rPr>
          <w:rFonts w:cs="Times New Roman"/>
          <w:shd w:val="clear" w:color="auto" w:fill="FFFFFF"/>
          <w:lang w:val="en-US"/>
        </w:rPr>
        <w:t xml:space="preserve"> </w:t>
      </w:r>
      <w:hyperlink r:id="rId10" w:tgtFrame="_blank" w:history="1">
        <w:r w:rsidRPr="00E5535E">
          <w:rPr>
            <w:rFonts w:cs="Times New Roman"/>
            <w:bdr w:val="none" w:sz="0" w:space="0" w:color="auto" w:frame="1"/>
            <w:shd w:val="clear" w:color="auto" w:fill="FFFFFF"/>
            <w:lang w:val="en-US"/>
          </w:rPr>
          <w:t>Are Leading Indicators of Financial Crises Useful for Assessing Country Vulnerability? Evidence from the 2008-09 Global Crisis</w:t>
        </w:r>
      </w:hyperlink>
      <w:r w:rsidR="00811CF1">
        <w:rPr>
          <w:rFonts w:cs="Times New Roman"/>
          <w:bdr w:val="none" w:sz="0" w:space="0" w:color="auto" w:frame="1"/>
          <w:shd w:val="clear" w:color="auto" w:fill="FFFFFF"/>
          <w:lang w:val="en-US"/>
        </w:rPr>
        <w:t>.</w:t>
      </w:r>
      <w:r w:rsidRPr="00E5535E">
        <w:rPr>
          <w:rFonts w:cs="Times New Roman"/>
          <w:shd w:val="clear" w:color="auto" w:fill="FFFFFF"/>
          <w:lang w:val="en-US"/>
        </w:rPr>
        <w:t xml:space="preserve"> </w:t>
      </w:r>
      <w:r w:rsidRPr="00C212DD">
        <w:rPr>
          <w:rFonts w:cs="Times New Roman"/>
          <w:shd w:val="clear" w:color="auto" w:fill="FFFFFF"/>
          <w:lang w:val="en-US"/>
        </w:rPr>
        <w:t>NBER Working Paper</w:t>
      </w:r>
      <w:r w:rsidRPr="00E5535E">
        <w:rPr>
          <w:rFonts w:cs="Times New Roman"/>
          <w:shd w:val="clear" w:color="auto" w:fill="FFFFFF"/>
          <w:lang w:val="en-US"/>
        </w:rPr>
        <w:t xml:space="preserve"> 16047, June.</w:t>
      </w:r>
    </w:p>
    <w:p w14:paraId="497D5C3A" w14:textId="704BFFFD" w:rsidR="00E5535E" w:rsidRPr="00E5535E" w:rsidRDefault="003177DF" w:rsidP="00C212DD">
      <w:pPr>
        <w:spacing w:after="200" w:line="259" w:lineRule="auto"/>
        <w:ind w:left="567" w:hanging="567"/>
        <w:jc w:val="left"/>
        <w:rPr>
          <w:rFonts w:cs="Times New Roman"/>
          <w:lang w:val="en-US"/>
        </w:rPr>
      </w:pPr>
      <w:r>
        <w:rPr>
          <w:rFonts w:cs="Times New Roman"/>
          <w:shd w:val="clear" w:color="auto" w:fill="FFFFFF"/>
          <w:lang w:val="en-US"/>
        </w:rPr>
        <w:t>Pedersen, T</w:t>
      </w:r>
      <w:r w:rsidR="0091501A">
        <w:rPr>
          <w:rFonts w:cs="Times New Roman"/>
          <w:shd w:val="clear" w:color="auto" w:fill="FFFFFF"/>
          <w:lang w:val="en-US"/>
        </w:rPr>
        <w:t>.</w:t>
      </w:r>
      <w:r w:rsidR="001474B9">
        <w:rPr>
          <w:rFonts w:cs="Times New Roman"/>
          <w:shd w:val="clear" w:color="auto" w:fill="FFFFFF"/>
          <w:lang w:val="en-US"/>
        </w:rPr>
        <w:t>,</w:t>
      </w:r>
      <w:r>
        <w:rPr>
          <w:rFonts w:cs="Times New Roman"/>
          <w:shd w:val="clear" w:color="auto" w:fill="FFFFFF"/>
          <w:lang w:val="en-US"/>
        </w:rPr>
        <w:t xml:space="preserve"> Schütte, E</w:t>
      </w:r>
      <w:r w:rsidR="0091501A">
        <w:rPr>
          <w:rFonts w:cs="Times New Roman"/>
          <w:shd w:val="clear" w:color="auto" w:fill="FFFFFF"/>
          <w:lang w:val="en-US"/>
        </w:rPr>
        <w:t>.</w:t>
      </w:r>
      <w:r w:rsidR="001474B9">
        <w:rPr>
          <w:rFonts w:cs="Times New Roman"/>
          <w:shd w:val="clear" w:color="auto" w:fill="FFFFFF"/>
          <w:lang w:val="en-US"/>
        </w:rPr>
        <w:t xml:space="preserve">, </w:t>
      </w:r>
      <w:r>
        <w:rPr>
          <w:rFonts w:cs="Times New Roman"/>
          <w:shd w:val="clear" w:color="auto" w:fill="FFFFFF"/>
          <w:lang w:val="en-US"/>
        </w:rPr>
        <w:t xml:space="preserve">2017. Testing for Explosive Bubbles in the Presence of Autocorrelated Innovations. </w:t>
      </w:r>
      <w:r w:rsidRPr="00C212DD">
        <w:rPr>
          <w:rFonts w:cs="Times New Roman"/>
          <w:shd w:val="clear" w:color="auto" w:fill="FFFFFF"/>
          <w:lang w:val="en-US"/>
        </w:rPr>
        <w:t>CREATES Research Paper</w:t>
      </w:r>
      <w:r>
        <w:rPr>
          <w:rFonts w:cs="Times New Roman"/>
          <w:shd w:val="clear" w:color="auto" w:fill="FFFFFF"/>
          <w:lang w:val="en-US"/>
        </w:rPr>
        <w:t xml:space="preserve"> 2017-9</w:t>
      </w:r>
      <w:r w:rsidR="00226EA7">
        <w:rPr>
          <w:rFonts w:cs="Times New Roman"/>
          <w:shd w:val="clear" w:color="auto" w:fill="FFFFFF"/>
          <w:lang w:val="en-US"/>
        </w:rPr>
        <w:t>.</w:t>
      </w:r>
    </w:p>
    <w:p w14:paraId="6947FD0D" w14:textId="37974E92" w:rsidR="00336A28" w:rsidRPr="00212882" w:rsidRDefault="00B067BD" w:rsidP="00C212DD">
      <w:pPr>
        <w:spacing w:after="200" w:line="259" w:lineRule="auto"/>
        <w:ind w:left="567" w:hanging="567"/>
        <w:rPr>
          <w:b/>
          <w:lang w:val="en-US"/>
        </w:rPr>
      </w:pPr>
      <w:r w:rsidRPr="00AF6EAB">
        <w:rPr>
          <w:lang w:val="en-US"/>
        </w:rPr>
        <w:t>Franses</w:t>
      </w:r>
      <w:r w:rsidR="00570C33" w:rsidRPr="00AF6EAB">
        <w:rPr>
          <w:lang w:val="en-US"/>
        </w:rPr>
        <w:t xml:space="preserve">, </w:t>
      </w:r>
      <w:r w:rsidRPr="00AF6EAB">
        <w:rPr>
          <w:lang w:val="en-US"/>
        </w:rPr>
        <w:t>P.</w:t>
      </w:r>
      <w:r w:rsidR="001474B9">
        <w:rPr>
          <w:lang w:val="en-US"/>
        </w:rPr>
        <w:t xml:space="preserve">, </w:t>
      </w:r>
      <w:r w:rsidRPr="00AF6EAB">
        <w:rPr>
          <w:lang w:val="en-US"/>
        </w:rPr>
        <w:t>201</w:t>
      </w:r>
      <w:r w:rsidR="00336A28" w:rsidRPr="00AF6EAB">
        <w:rPr>
          <w:lang w:val="en-US"/>
        </w:rPr>
        <w:t>6</w:t>
      </w:r>
      <w:r w:rsidR="00E25EF2" w:rsidRPr="00AF6EAB">
        <w:rPr>
          <w:lang w:val="en-US"/>
        </w:rPr>
        <w:t>.</w:t>
      </w:r>
      <w:r w:rsidR="00336A28" w:rsidRPr="00AF6EAB">
        <w:rPr>
          <w:lang w:val="en-US"/>
        </w:rPr>
        <w:t xml:space="preserve"> A simple test for a bubble based on growth and acceleration. </w:t>
      </w:r>
      <w:r w:rsidR="008D5A38" w:rsidRPr="00C212DD">
        <w:rPr>
          <w:lang w:val="en-US"/>
        </w:rPr>
        <w:t>Computational Statistics &amp; Data Analysis</w:t>
      </w:r>
      <w:r w:rsidR="00336A28" w:rsidRPr="00AF6EAB">
        <w:rPr>
          <w:lang w:val="en-US"/>
        </w:rPr>
        <w:t xml:space="preserve"> 100 (August), 160</w:t>
      </w:r>
      <w:r w:rsidR="001474B9">
        <w:rPr>
          <w:lang w:val="en-US"/>
        </w:rPr>
        <w:t>–</w:t>
      </w:r>
      <w:r w:rsidR="00336A28" w:rsidRPr="00AF6EAB">
        <w:rPr>
          <w:lang w:val="en-US"/>
        </w:rPr>
        <w:t>169.</w:t>
      </w:r>
    </w:p>
    <w:p w14:paraId="09C3DB2E" w14:textId="05B8C6FC" w:rsidR="00AB44BD" w:rsidRPr="00A22DE9" w:rsidRDefault="00B067BD" w:rsidP="00C212DD">
      <w:pPr>
        <w:spacing w:after="200" w:line="259" w:lineRule="auto"/>
        <w:ind w:left="567" w:hanging="567"/>
        <w:rPr>
          <w:lang w:val="en-US"/>
        </w:rPr>
      </w:pPr>
      <w:r w:rsidRPr="00AF6EAB">
        <w:rPr>
          <w:lang w:val="en-US"/>
        </w:rPr>
        <w:t>Gerdrup</w:t>
      </w:r>
      <w:r w:rsidR="00570C33" w:rsidRPr="00AF6EAB">
        <w:rPr>
          <w:lang w:val="en-US"/>
        </w:rPr>
        <w:t>,</w:t>
      </w:r>
      <w:r w:rsidRPr="00AF6EAB">
        <w:rPr>
          <w:lang w:val="en-US"/>
        </w:rPr>
        <w:t xml:space="preserve"> K</w:t>
      </w:r>
      <w:r w:rsidR="00570C33" w:rsidRPr="00AF6EAB">
        <w:rPr>
          <w:lang w:val="en-US"/>
        </w:rPr>
        <w:t>.</w:t>
      </w:r>
      <w:r w:rsidRPr="00AF6EAB">
        <w:rPr>
          <w:lang w:val="en-US"/>
        </w:rPr>
        <w:t>, Bakke Kvinlog</w:t>
      </w:r>
      <w:r w:rsidR="00570C33" w:rsidRPr="00AF6EAB">
        <w:rPr>
          <w:lang w:val="en-US"/>
        </w:rPr>
        <w:t>,</w:t>
      </w:r>
      <w:r w:rsidR="00616EDA" w:rsidRPr="00AF6EAB">
        <w:rPr>
          <w:lang w:val="en-US"/>
        </w:rPr>
        <w:t xml:space="preserve"> </w:t>
      </w:r>
      <w:r w:rsidR="00E25EF2" w:rsidRPr="00AF6EAB">
        <w:rPr>
          <w:lang w:val="en-US"/>
        </w:rPr>
        <w:t>A</w:t>
      </w:r>
      <w:r w:rsidR="00570C33" w:rsidRPr="00AF6EAB">
        <w:rPr>
          <w:lang w:val="en-US"/>
        </w:rPr>
        <w:t>.</w:t>
      </w:r>
      <w:r w:rsidR="00E25EF2" w:rsidRPr="00AF6EAB">
        <w:rPr>
          <w:lang w:val="en-US"/>
        </w:rPr>
        <w:t>,</w:t>
      </w:r>
      <w:r w:rsidR="00616EDA" w:rsidRPr="00AF6EAB">
        <w:rPr>
          <w:lang w:val="en-US"/>
        </w:rPr>
        <w:t xml:space="preserve"> </w:t>
      </w:r>
      <w:r w:rsidRPr="00AF6EAB">
        <w:rPr>
          <w:lang w:val="en-US"/>
        </w:rPr>
        <w:t>Schaanning</w:t>
      </w:r>
      <w:r w:rsidR="00570C33" w:rsidRPr="00AF6EAB">
        <w:rPr>
          <w:lang w:val="en-US"/>
        </w:rPr>
        <w:t xml:space="preserve">, </w:t>
      </w:r>
      <w:r w:rsidR="00616EDA" w:rsidRPr="00AF6EAB">
        <w:rPr>
          <w:lang w:val="en-US"/>
        </w:rPr>
        <w:t>E.</w:t>
      </w:r>
      <w:r w:rsidR="001474B9">
        <w:rPr>
          <w:lang w:val="en-US"/>
        </w:rPr>
        <w:t xml:space="preserve">, </w:t>
      </w:r>
      <w:r w:rsidR="00E25EF2" w:rsidRPr="00AF6EAB">
        <w:rPr>
          <w:lang w:val="en-US"/>
        </w:rPr>
        <w:t xml:space="preserve">2013. </w:t>
      </w:r>
      <w:r w:rsidRPr="00A22DE9">
        <w:rPr>
          <w:lang w:val="en-US"/>
        </w:rPr>
        <w:t xml:space="preserve">Key indicators for a countercyclical capital buffer in Norway </w:t>
      </w:r>
      <w:r w:rsidR="00E25EF2" w:rsidRPr="00A22DE9">
        <w:rPr>
          <w:lang w:val="en-US"/>
        </w:rPr>
        <w:t xml:space="preserve">– </w:t>
      </w:r>
      <w:r w:rsidRPr="00A22DE9">
        <w:rPr>
          <w:lang w:val="en-US"/>
        </w:rPr>
        <w:t>Trends and uncertainty</w:t>
      </w:r>
      <w:r w:rsidR="00E25EF2" w:rsidRPr="0003327D">
        <w:rPr>
          <w:lang w:val="en-US"/>
        </w:rPr>
        <w:t>.</w:t>
      </w:r>
      <w:r w:rsidRPr="0003327D">
        <w:rPr>
          <w:lang w:val="en-US"/>
        </w:rPr>
        <w:t xml:space="preserve"> </w:t>
      </w:r>
      <w:r w:rsidR="004C1B63" w:rsidRPr="0003327D">
        <w:rPr>
          <w:lang w:val="en-US"/>
        </w:rPr>
        <w:t>Staff memo</w:t>
      </w:r>
      <w:r w:rsidR="007C23A0" w:rsidRPr="0003327D">
        <w:rPr>
          <w:lang w:val="en-US"/>
        </w:rPr>
        <w:t xml:space="preserve"> 13/2013</w:t>
      </w:r>
      <w:r w:rsidR="004C1B63" w:rsidRPr="0003327D">
        <w:rPr>
          <w:lang w:val="en-US"/>
        </w:rPr>
        <w:t xml:space="preserve">. Norges </w:t>
      </w:r>
      <w:r w:rsidR="004C1B63" w:rsidRPr="00AF6EAB">
        <w:rPr>
          <w:lang w:val="en-US"/>
        </w:rPr>
        <w:t>Bank.</w:t>
      </w:r>
    </w:p>
    <w:p w14:paraId="39BC2610" w14:textId="4606BD72" w:rsidR="00AB44BD" w:rsidRDefault="00EE6FD3" w:rsidP="00C212DD">
      <w:pPr>
        <w:spacing w:after="200" w:line="259" w:lineRule="auto"/>
        <w:ind w:left="567" w:hanging="567"/>
        <w:rPr>
          <w:lang w:val="en-US"/>
        </w:rPr>
      </w:pPr>
      <w:r w:rsidRPr="00A22DE9">
        <w:rPr>
          <w:lang w:val="en-US"/>
        </w:rPr>
        <w:t>Gordon</w:t>
      </w:r>
      <w:r w:rsidR="00570C33" w:rsidRPr="00A22DE9">
        <w:rPr>
          <w:lang w:val="en-US"/>
        </w:rPr>
        <w:t>,</w:t>
      </w:r>
      <w:r w:rsidRPr="00A22DE9">
        <w:rPr>
          <w:lang w:val="en-US"/>
        </w:rPr>
        <w:t xml:space="preserve"> H.</w:t>
      </w:r>
      <w:r w:rsidR="001474B9">
        <w:rPr>
          <w:lang w:val="en-US"/>
        </w:rPr>
        <w:t xml:space="preserve">, </w:t>
      </w:r>
      <w:r w:rsidRPr="00A22DE9">
        <w:rPr>
          <w:lang w:val="en-US"/>
        </w:rPr>
        <w:t>1962</w:t>
      </w:r>
      <w:r w:rsidR="00E25EF2" w:rsidRPr="00A22DE9">
        <w:rPr>
          <w:lang w:val="en-US"/>
        </w:rPr>
        <w:t>.</w:t>
      </w:r>
      <w:r w:rsidRPr="00A22DE9">
        <w:rPr>
          <w:lang w:val="en-US"/>
        </w:rPr>
        <w:t xml:space="preserve"> </w:t>
      </w:r>
      <w:r w:rsidRPr="003555A8">
        <w:rPr>
          <w:i/>
          <w:lang w:val="en-US"/>
        </w:rPr>
        <w:t>The Investment, Financing and Valuation of the Corporation</w:t>
      </w:r>
      <w:r w:rsidR="00E25EF2" w:rsidRPr="00A22DE9">
        <w:rPr>
          <w:lang w:val="en-US"/>
        </w:rPr>
        <w:t>.</w:t>
      </w:r>
      <w:r w:rsidRPr="00A22DE9">
        <w:rPr>
          <w:lang w:val="en-US"/>
        </w:rPr>
        <w:t xml:space="preserve"> Irw</w:t>
      </w:r>
      <w:r w:rsidR="004C1B63" w:rsidRPr="00A22DE9">
        <w:rPr>
          <w:lang w:val="en-US"/>
        </w:rPr>
        <w:t>in, Homewood</w:t>
      </w:r>
      <w:r w:rsidR="00DE36B5" w:rsidRPr="00A22DE9">
        <w:rPr>
          <w:lang w:val="en-US"/>
        </w:rPr>
        <w:t>, IL.</w:t>
      </w:r>
    </w:p>
    <w:p w14:paraId="020D100E" w14:textId="5F422C29" w:rsidR="00701B05" w:rsidRPr="00A22DE9" w:rsidRDefault="00701B05" w:rsidP="00C212DD">
      <w:pPr>
        <w:spacing w:after="200" w:line="259" w:lineRule="auto"/>
        <w:ind w:left="567" w:hanging="567"/>
        <w:rPr>
          <w:lang w:val="en-US"/>
        </w:rPr>
      </w:pPr>
      <w:r w:rsidRPr="00F90185">
        <w:rPr>
          <w:lang w:val="en-US"/>
        </w:rPr>
        <w:t>Gurkaynak, R.</w:t>
      </w:r>
      <w:r w:rsidR="001474B9">
        <w:rPr>
          <w:lang w:val="en-US"/>
        </w:rPr>
        <w:t xml:space="preserve">, </w:t>
      </w:r>
      <w:r w:rsidRPr="00F90185">
        <w:rPr>
          <w:lang w:val="en-US"/>
        </w:rPr>
        <w:t>2008</w:t>
      </w:r>
      <w:r w:rsidR="001474B9">
        <w:rPr>
          <w:lang w:val="en-US"/>
        </w:rPr>
        <w:t>.</w:t>
      </w:r>
      <w:r w:rsidRPr="00F90185">
        <w:rPr>
          <w:lang w:val="en-US"/>
        </w:rPr>
        <w:t xml:space="preserve"> Econometric Tests of Asset Price Bubbles: Taking Stock. </w:t>
      </w:r>
      <w:r w:rsidRPr="00C212DD">
        <w:rPr>
          <w:lang w:val="en-US"/>
        </w:rPr>
        <w:t>Journal of Economic Surveys</w:t>
      </w:r>
      <w:r w:rsidRPr="00F90185">
        <w:rPr>
          <w:lang w:val="en-US"/>
        </w:rPr>
        <w:t xml:space="preserve"> 22, 166-186.</w:t>
      </w:r>
    </w:p>
    <w:p w14:paraId="4A2D8D33" w14:textId="77E02D20" w:rsidR="00CF7478" w:rsidRPr="00A22DE9" w:rsidRDefault="00CF7478" w:rsidP="00C212DD">
      <w:pPr>
        <w:spacing w:after="200" w:line="259" w:lineRule="auto"/>
        <w:ind w:left="567" w:hanging="567"/>
        <w:rPr>
          <w:lang w:val="en-US"/>
        </w:rPr>
      </w:pPr>
      <w:r w:rsidRPr="00DF5A93">
        <w:rPr>
          <w:lang w:val="en-US"/>
        </w:rPr>
        <w:t>Jokivuolle</w:t>
      </w:r>
      <w:r w:rsidR="00570C33" w:rsidRPr="00DF5A93">
        <w:rPr>
          <w:lang w:val="en-US"/>
        </w:rPr>
        <w:t>,</w:t>
      </w:r>
      <w:r w:rsidRPr="00DF5A93">
        <w:rPr>
          <w:lang w:val="en-US"/>
        </w:rPr>
        <w:t xml:space="preserve"> E</w:t>
      </w:r>
      <w:r w:rsidR="00570C33" w:rsidRPr="00DF5A93">
        <w:rPr>
          <w:lang w:val="en-US"/>
        </w:rPr>
        <w:t>.</w:t>
      </w:r>
      <w:r w:rsidRPr="00DF5A93">
        <w:rPr>
          <w:lang w:val="en-US"/>
        </w:rPr>
        <w:t>, Pesola</w:t>
      </w:r>
      <w:r w:rsidR="00570C33" w:rsidRPr="00DF5A93">
        <w:rPr>
          <w:lang w:val="en-US"/>
        </w:rPr>
        <w:t>,</w:t>
      </w:r>
      <w:r w:rsidRPr="00DF5A93">
        <w:rPr>
          <w:lang w:val="en-US"/>
        </w:rPr>
        <w:t xml:space="preserve"> J</w:t>
      </w:r>
      <w:r w:rsidR="00570C33" w:rsidRPr="00DF5A93">
        <w:rPr>
          <w:lang w:val="en-US"/>
        </w:rPr>
        <w:t>.</w:t>
      </w:r>
      <w:r w:rsidRPr="00DF5A93">
        <w:rPr>
          <w:lang w:val="en-US"/>
        </w:rPr>
        <w:t>, Viren</w:t>
      </w:r>
      <w:r w:rsidR="00570C33" w:rsidRPr="00DF5A93">
        <w:rPr>
          <w:lang w:val="en-US"/>
        </w:rPr>
        <w:t>,</w:t>
      </w:r>
      <w:r w:rsidRPr="00DF5A93">
        <w:rPr>
          <w:lang w:val="en-US"/>
        </w:rPr>
        <w:t xml:space="preserve"> M.</w:t>
      </w:r>
      <w:r w:rsidR="001474B9" w:rsidRPr="00DF5A93">
        <w:rPr>
          <w:lang w:val="en-US"/>
        </w:rPr>
        <w:t xml:space="preserve">, </w:t>
      </w:r>
      <w:r w:rsidRPr="00DF5A93">
        <w:rPr>
          <w:lang w:val="en-US"/>
        </w:rPr>
        <w:t xml:space="preserve">2015. </w:t>
      </w:r>
      <w:r w:rsidRPr="00A22DE9">
        <w:rPr>
          <w:lang w:val="en-US"/>
        </w:rPr>
        <w:t xml:space="preserve">Why is credit-to-GDP a good measure for setting countercyclical capital buffers? </w:t>
      </w:r>
      <w:r w:rsidRPr="00C212DD">
        <w:rPr>
          <w:lang w:val="en-US"/>
        </w:rPr>
        <w:t>Journal of Financial Stability</w:t>
      </w:r>
      <w:r w:rsidR="00570C33" w:rsidRPr="00A22DE9">
        <w:rPr>
          <w:lang w:val="en-US"/>
        </w:rPr>
        <w:t xml:space="preserve"> </w:t>
      </w:r>
      <w:r w:rsidRPr="003555A8">
        <w:rPr>
          <w:lang w:val="en-US"/>
        </w:rPr>
        <w:t>18</w:t>
      </w:r>
      <w:r w:rsidR="001474B9">
        <w:rPr>
          <w:lang w:val="en-US"/>
        </w:rPr>
        <w:t>,</w:t>
      </w:r>
      <w:r w:rsidRPr="00A22DE9">
        <w:rPr>
          <w:lang w:val="en-US"/>
        </w:rPr>
        <w:t xml:space="preserve"> 118–126.</w:t>
      </w:r>
    </w:p>
    <w:p w14:paraId="508ECC7F" w14:textId="07573401" w:rsidR="00AB44BD" w:rsidRDefault="00E058BE" w:rsidP="00C212DD">
      <w:pPr>
        <w:spacing w:after="200" w:line="259" w:lineRule="auto"/>
        <w:ind w:left="567" w:hanging="567"/>
        <w:rPr>
          <w:sz w:val="22"/>
          <w:lang w:val="en-US"/>
        </w:rPr>
      </w:pPr>
      <w:r w:rsidRPr="00A22DE9">
        <w:rPr>
          <w:lang w:val="en-US"/>
        </w:rPr>
        <w:t>Jorda</w:t>
      </w:r>
      <w:r w:rsidR="00570C33" w:rsidRPr="00A22DE9">
        <w:rPr>
          <w:lang w:val="en-US"/>
        </w:rPr>
        <w:t>,</w:t>
      </w:r>
      <w:r w:rsidRPr="00A22DE9">
        <w:rPr>
          <w:lang w:val="en-US"/>
        </w:rPr>
        <w:t xml:space="preserve"> O</w:t>
      </w:r>
      <w:r w:rsidR="00570C33" w:rsidRPr="00A22DE9">
        <w:rPr>
          <w:lang w:val="en-US"/>
        </w:rPr>
        <w:t>.</w:t>
      </w:r>
      <w:r w:rsidR="00A51C58" w:rsidRPr="00A22DE9">
        <w:rPr>
          <w:lang w:val="en-US"/>
        </w:rPr>
        <w:t xml:space="preserve">, </w:t>
      </w:r>
      <w:r w:rsidRPr="00A22DE9">
        <w:rPr>
          <w:lang w:val="en-US"/>
        </w:rPr>
        <w:t>Schularick</w:t>
      </w:r>
      <w:r w:rsidR="00570C33" w:rsidRPr="00A22DE9">
        <w:rPr>
          <w:lang w:val="en-US"/>
        </w:rPr>
        <w:t xml:space="preserve">, </w:t>
      </w:r>
      <w:r w:rsidR="00616EDA" w:rsidRPr="00A22DE9">
        <w:rPr>
          <w:lang w:val="en-US"/>
        </w:rPr>
        <w:t>M</w:t>
      </w:r>
      <w:r w:rsidR="00570C33" w:rsidRPr="00A22DE9">
        <w:rPr>
          <w:lang w:val="en-US"/>
        </w:rPr>
        <w:t>.</w:t>
      </w:r>
      <w:r w:rsidR="00DE36B5" w:rsidRPr="00A22DE9">
        <w:rPr>
          <w:lang w:val="en-US"/>
        </w:rPr>
        <w:t>,</w:t>
      </w:r>
      <w:r w:rsidR="00570C33" w:rsidRPr="00A22DE9">
        <w:rPr>
          <w:lang w:val="en-US"/>
        </w:rPr>
        <w:t xml:space="preserve"> </w:t>
      </w:r>
      <w:r w:rsidRPr="00A22DE9">
        <w:rPr>
          <w:lang w:val="en-US"/>
        </w:rPr>
        <w:t>Taylor</w:t>
      </w:r>
      <w:r w:rsidR="00570C33" w:rsidRPr="00A22DE9">
        <w:rPr>
          <w:lang w:val="en-US"/>
        </w:rPr>
        <w:t xml:space="preserve">, </w:t>
      </w:r>
      <w:r w:rsidR="00616EDA" w:rsidRPr="00A22DE9">
        <w:rPr>
          <w:lang w:val="en-US"/>
        </w:rPr>
        <w:t>A.</w:t>
      </w:r>
      <w:r w:rsidR="001474B9">
        <w:rPr>
          <w:lang w:val="en-US"/>
        </w:rPr>
        <w:t xml:space="preserve">, </w:t>
      </w:r>
      <w:r w:rsidRPr="00A22DE9">
        <w:rPr>
          <w:lang w:val="en-US"/>
        </w:rPr>
        <w:t>2015</w:t>
      </w:r>
      <w:r w:rsidR="00DE36B5" w:rsidRPr="00A22DE9">
        <w:rPr>
          <w:lang w:val="en-US"/>
        </w:rPr>
        <w:t>.</w:t>
      </w:r>
      <w:r w:rsidRPr="00A22DE9">
        <w:rPr>
          <w:lang w:val="en-US"/>
        </w:rPr>
        <w:t xml:space="preserve"> Leveraged </w:t>
      </w:r>
      <w:r w:rsidR="00DE36B5" w:rsidRPr="00A22DE9">
        <w:rPr>
          <w:lang w:val="en-US"/>
        </w:rPr>
        <w:t>bubbles.</w:t>
      </w:r>
      <w:r w:rsidR="00B13C37" w:rsidRPr="00E45E76">
        <w:rPr>
          <w:lang w:val="en-US"/>
        </w:rPr>
        <w:t xml:space="preserve"> </w:t>
      </w:r>
      <w:r w:rsidR="00B13C37" w:rsidRPr="00C212DD">
        <w:rPr>
          <w:lang w:val="en-US"/>
        </w:rPr>
        <w:t>Journal of Monetary Economics</w:t>
      </w:r>
      <w:r w:rsidR="00B13C37" w:rsidRPr="00E45E76">
        <w:rPr>
          <w:lang w:val="en-US"/>
        </w:rPr>
        <w:t xml:space="preserve"> 76, </w:t>
      </w:r>
      <w:r w:rsidR="001474B9">
        <w:rPr>
          <w:lang w:val="en-US"/>
        </w:rPr>
        <w:t>(s</w:t>
      </w:r>
      <w:r w:rsidR="001474B9" w:rsidRPr="00E45E76">
        <w:rPr>
          <w:lang w:val="en-US"/>
        </w:rPr>
        <w:t>upplement</w:t>
      </w:r>
      <w:r w:rsidR="001474B9">
        <w:rPr>
          <w:lang w:val="en-US"/>
        </w:rPr>
        <w:t>)</w:t>
      </w:r>
      <w:r w:rsidR="00B13C37" w:rsidRPr="00E45E76">
        <w:rPr>
          <w:lang w:val="en-US"/>
        </w:rPr>
        <w:t xml:space="preserve"> S1</w:t>
      </w:r>
      <w:r w:rsidR="001474B9">
        <w:rPr>
          <w:lang w:val="en-US"/>
        </w:rPr>
        <w:t>–</w:t>
      </w:r>
      <w:r w:rsidR="00B13C37" w:rsidRPr="00E45E76">
        <w:rPr>
          <w:lang w:val="en-US"/>
        </w:rPr>
        <w:t>S20.</w:t>
      </w:r>
    </w:p>
    <w:p w14:paraId="1148155B" w14:textId="3DCD0491" w:rsidR="004735FB" w:rsidRPr="004735FB" w:rsidRDefault="004735FB" w:rsidP="00C212DD">
      <w:pPr>
        <w:spacing w:after="200" w:line="259" w:lineRule="auto"/>
        <w:ind w:left="567" w:hanging="567"/>
        <w:rPr>
          <w:rFonts w:cs="Times New Roman"/>
          <w:szCs w:val="24"/>
          <w:lang w:val="en-US"/>
        </w:rPr>
      </w:pPr>
      <w:r w:rsidRPr="002804F3">
        <w:rPr>
          <w:lang w:val="en-US"/>
        </w:rPr>
        <w:t>Hollo, D., Kremer, M., Duca, M.L.</w:t>
      </w:r>
      <w:r w:rsidR="001474B9">
        <w:rPr>
          <w:lang w:val="en-US"/>
        </w:rPr>
        <w:t xml:space="preserve">, </w:t>
      </w:r>
      <w:r w:rsidRPr="002804F3">
        <w:rPr>
          <w:lang w:val="en-US"/>
        </w:rPr>
        <w:t>2012. C</w:t>
      </w:r>
      <w:r w:rsidR="005E05E3">
        <w:rPr>
          <w:lang w:val="en-US"/>
        </w:rPr>
        <w:t>ISS</w:t>
      </w:r>
      <w:r w:rsidRPr="002804F3">
        <w:rPr>
          <w:lang w:val="en-US"/>
        </w:rPr>
        <w:t xml:space="preserve"> – a composite indicator of systemic stress in the financial system. </w:t>
      </w:r>
      <w:r w:rsidR="00226EA7" w:rsidRPr="00C212DD">
        <w:rPr>
          <w:lang w:val="en-US"/>
        </w:rPr>
        <w:t xml:space="preserve">ECB </w:t>
      </w:r>
      <w:r w:rsidRPr="00C212DD">
        <w:rPr>
          <w:lang w:val="en-US"/>
        </w:rPr>
        <w:t>Working Paper</w:t>
      </w:r>
      <w:r w:rsidRPr="002804F3">
        <w:rPr>
          <w:lang w:val="en-US"/>
        </w:rPr>
        <w:t xml:space="preserve"> 1426.</w:t>
      </w:r>
    </w:p>
    <w:p w14:paraId="15680925" w14:textId="45897794" w:rsidR="00AB44BD" w:rsidRPr="00A22DE9" w:rsidRDefault="00E058BE" w:rsidP="00C212DD">
      <w:pPr>
        <w:spacing w:after="200" w:line="259" w:lineRule="auto"/>
        <w:ind w:left="567" w:hanging="567"/>
        <w:rPr>
          <w:lang w:val="en-US"/>
        </w:rPr>
      </w:pPr>
      <w:r w:rsidRPr="00A22DE9">
        <w:rPr>
          <w:lang w:val="en-US"/>
        </w:rPr>
        <w:t>Homm</w:t>
      </w:r>
      <w:r w:rsidR="00570C33" w:rsidRPr="00A22DE9">
        <w:rPr>
          <w:lang w:val="en-US"/>
        </w:rPr>
        <w:t>,</w:t>
      </w:r>
      <w:r w:rsidRPr="00A22DE9">
        <w:rPr>
          <w:lang w:val="en-US"/>
        </w:rPr>
        <w:t xml:space="preserve"> U</w:t>
      </w:r>
      <w:r w:rsidR="00570C33" w:rsidRPr="00A22DE9">
        <w:rPr>
          <w:lang w:val="en-US"/>
        </w:rPr>
        <w:t>.</w:t>
      </w:r>
      <w:r w:rsidR="001474B9">
        <w:rPr>
          <w:lang w:val="en-US"/>
        </w:rPr>
        <w:t>,</w:t>
      </w:r>
      <w:r w:rsidR="00570C33" w:rsidRPr="00A22DE9">
        <w:rPr>
          <w:lang w:val="en-US"/>
        </w:rPr>
        <w:t xml:space="preserve"> </w:t>
      </w:r>
      <w:r w:rsidRPr="00A22DE9">
        <w:rPr>
          <w:lang w:val="en-US"/>
        </w:rPr>
        <w:t>Breitung</w:t>
      </w:r>
      <w:r w:rsidR="00570C33" w:rsidRPr="00A22DE9">
        <w:rPr>
          <w:lang w:val="en-US"/>
        </w:rPr>
        <w:t xml:space="preserve">, </w:t>
      </w:r>
      <w:r w:rsidR="00616EDA" w:rsidRPr="00A22DE9">
        <w:rPr>
          <w:lang w:val="en-US"/>
        </w:rPr>
        <w:t>J.</w:t>
      </w:r>
      <w:r w:rsidR="001474B9">
        <w:rPr>
          <w:lang w:val="en-US"/>
        </w:rPr>
        <w:t xml:space="preserve">, </w:t>
      </w:r>
      <w:r w:rsidRPr="00A22DE9">
        <w:rPr>
          <w:lang w:val="en-US"/>
        </w:rPr>
        <w:t>2012</w:t>
      </w:r>
      <w:r w:rsidR="00DE36B5" w:rsidRPr="00A22DE9">
        <w:rPr>
          <w:lang w:val="en-US"/>
        </w:rPr>
        <w:t>.</w:t>
      </w:r>
      <w:r w:rsidRPr="00A22DE9">
        <w:rPr>
          <w:lang w:val="en-US"/>
        </w:rPr>
        <w:t xml:space="preserve"> Testing for </w:t>
      </w:r>
      <w:r w:rsidR="00DE36B5" w:rsidRPr="00A22DE9">
        <w:rPr>
          <w:lang w:val="en-US"/>
        </w:rPr>
        <w:t xml:space="preserve">speculative bubbles </w:t>
      </w:r>
      <w:r w:rsidRPr="00A22DE9">
        <w:rPr>
          <w:lang w:val="en-US"/>
        </w:rPr>
        <w:t xml:space="preserve">in </w:t>
      </w:r>
      <w:r w:rsidR="00DE36B5" w:rsidRPr="00A22DE9">
        <w:rPr>
          <w:lang w:val="en-US"/>
        </w:rPr>
        <w:t>stock markets</w:t>
      </w:r>
      <w:r w:rsidRPr="00A22DE9">
        <w:rPr>
          <w:lang w:val="en-US"/>
        </w:rPr>
        <w:t xml:space="preserve">: A </w:t>
      </w:r>
      <w:r w:rsidR="00DE36B5" w:rsidRPr="00A22DE9">
        <w:rPr>
          <w:lang w:val="en-US"/>
        </w:rPr>
        <w:t xml:space="preserve">comparison </w:t>
      </w:r>
      <w:r w:rsidRPr="00A22DE9">
        <w:rPr>
          <w:lang w:val="en-US"/>
        </w:rPr>
        <w:t xml:space="preserve">of </w:t>
      </w:r>
      <w:r w:rsidR="00DE36B5" w:rsidRPr="00A22DE9">
        <w:rPr>
          <w:lang w:val="en-US"/>
        </w:rPr>
        <w:t>alternative methods.</w:t>
      </w:r>
      <w:r w:rsidRPr="00A22DE9">
        <w:rPr>
          <w:lang w:val="en-US"/>
        </w:rPr>
        <w:t xml:space="preserve"> </w:t>
      </w:r>
      <w:r w:rsidRPr="00C212DD">
        <w:rPr>
          <w:lang w:val="en-US"/>
        </w:rPr>
        <w:t>Journal of Financial Econometric</w:t>
      </w:r>
      <w:r w:rsidR="00DE36B5" w:rsidRPr="00C212DD">
        <w:rPr>
          <w:lang w:val="en-US"/>
        </w:rPr>
        <w:t>s</w:t>
      </w:r>
      <w:r w:rsidR="00570C33" w:rsidRPr="00A22DE9">
        <w:rPr>
          <w:lang w:val="en-US"/>
        </w:rPr>
        <w:t xml:space="preserve"> </w:t>
      </w:r>
      <w:r w:rsidRPr="003555A8">
        <w:rPr>
          <w:lang w:val="en-US"/>
        </w:rPr>
        <w:t>10</w:t>
      </w:r>
      <w:r w:rsidR="00DE36B5" w:rsidRPr="00A22DE9">
        <w:rPr>
          <w:lang w:val="en-US"/>
        </w:rPr>
        <w:t>(</w:t>
      </w:r>
      <w:r w:rsidRPr="00A22DE9">
        <w:rPr>
          <w:lang w:val="en-US"/>
        </w:rPr>
        <w:t>1</w:t>
      </w:r>
      <w:r w:rsidR="00DE36B5" w:rsidRPr="00A22DE9">
        <w:rPr>
          <w:lang w:val="en-US"/>
        </w:rPr>
        <w:t>)</w:t>
      </w:r>
      <w:r w:rsidR="001474B9">
        <w:rPr>
          <w:lang w:val="en-US"/>
        </w:rPr>
        <w:t>,</w:t>
      </w:r>
      <w:r w:rsidRPr="00A22DE9">
        <w:rPr>
          <w:lang w:val="en-US"/>
        </w:rPr>
        <w:t xml:space="preserve"> 198–231</w:t>
      </w:r>
      <w:r w:rsidR="00A95F75" w:rsidRPr="00A22DE9">
        <w:rPr>
          <w:lang w:val="en-US"/>
        </w:rPr>
        <w:t>.</w:t>
      </w:r>
    </w:p>
    <w:p w14:paraId="5333960D" w14:textId="2EEFBB79" w:rsidR="00AB44BD" w:rsidRPr="00A22DE9" w:rsidRDefault="00AC53B4" w:rsidP="00C212DD">
      <w:pPr>
        <w:spacing w:after="200" w:line="259" w:lineRule="auto"/>
        <w:ind w:left="567" w:hanging="567"/>
        <w:rPr>
          <w:lang w:val="en-US"/>
        </w:rPr>
      </w:pPr>
      <w:r w:rsidRPr="00A22DE9">
        <w:rPr>
          <w:lang w:val="en-US"/>
        </w:rPr>
        <w:t>Kim</w:t>
      </w:r>
      <w:r w:rsidR="00BB6D88" w:rsidRPr="00A22DE9">
        <w:rPr>
          <w:lang w:val="en-US"/>
        </w:rPr>
        <w:t xml:space="preserve">, </w:t>
      </w:r>
      <w:r w:rsidRPr="00A22DE9">
        <w:rPr>
          <w:lang w:val="en-US"/>
        </w:rPr>
        <w:t>T-H</w:t>
      </w:r>
      <w:r w:rsidR="00BB6D88" w:rsidRPr="00A22DE9">
        <w:rPr>
          <w:lang w:val="en-US"/>
        </w:rPr>
        <w:t>.</w:t>
      </w:r>
      <w:r w:rsidRPr="00A22DE9">
        <w:rPr>
          <w:lang w:val="en-US"/>
        </w:rPr>
        <w:t>, Leybourne</w:t>
      </w:r>
      <w:r w:rsidR="00BB6D88" w:rsidRPr="00A22DE9">
        <w:rPr>
          <w:lang w:val="en-US"/>
        </w:rPr>
        <w:t xml:space="preserve">, </w:t>
      </w:r>
      <w:r w:rsidRPr="00A22DE9">
        <w:rPr>
          <w:lang w:val="en-US"/>
        </w:rPr>
        <w:t>S</w:t>
      </w:r>
      <w:r w:rsidR="00BB6D88" w:rsidRPr="00A22DE9">
        <w:rPr>
          <w:lang w:val="en-US"/>
        </w:rPr>
        <w:t>.</w:t>
      </w:r>
      <w:r w:rsidR="00BE32CD" w:rsidRPr="00A22DE9">
        <w:rPr>
          <w:lang w:val="en-US"/>
        </w:rPr>
        <w:t>,</w:t>
      </w:r>
      <w:r w:rsidR="00BB6D88" w:rsidRPr="00A22DE9">
        <w:rPr>
          <w:lang w:val="en-US"/>
        </w:rPr>
        <w:t xml:space="preserve"> </w:t>
      </w:r>
      <w:r w:rsidRPr="00A22DE9">
        <w:rPr>
          <w:lang w:val="en-US"/>
        </w:rPr>
        <w:t>Newbold</w:t>
      </w:r>
      <w:r w:rsidR="00BB6D88" w:rsidRPr="00A22DE9">
        <w:rPr>
          <w:lang w:val="en-US"/>
        </w:rPr>
        <w:t xml:space="preserve">, </w:t>
      </w:r>
      <w:r w:rsidR="00616EDA" w:rsidRPr="00A22DE9">
        <w:rPr>
          <w:lang w:val="en-US"/>
        </w:rPr>
        <w:t>P.</w:t>
      </w:r>
      <w:r w:rsidR="001474B9">
        <w:rPr>
          <w:lang w:val="en-US"/>
        </w:rPr>
        <w:t xml:space="preserve">, </w:t>
      </w:r>
      <w:r w:rsidRPr="00A22DE9">
        <w:rPr>
          <w:lang w:val="en-US"/>
        </w:rPr>
        <w:t>2002</w:t>
      </w:r>
      <w:r w:rsidR="00DE36B5" w:rsidRPr="00A22DE9">
        <w:rPr>
          <w:lang w:val="en-US"/>
        </w:rPr>
        <w:t>.</w:t>
      </w:r>
      <w:r w:rsidRPr="00A22DE9">
        <w:rPr>
          <w:lang w:val="en-US"/>
        </w:rPr>
        <w:t xml:space="preserve"> Unit root tests with a break in innovation variance</w:t>
      </w:r>
      <w:r w:rsidR="00DE36B5" w:rsidRPr="00A22DE9">
        <w:rPr>
          <w:lang w:val="en-US"/>
        </w:rPr>
        <w:t>.</w:t>
      </w:r>
      <w:r w:rsidRPr="00A22DE9">
        <w:rPr>
          <w:lang w:val="en-US"/>
        </w:rPr>
        <w:t xml:space="preserve"> </w:t>
      </w:r>
      <w:r w:rsidRPr="00C212DD">
        <w:rPr>
          <w:lang w:val="en-US"/>
        </w:rPr>
        <w:t>Journal</w:t>
      </w:r>
      <w:r w:rsidR="004C1B63" w:rsidRPr="00C212DD">
        <w:rPr>
          <w:lang w:val="en-US"/>
        </w:rPr>
        <w:t xml:space="preserve"> of Econometrics</w:t>
      </w:r>
      <w:r w:rsidR="00BB6D88" w:rsidRPr="00A22DE9">
        <w:rPr>
          <w:lang w:val="en-US"/>
        </w:rPr>
        <w:t xml:space="preserve"> </w:t>
      </w:r>
      <w:r w:rsidR="004C1B63" w:rsidRPr="003555A8">
        <w:rPr>
          <w:lang w:val="en-US"/>
        </w:rPr>
        <w:t>109</w:t>
      </w:r>
      <w:r w:rsidR="001474B9">
        <w:rPr>
          <w:lang w:val="en-US"/>
        </w:rPr>
        <w:t>,</w:t>
      </w:r>
      <w:r w:rsidR="004C1B63" w:rsidRPr="00A22DE9">
        <w:rPr>
          <w:lang w:val="en-US"/>
        </w:rPr>
        <w:t xml:space="preserve"> 365–387.</w:t>
      </w:r>
    </w:p>
    <w:p w14:paraId="7D1040BE" w14:textId="159A5608" w:rsidR="00BD7F80" w:rsidRDefault="00BD7F80" w:rsidP="00C212DD">
      <w:pPr>
        <w:spacing w:after="200" w:line="259" w:lineRule="auto"/>
        <w:ind w:left="567" w:hanging="567"/>
        <w:rPr>
          <w:lang w:val="en-US"/>
        </w:rPr>
      </w:pPr>
      <w:r>
        <w:rPr>
          <w:lang w:val="en-US"/>
        </w:rPr>
        <w:t>Kauko, K.</w:t>
      </w:r>
      <w:r w:rsidR="001474B9">
        <w:rPr>
          <w:lang w:val="en-US"/>
        </w:rPr>
        <w:t xml:space="preserve">, </w:t>
      </w:r>
      <w:r>
        <w:rPr>
          <w:lang w:val="en-US"/>
        </w:rPr>
        <w:t xml:space="preserve">2014. How to foresee banking crises? A survey of the empirical literature. </w:t>
      </w:r>
      <w:r w:rsidRPr="00C212DD">
        <w:rPr>
          <w:lang w:val="en-US"/>
        </w:rPr>
        <w:t>Economic Systems</w:t>
      </w:r>
      <w:r>
        <w:rPr>
          <w:lang w:val="en-US"/>
        </w:rPr>
        <w:t xml:space="preserve"> 38(3</w:t>
      </w:r>
      <w:r w:rsidR="001474B9">
        <w:rPr>
          <w:lang w:val="en-US"/>
        </w:rPr>
        <w:t>),</w:t>
      </w:r>
      <w:r>
        <w:rPr>
          <w:lang w:val="en-US"/>
        </w:rPr>
        <w:t xml:space="preserve"> 289–308.</w:t>
      </w:r>
    </w:p>
    <w:p w14:paraId="7390B8EC" w14:textId="1DE36B3C" w:rsidR="00AB44BD" w:rsidRDefault="00E058BE" w:rsidP="00C212DD">
      <w:pPr>
        <w:spacing w:after="200" w:line="259" w:lineRule="auto"/>
        <w:ind w:left="567" w:hanging="567"/>
        <w:rPr>
          <w:lang w:val="en-US"/>
        </w:rPr>
      </w:pPr>
      <w:r w:rsidRPr="00A22DE9">
        <w:rPr>
          <w:lang w:val="en-US"/>
        </w:rPr>
        <w:t>Koustas</w:t>
      </w:r>
      <w:r w:rsidR="00BB6D88" w:rsidRPr="00A22DE9">
        <w:rPr>
          <w:lang w:val="en-US"/>
        </w:rPr>
        <w:t>,</w:t>
      </w:r>
      <w:r w:rsidRPr="00A22DE9">
        <w:rPr>
          <w:lang w:val="en-US"/>
        </w:rPr>
        <w:t xml:space="preserve"> Z</w:t>
      </w:r>
      <w:r w:rsidR="00BB6D88" w:rsidRPr="00A22DE9">
        <w:rPr>
          <w:lang w:val="en-US"/>
        </w:rPr>
        <w:t>.</w:t>
      </w:r>
      <w:r w:rsidR="001474B9">
        <w:rPr>
          <w:lang w:val="en-US"/>
        </w:rPr>
        <w:t>,</w:t>
      </w:r>
      <w:r w:rsidR="00BB6D88" w:rsidRPr="00A22DE9">
        <w:rPr>
          <w:lang w:val="en-US"/>
        </w:rPr>
        <w:t xml:space="preserve"> </w:t>
      </w:r>
      <w:r w:rsidRPr="00A22DE9">
        <w:rPr>
          <w:lang w:val="en-US"/>
        </w:rPr>
        <w:t>Serletis</w:t>
      </w:r>
      <w:r w:rsidR="00BB6D88" w:rsidRPr="00A22DE9">
        <w:rPr>
          <w:lang w:val="en-US"/>
        </w:rPr>
        <w:t xml:space="preserve">, </w:t>
      </w:r>
      <w:r w:rsidR="00616EDA" w:rsidRPr="00A22DE9">
        <w:rPr>
          <w:lang w:val="en-US"/>
        </w:rPr>
        <w:t>A.</w:t>
      </w:r>
      <w:r w:rsidR="001474B9">
        <w:rPr>
          <w:lang w:val="en-US"/>
        </w:rPr>
        <w:t xml:space="preserve">, </w:t>
      </w:r>
      <w:r w:rsidRPr="00A22DE9">
        <w:rPr>
          <w:lang w:val="en-US"/>
        </w:rPr>
        <w:t>2005</w:t>
      </w:r>
      <w:r w:rsidR="00DE36B5" w:rsidRPr="00A22DE9">
        <w:rPr>
          <w:lang w:val="en-US"/>
        </w:rPr>
        <w:t>.</w:t>
      </w:r>
      <w:r w:rsidRPr="00A22DE9">
        <w:rPr>
          <w:lang w:val="en-US"/>
        </w:rPr>
        <w:t xml:space="preserve"> Rational bubbles or persistent deviations from market fundamentals</w:t>
      </w:r>
      <w:r w:rsidR="00DE36B5" w:rsidRPr="00A22DE9">
        <w:rPr>
          <w:lang w:val="en-US"/>
        </w:rPr>
        <w:t>?</w:t>
      </w:r>
      <w:r w:rsidRPr="00A22DE9">
        <w:rPr>
          <w:lang w:val="en-US"/>
        </w:rPr>
        <w:t xml:space="preserve"> </w:t>
      </w:r>
      <w:r w:rsidRPr="00C212DD">
        <w:rPr>
          <w:lang w:val="en-US"/>
        </w:rPr>
        <w:t>Journal of Banking and Finance</w:t>
      </w:r>
      <w:r w:rsidR="00BB6D88" w:rsidRPr="00A22DE9">
        <w:rPr>
          <w:lang w:val="en-US"/>
        </w:rPr>
        <w:t xml:space="preserve"> </w:t>
      </w:r>
      <w:r w:rsidRPr="003555A8">
        <w:rPr>
          <w:lang w:val="en-US"/>
        </w:rPr>
        <w:t>29</w:t>
      </w:r>
      <w:r w:rsidR="001474B9">
        <w:rPr>
          <w:lang w:val="en-US"/>
        </w:rPr>
        <w:t>,</w:t>
      </w:r>
      <w:r w:rsidRPr="00A22DE9">
        <w:rPr>
          <w:lang w:val="en-US"/>
        </w:rPr>
        <w:t xml:space="preserve"> 2523</w:t>
      </w:r>
      <w:r w:rsidR="00DE36B5" w:rsidRPr="00A22DE9">
        <w:rPr>
          <w:lang w:val="en-US"/>
        </w:rPr>
        <w:t>–</w:t>
      </w:r>
      <w:r w:rsidRPr="00A22DE9">
        <w:rPr>
          <w:lang w:val="en-US"/>
        </w:rPr>
        <w:t>2539.</w:t>
      </w:r>
    </w:p>
    <w:p w14:paraId="12133856" w14:textId="2E8E539B" w:rsidR="0091501A" w:rsidRPr="004C0648" w:rsidRDefault="0091501A" w:rsidP="00C212DD">
      <w:pPr>
        <w:spacing w:after="200" w:line="259" w:lineRule="auto"/>
        <w:ind w:left="567" w:hanging="567"/>
        <w:rPr>
          <w:i/>
          <w:lang w:val="en-US"/>
        </w:rPr>
      </w:pPr>
      <w:r>
        <w:rPr>
          <w:lang w:val="en-US"/>
        </w:rPr>
        <w:t>Laeven, L.</w:t>
      </w:r>
      <w:r w:rsidR="001474B9">
        <w:rPr>
          <w:lang w:val="en-US"/>
        </w:rPr>
        <w:t xml:space="preserve">, </w:t>
      </w:r>
      <w:r>
        <w:rPr>
          <w:lang w:val="en-US"/>
        </w:rPr>
        <w:t>Valencia, F.</w:t>
      </w:r>
      <w:r w:rsidR="001474B9">
        <w:rPr>
          <w:lang w:val="en-US"/>
        </w:rPr>
        <w:t xml:space="preserve">, </w:t>
      </w:r>
      <w:r>
        <w:rPr>
          <w:lang w:val="en-US"/>
        </w:rPr>
        <w:t xml:space="preserve">2012. Systemic Banking Crises Database: An Update. </w:t>
      </w:r>
      <w:r w:rsidRPr="00C212DD">
        <w:rPr>
          <w:lang w:val="en-US"/>
        </w:rPr>
        <w:t>IMF Working Paper</w:t>
      </w:r>
      <w:r w:rsidR="00D50E4D" w:rsidRPr="00C212DD">
        <w:rPr>
          <w:lang w:val="en-US"/>
        </w:rPr>
        <w:t xml:space="preserve"> </w:t>
      </w:r>
      <w:r w:rsidR="001474B9">
        <w:rPr>
          <w:lang w:val="en-US"/>
        </w:rPr>
        <w:t>n</w:t>
      </w:r>
      <w:r w:rsidR="00D50E4D" w:rsidRPr="00C212DD">
        <w:rPr>
          <w:lang w:val="en-US"/>
        </w:rPr>
        <w:t>. 163/12</w:t>
      </w:r>
      <w:r w:rsidR="00D50E4D" w:rsidRPr="00426866">
        <w:rPr>
          <w:i/>
          <w:lang w:val="en-US"/>
        </w:rPr>
        <w:t>.</w:t>
      </w:r>
    </w:p>
    <w:p w14:paraId="066505CD" w14:textId="031A234A" w:rsidR="00892E3B" w:rsidRPr="00A22DE9" w:rsidRDefault="00AC53B4" w:rsidP="00C212DD">
      <w:pPr>
        <w:spacing w:after="200" w:line="259" w:lineRule="auto"/>
        <w:ind w:left="567" w:hanging="567"/>
        <w:rPr>
          <w:lang w:val="en-US"/>
        </w:rPr>
      </w:pPr>
      <w:r w:rsidRPr="00A22DE9">
        <w:rPr>
          <w:lang w:val="en-US"/>
        </w:rPr>
        <w:t>Leybourne</w:t>
      </w:r>
      <w:r w:rsidR="00BB6D88" w:rsidRPr="00A22DE9">
        <w:rPr>
          <w:lang w:val="en-US"/>
        </w:rPr>
        <w:t>,</w:t>
      </w:r>
      <w:r w:rsidRPr="00A22DE9">
        <w:rPr>
          <w:lang w:val="en-US"/>
        </w:rPr>
        <w:t xml:space="preserve"> S.</w:t>
      </w:r>
      <w:r w:rsidR="001474B9">
        <w:rPr>
          <w:lang w:val="en-US"/>
        </w:rPr>
        <w:t xml:space="preserve">, </w:t>
      </w:r>
      <w:r w:rsidRPr="00A22DE9">
        <w:rPr>
          <w:lang w:val="en-US"/>
        </w:rPr>
        <w:t>1995</w:t>
      </w:r>
      <w:r w:rsidR="00BE32CD" w:rsidRPr="00A22DE9">
        <w:rPr>
          <w:lang w:val="en-US"/>
        </w:rPr>
        <w:t>.</w:t>
      </w:r>
      <w:r w:rsidRPr="00A22DE9">
        <w:rPr>
          <w:lang w:val="en-US"/>
        </w:rPr>
        <w:t xml:space="preserve"> Testing for unit roots using forward and reverse Dickey-Fuller regression</w:t>
      </w:r>
      <w:r w:rsidR="00DE36B5" w:rsidRPr="00A22DE9">
        <w:rPr>
          <w:lang w:val="en-US"/>
        </w:rPr>
        <w:t>.</w:t>
      </w:r>
      <w:r w:rsidRPr="00A22DE9">
        <w:rPr>
          <w:lang w:val="en-US"/>
        </w:rPr>
        <w:t xml:space="preserve"> </w:t>
      </w:r>
      <w:r w:rsidRPr="00C212DD">
        <w:rPr>
          <w:lang w:val="en-US"/>
        </w:rPr>
        <w:t>Oxford Bulletin of Economics and Statistics</w:t>
      </w:r>
      <w:r w:rsidR="00BB6D88" w:rsidRPr="00A22DE9">
        <w:rPr>
          <w:lang w:val="en-US"/>
        </w:rPr>
        <w:t xml:space="preserve"> </w:t>
      </w:r>
      <w:r w:rsidRPr="003555A8">
        <w:rPr>
          <w:lang w:val="en-US"/>
        </w:rPr>
        <w:t>57</w:t>
      </w:r>
      <w:r w:rsidR="001474B9">
        <w:rPr>
          <w:lang w:val="en-US"/>
        </w:rPr>
        <w:t>,</w:t>
      </w:r>
      <w:r w:rsidRPr="00A22DE9">
        <w:rPr>
          <w:lang w:val="en-US"/>
        </w:rPr>
        <w:t xml:space="preserve"> 559–571.</w:t>
      </w:r>
    </w:p>
    <w:p w14:paraId="6C9C32AE" w14:textId="521DD1F7" w:rsidR="00892E3B" w:rsidRPr="00A22DE9" w:rsidRDefault="00AC53B4" w:rsidP="00C212DD">
      <w:pPr>
        <w:spacing w:after="200" w:line="259" w:lineRule="auto"/>
        <w:ind w:left="567" w:hanging="567"/>
        <w:rPr>
          <w:lang w:val="en-US"/>
        </w:rPr>
      </w:pPr>
      <w:r w:rsidRPr="00A22DE9">
        <w:rPr>
          <w:lang w:val="en-US"/>
        </w:rPr>
        <w:t>Leybourne</w:t>
      </w:r>
      <w:r w:rsidR="00BB6D88" w:rsidRPr="00A22DE9">
        <w:rPr>
          <w:lang w:val="en-US"/>
        </w:rPr>
        <w:t xml:space="preserve">, </w:t>
      </w:r>
      <w:r w:rsidRPr="00A22DE9">
        <w:rPr>
          <w:lang w:val="en-US"/>
        </w:rPr>
        <w:t>S</w:t>
      </w:r>
      <w:r w:rsidR="00BB6D88" w:rsidRPr="00A22DE9">
        <w:rPr>
          <w:lang w:val="en-US"/>
        </w:rPr>
        <w:t>.</w:t>
      </w:r>
      <w:r w:rsidRPr="00A22DE9">
        <w:rPr>
          <w:lang w:val="en-US"/>
        </w:rPr>
        <w:t>, Kim</w:t>
      </w:r>
      <w:r w:rsidR="00BB6D88" w:rsidRPr="00A22DE9">
        <w:rPr>
          <w:lang w:val="en-US"/>
        </w:rPr>
        <w:t>,</w:t>
      </w:r>
      <w:r w:rsidR="00DE36B5" w:rsidRPr="00A22DE9">
        <w:rPr>
          <w:lang w:val="en-US"/>
        </w:rPr>
        <w:t xml:space="preserve"> </w:t>
      </w:r>
      <w:r w:rsidR="00616EDA" w:rsidRPr="00A22DE9">
        <w:rPr>
          <w:lang w:val="en-US"/>
        </w:rPr>
        <w:t>T</w:t>
      </w:r>
      <w:r w:rsidR="00BB6D88" w:rsidRPr="00A22DE9">
        <w:rPr>
          <w:lang w:val="en-US"/>
        </w:rPr>
        <w:t>.</w:t>
      </w:r>
      <w:r w:rsidR="00616EDA" w:rsidRPr="00A22DE9">
        <w:rPr>
          <w:lang w:val="en-US"/>
        </w:rPr>
        <w:t>,</w:t>
      </w:r>
      <w:r w:rsidRPr="00A22DE9">
        <w:rPr>
          <w:lang w:val="en-US"/>
        </w:rPr>
        <w:t xml:space="preserve"> Taylor</w:t>
      </w:r>
      <w:r w:rsidR="00BB6D88" w:rsidRPr="00A22DE9">
        <w:rPr>
          <w:lang w:val="en-US"/>
        </w:rPr>
        <w:t xml:space="preserve">, </w:t>
      </w:r>
      <w:r w:rsidR="00616EDA" w:rsidRPr="00A22DE9">
        <w:rPr>
          <w:lang w:val="en-US"/>
        </w:rPr>
        <w:t>A.</w:t>
      </w:r>
      <w:r w:rsidR="001474B9">
        <w:rPr>
          <w:lang w:val="en-US"/>
        </w:rPr>
        <w:t xml:space="preserve">, </w:t>
      </w:r>
      <w:r w:rsidRPr="00A22DE9">
        <w:rPr>
          <w:lang w:val="en-US"/>
        </w:rPr>
        <w:t>2006</w:t>
      </w:r>
      <w:r w:rsidR="00DE36B5" w:rsidRPr="00A22DE9">
        <w:rPr>
          <w:lang w:val="en-US"/>
        </w:rPr>
        <w:t>.</w:t>
      </w:r>
      <w:r w:rsidRPr="00A22DE9">
        <w:rPr>
          <w:lang w:val="en-US"/>
        </w:rPr>
        <w:t xml:space="preserve"> Regression</w:t>
      </w:r>
      <w:r w:rsidR="00DE36B5" w:rsidRPr="00A22DE9">
        <w:rPr>
          <w:lang w:val="en-US"/>
        </w:rPr>
        <w:t>-</w:t>
      </w:r>
      <w:r w:rsidRPr="00A22DE9">
        <w:rPr>
          <w:lang w:val="en-US"/>
        </w:rPr>
        <w:t>based test for a change in persistence</w:t>
      </w:r>
      <w:r w:rsidR="00DE36B5" w:rsidRPr="00A22DE9">
        <w:rPr>
          <w:lang w:val="en-US"/>
        </w:rPr>
        <w:t>.</w:t>
      </w:r>
      <w:r w:rsidRPr="00A22DE9">
        <w:rPr>
          <w:lang w:val="en-US"/>
        </w:rPr>
        <w:t xml:space="preserve"> </w:t>
      </w:r>
      <w:r w:rsidRPr="00C212DD">
        <w:rPr>
          <w:lang w:val="en-US"/>
        </w:rPr>
        <w:t>Oxford Bulletin of Economics and Statistics</w:t>
      </w:r>
      <w:r w:rsidR="00BB6D88" w:rsidRPr="00A22DE9">
        <w:rPr>
          <w:lang w:val="en-US"/>
        </w:rPr>
        <w:t xml:space="preserve"> </w:t>
      </w:r>
      <w:r w:rsidRPr="003555A8">
        <w:rPr>
          <w:lang w:val="en-US"/>
        </w:rPr>
        <w:t>68</w:t>
      </w:r>
      <w:r w:rsidR="00DE36B5" w:rsidRPr="00A22DE9">
        <w:rPr>
          <w:lang w:val="en-US"/>
        </w:rPr>
        <w:t>(</w:t>
      </w:r>
      <w:r w:rsidRPr="00A22DE9">
        <w:rPr>
          <w:lang w:val="en-US"/>
        </w:rPr>
        <w:t>5</w:t>
      </w:r>
      <w:r w:rsidR="00DE36B5" w:rsidRPr="00A22DE9">
        <w:rPr>
          <w:lang w:val="en-US"/>
        </w:rPr>
        <w:t>)</w:t>
      </w:r>
      <w:r w:rsidR="001474B9">
        <w:rPr>
          <w:lang w:val="en-US"/>
        </w:rPr>
        <w:t>,</w:t>
      </w:r>
      <w:r w:rsidRPr="00A22DE9">
        <w:rPr>
          <w:lang w:val="en-US"/>
        </w:rPr>
        <w:t xml:space="preserve"> 595–621.</w:t>
      </w:r>
    </w:p>
    <w:p w14:paraId="3F5139AB" w14:textId="37A2E4A7" w:rsidR="00892E3B" w:rsidRDefault="00091C4D" w:rsidP="00C212DD">
      <w:pPr>
        <w:spacing w:after="200" w:line="259" w:lineRule="auto"/>
        <w:ind w:left="567" w:hanging="567"/>
        <w:rPr>
          <w:lang w:val="en-US"/>
        </w:rPr>
      </w:pPr>
      <w:r w:rsidRPr="00DF5A93">
        <w:rPr>
          <w:lang w:val="en-US"/>
        </w:rPr>
        <w:t>Lo Duca, M., Koban, A., Basten, M., Bengtsson, E., Klaus, B., Kusmierczyk, P., Lang, J., Detken, C., Peltonen, T.</w:t>
      </w:r>
      <w:r w:rsidR="0058326B" w:rsidRPr="00DF5A93">
        <w:rPr>
          <w:lang w:val="en-US"/>
        </w:rPr>
        <w:t xml:space="preserve">, </w:t>
      </w:r>
      <w:r w:rsidRPr="00DF5A93">
        <w:rPr>
          <w:lang w:val="en-US"/>
        </w:rPr>
        <w:t xml:space="preserve">2017. </w:t>
      </w:r>
      <w:r>
        <w:rPr>
          <w:lang w:val="en-US"/>
        </w:rPr>
        <w:t xml:space="preserve">A new database for financial crises in European countries. </w:t>
      </w:r>
      <w:r w:rsidRPr="00C212DD">
        <w:rPr>
          <w:lang w:val="en-US"/>
        </w:rPr>
        <w:t>ECB Occasional Paper</w:t>
      </w:r>
      <w:r>
        <w:rPr>
          <w:lang w:val="en-US"/>
        </w:rPr>
        <w:t xml:space="preserve"> </w:t>
      </w:r>
      <w:r w:rsidR="0058326B">
        <w:rPr>
          <w:lang w:val="en-US"/>
        </w:rPr>
        <w:t>n</w:t>
      </w:r>
      <w:r>
        <w:rPr>
          <w:lang w:val="en-US"/>
        </w:rPr>
        <w:t>. 194</w:t>
      </w:r>
      <w:r w:rsidR="00226EA7">
        <w:rPr>
          <w:lang w:val="en-US"/>
        </w:rPr>
        <w:t>.</w:t>
      </w:r>
    </w:p>
    <w:p w14:paraId="2A1E23B9" w14:textId="0052CB28" w:rsidR="005764F5" w:rsidRPr="005764F5" w:rsidRDefault="005764F5" w:rsidP="00C212DD">
      <w:pPr>
        <w:spacing w:after="200" w:line="259" w:lineRule="auto"/>
        <w:ind w:left="567" w:hanging="567"/>
        <w:rPr>
          <w:lang w:val="en-US"/>
        </w:rPr>
      </w:pPr>
      <w:r>
        <w:rPr>
          <w:lang w:val="en-US"/>
        </w:rPr>
        <w:t>Pavlidis, E., Yusupova, A., Paya, I., Peel, D., Martínez-García, E., Mack, A.</w:t>
      </w:r>
      <w:r w:rsidR="0058326B">
        <w:rPr>
          <w:lang w:val="en-US"/>
        </w:rPr>
        <w:t>,</w:t>
      </w:r>
      <w:r>
        <w:rPr>
          <w:lang w:val="en-US"/>
        </w:rPr>
        <w:t xml:space="preserve"> Grossman, V.</w:t>
      </w:r>
      <w:r w:rsidR="0058326B">
        <w:rPr>
          <w:lang w:val="en-US"/>
        </w:rPr>
        <w:t>,</w:t>
      </w:r>
      <w:r>
        <w:rPr>
          <w:lang w:val="en-US"/>
        </w:rPr>
        <w:t xml:space="preserve"> 2016. Episodes of Exuberance in Housing Markets: In Search of the Smoking Gun. </w:t>
      </w:r>
      <w:r w:rsidRPr="00C212DD">
        <w:rPr>
          <w:lang w:val="en-US"/>
        </w:rPr>
        <w:t>Journal of Real Estate Finance and Economics</w:t>
      </w:r>
      <w:r w:rsidR="0058326B">
        <w:rPr>
          <w:i/>
          <w:lang w:val="en-US"/>
        </w:rPr>
        <w:t xml:space="preserve"> </w:t>
      </w:r>
      <w:r>
        <w:rPr>
          <w:lang w:val="en-US"/>
        </w:rPr>
        <w:t>53</w:t>
      </w:r>
      <w:r w:rsidR="0058326B">
        <w:rPr>
          <w:lang w:val="en-US"/>
        </w:rPr>
        <w:t>(</w:t>
      </w:r>
      <w:r>
        <w:rPr>
          <w:lang w:val="en-US"/>
        </w:rPr>
        <w:t>4</w:t>
      </w:r>
      <w:r w:rsidR="0058326B">
        <w:rPr>
          <w:lang w:val="en-US"/>
        </w:rPr>
        <w:t xml:space="preserve">), </w:t>
      </w:r>
      <w:r>
        <w:rPr>
          <w:lang w:val="en-US"/>
        </w:rPr>
        <w:t>419</w:t>
      </w:r>
      <w:r w:rsidR="0058326B">
        <w:rPr>
          <w:lang w:val="en-US"/>
        </w:rPr>
        <w:t>–</w:t>
      </w:r>
      <w:r>
        <w:rPr>
          <w:lang w:val="en-US"/>
        </w:rPr>
        <w:t>449</w:t>
      </w:r>
      <w:r w:rsidR="00226EA7">
        <w:rPr>
          <w:lang w:val="en-US"/>
        </w:rPr>
        <w:t>.</w:t>
      </w:r>
    </w:p>
    <w:p w14:paraId="614D3870" w14:textId="6F526089" w:rsidR="00892E3B" w:rsidRPr="00A22DE9" w:rsidRDefault="00D42F25" w:rsidP="00C212DD">
      <w:pPr>
        <w:spacing w:after="200" w:line="259" w:lineRule="auto"/>
        <w:ind w:left="567" w:hanging="567"/>
        <w:rPr>
          <w:lang w:val="en-US"/>
        </w:rPr>
      </w:pPr>
      <w:r w:rsidRPr="00DF5A93">
        <w:rPr>
          <w:lang w:val="en-US"/>
        </w:rPr>
        <w:t>Peltonen</w:t>
      </w:r>
      <w:r w:rsidR="00BB6D88" w:rsidRPr="00DF5A93">
        <w:rPr>
          <w:lang w:val="en-US"/>
        </w:rPr>
        <w:t>,</w:t>
      </w:r>
      <w:r w:rsidRPr="00DF5A93">
        <w:rPr>
          <w:lang w:val="en-US"/>
        </w:rPr>
        <w:t xml:space="preserve"> T</w:t>
      </w:r>
      <w:r w:rsidR="00BB6D88" w:rsidRPr="00DF5A93">
        <w:rPr>
          <w:lang w:val="en-US"/>
        </w:rPr>
        <w:t>.</w:t>
      </w:r>
      <w:r w:rsidRPr="00DF5A93">
        <w:rPr>
          <w:lang w:val="en-US"/>
        </w:rPr>
        <w:t>, Piloiu</w:t>
      </w:r>
      <w:r w:rsidR="00BB6D88" w:rsidRPr="00DF5A93">
        <w:rPr>
          <w:lang w:val="en-US"/>
        </w:rPr>
        <w:t>,</w:t>
      </w:r>
      <w:r w:rsidR="00616EDA" w:rsidRPr="00DF5A93">
        <w:rPr>
          <w:lang w:val="en-US"/>
        </w:rPr>
        <w:t xml:space="preserve"> A</w:t>
      </w:r>
      <w:r w:rsidR="00BB6D88" w:rsidRPr="00DF5A93">
        <w:rPr>
          <w:lang w:val="en-US"/>
        </w:rPr>
        <w:t>.</w:t>
      </w:r>
      <w:r w:rsidR="00DE36B5" w:rsidRPr="00DF5A93">
        <w:rPr>
          <w:lang w:val="en-US"/>
        </w:rPr>
        <w:t>,</w:t>
      </w:r>
      <w:r w:rsidR="00616EDA" w:rsidRPr="00DF5A93">
        <w:rPr>
          <w:lang w:val="en-US"/>
        </w:rPr>
        <w:t xml:space="preserve"> </w:t>
      </w:r>
      <w:r w:rsidRPr="00DF5A93">
        <w:rPr>
          <w:lang w:val="en-US"/>
        </w:rPr>
        <w:t>Sarlin</w:t>
      </w:r>
      <w:r w:rsidR="00BB6D88" w:rsidRPr="00DF5A93">
        <w:rPr>
          <w:lang w:val="en-US"/>
        </w:rPr>
        <w:t>,</w:t>
      </w:r>
      <w:r w:rsidRPr="00DF5A93">
        <w:rPr>
          <w:lang w:val="en-US"/>
        </w:rPr>
        <w:t xml:space="preserve"> </w:t>
      </w:r>
      <w:r w:rsidR="00616EDA" w:rsidRPr="00DF5A93">
        <w:rPr>
          <w:lang w:val="en-US"/>
        </w:rPr>
        <w:t>P.</w:t>
      </w:r>
      <w:r w:rsidR="0058326B" w:rsidRPr="00DF5A93">
        <w:rPr>
          <w:lang w:val="en-US"/>
        </w:rPr>
        <w:t xml:space="preserve">, </w:t>
      </w:r>
      <w:r w:rsidRPr="00DF5A93">
        <w:rPr>
          <w:lang w:val="en-US"/>
        </w:rPr>
        <w:t>2014</w:t>
      </w:r>
      <w:r w:rsidR="00DE36B5" w:rsidRPr="00DF5A93">
        <w:rPr>
          <w:lang w:val="en-US"/>
        </w:rPr>
        <w:t>.</w:t>
      </w:r>
      <w:r w:rsidRPr="00DF5A93">
        <w:rPr>
          <w:lang w:val="en-US"/>
        </w:rPr>
        <w:t xml:space="preserve"> </w:t>
      </w:r>
      <w:r w:rsidRPr="00A22DE9">
        <w:rPr>
          <w:lang w:val="en-US"/>
        </w:rPr>
        <w:t>Tail-dependence measures to predict bank distress</w:t>
      </w:r>
      <w:r w:rsidR="00DE36B5" w:rsidRPr="00A22DE9">
        <w:rPr>
          <w:lang w:val="en-US"/>
        </w:rPr>
        <w:t>.</w:t>
      </w:r>
      <w:r w:rsidRPr="00A22DE9">
        <w:rPr>
          <w:lang w:val="en-US"/>
        </w:rPr>
        <w:t xml:space="preserve"> </w:t>
      </w:r>
      <w:r w:rsidR="00DE36B5" w:rsidRPr="00C212DD">
        <w:rPr>
          <w:lang w:val="en-US"/>
        </w:rPr>
        <w:t xml:space="preserve">Unpublished </w:t>
      </w:r>
      <w:r w:rsidRPr="00C212DD">
        <w:rPr>
          <w:lang w:val="en-US"/>
        </w:rPr>
        <w:t>mimeo.</w:t>
      </w:r>
    </w:p>
    <w:p w14:paraId="6A7AFE6C" w14:textId="52AD0976" w:rsidR="00892E3B" w:rsidRPr="00A22DE9" w:rsidRDefault="00E058BE" w:rsidP="00C212DD">
      <w:pPr>
        <w:spacing w:after="200" w:line="259" w:lineRule="auto"/>
        <w:ind w:left="567" w:hanging="567"/>
        <w:rPr>
          <w:lang w:val="en-US"/>
        </w:rPr>
      </w:pPr>
      <w:r w:rsidRPr="00A22DE9">
        <w:rPr>
          <w:lang w:val="en-US"/>
        </w:rPr>
        <w:t>Phillips</w:t>
      </w:r>
      <w:r w:rsidR="00BB6D88" w:rsidRPr="00A22DE9">
        <w:rPr>
          <w:lang w:val="en-US"/>
        </w:rPr>
        <w:t>,</w:t>
      </w:r>
      <w:r w:rsidRPr="00A22DE9">
        <w:rPr>
          <w:lang w:val="en-US"/>
        </w:rPr>
        <w:t xml:space="preserve"> P</w:t>
      </w:r>
      <w:r w:rsidR="00BB6D88" w:rsidRPr="00A22DE9">
        <w:rPr>
          <w:lang w:val="en-US"/>
        </w:rPr>
        <w:t>.</w:t>
      </w:r>
      <w:r w:rsidR="00A51C58" w:rsidRPr="00A22DE9">
        <w:rPr>
          <w:lang w:val="en-US"/>
        </w:rPr>
        <w:t xml:space="preserve">, </w:t>
      </w:r>
      <w:r w:rsidRPr="00A22DE9">
        <w:rPr>
          <w:lang w:val="en-US"/>
        </w:rPr>
        <w:t>Wu</w:t>
      </w:r>
      <w:r w:rsidR="00BB6D88" w:rsidRPr="00A22DE9">
        <w:rPr>
          <w:lang w:val="en-US"/>
        </w:rPr>
        <w:t>,</w:t>
      </w:r>
      <w:r w:rsidR="00830A23" w:rsidRPr="00A22DE9">
        <w:rPr>
          <w:lang w:val="en-US"/>
        </w:rPr>
        <w:t xml:space="preserve"> Y</w:t>
      </w:r>
      <w:r w:rsidR="00BB6D88" w:rsidRPr="00A22DE9">
        <w:rPr>
          <w:lang w:val="en-US"/>
        </w:rPr>
        <w:t>.</w:t>
      </w:r>
      <w:r w:rsidR="00DE36B5" w:rsidRPr="00A22DE9">
        <w:rPr>
          <w:lang w:val="en-US"/>
        </w:rPr>
        <w:t>,</w:t>
      </w:r>
      <w:r w:rsidR="00A51C58" w:rsidRPr="00A22DE9">
        <w:rPr>
          <w:lang w:val="en-US"/>
        </w:rPr>
        <w:t xml:space="preserve"> </w:t>
      </w:r>
      <w:r w:rsidRPr="00A22DE9">
        <w:rPr>
          <w:lang w:val="en-US"/>
        </w:rPr>
        <w:t>Yu</w:t>
      </w:r>
      <w:r w:rsidR="00BB6D88" w:rsidRPr="00A22DE9">
        <w:rPr>
          <w:lang w:val="en-US"/>
        </w:rPr>
        <w:t>,</w:t>
      </w:r>
      <w:r w:rsidR="00830A23" w:rsidRPr="00A22DE9">
        <w:rPr>
          <w:lang w:val="en-US"/>
        </w:rPr>
        <w:t xml:space="preserve"> J.</w:t>
      </w:r>
      <w:r w:rsidR="0058326B">
        <w:rPr>
          <w:lang w:val="en-US"/>
        </w:rPr>
        <w:t xml:space="preserve">, </w:t>
      </w:r>
      <w:r w:rsidRPr="00A22DE9">
        <w:rPr>
          <w:lang w:val="en-US"/>
        </w:rPr>
        <w:t>2011</w:t>
      </w:r>
      <w:r w:rsidR="00DE36B5" w:rsidRPr="00A22DE9">
        <w:rPr>
          <w:lang w:val="en-US"/>
        </w:rPr>
        <w:t>.</w:t>
      </w:r>
      <w:r w:rsidRPr="00A22DE9">
        <w:rPr>
          <w:lang w:val="en-US"/>
        </w:rPr>
        <w:t xml:space="preserve"> Explosive behavior in the 1990s Nasdaq: When did</w:t>
      </w:r>
      <w:r w:rsidR="00BB6D88" w:rsidRPr="00A22DE9">
        <w:rPr>
          <w:lang w:val="en-US"/>
        </w:rPr>
        <w:t xml:space="preserve"> </w:t>
      </w:r>
      <w:r w:rsidRPr="00A22DE9">
        <w:rPr>
          <w:lang w:val="en-US"/>
        </w:rPr>
        <w:t xml:space="preserve">exuberance escalate asset values? </w:t>
      </w:r>
      <w:r w:rsidRPr="00C212DD">
        <w:rPr>
          <w:lang w:val="en-US"/>
        </w:rPr>
        <w:t>International Economic Review</w:t>
      </w:r>
      <w:r w:rsidR="00BB6D88" w:rsidRPr="00A22DE9">
        <w:rPr>
          <w:lang w:val="en-US"/>
        </w:rPr>
        <w:t xml:space="preserve"> </w:t>
      </w:r>
      <w:r w:rsidRPr="003555A8">
        <w:rPr>
          <w:lang w:val="en-US"/>
        </w:rPr>
        <w:t>52</w:t>
      </w:r>
      <w:r w:rsidR="0058326B">
        <w:rPr>
          <w:lang w:val="en-US"/>
        </w:rPr>
        <w:t>,</w:t>
      </w:r>
      <w:r w:rsidRPr="00A22DE9">
        <w:rPr>
          <w:lang w:val="en-US"/>
        </w:rPr>
        <w:t xml:space="preserve"> 201</w:t>
      </w:r>
      <w:r w:rsidR="00DE36B5" w:rsidRPr="00A22DE9">
        <w:rPr>
          <w:lang w:val="en-US"/>
        </w:rPr>
        <w:t>–</w:t>
      </w:r>
      <w:r w:rsidRPr="00A22DE9">
        <w:rPr>
          <w:lang w:val="en-US"/>
        </w:rPr>
        <w:t>226.</w:t>
      </w:r>
    </w:p>
    <w:p w14:paraId="0B7F57FE" w14:textId="7301E6F9" w:rsidR="00892E3B" w:rsidRPr="004C0648" w:rsidRDefault="00E058BE" w:rsidP="00C212DD">
      <w:pPr>
        <w:spacing w:after="200" w:line="259" w:lineRule="auto"/>
        <w:ind w:left="567" w:hanging="567"/>
        <w:rPr>
          <w:szCs w:val="24"/>
          <w:lang w:val="en-US"/>
        </w:rPr>
      </w:pPr>
      <w:r w:rsidRPr="00A22DE9">
        <w:rPr>
          <w:lang w:val="en-US"/>
        </w:rPr>
        <w:t>Phillips</w:t>
      </w:r>
      <w:r w:rsidR="00BB6D88" w:rsidRPr="00A22DE9">
        <w:rPr>
          <w:lang w:val="en-US"/>
        </w:rPr>
        <w:t xml:space="preserve">, </w:t>
      </w:r>
      <w:r w:rsidRPr="00A22DE9">
        <w:rPr>
          <w:lang w:val="en-US"/>
        </w:rPr>
        <w:t>P</w:t>
      </w:r>
      <w:r w:rsidR="00BB6D88" w:rsidRPr="00A22DE9">
        <w:rPr>
          <w:lang w:val="en-US"/>
        </w:rPr>
        <w:t>.</w:t>
      </w:r>
      <w:r w:rsidR="00A51C58" w:rsidRPr="00A22DE9">
        <w:rPr>
          <w:lang w:val="en-US"/>
        </w:rPr>
        <w:t xml:space="preserve">, </w:t>
      </w:r>
      <w:r w:rsidRPr="00A22DE9">
        <w:rPr>
          <w:lang w:val="en-US"/>
        </w:rPr>
        <w:t>Shi</w:t>
      </w:r>
      <w:r w:rsidR="00BB6D88" w:rsidRPr="00A22DE9">
        <w:rPr>
          <w:lang w:val="en-US"/>
        </w:rPr>
        <w:t>,</w:t>
      </w:r>
      <w:r w:rsidR="00830A23" w:rsidRPr="00A22DE9">
        <w:rPr>
          <w:lang w:val="en-US"/>
        </w:rPr>
        <w:t xml:space="preserve"> P</w:t>
      </w:r>
      <w:r w:rsidR="00BB6D88" w:rsidRPr="00A22DE9">
        <w:rPr>
          <w:lang w:val="en-US"/>
        </w:rPr>
        <w:t>.</w:t>
      </w:r>
      <w:r w:rsidR="00DE36B5" w:rsidRPr="00A22DE9">
        <w:rPr>
          <w:lang w:val="en-US"/>
        </w:rPr>
        <w:t>,</w:t>
      </w:r>
      <w:r w:rsidR="00A51C58" w:rsidRPr="00A22DE9">
        <w:rPr>
          <w:lang w:val="en-US"/>
        </w:rPr>
        <w:t xml:space="preserve"> Y</w:t>
      </w:r>
      <w:r w:rsidRPr="00A22DE9">
        <w:rPr>
          <w:lang w:val="en-US"/>
        </w:rPr>
        <w:t>u</w:t>
      </w:r>
      <w:r w:rsidR="00BB6D88" w:rsidRPr="00A22DE9">
        <w:rPr>
          <w:lang w:val="en-US"/>
        </w:rPr>
        <w:t xml:space="preserve">, </w:t>
      </w:r>
      <w:r w:rsidR="00830A23" w:rsidRPr="00A22DE9">
        <w:rPr>
          <w:lang w:val="en-US"/>
        </w:rPr>
        <w:t>J.</w:t>
      </w:r>
      <w:r w:rsidR="0058326B">
        <w:rPr>
          <w:lang w:val="en-US"/>
        </w:rPr>
        <w:t xml:space="preserve">, </w:t>
      </w:r>
      <w:r w:rsidRPr="00A22DE9">
        <w:rPr>
          <w:lang w:val="en-US"/>
        </w:rPr>
        <w:t>201</w:t>
      </w:r>
      <w:r w:rsidR="0036352B">
        <w:rPr>
          <w:lang w:val="en-US"/>
        </w:rPr>
        <w:t>5</w:t>
      </w:r>
      <w:r w:rsidR="00DE36B5" w:rsidRPr="00A22DE9">
        <w:rPr>
          <w:lang w:val="en-US"/>
        </w:rPr>
        <w:t>.</w:t>
      </w:r>
      <w:r w:rsidRPr="00A22DE9">
        <w:rPr>
          <w:lang w:val="en-US"/>
        </w:rPr>
        <w:t xml:space="preserve"> Testing for </w:t>
      </w:r>
      <w:r w:rsidR="00967897" w:rsidRPr="00A22DE9">
        <w:rPr>
          <w:lang w:val="en-US"/>
        </w:rPr>
        <w:t>multiple bubbles</w:t>
      </w:r>
      <w:r w:rsidRPr="00A22DE9">
        <w:rPr>
          <w:lang w:val="en-US"/>
        </w:rPr>
        <w:t xml:space="preserve">: Historical </w:t>
      </w:r>
      <w:r w:rsidR="00967897" w:rsidRPr="00A22DE9">
        <w:rPr>
          <w:lang w:val="en-US"/>
        </w:rPr>
        <w:t xml:space="preserve">episodes </w:t>
      </w:r>
      <w:r w:rsidRPr="00A22DE9">
        <w:rPr>
          <w:lang w:val="en-US"/>
        </w:rPr>
        <w:t xml:space="preserve">of </w:t>
      </w:r>
      <w:r w:rsidR="00967897" w:rsidRPr="004C0648">
        <w:rPr>
          <w:szCs w:val="24"/>
          <w:lang w:val="en-US"/>
        </w:rPr>
        <w:t>e</w:t>
      </w:r>
      <w:r w:rsidRPr="004C0648">
        <w:rPr>
          <w:szCs w:val="24"/>
          <w:lang w:val="en-US"/>
        </w:rPr>
        <w:t xml:space="preserve">xuberance and </w:t>
      </w:r>
      <w:r w:rsidR="00967897" w:rsidRPr="004C0648">
        <w:rPr>
          <w:szCs w:val="24"/>
          <w:lang w:val="en-US"/>
        </w:rPr>
        <w:t xml:space="preserve">collapse </w:t>
      </w:r>
      <w:r w:rsidRPr="004C0648">
        <w:rPr>
          <w:szCs w:val="24"/>
          <w:lang w:val="en-US"/>
        </w:rPr>
        <w:t>in the S&amp;P500</w:t>
      </w:r>
      <w:r w:rsidR="00967897" w:rsidRPr="004C0648">
        <w:rPr>
          <w:szCs w:val="24"/>
          <w:lang w:val="en-US"/>
        </w:rPr>
        <w:t xml:space="preserve">. </w:t>
      </w:r>
      <w:r w:rsidR="0036352B" w:rsidRPr="00C212DD">
        <w:rPr>
          <w:szCs w:val="24"/>
          <w:lang w:val="en-US"/>
        </w:rPr>
        <w:t>International Economic Review</w:t>
      </w:r>
      <w:r w:rsidR="0036352B" w:rsidRPr="004C0648">
        <w:rPr>
          <w:i/>
          <w:szCs w:val="24"/>
          <w:lang w:val="en-US"/>
        </w:rPr>
        <w:t xml:space="preserve"> </w:t>
      </w:r>
      <w:r w:rsidR="0036352B" w:rsidRPr="004C0648">
        <w:rPr>
          <w:szCs w:val="24"/>
          <w:lang w:val="en-US"/>
        </w:rPr>
        <w:t>56</w:t>
      </w:r>
      <w:r w:rsidR="0058326B">
        <w:rPr>
          <w:szCs w:val="24"/>
          <w:lang w:val="en-US"/>
        </w:rPr>
        <w:t>(</w:t>
      </w:r>
      <w:r w:rsidR="0036352B" w:rsidRPr="004C0648">
        <w:rPr>
          <w:szCs w:val="24"/>
          <w:lang w:val="en-US"/>
        </w:rPr>
        <w:t>4</w:t>
      </w:r>
      <w:r w:rsidR="0058326B">
        <w:rPr>
          <w:szCs w:val="24"/>
          <w:lang w:val="en-US"/>
        </w:rPr>
        <w:t>),</w:t>
      </w:r>
      <w:r w:rsidR="0036352B" w:rsidRPr="004C0648">
        <w:rPr>
          <w:szCs w:val="24"/>
          <w:lang w:val="en-US"/>
        </w:rPr>
        <w:t xml:space="preserve"> 1043</w:t>
      </w:r>
      <w:r w:rsidR="0058326B">
        <w:rPr>
          <w:szCs w:val="24"/>
          <w:lang w:val="en-US"/>
        </w:rPr>
        <w:t>–</w:t>
      </w:r>
      <w:r w:rsidR="0036352B" w:rsidRPr="004C0648">
        <w:rPr>
          <w:szCs w:val="24"/>
          <w:lang w:val="en-US"/>
        </w:rPr>
        <w:t>1078</w:t>
      </w:r>
      <w:r w:rsidR="00226EA7">
        <w:rPr>
          <w:szCs w:val="24"/>
          <w:lang w:val="en-US"/>
        </w:rPr>
        <w:t>.</w:t>
      </w:r>
    </w:p>
    <w:p w14:paraId="2F5F6E30" w14:textId="47424408" w:rsidR="00892E3B" w:rsidRPr="004C0648" w:rsidRDefault="00FE6543" w:rsidP="00C212DD">
      <w:pPr>
        <w:spacing w:after="200" w:line="259" w:lineRule="auto"/>
        <w:ind w:left="567" w:hanging="567"/>
        <w:rPr>
          <w:szCs w:val="24"/>
          <w:shd w:val="clear" w:color="auto" w:fill="FAFAFA"/>
          <w:lang w:val="en-US"/>
        </w:rPr>
      </w:pPr>
      <w:r w:rsidRPr="004C0648">
        <w:rPr>
          <w:szCs w:val="24"/>
          <w:shd w:val="clear" w:color="auto" w:fill="FAFAFA"/>
          <w:lang w:val="en-US"/>
        </w:rPr>
        <w:t>Reinhart</w:t>
      </w:r>
      <w:r w:rsidR="00BB6D88" w:rsidRPr="004C0648">
        <w:rPr>
          <w:szCs w:val="24"/>
          <w:shd w:val="clear" w:color="auto" w:fill="FAFAFA"/>
          <w:lang w:val="en-US"/>
        </w:rPr>
        <w:t>,</w:t>
      </w:r>
      <w:r w:rsidRPr="004C0648">
        <w:rPr>
          <w:szCs w:val="24"/>
          <w:shd w:val="clear" w:color="auto" w:fill="FAFAFA"/>
          <w:lang w:val="en-US"/>
        </w:rPr>
        <w:t xml:space="preserve"> C</w:t>
      </w:r>
      <w:r w:rsidR="00BB6D88" w:rsidRPr="004C0648">
        <w:rPr>
          <w:szCs w:val="24"/>
          <w:shd w:val="clear" w:color="auto" w:fill="FAFAFA"/>
          <w:lang w:val="en-US"/>
        </w:rPr>
        <w:t>.</w:t>
      </w:r>
      <w:r w:rsidR="0058326B">
        <w:rPr>
          <w:szCs w:val="24"/>
          <w:shd w:val="clear" w:color="auto" w:fill="FAFAFA"/>
          <w:lang w:val="en-US"/>
        </w:rPr>
        <w:t xml:space="preserve">, </w:t>
      </w:r>
      <w:r w:rsidRPr="004C0648">
        <w:rPr>
          <w:szCs w:val="24"/>
          <w:shd w:val="clear" w:color="auto" w:fill="FAFAFA"/>
          <w:lang w:val="en-US"/>
        </w:rPr>
        <w:t>Rogoff</w:t>
      </w:r>
      <w:r w:rsidR="00BB6D88" w:rsidRPr="004C0648">
        <w:rPr>
          <w:szCs w:val="24"/>
          <w:shd w:val="clear" w:color="auto" w:fill="FAFAFA"/>
          <w:lang w:val="en-US"/>
        </w:rPr>
        <w:t>,</w:t>
      </w:r>
      <w:r w:rsidR="00830A23" w:rsidRPr="004C0648">
        <w:rPr>
          <w:szCs w:val="24"/>
          <w:shd w:val="clear" w:color="auto" w:fill="FAFAFA"/>
          <w:lang w:val="en-US"/>
        </w:rPr>
        <w:t xml:space="preserve"> K.</w:t>
      </w:r>
      <w:r w:rsidR="0058326B">
        <w:rPr>
          <w:szCs w:val="24"/>
          <w:shd w:val="clear" w:color="auto" w:fill="FAFAFA"/>
          <w:lang w:val="en-US"/>
        </w:rPr>
        <w:t xml:space="preserve">, </w:t>
      </w:r>
      <w:r w:rsidRPr="004C0648">
        <w:rPr>
          <w:szCs w:val="24"/>
          <w:shd w:val="clear" w:color="auto" w:fill="FAFAFA"/>
          <w:lang w:val="en-US"/>
        </w:rPr>
        <w:t>2009</w:t>
      </w:r>
      <w:r w:rsidR="00967897" w:rsidRPr="004C0648">
        <w:rPr>
          <w:szCs w:val="24"/>
          <w:shd w:val="clear" w:color="auto" w:fill="FAFAFA"/>
          <w:lang w:val="en-US"/>
        </w:rPr>
        <w:t>.</w:t>
      </w:r>
      <w:r w:rsidRPr="004C0648">
        <w:rPr>
          <w:szCs w:val="24"/>
          <w:shd w:val="clear" w:color="auto" w:fill="FAFAFA"/>
          <w:lang w:val="en-US"/>
        </w:rPr>
        <w:t xml:space="preserve"> The </w:t>
      </w:r>
      <w:r w:rsidR="00967897" w:rsidRPr="004C0648">
        <w:rPr>
          <w:szCs w:val="24"/>
          <w:shd w:val="clear" w:color="auto" w:fill="FAFAFA"/>
          <w:lang w:val="en-US"/>
        </w:rPr>
        <w:t xml:space="preserve">aftermath </w:t>
      </w:r>
      <w:r w:rsidRPr="004C0648">
        <w:rPr>
          <w:szCs w:val="24"/>
          <w:shd w:val="clear" w:color="auto" w:fill="FAFAFA"/>
          <w:lang w:val="en-US"/>
        </w:rPr>
        <w:t xml:space="preserve">of </w:t>
      </w:r>
      <w:r w:rsidR="00967897" w:rsidRPr="004C0648">
        <w:rPr>
          <w:szCs w:val="24"/>
          <w:shd w:val="clear" w:color="auto" w:fill="FAFAFA"/>
          <w:lang w:val="en-US"/>
        </w:rPr>
        <w:t>financial crises.</w:t>
      </w:r>
      <w:r w:rsidRPr="00655A64">
        <w:rPr>
          <w:rStyle w:val="apple-converted-space"/>
          <w:rFonts w:cs="Times New Roman"/>
          <w:color w:val="000000"/>
          <w:szCs w:val="24"/>
          <w:shd w:val="clear" w:color="auto" w:fill="FAFAFA"/>
          <w:lang w:val="en-US"/>
        </w:rPr>
        <w:t> </w:t>
      </w:r>
      <w:r w:rsidRPr="00C212DD">
        <w:rPr>
          <w:rStyle w:val="Korostus"/>
          <w:rFonts w:cs="Times New Roman"/>
          <w:i w:val="0"/>
          <w:color w:val="000000"/>
          <w:szCs w:val="24"/>
          <w:bdr w:val="none" w:sz="0" w:space="0" w:color="auto" w:frame="1"/>
          <w:shd w:val="clear" w:color="auto" w:fill="FAFAFA"/>
          <w:lang w:val="en-US"/>
        </w:rPr>
        <w:t>American Economic Review</w:t>
      </w:r>
      <w:r w:rsidR="00BB6D88" w:rsidRPr="004C0648">
        <w:rPr>
          <w:szCs w:val="24"/>
          <w:shd w:val="clear" w:color="auto" w:fill="FAFAFA"/>
          <w:lang w:val="en-US"/>
        </w:rPr>
        <w:t xml:space="preserve"> </w:t>
      </w:r>
      <w:r w:rsidRPr="004C0648">
        <w:rPr>
          <w:szCs w:val="24"/>
          <w:shd w:val="clear" w:color="auto" w:fill="FAFAFA"/>
          <w:lang w:val="en-US"/>
        </w:rPr>
        <w:t>99(2)</w:t>
      </w:r>
      <w:r w:rsidR="0058326B">
        <w:rPr>
          <w:szCs w:val="24"/>
          <w:shd w:val="clear" w:color="auto" w:fill="FAFAFA"/>
          <w:lang w:val="en-US"/>
        </w:rPr>
        <w:t>,</w:t>
      </w:r>
      <w:r w:rsidRPr="004C0648">
        <w:rPr>
          <w:szCs w:val="24"/>
          <w:shd w:val="clear" w:color="auto" w:fill="FAFAFA"/>
          <w:lang w:val="en-US"/>
        </w:rPr>
        <w:t xml:space="preserve"> 466–472.</w:t>
      </w:r>
    </w:p>
    <w:p w14:paraId="7B12E2C7" w14:textId="4E664C37" w:rsidR="008919A2" w:rsidRPr="004C0648" w:rsidRDefault="008919A2" w:rsidP="00C212DD">
      <w:pPr>
        <w:spacing w:after="200" w:line="259" w:lineRule="auto"/>
        <w:ind w:left="567" w:hanging="567"/>
        <w:rPr>
          <w:i/>
          <w:szCs w:val="24"/>
          <w:shd w:val="clear" w:color="auto" w:fill="FAFAFA"/>
          <w:lang w:val="en-US"/>
        </w:rPr>
      </w:pPr>
      <w:r w:rsidRPr="00655A64">
        <w:rPr>
          <w:szCs w:val="24"/>
          <w:lang w:val="en-US"/>
        </w:rPr>
        <w:t>Reinhart, C.M., Rogoff, K.S.</w:t>
      </w:r>
      <w:r w:rsidR="0058326B">
        <w:rPr>
          <w:szCs w:val="24"/>
          <w:lang w:val="en-US"/>
        </w:rPr>
        <w:t xml:space="preserve">, </w:t>
      </w:r>
      <w:r w:rsidRPr="00655A64">
        <w:rPr>
          <w:szCs w:val="24"/>
          <w:lang w:val="en-US"/>
        </w:rPr>
        <w:t xml:space="preserve">2009. </w:t>
      </w:r>
      <w:r w:rsidRPr="00C212DD">
        <w:rPr>
          <w:i/>
          <w:szCs w:val="24"/>
          <w:lang w:val="en-US"/>
        </w:rPr>
        <w:t>This Time is Different: Eight Centuries of Financial Folly.</w:t>
      </w:r>
      <w:r w:rsidRPr="00655A64">
        <w:rPr>
          <w:szCs w:val="24"/>
          <w:lang w:val="en-US"/>
        </w:rPr>
        <w:t xml:space="preserve"> </w:t>
      </w:r>
      <w:r w:rsidRPr="00C212DD">
        <w:rPr>
          <w:szCs w:val="24"/>
          <w:lang w:val="en-US"/>
        </w:rPr>
        <w:t>Princeton University Press.</w:t>
      </w:r>
    </w:p>
    <w:p w14:paraId="1E92E71A" w14:textId="4BB322C1" w:rsidR="00892E3B" w:rsidRPr="00A22DE9" w:rsidRDefault="004C1B63" w:rsidP="00C212DD">
      <w:pPr>
        <w:spacing w:after="200" w:line="259" w:lineRule="auto"/>
        <w:ind w:left="567" w:hanging="567"/>
        <w:rPr>
          <w:shd w:val="clear" w:color="auto" w:fill="FAFAFA"/>
          <w:lang w:val="en-US"/>
        </w:rPr>
      </w:pPr>
      <w:r w:rsidRPr="004C0648">
        <w:rPr>
          <w:szCs w:val="24"/>
          <w:shd w:val="clear" w:color="auto" w:fill="FAFAFA"/>
          <w:lang w:val="en-US"/>
        </w:rPr>
        <w:t>Repullo</w:t>
      </w:r>
      <w:r w:rsidR="00BB6D88" w:rsidRPr="004C0648">
        <w:rPr>
          <w:szCs w:val="24"/>
          <w:shd w:val="clear" w:color="auto" w:fill="FAFAFA"/>
          <w:lang w:val="en-US"/>
        </w:rPr>
        <w:t>,</w:t>
      </w:r>
      <w:r w:rsidRPr="004C0648">
        <w:rPr>
          <w:szCs w:val="24"/>
          <w:shd w:val="clear" w:color="auto" w:fill="FAFAFA"/>
          <w:lang w:val="en-US"/>
        </w:rPr>
        <w:t xml:space="preserve"> R</w:t>
      </w:r>
      <w:r w:rsidR="00BB6D88" w:rsidRPr="004C0648">
        <w:rPr>
          <w:szCs w:val="24"/>
          <w:shd w:val="clear" w:color="auto" w:fill="FAFAFA"/>
          <w:lang w:val="en-US"/>
        </w:rPr>
        <w:t>.</w:t>
      </w:r>
      <w:r w:rsidR="0058326B">
        <w:rPr>
          <w:szCs w:val="24"/>
          <w:shd w:val="clear" w:color="auto" w:fill="FAFAFA"/>
          <w:lang w:val="en-US"/>
        </w:rPr>
        <w:t xml:space="preserve">, </w:t>
      </w:r>
      <w:r w:rsidRPr="004C0648">
        <w:rPr>
          <w:szCs w:val="24"/>
          <w:shd w:val="clear" w:color="auto" w:fill="FAFAFA"/>
          <w:lang w:val="en-US"/>
        </w:rPr>
        <w:t>Saurina</w:t>
      </w:r>
      <w:r w:rsidR="00BB6D88" w:rsidRPr="004C0648">
        <w:rPr>
          <w:szCs w:val="24"/>
          <w:shd w:val="clear" w:color="auto" w:fill="FAFAFA"/>
          <w:lang w:val="en-US"/>
        </w:rPr>
        <w:t>,</w:t>
      </w:r>
      <w:r w:rsidRPr="004C0648">
        <w:rPr>
          <w:szCs w:val="24"/>
          <w:shd w:val="clear" w:color="auto" w:fill="FAFAFA"/>
          <w:lang w:val="en-US"/>
        </w:rPr>
        <w:t xml:space="preserve"> J.</w:t>
      </w:r>
      <w:r w:rsidR="0058326B">
        <w:rPr>
          <w:szCs w:val="24"/>
          <w:shd w:val="clear" w:color="auto" w:fill="FAFAFA"/>
          <w:lang w:val="en-US"/>
        </w:rPr>
        <w:t xml:space="preserve">, </w:t>
      </w:r>
      <w:r w:rsidRPr="004C0648">
        <w:rPr>
          <w:szCs w:val="24"/>
          <w:shd w:val="clear" w:color="auto" w:fill="FAFAFA"/>
          <w:lang w:val="en-US"/>
        </w:rPr>
        <w:t>2011. The countercyclical</w:t>
      </w:r>
      <w:r w:rsidRPr="00A22DE9">
        <w:rPr>
          <w:shd w:val="clear" w:color="auto" w:fill="FAFAFA"/>
          <w:lang w:val="en-US"/>
        </w:rPr>
        <w:t xml:space="preserve"> capital buffer of Basel III: A critical assessment. </w:t>
      </w:r>
      <w:r w:rsidRPr="00C212DD">
        <w:rPr>
          <w:shd w:val="clear" w:color="auto" w:fill="FAFAFA"/>
          <w:lang w:val="en-US"/>
        </w:rPr>
        <w:t xml:space="preserve">CEPR Discussion Paper </w:t>
      </w:r>
      <w:r w:rsidR="0058326B">
        <w:rPr>
          <w:shd w:val="clear" w:color="auto" w:fill="FAFAFA"/>
          <w:lang w:val="en-US"/>
        </w:rPr>
        <w:t>n</w:t>
      </w:r>
      <w:r w:rsidRPr="00A22DE9">
        <w:rPr>
          <w:shd w:val="clear" w:color="auto" w:fill="FAFAFA"/>
          <w:lang w:val="en-US"/>
        </w:rPr>
        <w:t>. 8304.</w:t>
      </w:r>
    </w:p>
    <w:p w14:paraId="04B89F33" w14:textId="36BD0E20" w:rsidR="005864BB" w:rsidRPr="005864BB" w:rsidRDefault="004835C6" w:rsidP="00C212DD">
      <w:pPr>
        <w:spacing w:after="200" w:line="259" w:lineRule="auto"/>
        <w:ind w:left="567" w:hanging="567"/>
        <w:rPr>
          <w:b/>
          <w:shd w:val="clear" w:color="auto" w:fill="FAFAFA"/>
          <w:lang w:val="en-US"/>
        </w:rPr>
      </w:pPr>
      <w:r w:rsidRPr="00E45E76">
        <w:rPr>
          <w:shd w:val="clear" w:color="auto" w:fill="FAFAFA"/>
          <w:lang w:val="en-US"/>
        </w:rPr>
        <w:t>Ristolainen</w:t>
      </w:r>
      <w:r w:rsidR="00BB6D88" w:rsidRPr="00E45E76">
        <w:rPr>
          <w:shd w:val="clear" w:color="auto" w:fill="FAFAFA"/>
          <w:lang w:val="en-US"/>
        </w:rPr>
        <w:t>,</w:t>
      </w:r>
      <w:r w:rsidRPr="00E45E76">
        <w:rPr>
          <w:shd w:val="clear" w:color="auto" w:fill="FAFAFA"/>
          <w:lang w:val="en-US"/>
        </w:rPr>
        <w:t xml:space="preserve"> K.</w:t>
      </w:r>
      <w:r w:rsidR="0058326B">
        <w:rPr>
          <w:shd w:val="clear" w:color="auto" w:fill="FAFAFA"/>
          <w:lang w:val="en-US"/>
        </w:rPr>
        <w:t xml:space="preserve">, </w:t>
      </w:r>
      <w:r w:rsidRPr="00E45E76">
        <w:rPr>
          <w:shd w:val="clear" w:color="auto" w:fill="FAFAFA"/>
          <w:lang w:val="en-US"/>
        </w:rPr>
        <w:t>201</w:t>
      </w:r>
      <w:r w:rsidR="0083623E" w:rsidRPr="00E45E76">
        <w:rPr>
          <w:shd w:val="clear" w:color="auto" w:fill="FAFAFA"/>
          <w:lang w:val="en-US"/>
        </w:rPr>
        <w:t>7</w:t>
      </w:r>
      <w:r w:rsidR="00967897" w:rsidRPr="00E45E76">
        <w:rPr>
          <w:shd w:val="clear" w:color="auto" w:fill="FAFAFA"/>
          <w:lang w:val="en-US"/>
        </w:rPr>
        <w:t>.</w:t>
      </w:r>
      <w:r w:rsidRPr="00E45E76">
        <w:rPr>
          <w:shd w:val="clear" w:color="auto" w:fill="FAFAFA"/>
          <w:lang w:val="en-US"/>
        </w:rPr>
        <w:t xml:space="preserve"> </w:t>
      </w:r>
      <w:r w:rsidR="005864BB" w:rsidRPr="004C0648">
        <w:rPr>
          <w:shd w:val="clear" w:color="auto" w:fill="FAFAFA"/>
          <w:lang w:val="en-US"/>
        </w:rPr>
        <w:t>Essays on early warning indicators of banking crises</w:t>
      </w:r>
      <w:r w:rsidR="005864BB" w:rsidRPr="00655A64">
        <w:rPr>
          <w:shd w:val="clear" w:color="auto" w:fill="FAFAFA"/>
          <w:lang w:val="en-US"/>
        </w:rPr>
        <w:t>.</w:t>
      </w:r>
      <w:r w:rsidR="005864BB" w:rsidRPr="007009F6">
        <w:rPr>
          <w:shd w:val="clear" w:color="auto" w:fill="FAFAFA"/>
          <w:lang w:val="en-US"/>
        </w:rPr>
        <w:t xml:space="preserve"> </w:t>
      </w:r>
      <w:r w:rsidR="005864BB" w:rsidRPr="00C212DD">
        <w:rPr>
          <w:shd w:val="clear" w:color="auto" w:fill="FAFAFA"/>
          <w:lang w:val="en-US"/>
        </w:rPr>
        <w:t>University of Turku, Ser</w:t>
      </w:r>
      <w:r w:rsidR="00E33370" w:rsidRPr="00C212DD">
        <w:rPr>
          <w:shd w:val="clear" w:color="auto" w:fill="FAFAFA"/>
          <w:lang w:val="en-US"/>
        </w:rPr>
        <w:t>i</w:t>
      </w:r>
      <w:r w:rsidR="005864BB" w:rsidRPr="00C212DD">
        <w:rPr>
          <w:shd w:val="clear" w:color="auto" w:fill="FAFAFA"/>
          <w:lang w:val="en-US"/>
        </w:rPr>
        <w:t>es E</w:t>
      </w:r>
      <w:r w:rsidR="005864BB" w:rsidRPr="007009F6">
        <w:rPr>
          <w:shd w:val="clear" w:color="auto" w:fill="FAFAFA"/>
          <w:lang w:val="en-US"/>
        </w:rPr>
        <w:t xml:space="preserve">, </w:t>
      </w:r>
      <w:r w:rsidR="0058326B">
        <w:rPr>
          <w:shd w:val="clear" w:color="auto" w:fill="FAFAFA"/>
          <w:lang w:val="en-US"/>
        </w:rPr>
        <w:t>n</w:t>
      </w:r>
      <w:r w:rsidR="005864BB" w:rsidRPr="007009F6">
        <w:rPr>
          <w:shd w:val="clear" w:color="auto" w:fill="FAFAFA"/>
          <w:lang w:val="en-US"/>
        </w:rPr>
        <w:t>. 14.</w:t>
      </w:r>
      <w:r w:rsidR="008C267F">
        <w:rPr>
          <w:shd w:val="clear" w:color="auto" w:fill="FAFAFA"/>
          <w:lang w:val="en-US"/>
        </w:rPr>
        <w:t xml:space="preserve"> (</w:t>
      </w:r>
      <w:r w:rsidR="00375262">
        <w:rPr>
          <w:shd w:val="clear" w:color="auto" w:fill="FAFAFA"/>
          <w:lang w:val="en-US"/>
        </w:rPr>
        <w:t xml:space="preserve">published </w:t>
      </w:r>
      <w:r w:rsidR="005864BB" w:rsidRPr="007009F6">
        <w:rPr>
          <w:shd w:val="clear" w:color="auto" w:fill="FAFAFA"/>
          <w:lang w:val="en-US"/>
        </w:rPr>
        <w:t>doctoral dissertation).</w:t>
      </w:r>
    </w:p>
    <w:p w14:paraId="39C01755" w14:textId="76118B0F" w:rsidR="00892E3B" w:rsidRDefault="00035260" w:rsidP="00C212DD">
      <w:pPr>
        <w:spacing w:after="200" w:line="259" w:lineRule="auto"/>
        <w:ind w:left="567" w:hanging="567"/>
        <w:rPr>
          <w:shd w:val="clear" w:color="auto" w:fill="FAFAFA"/>
          <w:lang w:val="en-US"/>
        </w:rPr>
      </w:pPr>
      <w:r w:rsidRPr="00A22DE9">
        <w:rPr>
          <w:shd w:val="clear" w:color="auto" w:fill="FAFAFA"/>
          <w:lang w:val="en-US"/>
        </w:rPr>
        <w:t>Sarlin</w:t>
      </w:r>
      <w:r w:rsidR="00BB6D88" w:rsidRPr="00A22DE9">
        <w:rPr>
          <w:shd w:val="clear" w:color="auto" w:fill="FAFAFA"/>
          <w:lang w:val="en-US"/>
        </w:rPr>
        <w:t>,</w:t>
      </w:r>
      <w:r w:rsidRPr="00A22DE9">
        <w:rPr>
          <w:shd w:val="clear" w:color="auto" w:fill="FAFAFA"/>
          <w:lang w:val="en-US"/>
        </w:rPr>
        <w:t xml:space="preserve"> P.</w:t>
      </w:r>
      <w:r w:rsidR="0058326B">
        <w:rPr>
          <w:shd w:val="clear" w:color="auto" w:fill="FAFAFA"/>
          <w:lang w:val="en-US"/>
        </w:rPr>
        <w:t xml:space="preserve">, </w:t>
      </w:r>
      <w:r w:rsidRPr="00A22DE9">
        <w:rPr>
          <w:shd w:val="clear" w:color="auto" w:fill="FAFAFA"/>
          <w:lang w:val="en-US"/>
        </w:rPr>
        <w:t>2013</w:t>
      </w:r>
      <w:r w:rsidR="00BE32CD" w:rsidRPr="00A22DE9">
        <w:rPr>
          <w:shd w:val="clear" w:color="auto" w:fill="FAFAFA"/>
          <w:lang w:val="en-US"/>
        </w:rPr>
        <w:t>.</w:t>
      </w:r>
      <w:r w:rsidRPr="00A22DE9">
        <w:rPr>
          <w:shd w:val="clear" w:color="auto" w:fill="FAFAFA"/>
          <w:lang w:val="en-US"/>
        </w:rPr>
        <w:t xml:space="preserve"> On policymakers’ loss functions and the evaluation of early warning systems</w:t>
      </w:r>
      <w:r w:rsidR="00967897" w:rsidRPr="00A22DE9">
        <w:rPr>
          <w:shd w:val="clear" w:color="auto" w:fill="FAFAFA"/>
          <w:lang w:val="en-US"/>
        </w:rPr>
        <w:t>.</w:t>
      </w:r>
      <w:r w:rsidRPr="00A22DE9">
        <w:rPr>
          <w:shd w:val="clear" w:color="auto" w:fill="FAFAFA"/>
          <w:lang w:val="en-US"/>
        </w:rPr>
        <w:t xml:space="preserve"> </w:t>
      </w:r>
      <w:r w:rsidRPr="00C212DD">
        <w:rPr>
          <w:shd w:val="clear" w:color="auto" w:fill="FAFAFA"/>
          <w:lang w:val="en-US"/>
        </w:rPr>
        <w:t xml:space="preserve">ECB Working Paper </w:t>
      </w:r>
      <w:r w:rsidR="0058326B" w:rsidRPr="0058326B">
        <w:rPr>
          <w:shd w:val="clear" w:color="auto" w:fill="FAFAFA"/>
          <w:lang w:val="en-US"/>
        </w:rPr>
        <w:t>n</w:t>
      </w:r>
      <w:r w:rsidR="00967897" w:rsidRPr="00A22DE9">
        <w:rPr>
          <w:shd w:val="clear" w:color="auto" w:fill="FAFAFA"/>
          <w:lang w:val="en-US"/>
        </w:rPr>
        <w:t xml:space="preserve">. </w:t>
      </w:r>
      <w:r w:rsidRPr="00A22DE9">
        <w:rPr>
          <w:shd w:val="clear" w:color="auto" w:fill="FAFAFA"/>
          <w:lang w:val="en-US"/>
        </w:rPr>
        <w:t>1509.</w:t>
      </w:r>
    </w:p>
    <w:p w14:paraId="10DE3905" w14:textId="266E7903" w:rsidR="00701B05" w:rsidRPr="00F90185" w:rsidRDefault="00701B05" w:rsidP="00C212DD">
      <w:pPr>
        <w:spacing w:after="200" w:line="259" w:lineRule="auto"/>
        <w:ind w:left="567" w:hanging="567"/>
        <w:rPr>
          <w:lang w:val="en-US"/>
        </w:rPr>
      </w:pPr>
      <w:r w:rsidRPr="00F90185">
        <w:rPr>
          <w:lang w:val="en-US"/>
        </w:rPr>
        <w:t>Scherbina, A.</w:t>
      </w:r>
      <w:r w:rsidR="0058326B">
        <w:rPr>
          <w:lang w:val="en-US"/>
        </w:rPr>
        <w:t xml:space="preserve">, </w:t>
      </w:r>
      <w:r w:rsidRPr="00F90185">
        <w:rPr>
          <w:lang w:val="en-US"/>
        </w:rPr>
        <w:t>2013</w:t>
      </w:r>
      <w:r w:rsidR="00655A64">
        <w:rPr>
          <w:lang w:val="en-US"/>
        </w:rPr>
        <w:t>.</w:t>
      </w:r>
      <w:r w:rsidRPr="00F90185">
        <w:rPr>
          <w:lang w:val="en-US"/>
        </w:rPr>
        <w:t xml:space="preserve"> Asset price bubbles: A selective survey</w:t>
      </w:r>
      <w:r w:rsidRPr="004C0648">
        <w:rPr>
          <w:i/>
          <w:lang w:val="en-US"/>
        </w:rPr>
        <w:t xml:space="preserve">. </w:t>
      </w:r>
      <w:r w:rsidRPr="00C212DD">
        <w:rPr>
          <w:lang w:val="en-US"/>
        </w:rPr>
        <w:t>IMF Working Paper WP/13</w:t>
      </w:r>
      <w:r w:rsidRPr="00F90185">
        <w:rPr>
          <w:lang w:val="en-US"/>
        </w:rPr>
        <w:t>/45.</w:t>
      </w:r>
    </w:p>
    <w:p w14:paraId="383E30AF" w14:textId="2BC7D4C5" w:rsidR="00701B05" w:rsidRPr="00F90185" w:rsidRDefault="00701B05" w:rsidP="00C212DD">
      <w:pPr>
        <w:spacing w:after="200" w:line="259" w:lineRule="auto"/>
        <w:ind w:left="567" w:hanging="567"/>
        <w:rPr>
          <w:lang w:val="en-US"/>
        </w:rPr>
      </w:pPr>
      <w:r w:rsidRPr="00F90185">
        <w:rPr>
          <w:lang w:val="en-US"/>
        </w:rPr>
        <w:t>Scherbina, A.</w:t>
      </w:r>
      <w:r w:rsidR="0058326B">
        <w:rPr>
          <w:lang w:val="en-US"/>
        </w:rPr>
        <w:t xml:space="preserve">, </w:t>
      </w:r>
      <w:r w:rsidRPr="00F90185">
        <w:rPr>
          <w:lang w:val="en-US"/>
        </w:rPr>
        <w:t>B. Schlusche</w:t>
      </w:r>
      <w:r w:rsidR="0058326B">
        <w:rPr>
          <w:lang w:val="en-US"/>
        </w:rPr>
        <w:t xml:space="preserve">, </w:t>
      </w:r>
      <w:r w:rsidRPr="00F90185">
        <w:rPr>
          <w:lang w:val="en-US"/>
        </w:rPr>
        <w:t>2014</w:t>
      </w:r>
      <w:r w:rsidR="00655A64">
        <w:rPr>
          <w:lang w:val="en-US"/>
        </w:rPr>
        <w:t>.</w:t>
      </w:r>
      <w:r w:rsidRPr="00F90185">
        <w:rPr>
          <w:lang w:val="en-US"/>
        </w:rPr>
        <w:t xml:space="preserve"> Asset price bubbles: </w:t>
      </w:r>
      <w:r w:rsidR="00DE7FE2">
        <w:rPr>
          <w:lang w:val="en-US"/>
        </w:rPr>
        <w:t>A</w:t>
      </w:r>
      <w:r w:rsidRPr="00F90185">
        <w:rPr>
          <w:lang w:val="en-US"/>
        </w:rPr>
        <w:t xml:space="preserve"> survey. </w:t>
      </w:r>
      <w:r w:rsidRPr="00C212DD">
        <w:rPr>
          <w:lang w:val="en-US"/>
        </w:rPr>
        <w:t>Journal of Quantitative Finance</w:t>
      </w:r>
      <w:r w:rsidRPr="00F90185">
        <w:rPr>
          <w:lang w:val="en-US"/>
        </w:rPr>
        <w:t xml:space="preserve"> 14, 589-604. </w:t>
      </w:r>
    </w:p>
    <w:p w14:paraId="44DE886F" w14:textId="3526D6C8" w:rsidR="000568EF" w:rsidRDefault="00E058BE" w:rsidP="00C212DD">
      <w:pPr>
        <w:spacing w:after="200" w:line="259" w:lineRule="auto"/>
        <w:ind w:left="567" w:hanging="567"/>
        <w:rPr>
          <w:lang w:val="en-US"/>
        </w:rPr>
      </w:pPr>
      <w:r w:rsidRPr="00A22DE9">
        <w:rPr>
          <w:lang w:val="en-US"/>
        </w:rPr>
        <w:t>Schularick</w:t>
      </w:r>
      <w:r w:rsidR="00BB6D88" w:rsidRPr="00A22DE9">
        <w:rPr>
          <w:lang w:val="en-US"/>
        </w:rPr>
        <w:t>,</w:t>
      </w:r>
      <w:r w:rsidR="00A51C58" w:rsidRPr="00A22DE9">
        <w:rPr>
          <w:lang w:val="en-US"/>
        </w:rPr>
        <w:t xml:space="preserve"> </w:t>
      </w:r>
      <w:r w:rsidR="00830A23" w:rsidRPr="00A22DE9">
        <w:rPr>
          <w:lang w:val="en-US"/>
        </w:rPr>
        <w:t>M</w:t>
      </w:r>
      <w:r w:rsidR="00BB6D88" w:rsidRPr="00A22DE9">
        <w:rPr>
          <w:lang w:val="en-US"/>
        </w:rPr>
        <w:t>.</w:t>
      </w:r>
      <w:r w:rsidR="001474B9">
        <w:rPr>
          <w:lang w:val="en-US"/>
        </w:rPr>
        <w:t>,</w:t>
      </w:r>
      <w:r w:rsidR="00830A23" w:rsidRPr="00A22DE9">
        <w:rPr>
          <w:lang w:val="en-US"/>
        </w:rPr>
        <w:t xml:space="preserve"> </w:t>
      </w:r>
      <w:r w:rsidRPr="00A22DE9">
        <w:rPr>
          <w:lang w:val="en-US"/>
        </w:rPr>
        <w:t>Taylor</w:t>
      </w:r>
      <w:r w:rsidR="00BB6D88" w:rsidRPr="00A22DE9">
        <w:rPr>
          <w:lang w:val="en-US"/>
        </w:rPr>
        <w:t xml:space="preserve">, </w:t>
      </w:r>
      <w:r w:rsidR="00830A23" w:rsidRPr="00A22DE9">
        <w:rPr>
          <w:lang w:val="en-US"/>
        </w:rPr>
        <w:t>A.</w:t>
      </w:r>
      <w:r w:rsidR="001474B9">
        <w:rPr>
          <w:lang w:val="en-US"/>
        </w:rPr>
        <w:t xml:space="preserve">, </w:t>
      </w:r>
      <w:r w:rsidRPr="00A22DE9">
        <w:rPr>
          <w:lang w:val="en-US"/>
        </w:rPr>
        <w:t>2012</w:t>
      </w:r>
      <w:r w:rsidR="00BE32CD" w:rsidRPr="00A22DE9">
        <w:rPr>
          <w:lang w:val="en-US"/>
        </w:rPr>
        <w:t>.</w:t>
      </w:r>
      <w:r w:rsidRPr="00A22DE9">
        <w:rPr>
          <w:lang w:val="en-US"/>
        </w:rPr>
        <w:t xml:space="preserve"> Credit booms gone bust: Monetary policy, leverage cycles and financial crises, 1870–2008</w:t>
      </w:r>
      <w:r w:rsidR="00967897" w:rsidRPr="00A22DE9">
        <w:rPr>
          <w:lang w:val="en-US"/>
        </w:rPr>
        <w:t>.</w:t>
      </w:r>
      <w:r w:rsidRPr="00A22DE9">
        <w:rPr>
          <w:lang w:val="en-US"/>
        </w:rPr>
        <w:t xml:space="preserve"> </w:t>
      </w:r>
      <w:r w:rsidRPr="00C212DD">
        <w:rPr>
          <w:lang w:val="en-US"/>
        </w:rPr>
        <w:t>American Economic Review</w:t>
      </w:r>
      <w:r w:rsidR="00BB6D88" w:rsidRPr="00A22DE9">
        <w:rPr>
          <w:lang w:val="en-US"/>
        </w:rPr>
        <w:t xml:space="preserve"> </w:t>
      </w:r>
      <w:r w:rsidRPr="003555A8">
        <w:rPr>
          <w:lang w:val="en-US"/>
        </w:rPr>
        <w:t>102(2)</w:t>
      </w:r>
      <w:r w:rsidR="001474B9">
        <w:rPr>
          <w:lang w:val="en-US"/>
        </w:rPr>
        <w:t>,</w:t>
      </w:r>
      <w:r w:rsidRPr="00A22DE9">
        <w:rPr>
          <w:lang w:val="en-US"/>
        </w:rPr>
        <w:t xml:space="preserve"> 1029–1061.</w:t>
      </w:r>
    </w:p>
    <w:p w14:paraId="2824E284" w14:textId="5879930A" w:rsidR="000568EF" w:rsidRPr="00A22DE9" w:rsidRDefault="00E058BE" w:rsidP="00C212DD">
      <w:pPr>
        <w:spacing w:after="200" w:line="259" w:lineRule="auto"/>
        <w:ind w:left="567" w:hanging="567"/>
        <w:rPr>
          <w:lang w:val="en-US"/>
        </w:rPr>
      </w:pPr>
      <w:r w:rsidRPr="00A22DE9">
        <w:rPr>
          <w:lang w:val="en-US"/>
        </w:rPr>
        <w:t>Taipalus</w:t>
      </w:r>
      <w:r w:rsidR="00BB6D88" w:rsidRPr="00A22DE9">
        <w:rPr>
          <w:lang w:val="en-US"/>
        </w:rPr>
        <w:t xml:space="preserve">, </w:t>
      </w:r>
      <w:r w:rsidRPr="00A22DE9">
        <w:rPr>
          <w:lang w:val="en-US"/>
        </w:rPr>
        <w:t>K.</w:t>
      </w:r>
      <w:r w:rsidR="001474B9">
        <w:rPr>
          <w:lang w:val="en-US"/>
        </w:rPr>
        <w:t xml:space="preserve">, </w:t>
      </w:r>
      <w:r w:rsidRPr="00A22DE9">
        <w:rPr>
          <w:lang w:val="en-US"/>
        </w:rPr>
        <w:t>2006a</w:t>
      </w:r>
      <w:r w:rsidR="00967897" w:rsidRPr="00A22DE9">
        <w:rPr>
          <w:lang w:val="en-US"/>
        </w:rPr>
        <w:t xml:space="preserve">. </w:t>
      </w:r>
      <w:r w:rsidRPr="00A22DE9">
        <w:rPr>
          <w:lang w:val="en-US"/>
        </w:rPr>
        <w:t>Bubbles in the Finnish and US equities markets</w:t>
      </w:r>
      <w:r w:rsidR="00967897" w:rsidRPr="00A22DE9">
        <w:rPr>
          <w:lang w:val="en-US"/>
        </w:rPr>
        <w:t>.</w:t>
      </w:r>
      <w:r w:rsidRPr="00A22DE9">
        <w:rPr>
          <w:lang w:val="en-US"/>
        </w:rPr>
        <w:t xml:space="preserve"> </w:t>
      </w:r>
      <w:r w:rsidRPr="00C212DD">
        <w:rPr>
          <w:lang w:val="en-US"/>
        </w:rPr>
        <w:t>Bank of Finland Studies</w:t>
      </w:r>
      <w:r w:rsidR="00A95F75" w:rsidRPr="001474B9">
        <w:rPr>
          <w:lang w:val="en-US"/>
        </w:rPr>
        <w:t>,</w:t>
      </w:r>
      <w:r w:rsidR="00A95F75" w:rsidRPr="00A22DE9">
        <w:rPr>
          <w:lang w:val="en-US"/>
        </w:rPr>
        <w:t xml:space="preserve"> Series E, </w:t>
      </w:r>
      <w:r w:rsidR="001474B9">
        <w:rPr>
          <w:lang w:val="en-US"/>
        </w:rPr>
        <w:t>n</w:t>
      </w:r>
      <w:r w:rsidR="00A95F75" w:rsidRPr="00A22DE9">
        <w:rPr>
          <w:lang w:val="en-US"/>
        </w:rPr>
        <w:t xml:space="preserve">. </w:t>
      </w:r>
      <w:r w:rsidRPr="00A22DE9">
        <w:rPr>
          <w:lang w:val="en-US"/>
        </w:rPr>
        <w:t>3</w:t>
      </w:r>
      <w:r w:rsidR="000568EF" w:rsidRPr="00A22DE9">
        <w:rPr>
          <w:lang w:val="en-US"/>
        </w:rPr>
        <w:t>.</w:t>
      </w:r>
    </w:p>
    <w:p w14:paraId="2A12B3C7" w14:textId="50061255" w:rsidR="00E058BE" w:rsidRPr="00A22DE9" w:rsidRDefault="00E058BE" w:rsidP="00C212DD">
      <w:pPr>
        <w:spacing w:after="200" w:line="259" w:lineRule="auto"/>
        <w:ind w:left="567" w:hanging="567"/>
        <w:rPr>
          <w:lang w:val="en-US"/>
        </w:rPr>
      </w:pPr>
      <w:r w:rsidRPr="00A22DE9">
        <w:rPr>
          <w:lang w:val="en-US"/>
        </w:rPr>
        <w:t>Taipalus, K.</w:t>
      </w:r>
      <w:r w:rsidR="001474B9">
        <w:rPr>
          <w:lang w:val="en-US"/>
        </w:rPr>
        <w:t xml:space="preserve">, </w:t>
      </w:r>
      <w:r w:rsidRPr="00A22DE9">
        <w:rPr>
          <w:lang w:val="en-US"/>
        </w:rPr>
        <w:t>2006b</w:t>
      </w:r>
      <w:r w:rsidR="00967897" w:rsidRPr="00A22DE9">
        <w:rPr>
          <w:lang w:val="en-US"/>
        </w:rPr>
        <w:t>.</w:t>
      </w:r>
      <w:r w:rsidRPr="00A22DE9">
        <w:rPr>
          <w:lang w:val="en-US"/>
        </w:rPr>
        <w:t xml:space="preserve"> A global house price bubble? Evaluation based on a new rent-price approach</w:t>
      </w:r>
      <w:r w:rsidR="00967897" w:rsidRPr="00A22DE9">
        <w:rPr>
          <w:lang w:val="en-US"/>
        </w:rPr>
        <w:t>.</w:t>
      </w:r>
      <w:r w:rsidRPr="004C0648">
        <w:rPr>
          <w:i/>
          <w:lang w:val="en-US"/>
        </w:rPr>
        <w:t xml:space="preserve"> </w:t>
      </w:r>
      <w:r w:rsidRPr="00C212DD">
        <w:rPr>
          <w:lang w:val="en-US"/>
        </w:rPr>
        <w:t>Bank of Finland Research Discussion Papers</w:t>
      </w:r>
      <w:r w:rsidRPr="004C0648">
        <w:rPr>
          <w:i/>
          <w:lang w:val="en-US"/>
        </w:rPr>
        <w:t xml:space="preserve"> </w:t>
      </w:r>
      <w:r w:rsidRPr="00A22DE9">
        <w:rPr>
          <w:lang w:val="en-US"/>
        </w:rPr>
        <w:t>29/2006.</w:t>
      </w:r>
    </w:p>
    <w:p w14:paraId="2A879A42" w14:textId="7C561511" w:rsidR="000568EF" w:rsidRPr="00A22DE9" w:rsidRDefault="00E058BE" w:rsidP="00C212DD">
      <w:pPr>
        <w:spacing w:after="200" w:line="259" w:lineRule="auto"/>
        <w:ind w:left="567" w:hanging="567"/>
        <w:rPr>
          <w:lang w:val="en-US"/>
        </w:rPr>
      </w:pPr>
      <w:r w:rsidRPr="00A22DE9">
        <w:rPr>
          <w:lang w:val="en-US"/>
        </w:rPr>
        <w:t>Taipalus</w:t>
      </w:r>
      <w:r w:rsidR="00BB6D88" w:rsidRPr="00A22DE9">
        <w:rPr>
          <w:lang w:val="en-US"/>
        </w:rPr>
        <w:t>,</w:t>
      </w:r>
      <w:r w:rsidRPr="00A22DE9">
        <w:rPr>
          <w:lang w:val="en-US"/>
        </w:rPr>
        <w:t xml:space="preserve"> K.</w:t>
      </w:r>
      <w:r w:rsidR="001474B9">
        <w:rPr>
          <w:lang w:val="en-US"/>
        </w:rPr>
        <w:t xml:space="preserve">, </w:t>
      </w:r>
      <w:r w:rsidRPr="00A22DE9">
        <w:rPr>
          <w:lang w:val="en-US"/>
        </w:rPr>
        <w:t>2012</w:t>
      </w:r>
      <w:r w:rsidR="00BE32CD" w:rsidRPr="00A22DE9">
        <w:rPr>
          <w:lang w:val="en-US"/>
        </w:rPr>
        <w:t>.</w:t>
      </w:r>
      <w:r w:rsidRPr="00A22DE9">
        <w:rPr>
          <w:lang w:val="en-US"/>
        </w:rPr>
        <w:t xml:space="preserve"> Detecting asset price bubbles with time-series methods</w:t>
      </w:r>
      <w:r w:rsidR="00967897" w:rsidRPr="00A22DE9">
        <w:rPr>
          <w:lang w:val="en-US"/>
        </w:rPr>
        <w:t>.</w:t>
      </w:r>
      <w:r w:rsidRPr="00A22DE9">
        <w:rPr>
          <w:lang w:val="en-US"/>
        </w:rPr>
        <w:t xml:space="preserve"> </w:t>
      </w:r>
      <w:r w:rsidRPr="00C212DD">
        <w:rPr>
          <w:lang w:val="en-US"/>
        </w:rPr>
        <w:t>Bank of Finland Scientific Monographs</w:t>
      </w:r>
      <w:r w:rsidRPr="004C0648">
        <w:rPr>
          <w:i/>
          <w:lang w:val="en-US"/>
        </w:rPr>
        <w:t xml:space="preserve"> </w:t>
      </w:r>
      <w:r w:rsidRPr="00A22DE9">
        <w:rPr>
          <w:lang w:val="en-US"/>
        </w:rPr>
        <w:t>E47</w:t>
      </w:r>
      <w:r w:rsidR="00BB6D88" w:rsidRPr="00A22DE9">
        <w:rPr>
          <w:lang w:val="en-US"/>
        </w:rPr>
        <w:t xml:space="preserve">: </w:t>
      </w:r>
      <w:r w:rsidRPr="00A22DE9">
        <w:rPr>
          <w:lang w:val="en-US"/>
        </w:rPr>
        <w:t>2012.</w:t>
      </w:r>
    </w:p>
    <w:p w14:paraId="2F359BF6" w14:textId="7259F6B8" w:rsidR="000568EF" w:rsidRDefault="00025DB9" w:rsidP="00C212DD">
      <w:pPr>
        <w:spacing w:after="200" w:line="259" w:lineRule="auto"/>
        <w:ind w:left="567" w:hanging="567"/>
        <w:rPr>
          <w:lang w:val="en-US"/>
        </w:rPr>
      </w:pPr>
      <w:r w:rsidRPr="00A22DE9">
        <w:rPr>
          <w:lang w:val="en-US"/>
        </w:rPr>
        <w:t>Taipalus</w:t>
      </w:r>
      <w:r w:rsidR="00641551" w:rsidRPr="00A22DE9">
        <w:rPr>
          <w:lang w:val="en-US"/>
        </w:rPr>
        <w:t>,</w:t>
      </w:r>
      <w:r w:rsidRPr="00A22DE9">
        <w:rPr>
          <w:lang w:val="en-US"/>
        </w:rPr>
        <w:t xml:space="preserve"> K</w:t>
      </w:r>
      <w:r w:rsidR="00641551" w:rsidRPr="00A22DE9">
        <w:rPr>
          <w:lang w:val="en-US"/>
        </w:rPr>
        <w:t>.</w:t>
      </w:r>
      <w:r w:rsidR="00B3784F" w:rsidRPr="00A22DE9">
        <w:rPr>
          <w:lang w:val="en-US"/>
        </w:rPr>
        <w:t>,</w:t>
      </w:r>
      <w:r w:rsidR="00641551" w:rsidRPr="00A22DE9">
        <w:rPr>
          <w:lang w:val="en-US"/>
        </w:rPr>
        <w:t xml:space="preserve"> </w:t>
      </w:r>
      <w:r w:rsidRPr="00A22DE9">
        <w:rPr>
          <w:lang w:val="en-US"/>
        </w:rPr>
        <w:t>Virtanen</w:t>
      </w:r>
      <w:r w:rsidR="00641551" w:rsidRPr="00A22DE9">
        <w:rPr>
          <w:lang w:val="en-US"/>
        </w:rPr>
        <w:t>,</w:t>
      </w:r>
      <w:r w:rsidR="00830A23" w:rsidRPr="00A22DE9">
        <w:rPr>
          <w:lang w:val="en-US"/>
        </w:rPr>
        <w:t xml:space="preserve"> T.</w:t>
      </w:r>
      <w:r w:rsidR="001474B9">
        <w:rPr>
          <w:lang w:val="en-US"/>
        </w:rPr>
        <w:t xml:space="preserve">, </w:t>
      </w:r>
      <w:r w:rsidRPr="00A22DE9">
        <w:rPr>
          <w:lang w:val="en-US"/>
        </w:rPr>
        <w:t>2016</w:t>
      </w:r>
      <w:r w:rsidR="00B3784F" w:rsidRPr="00A22DE9">
        <w:rPr>
          <w:lang w:val="en-US"/>
        </w:rPr>
        <w:t>.</w:t>
      </w:r>
      <w:r w:rsidRPr="00A22DE9">
        <w:rPr>
          <w:lang w:val="en-US"/>
        </w:rPr>
        <w:t xml:space="preserve"> Predicting asset bubbles with unit root methods</w:t>
      </w:r>
      <w:r w:rsidR="00B3784F" w:rsidRPr="00A22DE9">
        <w:rPr>
          <w:lang w:val="en-US"/>
        </w:rPr>
        <w:t>.</w:t>
      </w:r>
      <w:r w:rsidR="00830A23" w:rsidRPr="00A22DE9">
        <w:rPr>
          <w:lang w:val="en-US"/>
        </w:rPr>
        <w:t xml:space="preserve"> </w:t>
      </w:r>
      <w:r w:rsidRPr="00C212DD">
        <w:rPr>
          <w:lang w:val="en-US"/>
        </w:rPr>
        <w:t>Bank of Finland</w:t>
      </w:r>
      <w:r w:rsidR="00BE32CD" w:rsidRPr="00C212DD">
        <w:rPr>
          <w:lang w:val="en-US"/>
        </w:rPr>
        <w:t>,</w:t>
      </w:r>
      <w:r w:rsidRPr="00C212DD">
        <w:rPr>
          <w:lang w:val="en-US"/>
        </w:rPr>
        <w:t xml:space="preserve"> </w:t>
      </w:r>
      <w:r w:rsidR="00BE32CD" w:rsidRPr="00C212DD">
        <w:rPr>
          <w:lang w:val="en-US"/>
        </w:rPr>
        <w:t>u</w:t>
      </w:r>
      <w:r w:rsidRPr="00C212DD">
        <w:rPr>
          <w:lang w:val="en-US"/>
        </w:rPr>
        <w:t>npublished mimeo.</w:t>
      </w:r>
    </w:p>
    <w:p w14:paraId="36ACF8DF" w14:textId="3A265EF8" w:rsidR="00286AD2" w:rsidRPr="00286AD2" w:rsidRDefault="00286AD2" w:rsidP="00C212DD">
      <w:pPr>
        <w:spacing w:after="200" w:line="259" w:lineRule="auto"/>
        <w:ind w:left="567" w:hanging="567"/>
        <w:rPr>
          <w:lang w:val="en-US"/>
        </w:rPr>
      </w:pPr>
      <w:r w:rsidRPr="00DF5A93">
        <w:rPr>
          <w:lang w:val="en-US"/>
        </w:rPr>
        <w:t>Tölö, E., Laakkonen, H., Kalatie, S.</w:t>
      </w:r>
      <w:r w:rsidR="001474B9" w:rsidRPr="00DF5A93">
        <w:rPr>
          <w:lang w:val="en-US"/>
        </w:rPr>
        <w:t xml:space="preserve">, </w:t>
      </w:r>
      <w:r w:rsidRPr="00DF5A93">
        <w:rPr>
          <w:lang w:val="en-US"/>
        </w:rPr>
        <w:t>201</w:t>
      </w:r>
      <w:r w:rsidR="00DE542E" w:rsidRPr="00DF5A93">
        <w:rPr>
          <w:lang w:val="en-US"/>
        </w:rPr>
        <w:t>8</w:t>
      </w:r>
      <w:r w:rsidRPr="00DF5A93">
        <w:rPr>
          <w:lang w:val="en-US"/>
        </w:rPr>
        <w:t xml:space="preserve">. </w:t>
      </w:r>
      <w:r w:rsidRPr="00286AD2">
        <w:rPr>
          <w:lang w:val="en-US"/>
        </w:rPr>
        <w:t xml:space="preserve">Evaluating indicator for use in setting the countercyclical capital buffer. </w:t>
      </w:r>
      <w:r w:rsidRPr="00C212DD">
        <w:rPr>
          <w:lang w:val="en-US"/>
        </w:rPr>
        <w:t>International Journal of Central Banking</w:t>
      </w:r>
      <w:r>
        <w:rPr>
          <w:lang w:val="en-US"/>
        </w:rPr>
        <w:t>, forthcoming</w:t>
      </w:r>
      <w:r w:rsidR="00DE542E">
        <w:rPr>
          <w:lang w:val="en-US"/>
        </w:rPr>
        <w:t xml:space="preserve"> (March)</w:t>
      </w:r>
      <w:r>
        <w:rPr>
          <w:lang w:val="en-US"/>
        </w:rPr>
        <w:t>.</w:t>
      </w:r>
    </w:p>
    <w:p w14:paraId="24D447F3" w14:textId="59AFEA0B" w:rsidR="00E55552" w:rsidRPr="00E55552" w:rsidRDefault="00E55552" w:rsidP="00C212DD">
      <w:pPr>
        <w:spacing w:after="200" w:line="259" w:lineRule="auto"/>
        <w:ind w:left="567" w:hanging="567"/>
        <w:rPr>
          <w:lang w:val="en-US"/>
        </w:rPr>
      </w:pPr>
      <w:r w:rsidRPr="00DF5A93">
        <w:rPr>
          <w:lang w:val="en-US"/>
        </w:rPr>
        <w:t>Virtanen, T., Tölö, E., Virén, M., Taipalus K.</w:t>
      </w:r>
      <w:r w:rsidR="001474B9" w:rsidRPr="00DF5A93">
        <w:rPr>
          <w:lang w:val="en-US"/>
        </w:rPr>
        <w:t xml:space="preserve">, </w:t>
      </w:r>
      <w:r w:rsidRPr="00DF5A93">
        <w:rPr>
          <w:lang w:val="en-US"/>
        </w:rPr>
        <w:t xml:space="preserve">2017. </w:t>
      </w:r>
      <w:r w:rsidRPr="00AF6EAB">
        <w:rPr>
          <w:lang w:val="en-US"/>
        </w:rPr>
        <w:t>Use of unit root methods in early warning of financial crises</w:t>
      </w:r>
      <w:r>
        <w:rPr>
          <w:lang w:val="en-US"/>
        </w:rPr>
        <w:t xml:space="preserve">, ESRB Working paper </w:t>
      </w:r>
      <w:r w:rsidR="001474B9">
        <w:rPr>
          <w:lang w:val="en-US"/>
        </w:rPr>
        <w:t>n</w:t>
      </w:r>
      <w:r>
        <w:rPr>
          <w:lang w:val="en-US"/>
        </w:rPr>
        <w:t>. 45.</w:t>
      </w:r>
    </w:p>
    <w:p w14:paraId="7ED8ECF2" w14:textId="28BF451B" w:rsidR="00D31149" w:rsidRDefault="00D31149" w:rsidP="00C212DD">
      <w:pPr>
        <w:spacing w:after="200" w:line="259" w:lineRule="auto"/>
        <w:ind w:left="567" w:hanging="567"/>
        <w:rPr>
          <w:lang w:val="en-US"/>
        </w:rPr>
      </w:pPr>
      <w:r>
        <w:rPr>
          <w:lang w:val="en-US"/>
        </w:rPr>
        <w:t>Wan, J.</w:t>
      </w:r>
      <w:r w:rsidR="001474B9">
        <w:rPr>
          <w:lang w:val="en-US"/>
        </w:rPr>
        <w:t xml:space="preserve">, </w:t>
      </w:r>
      <w:r>
        <w:rPr>
          <w:lang w:val="en-US"/>
        </w:rPr>
        <w:t xml:space="preserve">2015. </w:t>
      </w:r>
      <w:r w:rsidRPr="00D31149">
        <w:rPr>
          <w:lang w:val="en-US"/>
        </w:rPr>
        <w:t>Household Savings and Housing Prices in China</w:t>
      </w:r>
      <w:r>
        <w:rPr>
          <w:lang w:val="en-US"/>
        </w:rPr>
        <w:t xml:space="preserve">. </w:t>
      </w:r>
      <w:r w:rsidRPr="00C212DD">
        <w:rPr>
          <w:lang w:val="en-US"/>
        </w:rPr>
        <w:t>World Economy</w:t>
      </w:r>
      <w:r>
        <w:rPr>
          <w:lang w:val="en-US"/>
        </w:rPr>
        <w:t xml:space="preserve"> 38</w:t>
      </w:r>
      <w:r w:rsidR="001474B9">
        <w:rPr>
          <w:lang w:val="en-US"/>
        </w:rPr>
        <w:t>,</w:t>
      </w:r>
      <w:r>
        <w:rPr>
          <w:lang w:val="en-US"/>
        </w:rPr>
        <w:t xml:space="preserve"> 172–192.</w:t>
      </w:r>
    </w:p>
    <w:p w14:paraId="6306FE8B" w14:textId="74084BE8" w:rsidR="00701B05" w:rsidRPr="00F90185" w:rsidRDefault="00701B05" w:rsidP="00C212DD">
      <w:pPr>
        <w:spacing w:after="200" w:line="259" w:lineRule="auto"/>
        <w:ind w:left="567" w:hanging="567"/>
        <w:rPr>
          <w:lang w:val="en-US"/>
        </w:rPr>
      </w:pPr>
      <w:r w:rsidRPr="00F90185">
        <w:rPr>
          <w:lang w:val="en-US"/>
        </w:rPr>
        <w:t>West, K.</w:t>
      </w:r>
      <w:r w:rsidR="001474B9">
        <w:rPr>
          <w:lang w:val="en-US"/>
        </w:rPr>
        <w:t xml:space="preserve">, </w:t>
      </w:r>
      <w:r w:rsidRPr="00F90185">
        <w:rPr>
          <w:lang w:val="en-US"/>
        </w:rPr>
        <w:t>1987</w:t>
      </w:r>
      <w:r w:rsidR="00655A64">
        <w:rPr>
          <w:lang w:val="en-US"/>
        </w:rPr>
        <w:t>.</w:t>
      </w:r>
      <w:r w:rsidRPr="00F90185">
        <w:rPr>
          <w:lang w:val="en-US"/>
        </w:rPr>
        <w:t xml:space="preserve"> A </w:t>
      </w:r>
      <w:r w:rsidR="001474B9">
        <w:rPr>
          <w:lang w:val="en-US"/>
        </w:rPr>
        <w:t>s</w:t>
      </w:r>
      <w:r w:rsidR="001474B9" w:rsidRPr="00F90185">
        <w:rPr>
          <w:lang w:val="en-US"/>
        </w:rPr>
        <w:t xml:space="preserve">pecification </w:t>
      </w:r>
      <w:r w:rsidRPr="00F90185">
        <w:rPr>
          <w:lang w:val="en-US"/>
        </w:rPr>
        <w:t xml:space="preserve">test for speculative bubbles. </w:t>
      </w:r>
      <w:r w:rsidRPr="00C212DD">
        <w:rPr>
          <w:lang w:val="en-US"/>
        </w:rPr>
        <w:t>Quarterly Journal of Economics</w:t>
      </w:r>
      <w:r w:rsidRPr="00F90185">
        <w:rPr>
          <w:lang w:val="en-US"/>
        </w:rPr>
        <w:t xml:space="preserve"> 102, 553</w:t>
      </w:r>
      <w:r w:rsidR="001474B9">
        <w:rPr>
          <w:lang w:val="en-US"/>
        </w:rPr>
        <w:t>–</w:t>
      </w:r>
      <w:r w:rsidRPr="00F90185">
        <w:rPr>
          <w:lang w:val="en-US"/>
        </w:rPr>
        <w:t>580.</w:t>
      </w:r>
    </w:p>
    <w:p w14:paraId="1E5FF370" w14:textId="4FF874AC" w:rsidR="000A238A" w:rsidRPr="00A22DE9" w:rsidRDefault="00AC53B4" w:rsidP="00C212DD">
      <w:pPr>
        <w:spacing w:after="200" w:line="259" w:lineRule="auto"/>
        <w:ind w:left="567" w:hanging="567"/>
        <w:rPr>
          <w:lang w:val="en-US"/>
        </w:rPr>
      </w:pPr>
      <w:r w:rsidRPr="00A22DE9">
        <w:rPr>
          <w:lang w:val="en-US"/>
        </w:rPr>
        <w:t>Wilcox</w:t>
      </w:r>
      <w:r w:rsidR="00566C1E" w:rsidRPr="00A22DE9">
        <w:rPr>
          <w:lang w:val="en-US"/>
        </w:rPr>
        <w:t>,</w:t>
      </w:r>
      <w:r w:rsidR="00B3784F" w:rsidRPr="00A22DE9">
        <w:rPr>
          <w:lang w:val="en-US"/>
        </w:rPr>
        <w:t xml:space="preserve"> </w:t>
      </w:r>
      <w:r w:rsidRPr="00A22DE9">
        <w:rPr>
          <w:lang w:val="en-US"/>
        </w:rPr>
        <w:t>D.</w:t>
      </w:r>
      <w:r w:rsidR="001474B9">
        <w:rPr>
          <w:lang w:val="en-US"/>
        </w:rPr>
        <w:t xml:space="preserve">, </w:t>
      </w:r>
      <w:r w:rsidRPr="00A22DE9">
        <w:rPr>
          <w:lang w:val="en-US"/>
        </w:rPr>
        <w:t>1989</w:t>
      </w:r>
      <w:r w:rsidR="00B3784F" w:rsidRPr="00A22DE9">
        <w:rPr>
          <w:lang w:val="en-US"/>
        </w:rPr>
        <w:t>.</w:t>
      </w:r>
      <w:r w:rsidRPr="00A22DE9">
        <w:rPr>
          <w:lang w:val="en-US"/>
        </w:rPr>
        <w:t xml:space="preserve"> The sustainability of government deficits: Implications for present value borrowing constraints. </w:t>
      </w:r>
      <w:r w:rsidRPr="00C212DD">
        <w:rPr>
          <w:lang w:val="en-US"/>
        </w:rPr>
        <w:t>Journal of Money, Credit and Banking</w:t>
      </w:r>
      <w:r w:rsidR="00641551" w:rsidRPr="00A22DE9">
        <w:rPr>
          <w:lang w:val="en-US"/>
        </w:rPr>
        <w:t xml:space="preserve"> </w:t>
      </w:r>
      <w:r w:rsidRPr="003555A8">
        <w:rPr>
          <w:lang w:val="en-US"/>
        </w:rPr>
        <w:t>54</w:t>
      </w:r>
      <w:r w:rsidR="001474B9">
        <w:rPr>
          <w:lang w:val="en-US"/>
        </w:rPr>
        <w:t>,</w:t>
      </w:r>
      <w:r w:rsidR="00BB6D88" w:rsidRPr="00A22DE9">
        <w:rPr>
          <w:lang w:val="en-US"/>
        </w:rPr>
        <w:t xml:space="preserve"> </w:t>
      </w:r>
      <w:r w:rsidRPr="00A22DE9">
        <w:rPr>
          <w:lang w:val="en-US"/>
        </w:rPr>
        <w:t>1837</w:t>
      </w:r>
      <w:r w:rsidR="00B3784F" w:rsidRPr="00A22DE9">
        <w:rPr>
          <w:lang w:val="en-US"/>
        </w:rPr>
        <w:t>–</w:t>
      </w:r>
      <w:r w:rsidRPr="00A22DE9">
        <w:rPr>
          <w:lang w:val="en-US"/>
        </w:rPr>
        <w:t>1847.</w:t>
      </w:r>
    </w:p>
    <w:p w14:paraId="620ADA77" w14:textId="77777777" w:rsidR="00EA562B" w:rsidRDefault="00EA562B" w:rsidP="00C212DD">
      <w:pPr>
        <w:spacing w:after="200" w:line="259" w:lineRule="auto"/>
        <w:ind w:hanging="567"/>
        <w:rPr>
          <w:lang w:val="en-US"/>
        </w:rPr>
      </w:pPr>
    </w:p>
    <w:p w14:paraId="53E32960" w14:textId="77777777" w:rsidR="00F420DC" w:rsidRPr="00A22DE9" w:rsidRDefault="00F420DC" w:rsidP="00C212DD">
      <w:pPr>
        <w:spacing w:after="200" w:line="259" w:lineRule="auto"/>
        <w:ind w:hanging="567"/>
        <w:rPr>
          <w:lang w:val="en-US"/>
        </w:rPr>
        <w:sectPr w:rsidR="00F420DC" w:rsidRPr="00A22DE9" w:rsidSect="00612C6E">
          <w:headerReference w:type="even" r:id="rId11"/>
          <w:headerReference w:type="default" r:id="rId12"/>
          <w:headerReference w:type="first" r:id="rId13"/>
          <w:pgSz w:w="11900" w:h="16820"/>
          <w:pgMar w:top="1440" w:right="1440" w:bottom="1440" w:left="1440" w:header="708" w:footer="708" w:gutter="0"/>
          <w:cols w:space="708"/>
          <w:titlePg/>
          <w:docGrid w:linePitch="360"/>
        </w:sectPr>
      </w:pPr>
    </w:p>
    <w:p w14:paraId="7D7476B5" w14:textId="31FF0303" w:rsidR="00375262" w:rsidRDefault="00965F56" w:rsidP="00E45E76">
      <w:pPr>
        <w:spacing w:line="360" w:lineRule="auto"/>
        <w:ind w:firstLine="0"/>
        <w:rPr>
          <w:b/>
          <w:lang w:val="en-US"/>
        </w:rPr>
      </w:pPr>
      <w:r w:rsidRPr="00466267">
        <w:rPr>
          <w:b/>
          <w:lang w:val="en-US"/>
        </w:rPr>
        <w:t>Table 1</w:t>
      </w:r>
    </w:p>
    <w:p w14:paraId="556BEBB5" w14:textId="1F234609" w:rsidR="00B34373" w:rsidRPr="00466267" w:rsidRDefault="00996EAC" w:rsidP="00E45E76">
      <w:pPr>
        <w:spacing w:line="360" w:lineRule="auto"/>
        <w:ind w:firstLine="0"/>
        <w:rPr>
          <w:b/>
          <w:lang w:val="en-US"/>
        </w:rPr>
      </w:pPr>
      <w:r w:rsidRPr="00E7758C">
        <w:rPr>
          <w:lang w:val="en-US"/>
        </w:rPr>
        <w:t xml:space="preserve">Names and definition of </w:t>
      </w:r>
      <w:r w:rsidR="00A82824" w:rsidRPr="00E7758C">
        <w:rPr>
          <w:lang w:val="en-US"/>
        </w:rPr>
        <w:t>the</w:t>
      </w:r>
      <w:r w:rsidR="009432F8" w:rsidRPr="00E7758C">
        <w:rPr>
          <w:lang w:val="en-US"/>
        </w:rPr>
        <w:t xml:space="preserve"> </w:t>
      </w:r>
      <w:r w:rsidRPr="00E7758C">
        <w:rPr>
          <w:lang w:val="en-US"/>
        </w:rPr>
        <w:t>variables</w:t>
      </w:r>
      <w:r w:rsidR="00375262">
        <w:rPr>
          <w:lang w:val="en-US"/>
        </w:rPr>
        <w:t>.</w:t>
      </w:r>
    </w:p>
    <w:p w14:paraId="283E6ED9" w14:textId="0EA1EC1C" w:rsidR="003177DF" w:rsidRDefault="009C1C9A" w:rsidP="00D06C83">
      <w:pPr>
        <w:keepNext/>
        <w:spacing w:line="360" w:lineRule="auto"/>
        <w:ind w:firstLine="0"/>
      </w:pPr>
      <w:r w:rsidRPr="009C1C9A">
        <w:rPr>
          <w:noProof/>
          <w:lang w:eastAsia="fi-FI"/>
        </w:rPr>
        <w:drawing>
          <wp:inline distT="0" distB="0" distL="0" distR="0" wp14:anchorId="111496CF" wp14:editId="64DB3D80">
            <wp:extent cx="6645910" cy="2447458"/>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910" cy="2447458"/>
                    </a:xfrm>
                    <a:prstGeom prst="rect">
                      <a:avLst/>
                    </a:prstGeom>
                    <a:noFill/>
                    <a:ln>
                      <a:noFill/>
                    </a:ln>
                  </pic:spPr>
                </pic:pic>
              </a:graphicData>
            </a:graphic>
          </wp:inline>
        </w:drawing>
      </w:r>
    </w:p>
    <w:p w14:paraId="7E2F4A7A" w14:textId="274286BC" w:rsidR="00AA321F" w:rsidRDefault="0094602B" w:rsidP="00D06C83">
      <w:pPr>
        <w:pStyle w:val="Kuvaotsikko"/>
        <w:ind w:firstLine="0"/>
        <w:rPr>
          <w:i w:val="0"/>
          <w:iCs w:val="0"/>
          <w:color w:val="auto"/>
          <w:sz w:val="20"/>
          <w:szCs w:val="20"/>
          <w:lang w:val="en-US"/>
        </w:rPr>
      </w:pPr>
      <w:r>
        <w:rPr>
          <w:i w:val="0"/>
          <w:iCs w:val="0"/>
          <w:color w:val="auto"/>
          <w:sz w:val="20"/>
          <w:szCs w:val="20"/>
          <w:lang w:val="en-US"/>
        </w:rPr>
        <w:t>“</w:t>
      </w:r>
      <w:r w:rsidR="002E7672" w:rsidRPr="00D06C83">
        <w:rPr>
          <w:i w:val="0"/>
          <w:iCs w:val="0"/>
          <w:color w:val="auto"/>
          <w:sz w:val="20"/>
          <w:szCs w:val="20"/>
          <w:lang w:val="en-US"/>
        </w:rPr>
        <w:t xml:space="preserve">Obs” is the total number of observations for each variable. </w:t>
      </w:r>
      <w:r>
        <w:rPr>
          <w:i w:val="0"/>
          <w:iCs w:val="0"/>
          <w:color w:val="auto"/>
          <w:sz w:val="20"/>
          <w:szCs w:val="20"/>
          <w:lang w:val="en-US"/>
        </w:rPr>
        <w:t>“</w:t>
      </w:r>
      <w:r w:rsidR="002E7672" w:rsidRPr="00D06C83">
        <w:rPr>
          <w:i w:val="0"/>
          <w:iCs w:val="0"/>
          <w:color w:val="auto"/>
          <w:sz w:val="20"/>
          <w:szCs w:val="20"/>
          <w:lang w:val="en-US"/>
        </w:rPr>
        <w:t xml:space="preserve">Countries” is the number of countries </w:t>
      </w:r>
      <w:r w:rsidR="00DE7FE2">
        <w:rPr>
          <w:i w:val="0"/>
          <w:iCs w:val="0"/>
          <w:color w:val="auto"/>
          <w:sz w:val="20"/>
          <w:szCs w:val="20"/>
          <w:lang w:val="en-US"/>
        </w:rPr>
        <w:t xml:space="preserve">for which a </w:t>
      </w:r>
      <w:r w:rsidR="002E7672" w:rsidRPr="00D06C83">
        <w:rPr>
          <w:i w:val="0"/>
          <w:iCs w:val="0"/>
          <w:color w:val="auto"/>
          <w:sz w:val="20"/>
          <w:szCs w:val="20"/>
          <w:lang w:val="en-US"/>
        </w:rPr>
        <w:t xml:space="preserve">corresponding time series is available. </w:t>
      </w:r>
      <w:r>
        <w:rPr>
          <w:i w:val="0"/>
          <w:iCs w:val="0"/>
          <w:color w:val="auto"/>
          <w:sz w:val="20"/>
          <w:szCs w:val="20"/>
          <w:lang w:val="en-US"/>
        </w:rPr>
        <w:t>“</w:t>
      </w:r>
      <w:r w:rsidR="002E7672" w:rsidRPr="00D06C83">
        <w:rPr>
          <w:i w:val="0"/>
          <w:iCs w:val="0"/>
          <w:color w:val="auto"/>
          <w:sz w:val="20"/>
          <w:szCs w:val="20"/>
          <w:lang w:val="en-US"/>
        </w:rPr>
        <w:t xml:space="preserve">Lagged” indicates that the time series is lagged by one quarter to </w:t>
      </w:r>
      <w:r w:rsidR="00142E97">
        <w:rPr>
          <w:i w:val="0"/>
          <w:iCs w:val="0"/>
          <w:color w:val="auto"/>
          <w:sz w:val="20"/>
          <w:szCs w:val="20"/>
          <w:lang w:val="en-US"/>
        </w:rPr>
        <w:t>correspond to</w:t>
      </w:r>
      <w:r w:rsidR="00142E97" w:rsidRPr="00D06C83">
        <w:rPr>
          <w:i w:val="0"/>
          <w:iCs w:val="0"/>
          <w:color w:val="auto"/>
          <w:sz w:val="20"/>
          <w:szCs w:val="20"/>
          <w:lang w:val="en-US"/>
        </w:rPr>
        <w:t xml:space="preserve"> </w:t>
      </w:r>
      <w:r w:rsidR="002E7672" w:rsidRPr="00D06C83">
        <w:rPr>
          <w:i w:val="0"/>
          <w:iCs w:val="0"/>
          <w:color w:val="auto"/>
          <w:sz w:val="20"/>
          <w:szCs w:val="20"/>
          <w:lang w:val="en-US"/>
        </w:rPr>
        <w:t xml:space="preserve">a </w:t>
      </w:r>
      <w:r w:rsidR="00142E97">
        <w:rPr>
          <w:i w:val="0"/>
          <w:iCs w:val="0"/>
          <w:color w:val="auto"/>
          <w:sz w:val="20"/>
          <w:szCs w:val="20"/>
          <w:lang w:val="en-US"/>
        </w:rPr>
        <w:t>typical</w:t>
      </w:r>
      <w:r w:rsidR="00142E97" w:rsidRPr="00D06C83">
        <w:rPr>
          <w:i w:val="0"/>
          <w:iCs w:val="0"/>
          <w:color w:val="auto"/>
          <w:sz w:val="20"/>
          <w:szCs w:val="20"/>
          <w:lang w:val="en-US"/>
        </w:rPr>
        <w:t xml:space="preserve"> </w:t>
      </w:r>
      <w:r w:rsidR="002E7672" w:rsidRPr="00D06C83">
        <w:rPr>
          <w:i w:val="0"/>
          <w:iCs w:val="0"/>
          <w:color w:val="auto"/>
          <w:sz w:val="20"/>
          <w:szCs w:val="20"/>
          <w:lang w:val="en-US"/>
        </w:rPr>
        <w:t>publication lag of statistics.</w:t>
      </w:r>
    </w:p>
    <w:p w14:paraId="58FFD7EE" w14:textId="77777777" w:rsidR="00375262" w:rsidRDefault="00375262">
      <w:pPr>
        <w:tabs>
          <w:tab w:val="clear" w:pos="2520"/>
        </w:tabs>
        <w:spacing w:after="160" w:line="259" w:lineRule="auto"/>
        <w:ind w:firstLine="0"/>
        <w:jc w:val="left"/>
        <w:textAlignment w:val="auto"/>
        <w:rPr>
          <w:b/>
          <w:lang w:val="en-US"/>
        </w:rPr>
      </w:pPr>
      <w:r>
        <w:rPr>
          <w:b/>
          <w:lang w:val="en-US"/>
        </w:rPr>
        <w:br w:type="page"/>
      </w:r>
    </w:p>
    <w:p w14:paraId="2567A40E" w14:textId="79291E57" w:rsidR="00375262" w:rsidRDefault="00AA321F" w:rsidP="00AA321F">
      <w:pPr>
        <w:spacing w:line="360" w:lineRule="auto"/>
        <w:ind w:firstLine="0"/>
        <w:rPr>
          <w:b/>
          <w:lang w:val="en-US"/>
        </w:rPr>
      </w:pPr>
      <w:r w:rsidRPr="00466267">
        <w:rPr>
          <w:b/>
          <w:lang w:val="en-US"/>
        </w:rPr>
        <w:t xml:space="preserve">Table </w:t>
      </w:r>
      <w:r>
        <w:rPr>
          <w:b/>
          <w:lang w:val="en-US"/>
        </w:rPr>
        <w:t>2</w:t>
      </w:r>
    </w:p>
    <w:p w14:paraId="77492DBE" w14:textId="6207516B" w:rsidR="00AA321F" w:rsidRPr="00E7758C" w:rsidRDefault="00AA321F" w:rsidP="00AA321F">
      <w:pPr>
        <w:spacing w:line="360" w:lineRule="auto"/>
        <w:ind w:firstLine="0"/>
        <w:rPr>
          <w:lang w:val="en-US"/>
        </w:rPr>
      </w:pPr>
      <w:r w:rsidRPr="00E7758C">
        <w:rPr>
          <w:lang w:val="en-US"/>
        </w:rPr>
        <w:t>Crisis dates</w:t>
      </w:r>
      <w:r w:rsidR="00375262">
        <w:rPr>
          <w:lang w:val="en-US"/>
        </w:rPr>
        <w:t>.</w:t>
      </w:r>
    </w:p>
    <w:p w14:paraId="4D6CC2F1" w14:textId="1263847E" w:rsidR="00B34373" w:rsidRPr="00A22DE9" w:rsidRDefault="009C1C9A" w:rsidP="00D06C83">
      <w:pPr>
        <w:pStyle w:val="Kuvaotsikko"/>
        <w:ind w:firstLine="0"/>
        <w:rPr>
          <w:lang w:val="en-US"/>
        </w:rPr>
      </w:pPr>
      <w:r w:rsidRPr="009C1C9A">
        <w:rPr>
          <w:noProof/>
          <w:lang w:eastAsia="fi-FI"/>
        </w:rPr>
        <w:drawing>
          <wp:inline distT="0" distB="0" distL="0" distR="0" wp14:anchorId="2C38A496" wp14:editId="632B6235">
            <wp:extent cx="4613275" cy="59556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13275" cy="5955665"/>
                    </a:xfrm>
                    <a:prstGeom prst="rect">
                      <a:avLst/>
                    </a:prstGeom>
                    <a:noFill/>
                    <a:ln>
                      <a:noFill/>
                    </a:ln>
                  </pic:spPr>
                </pic:pic>
              </a:graphicData>
            </a:graphic>
          </wp:inline>
        </w:drawing>
      </w:r>
      <w:r w:rsidR="00B34373" w:rsidRPr="00A22DE9">
        <w:rPr>
          <w:lang w:val="en-US"/>
        </w:rPr>
        <w:br w:type="page"/>
      </w:r>
    </w:p>
    <w:p w14:paraId="6B05C6F3" w14:textId="397DF9C6" w:rsidR="00DC4E8D" w:rsidRDefault="00061193" w:rsidP="00E45E76">
      <w:pPr>
        <w:spacing w:line="360" w:lineRule="auto"/>
        <w:ind w:firstLine="0"/>
        <w:rPr>
          <w:b/>
          <w:lang w:val="en-US"/>
        </w:rPr>
      </w:pPr>
      <w:r w:rsidRPr="00315FB0">
        <w:rPr>
          <w:b/>
          <w:lang w:val="en-US"/>
        </w:rPr>
        <w:t xml:space="preserve">Table </w:t>
      </w:r>
      <w:r w:rsidR="00150165">
        <w:rPr>
          <w:b/>
          <w:lang w:val="en-US"/>
        </w:rPr>
        <w:t>3</w:t>
      </w:r>
    </w:p>
    <w:p w14:paraId="607F6733" w14:textId="34C7ACDC" w:rsidR="00555597" w:rsidRDefault="004E035D" w:rsidP="00E45E76">
      <w:pPr>
        <w:spacing w:line="360" w:lineRule="auto"/>
        <w:ind w:firstLine="0"/>
        <w:rPr>
          <w:b/>
          <w:lang w:val="en-US"/>
        </w:rPr>
      </w:pPr>
      <w:r w:rsidRPr="00E7758C">
        <w:rPr>
          <w:lang w:val="en-US"/>
        </w:rPr>
        <w:t>In</w:t>
      </w:r>
      <w:r w:rsidR="00555597" w:rsidRPr="00E7758C">
        <w:rPr>
          <w:lang w:val="en-US"/>
        </w:rPr>
        <w:t xml:space="preserve">-sample performance </w:t>
      </w:r>
      <w:r w:rsidR="00EB21A0" w:rsidRPr="00E7758C">
        <w:rPr>
          <w:lang w:val="en-US"/>
        </w:rPr>
        <w:t>of individual exuberance indicators</w:t>
      </w:r>
      <w:r w:rsidR="00DC4E8D" w:rsidRPr="00E7758C">
        <w:rPr>
          <w:lang w:val="en-US"/>
        </w:rPr>
        <w:t>.</w:t>
      </w:r>
    </w:p>
    <w:p w14:paraId="4A0AAEDE" w14:textId="4E1351C3" w:rsidR="00DC4E8D" w:rsidRDefault="009C1C9A" w:rsidP="00B15D38">
      <w:pPr>
        <w:spacing w:line="240" w:lineRule="auto"/>
        <w:ind w:firstLine="0"/>
        <w:rPr>
          <w:sz w:val="20"/>
          <w:szCs w:val="20"/>
          <w:lang w:val="en-US"/>
        </w:rPr>
      </w:pPr>
      <w:r w:rsidRPr="009C1C9A">
        <w:rPr>
          <w:noProof/>
          <w:lang w:eastAsia="fi-FI"/>
        </w:rPr>
        <w:drawing>
          <wp:inline distT="0" distB="0" distL="0" distR="0" wp14:anchorId="17A83742" wp14:editId="3FB6421E">
            <wp:extent cx="5593715" cy="3665855"/>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93715" cy="3665855"/>
                    </a:xfrm>
                    <a:prstGeom prst="rect">
                      <a:avLst/>
                    </a:prstGeom>
                    <a:noFill/>
                    <a:ln>
                      <a:noFill/>
                    </a:ln>
                  </pic:spPr>
                </pic:pic>
              </a:graphicData>
            </a:graphic>
          </wp:inline>
        </w:drawing>
      </w:r>
    </w:p>
    <w:p w14:paraId="4EF6CEE6" w14:textId="5F160A9C" w:rsidR="00DC4E8D" w:rsidRPr="00CB5130" w:rsidRDefault="00DC4E8D" w:rsidP="00DC4E8D">
      <w:pPr>
        <w:spacing w:line="240" w:lineRule="auto"/>
        <w:ind w:firstLine="0"/>
        <w:rPr>
          <w:szCs w:val="24"/>
          <w:lang w:val="en-US"/>
        </w:rPr>
      </w:pPr>
      <w:r>
        <w:rPr>
          <w:szCs w:val="24"/>
          <w:lang w:val="en-US"/>
        </w:rPr>
        <w:t>Th</w:t>
      </w:r>
      <w:r w:rsidR="00DE7FE2">
        <w:rPr>
          <w:szCs w:val="24"/>
          <w:lang w:val="en-US"/>
        </w:rPr>
        <w:t>is</w:t>
      </w:r>
      <w:r>
        <w:rPr>
          <w:szCs w:val="24"/>
          <w:lang w:val="en-US"/>
        </w:rPr>
        <w:t xml:space="preserve"> t</w:t>
      </w:r>
      <w:r w:rsidRPr="00CB5130">
        <w:rPr>
          <w:szCs w:val="24"/>
          <w:lang w:val="en-US"/>
        </w:rPr>
        <w:t xml:space="preserve">able presents </w:t>
      </w:r>
      <w:r>
        <w:rPr>
          <w:szCs w:val="24"/>
          <w:lang w:val="en-US"/>
        </w:rPr>
        <w:t>in-sample</w:t>
      </w:r>
      <w:r w:rsidRPr="00CB5130">
        <w:rPr>
          <w:szCs w:val="24"/>
          <w:lang w:val="en-US"/>
        </w:rPr>
        <w:t xml:space="preserve"> performance statistics for individual exuberance indicators and the benchmark signaling method. </w:t>
      </w:r>
      <w:r>
        <w:rPr>
          <w:szCs w:val="24"/>
          <w:lang w:val="en-US"/>
        </w:rPr>
        <w:t xml:space="preserve">The significance level </w:t>
      </w:r>
      <w:r>
        <w:rPr>
          <w:rFonts w:cs="Times New Roman"/>
          <w:szCs w:val="24"/>
          <w:lang w:val="en-US"/>
        </w:rPr>
        <w:t>α</w:t>
      </w:r>
      <w:r>
        <w:rPr>
          <w:szCs w:val="24"/>
          <w:lang w:val="en-US"/>
        </w:rPr>
        <w:t xml:space="preserve"> of the BSADF test and the signaling threshold are optimized to produce maximum relative usefulness. The</w:t>
      </w:r>
      <w:r w:rsidRPr="00CB5130">
        <w:rPr>
          <w:szCs w:val="24"/>
          <w:lang w:val="en-US"/>
        </w:rPr>
        <w:t xml:space="preserve"> policymaker’s preference </w:t>
      </w:r>
      <w:r w:rsidRPr="00212882">
        <w:rPr>
          <w:rFonts w:cs="Times New Roman"/>
          <w:szCs w:val="24"/>
          <w:lang w:val="en-US"/>
        </w:rPr>
        <w:t>θ</w:t>
      </w:r>
      <w:r w:rsidRPr="00CB5130">
        <w:rPr>
          <w:szCs w:val="24"/>
          <w:lang w:val="en-US"/>
        </w:rPr>
        <w:t xml:space="preserve"> with respect to false alarms (FP) and missed crises (FN) </w:t>
      </w:r>
      <w:r>
        <w:rPr>
          <w:szCs w:val="24"/>
          <w:lang w:val="en-US"/>
        </w:rPr>
        <w:t>is set to 0.5</w:t>
      </w:r>
      <w:r w:rsidRPr="00CB5130">
        <w:rPr>
          <w:szCs w:val="24"/>
          <w:lang w:val="en-US"/>
        </w:rPr>
        <w:t>.</w:t>
      </w:r>
    </w:p>
    <w:p w14:paraId="28CF2743" w14:textId="047C1B40" w:rsidR="00916497" w:rsidRPr="00A22DE9" w:rsidRDefault="003B1451" w:rsidP="00B15D38">
      <w:pPr>
        <w:spacing w:line="240" w:lineRule="auto"/>
        <w:ind w:firstLine="0"/>
        <w:rPr>
          <w:rFonts w:eastAsia="Times New Roman"/>
          <w:color w:val="000000"/>
          <w:lang w:val="en-US" w:eastAsia="fi-FI"/>
        </w:rPr>
      </w:pPr>
      <w:r w:rsidRPr="00A22DE9">
        <w:rPr>
          <w:b/>
          <w:szCs w:val="24"/>
          <w:lang w:val="en-US"/>
        </w:rPr>
        <w:br/>
      </w:r>
      <w:r w:rsidR="00DA0F5C" w:rsidRPr="00D06C83">
        <w:rPr>
          <w:sz w:val="20"/>
          <w:szCs w:val="20"/>
          <w:lang w:val="en-US"/>
        </w:rPr>
        <w:t>Data covers 1980 to 2012</w:t>
      </w:r>
      <w:r w:rsidR="002C38BD" w:rsidRPr="00A22DE9">
        <w:rPr>
          <w:sz w:val="20"/>
          <w:szCs w:val="20"/>
          <w:lang w:val="en-US"/>
        </w:rPr>
        <w:t>.</w:t>
      </w:r>
      <w:r w:rsidR="00241FD1" w:rsidRPr="00A22DE9">
        <w:rPr>
          <w:sz w:val="20"/>
          <w:szCs w:val="20"/>
          <w:lang w:val="en-US"/>
        </w:rPr>
        <w:t xml:space="preserve"> </w:t>
      </w:r>
      <w:r w:rsidR="00C41179">
        <w:rPr>
          <w:sz w:val="20"/>
          <w:szCs w:val="20"/>
          <w:lang w:val="en-US"/>
        </w:rPr>
        <w:t xml:space="preserve">BSADF parameters are </w:t>
      </w:r>
      <w:r w:rsidR="00555597">
        <w:rPr>
          <w:sz w:val="20"/>
          <w:szCs w:val="20"/>
          <w:lang w:val="en-US"/>
        </w:rPr>
        <w:t>the value of the significance level parameter</w:t>
      </w:r>
      <w:r w:rsidR="00555597" w:rsidDel="00C41179">
        <w:rPr>
          <w:sz w:val="20"/>
          <w:szCs w:val="20"/>
          <w:lang w:val="en-US"/>
        </w:rPr>
        <w:t xml:space="preserve"> </w:t>
      </w:r>
      <w:r w:rsidR="00555597">
        <w:rPr>
          <w:rFonts w:cs="Times New Roman"/>
          <w:sz w:val="20"/>
          <w:szCs w:val="20"/>
          <w:lang w:val="en-US"/>
        </w:rPr>
        <w:t>α,</w:t>
      </w:r>
      <w:r w:rsidR="00555597" w:rsidDel="00C41179">
        <w:rPr>
          <w:sz w:val="20"/>
          <w:szCs w:val="20"/>
          <w:lang w:val="en-US"/>
        </w:rPr>
        <w:t xml:space="preserve"> </w:t>
      </w:r>
      <w:r w:rsidR="00C41179">
        <w:rPr>
          <w:sz w:val="20"/>
          <w:szCs w:val="20"/>
          <w:lang w:val="en-US"/>
        </w:rPr>
        <w:t>m</w:t>
      </w:r>
      <w:r w:rsidR="00DA0F5C">
        <w:rPr>
          <w:sz w:val="20"/>
          <w:szCs w:val="20"/>
          <w:lang w:val="en-US"/>
        </w:rPr>
        <w:t>inimum w</w:t>
      </w:r>
      <w:r w:rsidR="00241FD1" w:rsidRPr="00A22DE9">
        <w:rPr>
          <w:sz w:val="20"/>
          <w:szCs w:val="20"/>
          <w:lang w:val="en-US"/>
        </w:rPr>
        <w:t xml:space="preserve">indow length </w:t>
      </w:r>
      <w:r w:rsidR="00C41179">
        <w:rPr>
          <w:sz w:val="20"/>
          <w:szCs w:val="20"/>
          <w:lang w:val="en-US"/>
        </w:rPr>
        <w:t xml:space="preserve">= </w:t>
      </w:r>
      <w:r w:rsidR="00DA0F5C">
        <w:rPr>
          <w:sz w:val="20"/>
          <w:szCs w:val="20"/>
          <w:lang w:val="en-US"/>
        </w:rPr>
        <w:t>24 quarters</w:t>
      </w:r>
      <w:r w:rsidR="007D6E8B">
        <w:rPr>
          <w:sz w:val="20"/>
          <w:szCs w:val="20"/>
          <w:lang w:val="en-US"/>
        </w:rPr>
        <w:t xml:space="preserve"> and lag length </w:t>
      </w:r>
      <w:r w:rsidR="00C41179">
        <w:rPr>
          <w:sz w:val="20"/>
          <w:szCs w:val="20"/>
          <w:lang w:val="en-US"/>
        </w:rPr>
        <w:t xml:space="preserve">= </w:t>
      </w:r>
      <w:r w:rsidR="007D6E8B">
        <w:rPr>
          <w:sz w:val="20"/>
          <w:szCs w:val="20"/>
          <w:lang w:val="en-US"/>
        </w:rPr>
        <w:t>2</w:t>
      </w:r>
      <w:r w:rsidR="00241FD1" w:rsidRPr="00A22DE9">
        <w:rPr>
          <w:sz w:val="20"/>
          <w:szCs w:val="20"/>
          <w:lang w:val="en-US"/>
        </w:rPr>
        <w:t>.</w:t>
      </w:r>
      <w:r w:rsidR="002C38BD" w:rsidRPr="00A22DE9">
        <w:rPr>
          <w:sz w:val="20"/>
          <w:szCs w:val="20"/>
          <w:lang w:val="en-US"/>
        </w:rPr>
        <w:t xml:space="preserve"> </w:t>
      </w:r>
      <w:r w:rsidR="00555597" w:rsidRPr="00981B3D">
        <w:rPr>
          <w:sz w:val="20"/>
          <w:szCs w:val="20"/>
          <w:lang w:val="en-US"/>
        </w:rPr>
        <w:t>For the signaling benchmark, the variables are transformed using 2</w:t>
      </w:r>
      <w:r w:rsidR="00DC4E8D">
        <w:rPr>
          <w:sz w:val="20"/>
          <w:szCs w:val="20"/>
          <w:lang w:val="en-US"/>
        </w:rPr>
        <w:t>-</w:t>
      </w:r>
      <w:r w:rsidR="00555597" w:rsidRPr="00981B3D">
        <w:rPr>
          <w:sz w:val="20"/>
          <w:szCs w:val="20"/>
          <w:lang w:val="en-US"/>
        </w:rPr>
        <w:t xml:space="preserve">year differences or growth </w:t>
      </w:r>
      <w:r w:rsidR="004E035D" w:rsidRPr="00981B3D">
        <w:rPr>
          <w:sz w:val="20"/>
          <w:szCs w:val="20"/>
          <w:lang w:val="en-US"/>
        </w:rPr>
        <w:t>rates</w:t>
      </w:r>
      <w:r w:rsidR="004E035D">
        <w:rPr>
          <w:sz w:val="20"/>
          <w:szCs w:val="20"/>
          <w:lang w:val="en-US"/>
        </w:rPr>
        <w:t xml:space="preserve"> (</w:t>
      </w:r>
      <w:r w:rsidR="00AE4B03">
        <w:rPr>
          <w:sz w:val="20"/>
          <w:szCs w:val="20"/>
          <w:lang w:val="en-US"/>
        </w:rPr>
        <w:t>except debt service ratios, which are in levels)</w:t>
      </w:r>
      <w:r w:rsidR="00555597" w:rsidRPr="00981B3D">
        <w:rPr>
          <w:sz w:val="20"/>
          <w:szCs w:val="20"/>
          <w:lang w:val="en-US"/>
        </w:rPr>
        <w:t xml:space="preserve">, and the signaling threshold is </w:t>
      </w:r>
      <w:r w:rsidR="00555597">
        <w:rPr>
          <w:sz w:val="20"/>
          <w:szCs w:val="20"/>
          <w:lang w:val="en-US"/>
        </w:rPr>
        <w:t>optimized based on the full sample 1980 to 2012</w:t>
      </w:r>
      <w:r w:rsidR="00555597" w:rsidRPr="00981B3D">
        <w:rPr>
          <w:sz w:val="20"/>
          <w:szCs w:val="20"/>
          <w:lang w:val="en-US"/>
        </w:rPr>
        <w:t>.</w:t>
      </w:r>
      <w:r w:rsidR="00555597" w:rsidDel="00C41179">
        <w:rPr>
          <w:sz w:val="20"/>
          <w:szCs w:val="20"/>
          <w:lang w:val="en-US"/>
        </w:rPr>
        <w:t xml:space="preserve"> </w:t>
      </w:r>
      <w:r w:rsidR="000759C9">
        <w:rPr>
          <w:sz w:val="20"/>
          <w:szCs w:val="20"/>
          <w:lang w:val="en-US"/>
        </w:rPr>
        <w:t xml:space="preserve">RU </w:t>
      </w:r>
      <w:r w:rsidR="00C41179">
        <w:rPr>
          <w:rFonts w:cs="Times New Roman"/>
          <w:sz w:val="20"/>
          <w:szCs w:val="20"/>
          <w:lang w:val="en-US"/>
        </w:rPr>
        <w:t>≤</w:t>
      </w:r>
      <w:r w:rsidR="00C41179">
        <w:rPr>
          <w:sz w:val="20"/>
          <w:szCs w:val="20"/>
          <w:lang w:val="en-US"/>
        </w:rPr>
        <w:t xml:space="preserve"> 1 is the r</w:t>
      </w:r>
      <w:r w:rsidR="000759C9">
        <w:rPr>
          <w:sz w:val="20"/>
          <w:szCs w:val="20"/>
          <w:lang w:val="en-US"/>
        </w:rPr>
        <w:t xml:space="preserve">elative </w:t>
      </w:r>
      <w:r w:rsidR="00C41179">
        <w:rPr>
          <w:sz w:val="20"/>
          <w:szCs w:val="20"/>
          <w:lang w:val="en-US"/>
        </w:rPr>
        <w:t>u</w:t>
      </w:r>
      <w:r w:rsidR="000759C9">
        <w:rPr>
          <w:sz w:val="20"/>
          <w:szCs w:val="20"/>
          <w:lang w:val="en-US"/>
        </w:rPr>
        <w:t xml:space="preserve">sefulness </w:t>
      </w:r>
      <w:r w:rsidR="00C41179">
        <w:rPr>
          <w:sz w:val="20"/>
          <w:szCs w:val="20"/>
          <w:lang w:val="en-US"/>
        </w:rPr>
        <w:t xml:space="preserve">given </w:t>
      </w:r>
      <w:r w:rsidR="00C41179" w:rsidRPr="00A22DE9">
        <w:rPr>
          <w:sz w:val="20"/>
          <w:szCs w:val="20"/>
          <w:lang w:val="en-US"/>
        </w:rPr>
        <w:t>the policymaker’s preference parameter</w:t>
      </w:r>
      <w:r w:rsidR="00C41179">
        <w:rPr>
          <w:sz w:val="20"/>
          <w:szCs w:val="20"/>
          <w:lang w:val="en-US"/>
        </w:rPr>
        <w:t xml:space="preserve"> </w:t>
      </w:r>
      <w:r w:rsidR="00C41179">
        <w:rPr>
          <w:rFonts w:cs="Times New Roman"/>
          <w:sz w:val="20"/>
          <w:szCs w:val="20"/>
          <w:lang w:val="en-US"/>
        </w:rPr>
        <w:t>θ</w:t>
      </w:r>
      <w:r w:rsidR="00C41179">
        <w:rPr>
          <w:sz w:val="20"/>
          <w:szCs w:val="20"/>
          <w:lang w:val="en-US"/>
        </w:rPr>
        <w:t xml:space="preserve"> </w:t>
      </w:r>
      <w:r w:rsidR="000759C9">
        <w:rPr>
          <w:sz w:val="20"/>
          <w:szCs w:val="20"/>
          <w:lang w:val="en-US"/>
        </w:rPr>
        <w:t xml:space="preserve">(see </w:t>
      </w:r>
      <w:r w:rsidR="00DC4E8D">
        <w:rPr>
          <w:sz w:val="20"/>
          <w:szCs w:val="20"/>
          <w:lang w:val="en-US"/>
        </w:rPr>
        <w:t xml:space="preserve">Section </w:t>
      </w:r>
      <w:r w:rsidR="000759C9">
        <w:rPr>
          <w:sz w:val="20"/>
          <w:szCs w:val="20"/>
          <w:lang w:val="en-US"/>
        </w:rPr>
        <w:t>3B for definition)</w:t>
      </w:r>
      <w:r w:rsidR="002B6529">
        <w:rPr>
          <w:sz w:val="20"/>
          <w:szCs w:val="20"/>
          <w:lang w:val="en-US"/>
        </w:rPr>
        <w:t>, absolute usefulness = Min(</w:t>
      </w:r>
      <w:r w:rsidR="002B6529">
        <w:rPr>
          <w:rFonts w:cs="Times New Roman"/>
          <w:sz w:val="20"/>
          <w:szCs w:val="20"/>
          <w:lang w:val="en-US"/>
        </w:rPr>
        <w:t>θ</w:t>
      </w:r>
      <w:r w:rsidR="002B6529">
        <w:rPr>
          <w:sz w:val="20"/>
          <w:szCs w:val="20"/>
          <w:lang w:val="en-US"/>
        </w:rPr>
        <w:t xml:space="preserve"> ,1-</w:t>
      </w:r>
      <w:r w:rsidR="002B6529" w:rsidRPr="002B6529">
        <w:rPr>
          <w:rFonts w:cs="Times New Roman"/>
          <w:sz w:val="20"/>
          <w:szCs w:val="20"/>
          <w:lang w:val="en-US"/>
        </w:rPr>
        <w:t xml:space="preserve"> </w:t>
      </w:r>
      <w:r w:rsidR="002B6529">
        <w:rPr>
          <w:rFonts w:cs="Times New Roman"/>
          <w:sz w:val="20"/>
          <w:szCs w:val="20"/>
          <w:lang w:val="en-US"/>
        </w:rPr>
        <w:t>θ</w:t>
      </w:r>
      <w:r w:rsidR="002B6529">
        <w:rPr>
          <w:sz w:val="20"/>
          <w:szCs w:val="20"/>
          <w:lang w:val="en-US"/>
        </w:rPr>
        <w:t>)RU</w:t>
      </w:r>
      <w:r w:rsidR="000759C9">
        <w:rPr>
          <w:sz w:val="20"/>
          <w:szCs w:val="20"/>
          <w:lang w:val="en-US"/>
        </w:rPr>
        <w:t xml:space="preserve">, </w:t>
      </w:r>
      <w:r w:rsidR="000759C9" w:rsidRPr="00A22DE9">
        <w:rPr>
          <w:sz w:val="20"/>
          <w:szCs w:val="20"/>
          <w:lang w:val="en-US"/>
        </w:rPr>
        <w:t>FP</w:t>
      </w:r>
      <w:r w:rsidR="00C41179">
        <w:rPr>
          <w:sz w:val="20"/>
          <w:szCs w:val="20"/>
          <w:lang w:val="en-US"/>
        </w:rPr>
        <w:t xml:space="preserve"> is</w:t>
      </w:r>
      <w:r w:rsidR="000759C9" w:rsidRPr="00A22DE9">
        <w:rPr>
          <w:sz w:val="20"/>
          <w:szCs w:val="20"/>
          <w:lang w:val="en-US"/>
        </w:rPr>
        <w:t xml:space="preserve"> False Positive</w:t>
      </w:r>
      <w:r w:rsidR="000759C9">
        <w:rPr>
          <w:sz w:val="20"/>
          <w:szCs w:val="20"/>
          <w:lang w:val="en-US"/>
        </w:rPr>
        <w:t xml:space="preserve"> Rate</w:t>
      </w:r>
      <w:r w:rsidR="000759C9" w:rsidRPr="00A22DE9">
        <w:rPr>
          <w:sz w:val="20"/>
          <w:szCs w:val="20"/>
          <w:lang w:val="en-US"/>
        </w:rPr>
        <w:t xml:space="preserve">, FN </w:t>
      </w:r>
      <w:r w:rsidR="00C41179">
        <w:rPr>
          <w:sz w:val="20"/>
          <w:szCs w:val="20"/>
          <w:lang w:val="en-US"/>
        </w:rPr>
        <w:t>is</w:t>
      </w:r>
      <w:r w:rsidR="00C41179" w:rsidRPr="00A22DE9">
        <w:rPr>
          <w:sz w:val="20"/>
          <w:szCs w:val="20"/>
          <w:lang w:val="en-US"/>
        </w:rPr>
        <w:t xml:space="preserve"> </w:t>
      </w:r>
      <w:r w:rsidR="000759C9" w:rsidRPr="00A22DE9">
        <w:rPr>
          <w:sz w:val="20"/>
          <w:szCs w:val="20"/>
          <w:lang w:val="en-US"/>
        </w:rPr>
        <w:t>False Negative</w:t>
      </w:r>
      <w:r w:rsidR="000759C9">
        <w:rPr>
          <w:sz w:val="20"/>
          <w:szCs w:val="20"/>
          <w:lang w:val="en-US"/>
        </w:rPr>
        <w:t xml:space="preserve"> Rate</w:t>
      </w:r>
      <w:r w:rsidR="00DA0F5C">
        <w:rPr>
          <w:sz w:val="20"/>
          <w:szCs w:val="20"/>
          <w:lang w:val="en-US"/>
        </w:rPr>
        <w:t>.</w:t>
      </w:r>
      <w:r w:rsidR="00A103E0" w:rsidRPr="00A22DE9">
        <w:rPr>
          <w:sz w:val="20"/>
          <w:szCs w:val="20"/>
          <w:lang w:val="en-US"/>
        </w:rPr>
        <w:t xml:space="preserve"> </w:t>
      </w:r>
      <w:r w:rsidR="00555597">
        <w:rPr>
          <w:sz w:val="20"/>
          <w:szCs w:val="20"/>
          <w:lang w:val="en-US"/>
        </w:rPr>
        <w:t>0</w:t>
      </w:r>
      <w:r w:rsidR="00DE7FE2">
        <w:rPr>
          <w:sz w:val="20"/>
          <w:szCs w:val="20"/>
          <w:lang w:val="en-US"/>
        </w:rPr>
        <w:t xml:space="preserve"> </w:t>
      </w:r>
      <w:r w:rsidR="00555597">
        <w:rPr>
          <w:rFonts w:cs="Times New Roman"/>
          <w:sz w:val="20"/>
          <w:szCs w:val="20"/>
          <w:lang w:val="en-US"/>
        </w:rPr>
        <w:t>≤</w:t>
      </w:r>
      <w:r w:rsidR="00DE7FE2">
        <w:rPr>
          <w:rFonts w:cs="Times New Roman"/>
          <w:sz w:val="20"/>
          <w:szCs w:val="20"/>
          <w:lang w:val="en-US"/>
        </w:rPr>
        <w:t xml:space="preserve"> </w:t>
      </w:r>
      <w:r w:rsidR="00CA6892">
        <w:rPr>
          <w:sz w:val="20"/>
          <w:szCs w:val="20"/>
          <w:lang w:val="en-US"/>
        </w:rPr>
        <w:t>AUROC</w:t>
      </w:r>
      <w:r w:rsidR="00DE7FE2">
        <w:rPr>
          <w:sz w:val="20"/>
          <w:szCs w:val="20"/>
          <w:lang w:val="en-US"/>
        </w:rPr>
        <w:t xml:space="preserve"> </w:t>
      </w:r>
      <w:r w:rsidR="00555597">
        <w:rPr>
          <w:rFonts w:cs="Times New Roman"/>
          <w:sz w:val="20"/>
          <w:szCs w:val="20"/>
          <w:lang w:val="en-US"/>
        </w:rPr>
        <w:t>≤</w:t>
      </w:r>
      <w:r w:rsidR="00DE7FE2">
        <w:rPr>
          <w:rFonts w:cs="Times New Roman"/>
          <w:sz w:val="20"/>
          <w:szCs w:val="20"/>
          <w:lang w:val="en-US"/>
        </w:rPr>
        <w:t xml:space="preserve"> </w:t>
      </w:r>
      <w:r w:rsidR="00555597">
        <w:rPr>
          <w:rFonts w:cs="Times New Roman"/>
          <w:sz w:val="20"/>
          <w:szCs w:val="20"/>
          <w:lang w:val="en-US"/>
        </w:rPr>
        <w:t>1</w:t>
      </w:r>
      <w:r w:rsidR="00CA6892">
        <w:rPr>
          <w:sz w:val="20"/>
          <w:szCs w:val="20"/>
          <w:lang w:val="en-US"/>
        </w:rPr>
        <w:t xml:space="preserve"> is calculated as defined in </w:t>
      </w:r>
      <w:r w:rsidR="00090D5E">
        <w:rPr>
          <w:sz w:val="20"/>
          <w:szCs w:val="20"/>
          <w:lang w:val="en-US"/>
        </w:rPr>
        <w:t xml:space="preserve">Section </w:t>
      </w:r>
      <w:r w:rsidR="00CA6892">
        <w:rPr>
          <w:sz w:val="20"/>
          <w:szCs w:val="20"/>
          <w:lang w:val="en-US"/>
        </w:rPr>
        <w:t xml:space="preserve">3B. </w:t>
      </w:r>
      <w:r w:rsidR="00656044" w:rsidRPr="00A22DE9">
        <w:rPr>
          <w:sz w:val="20"/>
          <w:szCs w:val="20"/>
          <w:lang w:val="en-US"/>
        </w:rPr>
        <w:t>A o</w:t>
      </w:r>
      <w:r w:rsidR="00A103E0" w:rsidRPr="00A22DE9">
        <w:rPr>
          <w:sz w:val="20"/>
          <w:szCs w:val="20"/>
          <w:lang w:val="en-US"/>
        </w:rPr>
        <w:t>ne</w:t>
      </w:r>
      <w:r w:rsidR="00656044" w:rsidRPr="00A22DE9">
        <w:rPr>
          <w:sz w:val="20"/>
          <w:szCs w:val="20"/>
          <w:lang w:val="en-US"/>
        </w:rPr>
        <w:t>-</w:t>
      </w:r>
      <w:r w:rsidR="00A103E0" w:rsidRPr="00A22DE9">
        <w:rPr>
          <w:sz w:val="20"/>
          <w:szCs w:val="20"/>
          <w:lang w:val="en-US"/>
        </w:rPr>
        <w:t>quarter publication lag is used for quarterly variables</w:t>
      </w:r>
      <w:r w:rsidR="00656044" w:rsidRPr="00A22DE9">
        <w:rPr>
          <w:sz w:val="20"/>
          <w:szCs w:val="20"/>
          <w:lang w:val="en-US"/>
        </w:rPr>
        <w:t>,</w:t>
      </w:r>
      <w:r w:rsidR="00A103E0" w:rsidRPr="00A22DE9">
        <w:rPr>
          <w:sz w:val="20"/>
          <w:szCs w:val="20"/>
          <w:lang w:val="en-US"/>
        </w:rPr>
        <w:t xml:space="preserve"> except for equity prices.</w:t>
      </w:r>
      <w:r w:rsidR="000759C9">
        <w:rPr>
          <w:sz w:val="20"/>
          <w:szCs w:val="20"/>
          <w:lang w:val="en-US"/>
        </w:rPr>
        <w:t xml:space="preserve"> Crisis definitions </w:t>
      </w:r>
      <w:r w:rsidR="00555597">
        <w:rPr>
          <w:sz w:val="20"/>
          <w:szCs w:val="20"/>
          <w:lang w:val="en-US"/>
        </w:rPr>
        <w:t xml:space="preserve">are </w:t>
      </w:r>
      <w:r w:rsidR="000759C9">
        <w:rPr>
          <w:sz w:val="20"/>
          <w:szCs w:val="20"/>
          <w:lang w:val="en-US"/>
        </w:rPr>
        <w:t>according to the ESRB crisis dataset</w:t>
      </w:r>
      <w:r w:rsidR="00555597">
        <w:rPr>
          <w:sz w:val="20"/>
          <w:szCs w:val="20"/>
          <w:lang w:val="en-US"/>
        </w:rPr>
        <w:t xml:space="preserve"> (Detken </w:t>
      </w:r>
      <w:r w:rsidR="000B2E8F" w:rsidRPr="00E7758C">
        <w:rPr>
          <w:sz w:val="20"/>
          <w:szCs w:val="20"/>
          <w:lang w:val="en-US"/>
        </w:rPr>
        <w:t>et al.</w:t>
      </w:r>
      <w:r w:rsidR="00DC4E8D">
        <w:rPr>
          <w:sz w:val="20"/>
          <w:szCs w:val="20"/>
          <w:lang w:val="en-US"/>
        </w:rPr>
        <w:t xml:space="preserve">, </w:t>
      </w:r>
      <w:r w:rsidR="00555597">
        <w:rPr>
          <w:sz w:val="20"/>
          <w:szCs w:val="20"/>
          <w:lang w:val="en-US"/>
        </w:rPr>
        <w:t>2014)</w:t>
      </w:r>
      <w:r w:rsidR="000759C9">
        <w:rPr>
          <w:sz w:val="20"/>
          <w:szCs w:val="20"/>
          <w:lang w:val="en-US"/>
        </w:rPr>
        <w:t xml:space="preserve">. </w:t>
      </w:r>
      <w:r w:rsidR="00CA6892">
        <w:rPr>
          <w:sz w:val="20"/>
          <w:szCs w:val="20"/>
          <w:lang w:val="en-US"/>
        </w:rPr>
        <w:t xml:space="preserve">The pre-crisis period </w:t>
      </w:r>
      <w:r w:rsidR="00DE7FE2">
        <w:rPr>
          <w:sz w:val="20"/>
          <w:szCs w:val="20"/>
          <w:lang w:val="en-US"/>
        </w:rPr>
        <w:t xml:space="preserve">runs </w:t>
      </w:r>
      <w:r w:rsidR="00CA6892">
        <w:rPr>
          <w:sz w:val="20"/>
          <w:szCs w:val="20"/>
          <w:lang w:val="en-US"/>
        </w:rPr>
        <w:t>from 12 to 5 quarters before each crisis.</w:t>
      </w:r>
    </w:p>
    <w:p w14:paraId="2E21F6FA" w14:textId="77777777" w:rsidR="00916497" w:rsidRDefault="00916497" w:rsidP="00E45E76">
      <w:pPr>
        <w:spacing w:line="360" w:lineRule="auto"/>
        <w:rPr>
          <w:lang w:val="en-US" w:eastAsia="fi-FI"/>
        </w:rPr>
      </w:pPr>
      <w:r w:rsidRPr="00A22DE9">
        <w:rPr>
          <w:lang w:val="en-US" w:eastAsia="fi-FI"/>
        </w:rPr>
        <w:br w:type="page"/>
      </w:r>
    </w:p>
    <w:p w14:paraId="6D6C225F" w14:textId="77777777" w:rsidR="00DC4E8D" w:rsidRDefault="00195A08" w:rsidP="00EB21A0">
      <w:pPr>
        <w:spacing w:line="360" w:lineRule="auto"/>
        <w:ind w:firstLine="0"/>
        <w:rPr>
          <w:b/>
          <w:szCs w:val="24"/>
          <w:lang w:val="en-US"/>
        </w:rPr>
      </w:pPr>
      <w:r w:rsidRPr="00315FB0">
        <w:rPr>
          <w:b/>
          <w:szCs w:val="24"/>
          <w:lang w:val="en-US"/>
        </w:rPr>
        <w:t xml:space="preserve">Table </w:t>
      </w:r>
      <w:r w:rsidR="00150165">
        <w:rPr>
          <w:b/>
          <w:szCs w:val="24"/>
          <w:lang w:val="en-US"/>
        </w:rPr>
        <w:t>4</w:t>
      </w:r>
    </w:p>
    <w:p w14:paraId="680CB327" w14:textId="0C783C6B" w:rsidR="00EB21A0" w:rsidRPr="00E7758C" w:rsidRDefault="00195A08" w:rsidP="00EB21A0">
      <w:pPr>
        <w:spacing w:line="360" w:lineRule="auto"/>
        <w:ind w:firstLine="0"/>
        <w:rPr>
          <w:lang w:val="en-US"/>
        </w:rPr>
      </w:pPr>
      <w:r w:rsidRPr="00E7758C">
        <w:rPr>
          <w:szCs w:val="24"/>
          <w:lang w:val="en-US"/>
        </w:rPr>
        <w:t xml:space="preserve">Out-of-sample performance </w:t>
      </w:r>
      <w:r w:rsidR="00EB21A0" w:rsidRPr="00E7758C">
        <w:rPr>
          <w:lang w:val="en-US"/>
        </w:rPr>
        <w:t>of individual exuberance indicators</w:t>
      </w:r>
      <w:r w:rsidR="00DC4E8D" w:rsidRPr="00E7758C">
        <w:rPr>
          <w:lang w:val="en-US"/>
        </w:rPr>
        <w:t>.</w:t>
      </w:r>
    </w:p>
    <w:p w14:paraId="6E882D40" w14:textId="6957651C" w:rsidR="00DC4E8D" w:rsidRPr="00981B3D" w:rsidRDefault="009C1C9A" w:rsidP="00DC4E8D">
      <w:pPr>
        <w:spacing w:line="240" w:lineRule="auto"/>
        <w:ind w:firstLine="0"/>
        <w:rPr>
          <w:szCs w:val="24"/>
          <w:lang w:val="en-US"/>
        </w:rPr>
      </w:pPr>
      <w:r w:rsidRPr="009C1C9A">
        <w:rPr>
          <w:noProof/>
          <w:lang w:eastAsia="fi-FI"/>
        </w:rPr>
        <w:drawing>
          <wp:inline distT="0" distB="0" distL="0" distR="0" wp14:anchorId="77B61C46" wp14:editId="2DC5C78C">
            <wp:extent cx="5593715" cy="3665855"/>
            <wp:effectExtent l="0" t="0" r="698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93715" cy="3665855"/>
                    </a:xfrm>
                    <a:prstGeom prst="rect">
                      <a:avLst/>
                    </a:prstGeom>
                    <a:noFill/>
                    <a:ln>
                      <a:noFill/>
                    </a:ln>
                  </pic:spPr>
                </pic:pic>
              </a:graphicData>
            </a:graphic>
          </wp:inline>
        </w:drawing>
      </w:r>
      <w:r w:rsidR="00195A08" w:rsidRPr="00A22DE9">
        <w:rPr>
          <w:lang w:val="en-US"/>
        </w:rPr>
        <w:br/>
      </w:r>
      <w:r w:rsidR="00DC4E8D">
        <w:rPr>
          <w:szCs w:val="24"/>
          <w:lang w:val="en-US"/>
        </w:rPr>
        <w:t>Th</w:t>
      </w:r>
      <w:r w:rsidR="00DE7FE2">
        <w:rPr>
          <w:szCs w:val="24"/>
          <w:lang w:val="en-US"/>
        </w:rPr>
        <w:t>is</w:t>
      </w:r>
      <w:r w:rsidR="00DC4E8D">
        <w:rPr>
          <w:szCs w:val="24"/>
          <w:lang w:val="en-US"/>
        </w:rPr>
        <w:t xml:space="preserve"> t</w:t>
      </w:r>
      <w:r w:rsidR="00DC4E8D" w:rsidRPr="00981B3D">
        <w:rPr>
          <w:szCs w:val="24"/>
          <w:lang w:val="en-US"/>
        </w:rPr>
        <w:t>able presents the</w:t>
      </w:r>
      <w:r w:rsidR="00DC4E8D">
        <w:rPr>
          <w:szCs w:val="24"/>
          <w:lang w:val="en-US"/>
        </w:rPr>
        <w:t xml:space="preserve"> out-of-sample</w:t>
      </w:r>
      <w:r w:rsidR="00DC4E8D" w:rsidRPr="00981B3D">
        <w:rPr>
          <w:szCs w:val="24"/>
          <w:lang w:val="en-US"/>
        </w:rPr>
        <w:t xml:space="preserve"> performance statistics for individual exuberance indicators and the benchmark signaling method. </w:t>
      </w:r>
      <w:r w:rsidR="00DC4E8D">
        <w:rPr>
          <w:szCs w:val="24"/>
          <w:lang w:val="en-US"/>
        </w:rPr>
        <w:t xml:space="preserve">Data between 1980–1999 </w:t>
      </w:r>
      <w:r w:rsidR="00DE7FE2">
        <w:rPr>
          <w:szCs w:val="24"/>
          <w:lang w:val="en-US"/>
        </w:rPr>
        <w:t xml:space="preserve">are </w:t>
      </w:r>
      <w:r w:rsidR="00DC4E8D">
        <w:rPr>
          <w:szCs w:val="24"/>
          <w:lang w:val="en-US"/>
        </w:rPr>
        <w:t xml:space="preserve">used to estimate the parameters and 2003–2012 </w:t>
      </w:r>
      <w:r w:rsidR="00DE7FE2">
        <w:rPr>
          <w:szCs w:val="24"/>
          <w:lang w:val="en-US"/>
        </w:rPr>
        <w:t xml:space="preserve">are used </w:t>
      </w:r>
      <w:r w:rsidR="00DC4E8D">
        <w:rPr>
          <w:szCs w:val="24"/>
          <w:lang w:val="en-US"/>
        </w:rPr>
        <w:t xml:space="preserve">for the evaluation. </w:t>
      </w:r>
      <w:r w:rsidR="00DC4E8D" w:rsidRPr="00981B3D">
        <w:rPr>
          <w:szCs w:val="24"/>
          <w:lang w:val="en-US"/>
        </w:rPr>
        <w:t>Th</w:t>
      </w:r>
      <w:r w:rsidR="00DC4E8D">
        <w:rPr>
          <w:szCs w:val="24"/>
          <w:lang w:val="en-US"/>
        </w:rPr>
        <w:t>e</w:t>
      </w:r>
      <w:r w:rsidR="00DC4E8D" w:rsidRPr="00981B3D">
        <w:rPr>
          <w:szCs w:val="24"/>
          <w:lang w:val="en-US"/>
        </w:rPr>
        <w:t xml:space="preserve"> policymaker’s preference </w:t>
      </w:r>
      <w:r w:rsidR="00DC4E8D" w:rsidRPr="00CB5130">
        <w:rPr>
          <w:szCs w:val="24"/>
          <w:lang w:val="en-US"/>
        </w:rPr>
        <w:t>θ</w:t>
      </w:r>
      <w:r w:rsidR="00DC4E8D" w:rsidRPr="00981B3D">
        <w:rPr>
          <w:szCs w:val="24"/>
          <w:lang w:val="en-US"/>
        </w:rPr>
        <w:t xml:space="preserve"> with respect to false alarms (FP) and missed crises (FN) </w:t>
      </w:r>
      <w:r w:rsidR="00DC4E8D">
        <w:rPr>
          <w:szCs w:val="24"/>
          <w:lang w:val="en-US"/>
        </w:rPr>
        <w:t>is set to 0.5</w:t>
      </w:r>
      <w:r w:rsidR="00DC4E8D" w:rsidRPr="00981B3D">
        <w:rPr>
          <w:szCs w:val="24"/>
          <w:lang w:val="en-US"/>
        </w:rPr>
        <w:t>.</w:t>
      </w:r>
    </w:p>
    <w:p w14:paraId="2F15B331" w14:textId="77777777" w:rsidR="00DC4E8D" w:rsidRDefault="00DC4E8D" w:rsidP="00555597">
      <w:pPr>
        <w:spacing w:line="240" w:lineRule="auto"/>
        <w:ind w:firstLine="0"/>
        <w:rPr>
          <w:sz w:val="20"/>
          <w:szCs w:val="20"/>
          <w:lang w:val="en-US"/>
        </w:rPr>
      </w:pPr>
    </w:p>
    <w:p w14:paraId="5A544601" w14:textId="2BFDD695" w:rsidR="00555597" w:rsidRPr="00212882" w:rsidRDefault="00555597" w:rsidP="00555597">
      <w:pPr>
        <w:spacing w:line="240" w:lineRule="auto"/>
        <w:ind w:firstLine="0"/>
        <w:rPr>
          <w:rFonts w:eastAsia="Times New Roman"/>
          <w:color w:val="000000"/>
          <w:sz w:val="20"/>
          <w:szCs w:val="20"/>
          <w:lang w:val="en-US" w:eastAsia="fi-FI"/>
        </w:rPr>
      </w:pPr>
      <w:r w:rsidRPr="00555597">
        <w:rPr>
          <w:sz w:val="20"/>
          <w:szCs w:val="20"/>
          <w:lang w:val="en-US"/>
        </w:rPr>
        <w:t>Data cover</w:t>
      </w:r>
      <w:r w:rsidR="00E438D5">
        <w:rPr>
          <w:sz w:val="20"/>
          <w:szCs w:val="20"/>
          <w:lang w:val="en-US"/>
        </w:rPr>
        <w:t>s</w:t>
      </w:r>
      <w:r w:rsidR="00CA6892" w:rsidRPr="00555597">
        <w:rPr>
          <w:sz w:val="20"/>
          <w:szCs w:val="20"/>
          <w:lang w:val="en-US"/>
        </w:rPr>
        <w:t xml:space="preserve"> 2003 to 2012. </w:t>
      </w:r>
      <w:r w:rsidR="00DF5419">
        <w:rPr>
          <w:sz w:val="20"/>
          <w:szCs w:val="20"/>
          <w:lang w:val="en-US"/>
        </w:rPr>
        <w:t>T</w:t>
      </w:r>
      <w:r w:rsidRPr="00555597">
        <w:rPr>
          <w:sz w:val="20"/>
          <w:szCs w:val="20"/>
          <w:lang w:val="en-US"/>
        </w:rPr>
        <w:t xml:space="preserve">he </w:t>
      </w:r>
      <w:r w:rsidR="00F258F0">
        <w:rPr>
          <w:sz w:val="20"/>
          <w:szCs w:val="20"/>
          <w:lang w:val="en-US"/>
        </w:rPr>
        <w:t>significance</w:t>
      </w:r>
      <w:r w:rsidR="00F258F0" w:rsidRPr="00555597">
        <w:rPr>
          <w:sz w:val="20"/>
          <w:szCs w:val="20"/>
          <w:lang w:val="en-US"/>
        </w:rPr>
        <w:t xml:space="preserve"> </w:t>
      </w:r>
      <w:r w:rsidRPr="00555597">
        <w:rPr>
          <w:sz w:val="20"/>
          <w:szCs w:val="20"/>
          <w:lang w:val="en-US"/>
        </w:rPr>
        <w:t xml:space="preserve">level </w:t>
      </w:r>
      <w:r w:rsidRPr="00212882">
        <w:rPr>
          <w:sz w:val="20"/>
          <w:szCs w:val="20"/>
          <w:lang w:val="en-US"/>
        </w:rPr>
        <w:t>α</w:t>
      </w:r>
      <w:r w:rsidRPr="00555597">
        <w:rPr>
          <w:sz w:val="20"/>
          <w:szCs w:val="20"/>
          <w:lang w:val="en-US"/>
        </w:rPr>
        <w:t xml:space="preserve"> </w:t>
      </w:r>
      <w:r w:rsidR="00F258F0">
        <w:rPr>
          <w:sz w:val="20"/>
          <w:szCs w:val="20"/>
          <w:lang w:val="en-US"/>
        </w:rPr>
        <w:t xml:space="preserve">of the BSADF test </w:t>
      </w:r>
      <w:r w:rsidRPr="00555597">
        <w:rPr>
          <w:sz w:val="20"/>
          <w:szCs w:val="20"/>
          <w:lang w:val="en-US"/>
        </w:rPr>
        <w:t xml:space="preserve">is </w:t>
      </w:r>
      <w:r w:rsidRPr="00212882">
        <w:rPr>
          <w:sz w:val="20"/>
          <w:szCs w:val="20"/>
          <w:lang w:val="en-US"/>
        </w:rPr>
        <w:t>optimized based on training with 1980</w:t>
      </w:r>
      <w:r w:rsidR="00DE7FE2">
        <w:rPr>
          <w:sz w:val="20"/>
          <w:szCs w:val="20"/>
          <w:lang w:val="en-US"/>
        </w:rPr>
        <w:t>–</w:t>
      </w:r>
      <w:r w:rsidRPr="00212882">
        <w:rPr>
          <w:sz w:val="20"/>
          <w:szCs w:val="20"/>
          <w:lang w:val="en-US"/>
        </w:rPr>
        <w:t>1999 data.</w:t>
      </w:r>
      <w:r w:rsidRPr="00555597">
        <w:rPr>
          <w:sz w:val="20"/>
          <w:szCs w:val="20"/>
          <w:lang w:val="en-US"/>
        </w:rPr>
        <w:t xml:space="preserve"> Other BSADF parameters are minimum window length = 24 quarters and lag length = 2. For the signaling benchmark, the variables are transformed using </w:t>
      </w:r>
      <w:r w:rsidR="004E035D" w:rsidRPr="00555597">
        <w:rPr>
          <w:sz w:val="20"/>
          <w:szCs w:val="20"/>
          <w:lang w:val="en-US"/>
        </w:rPr>
        <w:t>2-year</w:t>
      </w:r>
      <w:r w:rsidRPr="00555597">
        <w:rPr>
          <w:sz w:val="20"/>
          <w:szCs w:val="20"/>
          <w:lang w:val="en-US"/>
        </w:rPr>
        <w:t xml:space="preserve"> differences or growth rates</w:t>
      </w:r>
      <w:r w:rsidR="00AE4B03">
        <w:rPr>
          <w:sz w:val="20"/>
          <w:szCs w:val="20"/>
          <w:lang w:val="en-US"/>
        </w:rPr>
        <w:t xml:space="preserve"> (except debt service ratios, which are in levels)</w:t>
      </w:r>
      <w:r w:rsidRPr="00555597">
        <w:rPr>
          <w:sz w:val="20"/>
          <w:szCs w:val="20"/>
          <w:lang w:val="en-US"/>
        </w:rPr>
        <w:t xml:space="preserve">, and the signaling threshold is updated each period using a training sample. RU </w:t>
      </w:r>
      <w:r w:rsidRPr="00555597">
        <w:rPr>
          <w:rFonts w:cs="Times New Roman"/>
          <w:sz w:val="20"/>
          <w:szCs w:val="20"/>
          <w:lang w:val="en-US"/>
        </w:rPr>
        <w:t>≤</w:t>
      </w:r>
      <w:r w:rsidRPr="00555597">
        <w:rPr>
          <w:sz w:val="20"/>
          <w:szCs w:val="20"/>
          <w:lang w:val="en-US"/>
        </w:rPr>
        <w:t xml:space="preserve"> 1 is the relative usefulness given the policymaker’s preference parameter </w:t>
      </w:r>
      <w:r w:rsidRPr="00555597">
        <w:rPr>
          <w:rFonts w:cs="Times New Roman"/>
          <w:sz w:val="20"/>
          <w:szCs w:val="20"/>
          <w:lang w:val="en-US"/>
        </w:rPr>
        <w:t>θ</w:t>
      </w:r>
      <w:r w:rsidRPr="00555597">
        <w:rPr>
          <w:sz w:val="20"/>
          <w:szCs w:val="20"/>
          <w:lang w:val="en-US"/>
        </w:rPr>
        <w:t xml:space="preserve"> (see </w:t>
      </w:r>
      <w:r w:rsidR="00DC4E8D">
        <w:rPr>
          <w:sz w:val="20"/>
          <w:szCs w:val="20"/>
          <w:lang w:val="en-US"/>
        </w:rPr>
        <w:t>Section</w:t>
      </w:r>
      <w:r w:rsidR="00DC4E8D" w:rsidRPr="00555597">
        <w:rPr>
          <w:sz w:val="20"/>
          <w:szCs w:val="20"/>
          <w:lang w:val="en-US"/>
        </w:rPr>
        <w:t xml:space="preserve"> </w:t>
      </w:r>
      <w:r w:rsidRPr="00555597">
        <w:rPr>
          <w:sz w:val="20"/>
          <w:szCs w:val="20"/>
          <w:lang w:val="en-US"/>
        </w:rPr>
        <w:t>3B for definition)</w:t>
      </w:r>
      <w:r w:rsidR="002B6529">
        <w:rPr>
          <w:sz w:val="20"/>
          <w:szCs w:val="20"/>
          <w:lang w:val="en-US"/>
        </w:rPr>
        <w:t>, absolute usefulness = Min(</w:t>
      </w:r>
      <w:r w:rsidR="002B6529">
        <w:rPr>
          <w:rFonts w:cs="Times New Roman"/>
          <w:sz w:val="20"/>
          <w:szCs w:val="20"/>
          <w:lang w:val="en-US"/>
        </w:rPr>
        <w:t>θ</w:t>
      </w:r>
      <w:r w:rsidR="002B6529">
        <w:rPr>
          <w:sz w:val="20"/>
          <w:szCs w:val="20"/>
          <w:lang w:val="en-US"/>
        </w:rPr>
        <w:t xml:space="preserve"> ,1-</w:t>
      </w:r>
      <w:r w:rsidR="002B6529" w:rsidRPr="002B6529">
        <w:rPr>
          <w:rFonts w:cs="Times New Roman"/>
          <w:sz w:val="20"/>
          <w:szCs w:val="20"/>
          <w:lang w:val="en-US"/>
        </w:rPr>
        <w:t xml:space="preserve"> </w:t>
      </w:r>
      <w:r w:rsidR="002B6529">
        <w:rPr>
          <w:rFonts w:cs="Times New Roman"/>
          <w:sz w:val="20"/>
          <w:szCs w:val="20"/>
          <w:lang w:val="en-US"/>
        </w:rPr>
        <w:t>θ</w:t>
      </w:r>
      <w:r w:rsidR="002B6529">
        <w:rPr>
          <w:sz w:val="20"/>
          <w:szCs w:val="20"/>
          <w:lang w:val="en-US"/>
        </w:rPr>
        <w:t>)RU</w:t>
      </w:r>
      <w:r w:rsidRPr="00555597">
        <w:rPr>
          <w:sz w:val="20"/>
          <w:szCs w:val="20"/>
          <w:lang w:val="en-US"/>
        </w:rPr>
        <w:t>, FP is False Positive Rate, FN is False Negative Rate. 0</w:t>
      </w:r>
      <w:r w:rsidR="00DE7FE2">
        <w:rPr>
          <w:sz w:val="20"/>
          <w:szCs w:val="20"/>
          <w:lang w:val="en-US"/>
        </w:rPr>
        <w:t xml:space="preserve"> </w:t>
      </w:r>
      <w:r w:rsidRPr="00555597">
        <w:rPr>
          <w:rFonts w:cs="Times New Roman"/>
          <w:sz w:val="20"/>
          <w:szCs w:val="20"/>
          <w:lang w:val="en-US"/>
        </w:rPr>
        <w:t>≤</w:t>
      </w:r>
      <w:r w:rsidR="00DE7FE2">
        <w:rPr>
          <w:rFonts w:cs="Times New Roman"/>
          <w:sz w:val="20"/>
          <w:szCs w:val="20"/>
          <w:lang w:val="en-US"/>
        </w:rPr>
        <w:t xml:space="preserve"> </w:t>
      </w:r>
      <w:r w:rsidRPr="00555597">
        <w:rPr>
          <w:sz w:val="20"/>
          <w:szCs w:val="20"/>
          <w:lang w:val="en-US"/>
        </w:rPr>
        <w:t>AUROC</w:t>
      </w:r>
      <w:r w:rsidR="00DE7FE2">
        <w:rPr>
          <w:sz w:val="20"/>
          <w:szCs w:val="20"/>
          <w:lang w:val="en-US"/>
        </w:rPr>
        <w:t xml:space="preserve"> </w:t>
      </w:r>
      <w:r w:rsidRPr="00555597">
        <w:rPr>
          <w:rFonts w:cs="Times New Roman"/>
          <w:sz w:val="20"/>
          <w:szCs w:val="20"/>
          <w:lang w:val="en-US"/>
        </w:rPr>
        <w:t>≤1</w:t>
      </w:r>
      <w:r w:rsidRPr="00555597">
        <w:rPr>
          <w:sz w:val="20"/>
          <w:szCs w:val="20"/>
          <w:lang w:val="en-US"/>
        </w:rPr>
        <w:t xml:space="preserve"> is calculated as defined in Section 3B. A one-quarter publication lag is used for quarterly variables</w:t>
      </w:r>
      <w:r w:rsidR="00DE7FE2">
        <w:rPr>
          <w:sz w:val="20"/>
          <w:szCs w:val="20"/>
          <w:lang w:val="en-US"/>
        </w:rPr>
        <w:t xml:space="preserve"> (</w:t>
      </w:r>
      <w:r w:rsidRPr="00555597">
        <w:rPr>
          <w:sz w:val="20"/>
          <w:szCs w:val="20"/>
          <w:lang w:val="en-US"/>
        </w:rPr>
        <w:t>except for equity prices</w:t>
      </w:r>
      <w:r w:rsidR="00DE7FE2">
        <w:rPr>
          <w:sz w:val="20"/>
          <w:szCs w:val="20"/>
          <w:lang w:val="en-US"/>
        </w:rPr>
        <w:t>)</w:t>
      </w:r>
      <w:r w:rsidRPr="00555597">
        <w:rPr>
          <w:sz w:val="20"/>
          <w:szCs w:val="20"/>
          <w:lang w:val="en-US"/>
        </w:rPr>
        <w:t xml:space="preserve">. Crisis definitions are according to the ESRB crisis dataset (Detken </w:t>
      </w:r>
      <w:r w:rsidR="000B2E8F" w:rsidRPr="00E7758C">
        <w:rPr>
          <w:sz w:val="20"/>
          <w:szCs w:val="20"/>
          <w:lang w:val="en-US"/>
        </w:rPr>
        <w:t>et al.</w:t>
      </w:r>
      <w:r w:rsidR="00DC4E8D">
        <w:rPr>
          <w:sz w:val="20"/>
          <w:szCs w:val="20"/>
          <w:lang w:val="en-US"/>
        </w:rPr>
        <w:t xml:space="preserve">, </w:t>
      </w:r>
      <w:r w:rsidRPr="00555597">
        <w:rPr>
          <w:sz w:val="20"/>
          <w:szCs w:val="20"/>
          <w:lang w:val="en-US"/>
        </w:rPr>
        <w:t>2014). The pre-crisis period is from 12 to 5 quarters before each crisis.</w:t>
      </w:r>
    </w:p>
    <w:p w14:paraId="6E0E7910" w14:textId="77777777" w:rsidR="00195A08" w:rsidRPr="00A22DE9" w:rsidRDefault="00195A08" w:rsidP="00B15D38">
      <w:pPr>
        <w:spacing w:line="240" w:lineRule="auto"/>
        <w:ind w:firstLine="0"/>
        <w:rPr>
          <w:sz w:val="20"/>
          <w:szCs w:val="20"/>
          <w:lang w:val="en-US"/>
        </w:rPr>
      </w:pPr>
    </w:p>
    <w:p w14:paraId="3C475FD0" w14:textId="77777777" w:rsidR="007D6E8B" w:rsidRDefault="00195A08" w:rsidP="00212882">
      <w:pPr>
        <w:spacing w:line="360" w:lineRule="auto"/>
        <w:ind w:firstLine="0"/>
        <w:jc w:val="left"/>
        <w:rPr>
          <w:b/>
          <w:lang w:val="en-US"/>
        </w:rPr>
      </w:pPr>
      <w:r>
        <w:rPr>
          <w:lang w:val="en-US" w:eastAsia="fi-FI"/>
        </w:rPr>
        <w:br w:type="page"/>
      </w:r>
    </w:p>
    <w:p w14:paraId="42E4E3AC" w14:textId="441DE141" w:rsidR="00FB6B6C" w:rsidRDefault="00A42DB1" w:rsidP="00A42DB1">
      <w:pPr>
        <w:spacing w:line="360" w:lineRule="auto"/>
        <w:ind w:firstLine="0"/>
        <w:rPr>
          <w:b/>
          <w:lang w:val="en-US"/>
        </w:rPr>
      </w:pPr>
      <w:r w:rsidRPr="00315FB0">
        <w:rPr>
          <w:b/>
          <w:lang w:val="en-US"/>
        </w:rPr>
        <w:t>Table 5</w:t>
      </w:r>
    </w:p>
    <w:p w14:paraId="193371ED" w14:textId="49574D42" w:rsidR="00315FB0" w:rsidRPr="00FB6B6C" w:rsidRDefault="00A42DB1" w:rsidP="00A42DB1">
      <w:pPr>
        <w:spacing w:line="360" w:lineRule="auto"/>
        <w:ind w:firstLine="0"/>
        <w:rPr>
          <w:lang w:val="en-US"/>
        </w:rPr>
      </w:pPr>
      <w:r w:rsidRPr="00E7758C">
        <w:rPr>
          <w:lang w:val="en-US"/>
        </w:rPr>
        <w:t xml:space="preserve">Performance statistics for composite </w:t>
      </w:r>
      <w:r w:rsidR="00EB21A0" w:rsidRPr="00E7758C">
        <w:rPr>
          <w:lang w:val="en-US"/>
        </w:rPr>
        <w:t xml:space="preserve">exuberance </w:t>
      </w:r>
      <w:r w:rsidRPr="00E7758C">
        <w:rPr>
          <w:lang w:val="en-US"/>
        </w:rPr>
        <w:t>indicators.</w:t>
      </w:r>
    </w:p>
    <w:p w14:paraId="3853998C" w14:textId="16FC0B7A" w:rsidR="00821349" w:rsidRPr="00A22DE9" w:rsidRDefault="009C1C9A">
      <w:pPr>
        <w:spacing w:line="240" w:lineRule="auto"/>
        <w:ind w:firstLine="0"/>
        <w:rPr>
          <w:sz w:val="20"/>
          <w:szCs w:val="20"/>
          <w:lang w:val="en-US"/>
        </w:rPr>
      </w:pPr>
      <w:r w:rsidRPr="009C1C9A">
        <w:rPr>
          <w:noProof/>
          <w:lang w:eastAsia="fi-FI"/>
        </w:rPr>
        <w:drawing>
          <wp:inline distT="0" distB="0" distL="0" distR="0" wp14:anchorId="6AA9409F" wp14:editId="40C3C8F5">
            <wp:extent cx="6645910" cy="3543961"/>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45910" cy="3543961"/>
                    </a:xfrm>
                    <a:prstGeom prst="rect">
                      <a:avLst/>
                    </a:prstGeom>
                    <a:noFill/>
                    <a:ln>
                      <a:noFill/>
                    </a:ln>
                  </pic:spPr>
                </pic:pic>
              </a:graphicData>
            </a:graphic>
          </wp:inline>
        </w:drawing>
      </w:r>
      <w:r w:rsidR="00A42DB1" w:rsidRPr="00A22DE9">
        <w:rPr>
          <w:b/>
          <w:lang w:val="en-US"/>
        </w:rPr>
        <w:br/>
      </w:r>
      <w:r w:rsidR="00821349">
        <w:rPr>
          <w:noProof/>
          <w:sz w:val="20"/>
          <w:szCs w:val="20"/>
          <w:lang w:eastAsia="fi-FI"/>
        </w:rPr>
        <w:drawing>
          <wp:inline distT="0" distB="0" distL="0" distR="0" wp14:anchorId="5AC1CAC3" wp14:editId="578C7FFE">
            <wp:extent cx="6645910" cy="1085215"/>
            <wp:effectExtent l="0" t="0" r="254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able_composite_variables.png"/>
                    <pic:cNvPicPr/>
                  </pic:nvPicPr>
                  <pic:blipFill>
                    <a:blip r:embed="rId19">
                      <a:extLst>
                        <a:ext uri="{28A0092B-C50C-407E-A947-70E740481C1C}">
                          <a14:useLocalDpi xmlns:a14="http://schemas.microsoft.com/office/drawing/2010/main" val="0"/>
                        </a:ext>
                      </a:extLst>
                    </a:blip>
                    <a:stretch>
                      <a:fillRect/>
                    </a:stretch>
                  </pic:blipFill>
                  <pic:spPr>
                    <a:xfrm>
                      <a:off x="0" y="0"/>
                      <a:ext cx="6645910" cy="1085215"/>
                    </a:xfrm>
                    <a:prstGeom prst="rect">
                      <a:avLst/>
                    </a:prstGeom>
                  </pic:spPr>
                </pic:pic>
              </a:graphicData>
            </a:graphic>
          </wp:inline>
        </w:drawing>
      </w:r>
    </w:p>
    <w:p w14:paraId="75A41815" w14:textId="77777777" w:rsidR="00FB6B6C" w:rsidRDefault="00FB6B6C" w:rsidP="00A60525">
      <w:pPr>
        <w:spacing w:line="240" w:lineRule="auto"/>
        <w:ind w:firstLine="0"/>
        <w:rPr>
          <w:sz w:val="20"/>
          <w:szCs w:val="20"/>
          <w:lang w:val="en-US"/>
        </w:rPr>
      </w:pPr>
    </w:p>
    <w:p w14:paraId="333CD4F4" w14:textId="4B403A00" w:rsidR="00FB6B6C" w:rsidRDefault="00DE7FE2" w:rsidP="00A60525">
      <w:pPr>
        <w:spacing w:line="240" w:lineRule="auto"/>
        <w:ind w:firstLine="0"/>
        <w:rPr>
          <w:sz w:val="20"/>
          <w:szCs w:val="20"/>
          <w:lang w:val="en-US"/>
        </w:rPr>
      </w:pPr>
      <w:r>
        <w:rPr>
          <w:szCs w:val="24"/>
          <w:lang w:val="en-US"/>
        </w:rPr>
        <w:t xml:space="preserve">In this table, the </w:t>
      </w:r>
      <w:r w:rsidR="00FB6B6C" w:rsidRPr="007A726D">
        <w:rPr>
          <w:szCs w:val="24"/>
          <w:lang w:val="en-US"/>
        </w:rPr>
        <w:t xml:space="preserve">top (middle) panel presents the in-sample (out-of-sample) performance statistics for composite exuberance indicators and the benchmark logit model (Detken </w:t>
      </w:r>
      <w:r w:rsidR="00FB6B6C" w:rsidRPr="00E7758C">
        <w:rPr>
          <w:szCs w:val="24"/>
          <w:lang w:val="en-US"/>
        </w:rPr>
        <w:t>et al.</w:t>
      </w:r>
      <w:r w:rsidR="00FB6B6C">
        <w:rPr>
          <w:szCs w:val="24"/>
          <w:lang w:val="en-US"/>
        </w:rPr>
        <w:t xml:space="preserve">, </w:t>
      </w:r>
      <w:r w:rsidR="00FB6B6C" w:rsidRPr="007A726D">
        <w:rPr>
          <w:szCs w:val="24"/>
          <w:lang w:val="en-US"/>
        </w:rPr>
        <w:t xml:space="preserve">2014). </w:t>
      </w:r>
      <w:r w:rsidR="00FB6B6C">
        <w:rPr>
          <w:szCs w:val="24"/>
          <w:lang w:val="en-US"/>
        </w:rPr>
        <w:t>The upper panel uses the full sample of data covering 1980–2012. In the middle pane</w:t>
      </w:r>
      <w:r>
        <w:rPr>
          <w:szCs w:val="24"/>
          <w:lang w:val="en-US"/>
        </w:rPr>
        <w:t>l, the</w:t>
      </w:r>
      <w:r w:rsidR="00FB6B6C">
        <w:rPr>
          <w:szCs w:val="24"/>
          <w:lang w:val="en-US"/>
        </w:rPr>
        <w:t xml:space="preserve"> 2003–1999 data </w:t>
      </w:r>
      <w:r>
        <w:rPr>
          <w:szCs w:val="24"/>
          <w:lang w:val="en-US"/>
        </w:rPr>
        <w:t>are</w:t>
      </w:r>
      <w:r w:rsidR="00FB6B6C">
        <w:rPr>
          <w:szCs w:val="24"/>
          <w:lang w:val="en-US"/>
        </w:rPr>
        <w:t xml:space="preserve"> used to estimate the parameters and </w:t>
      </w:r>
      <w:r>
        <w:rPr>
          <w:szCs w:val="24"/>
          <w:lang w:val="en-US"/>
        </w:rPr>
        <w:t xml:space="preserve">the </w:t>
      </w:r>
      <w:r w:rsidR="00FB6B6C">
        <w:rPr>
          <w:szCs w:val="24"/>
          <w:lang w:val="en-US"/>
        </w:rPr>
        <w:t xml:space="preserve">2003–2012 </w:t>
      </w:r>
      <w:r>
        <w:rPr>
          <w:szCs w:val="24"/>
          <w:lang w:val="en-US"/>
        </w:rPr>
        <w:t xml:space="preserve">are used </w:t>
      </w:r>
      <w:r w:rsidR="00FB6B6C">
        <w:rPr>
          <w:szCs w:val="24"/>
          <w:lang w:val="en-US"/>
        </w:rPr>
        <w:t xml:space="preserve">for the evaluation. </w:t>
      </w:r>
      <w:r w:rsidR="00FB6B6C" w:rsidRPr="007A726D">
        <w:rPr>
          <w:szCs w:val="24"/>
          <w:lang w:val="en-US"/>
        </w:rPr>
        <w:t xml:space="preserve">For each composite exuberance indicator, there are four rows corresponding to each possible threshold, i.e. </w:t>
      </w:r>
      <w:r w:rsidR="00FB6B6C">
        <w:rPr>
          <w:szCs w:val="24"/>
          <w:lang w:val="en-US"/>
        </w:rPr>
        <w:t xml:space="preserve">the </w:t>
      </w:r>
      <w:r w:rsidR="00FB6B6C" w:rsidRPr="007A726D">
        <w:rPr>
          <w:szCs w:val="24"/>
          <w:lang w:val="en-US"/>
        </w:rPr>
        <w:t>number of sub-alerts considered an overall alert. For each model</w:t>
      </w:r>
      <w:r w:rsidR="00FB6B6C">
        <w:rPr>
          <w:szCs w:val="24"/>
          <w:lang w:val="en-US"/>
        </w:rPr>
        <w:t>,</w:t>
      </w:r>
      <w:r w:rsidR="00FB6B6C" w:rsidRPr="007A726D">
        <w:rPr>
          <w:szCs w:val="24"/>
          <w:lang w:val="en-US"/>
        </w:rPr>
        <w:t xml:space="preserve"> the b</w:t>
      </w:r>
      <w:r w:rsidR="00FB6B6C" w:rsidRPr="00CB5130">
        <w:rPr>
          <w:szCs w:val="24"/>
          <w:lang w:val="en-US"/>
        </w:rPr>
        <w:t xml:space="preserve">olded row is the one that produces the highest AUROC. </w:t>
      </w:r>
      <w:r w:rsidR="00FB6B6C" w:rsidRPr="00981B3D">
        <w:rPr>
          <w:szCs w:val="24"/>
          <w:lang w:val="en-US"/>
        </w:rPr>
        <w:t>Bottom panel shows the components.</w:t>
      </w:r>
      <w:r w:rsidR="00FB6B6C">
        <w:rPr>
          <w:szCs w:val="24"/>
          <w:lang w:val="en-US"/>
        </w:rPr>
        <w:t xml:space="preserve"> </w:t>
      </w:r>
      <w:r w:rsidR="00FB6B6C" w:rsidRPr="00981B3D">
        <w:rPr>
          <w:szCs w:val="24"/>
          <w:lang w:val="en-US"/>
        </w:rPr>
        <w:t xml:space="preserve">The </w:t>
      </w:r>
      <w:r w:rsidR="00FB6B6C">
        <w:rPr>
          <w:szCs w:val="24"/>
          <w:lang w:val="en-US"/>
        </w:rPr>
        <w:t xml:space="preserve">components of the composite indicators </w:t>
      </w:r>
      <w:r w:rsidR="00FB6B6C" w:rsidRPr="00981B3D">
        <w:rPr>
          <w:szCs w:val="24"/>
          <w:lang w:val="en-US"/>
        </w:rPr>
        <w:t xml:space="preserve">are selected according to </w:t>
      </w:r>
      <w:r w:rsidR="00FB6B6C">
        <w:rPr>
          <w:szCs w:val="24"/>
          <w:lang w:val="en-US"/>
        </w:rPr>
        <w:t>Table F3</w:t>
      </w:r>
      <w:r w:rsidR="00FB6B6C" w:rsidRPr="00981B3D">
        <w:rPr>
          <w:szCs w:val="24"/>
          <w:lang w:val="en-US"/>
        </w:rPr>
        <w:t xml:space="preserve"> in Detken </w:t>
      </w:r>
      <w:r w:rsidR="00FB6B6C" w:rsidRPr="00E7758C">
        <w:rPr>
          <w:szCs w:val="24"/>
          <w:lang w:val="en-US"/>
        </w:rPr>
        <w:t>et al.</w:t>
      </w:r>
      <w:r w:rsidR="00FB6B6C">
        <w:rPr>
          <w:szCs w:val="24"/>
          <w:lang w:val="en-US"/>
        </w:rPr>
        <w:t xml:space="preserve"> (</w:t>
      </w:r>
      <w:r w:rsidR="00FB6B6C" w:rsidRPr="00981B3D">
        <w:rPr>
          <w:szCs w:val="24"/>
          <w:lang w:val="en-US"/>
        </w:rPr>
        <w:t>2014</w:t>
      </w:r>
      <w:r w:rsidR="00FB6B6C">
        <w:rPr>
          <w:szCs w:val="24"/>
          <w:lang w:val="en-US"/>
        </w:rPr>
        <w:t>), which presents their four-variable model with the highest AUROC (Model 1 here)</w:t>
      </w:r>
      <w:r w:rsidR="00FB6B6C" w:rsidRPr="00981B3D">
        <w:rPr>
          <w:szCs w:val="24"/>
          <w:lang w:val="en-US"/>
        </w:rPr>
        <w:t xml:space="preserve">. The relative usefulness </w:t>
      </w:r>
      <w:r w:rsidR="00FB6B6C">
        <w:rPr>
          <w:szCs w:val="24"/>
          <w:lang w:val="en-US"/>
        </w:rPr>
        <w:t xml:space="preserve">for any </w:t>
      </w:r>
      <w:r w:rsidR="00FB6B6C" w:rsidRPr="00981B3D">
        <w:rPr>
          <w:szCs w:val="24"/>
          <w:lang w:val="en-US"/>
        </w:rPr>
        <w:t>θ</w:t>
      </w:r>
      <w:r w:rsidR="00FB6B6C">
        <w:rPr>
          <w:szCs w:val="24"/>
          <w:lang w:val="en-US"/>
        </w:rPr>
        <w:t xml:space="preserve"> can be calculated based on the reported FP and FN rates using equation (9), and is</w:t>
      </w:r>
      <w:r w:rsidR="00FB6B6C" w:rsidRPr="00981B3D">
        <w:rPr>
          <w:szCs w:val="24"/>
          <w:lang w:val="en-US"/>
        </w:rPr>
        <w:t xml:space="preserve"> reported </w:t>
      </w:r>
      <w:r w:rsidR="00FB6B6C">
        <w:rPr>
          <w:szCs w:val="24"/>
          <w:lang w:val="en-US"/>
        </w:rPr>
        <w:t xml:space="preserve">here </w:t>
      </w:r>
      <w:r w:rsidR="00FB6B6C" w:rsidRPr="00981B3D">
        <w:rPr>
          <w:szCs w:val="24"/>
          <w:lang w:val="en-US"/>
        </w:rPr>
        <w:t>using θ</w:t>
      </w:r>
      <w:r>
        <w:rPr>
          <w:szCs w:val="24"/>
          <w:lang w:val="en-US"/>
        </w:rPr>
        <w:t xml:space="preserve"> </w:t>
      </w:r>
      <w:r w:rsidR="00FB6B6C" w:rsidRPr="00981B3D">
        <w:rPr>
          <w:szCs w:val="24"/>
          <w:lang w:val="en-US"/>
        </w:rPr>
        <w:t>=</w:t>
      </w:r>
      <w:r>
        <w:rPr>
          <w:szCs w:val="24"/>
          <w:lang w:val="en-US"/>
        </w:rPr>
        <w:t xml:space="preserve"> </w:t>
      </w:r>
      <w:r w:rsidR="00FB6B6C" w:rsidRPr="00981B3D">
        <w:rPr>
          <w:szCs w:val="24"/>
          <w:lang w:val="en-US"/>
        </w:rPr>
        <w:t>0.5</w:t>
      </w:r>
      <w:r w:rsidR="00FB6B6C">
        <w:rPr>
          <w:szCs w:val="24"/>
          <w:lang w:val="en-US"/>
        </w:rPr>
        <w:t xml:space="preserve"> for brevity.</w:t>
      </w:r>
    </w:p>
    <w:p w14:paraId="3FC2657D" w14:textId="77777777" w:rsidR="00FB6B6C" w:rsidRDefault="00FB6B6C" w:rsidP="00A60525">
      <w:pPr>
        <w:spacing w:line="240" w:lineRule="auto"/>
        <w:ind w:firstLine="0"/>
        <w:rPr>
          <w:sz w:val="20"/>
          <w:szCs w:val="20"/>
          <w:lang w:val="en-US"/>
        </w:rPr>
      </w:pPr>
    </w:p>
    <w:p w14:paraId="7A3660C7" w14:textId="541ABF51" w:rsidR="00A60525" w:rsidRPr="00981B3D" w:rsidRDefault="00A60525" w:rsidP="00A60525">
      <w:pPr>
        <w:spacing w:line="240" w:lineRule="auto"/>
        <w:ind w:firstLine="0"/>
        <w:rPr>
          <w:rFonts w:eastAsia="Times New Roman"/>
          <w:color w:val="000000"/>
          <w:sz w:val="20"/>
          <w:szCs w:val="20"/>
          <w:lang w:val="en-US" w:eastAsia="fi-FI"/>
        </w:rPr>
      </w:pPr>
      <w:r w:rsidRPr="00981B3D">
        <w:rPr>
          <w:sz w:val="20"/>
          <w:szCs w:val="20"/>
          <w:lang w:val="en-US"/>
        </w:rPr>
        <w:t>In the upper</w:t>
      </w:r>
      <w:r>
        <w:rPr>
          <w:sz w:val="20"/>
          <w:szCs w:val="20"/>
          <w:lang w:val="en-US"/>
        </w:rPr>
        <w:t xml:space="preserve"> (lower)</w:t>
      </w:r>
      <w:r w:rsidRPr="00981B3D">
        <w:rPr>
          <w:sz w:val="20"/>
          <w:szCs w:val="20"/>
          <w:lang w:val="en-US"/>
        </w:rPr>
        <w:t xml:space="preserve"> panel, the </w:t>
      </w:r>
      <w:r w:rsidR="005A6437">
        <w:rPr>
          <w:sz w:val="20"/>
          <w:szCs w:val="20"/>
          <w:lang w:val="en-US"/>
        </w:rPr>
        <w:t>significance</w:t>
      </w:r>
      <w:r w:rsidRPr="00981B3D">
        <w:rPr>
          <w:sz w:val="20"/>
          <w:szCs w:val="20"/>
          <w:lang w:val="en-US"/>
        </w:rPr>
        <w:t xml:space="preserve"> level α </w:t>
      </w:r>
      <w:r w:rsidR="005A6437">
        <w:rPr>
          <w:sz w:val="20"/>
          <w:szCs w:val="20"/>
          <w:lang w:val="en-US"/>
        </w:rPr>
        <w:t xml:space="preserve">of the BSADF test </w:t>
      </w:r>
      <w:r w:rsidRPr="00981B3D">
        <w:rPr>
          <w:sz w:val="20"/>
          <w:szCs w:val="20"/>
          <w:lang w:val="en-US"/>
        </w:rPr>
        <w:t>is optimi</w:t>
      </w:r>
      <w:r>
        <w:rPr>
          <w:sz w:val="20"/>
          <w:szCs w:val="20"/>
          <w:lang w:val="en-US"/>
        </w:rPr>
        <w:t>zed based on 1980–2012 (training with 1980</w:t>
      </w:r>
      <w:r w:rsidRPr="00981B3D">
        <w:rPr>
          <w:sz w:val="20"/>
          <w:szCs w:val="20"/>
          <w:lang w:val="en-US"/>
        </w:rPr>
        <w:t>–1999</w:t>
      </w:r>
      <w:r>
        <w:rPr>
          <w:sz w:val="20"/>
          <w:szCs w:val="20"/>
          <w:lang w:val="en-US"/>
        </w:rPr>
        <w:t>)</w:t>
      </w:r>
      <w:r w:rsidRPr="00981B3D">
        <w:rPr>
          <w:sz w:val="20"/>
          <w:szCs w:val="20"/>
          <w:lang w:val="en-US"/>
        </w:rPr>
        <w:t xml:space="preserve"> data. Other BSADF parameters are minimum window length = 24 quarters and lag length = 2. For the </w:t>
      </w:r>
      <w:r>
        <w:rPr>
          <w:sz w:val="20"/>
          <w:szCs w:val="20"/>
          <w:lang w:val="en-US"/>
        </w:rPr>
        <w:t xml:space="preserve">logit </w:t>
      </w:r>
      <w:r w:rsidRPr="00981B3D">
        <w:rPr>
          <w:sz w:val="20"/>
          <w:szCs w:val="20"/>
          <w:lang w:val="en-US"/>
        </w:rPr>
        <w:t>benchmark, the variables are transformed using 2</w:t>
      </w:r>
      <w:r w:rsidR="00FB6B6C">
        <w:rPr>
          <w:sz w:val="20"/>
          <w:szCs w:val="20"/>
          <w:lang w:val="en-US"/>
        </w:rPr>
        <w:t>-</w:t>
      </w:r>
      <w:r w:rsidRPr="00981B3D">
        <w:rPr>
          <w:sz w:val="20"/>
          <w:szCs w:val="20"/>
          <w:lang w:val="en-US"/>
        </w:rPr>
        <w:t>year differences or growth rates</w:t>
      </w:r>
      <w:r w:rsidR="00AE4B03">
        <w:rPr>
          <w:sz w:val="20"/>
          <w:szCs w:val="20"/>
          <w:lang w:val="en-US"/>
        </w:rPr>
        <w:t xml:space="preserve"> (except debt service ratios, which are in levels)</w:t>
      </w:r>
      <w:r w:rsidRPr="00981B3D">
        <w:rPr>
          <w:sz w:val="20"/>
          <w:szCs w:val="20"/>
          <w:lang w:val="en-US"/>
        </w:rPr>
        <w:t xml:space="preserve">, and the signaling threshold is updated each period using a training sample. RU </w:t>
      </w:r>
      <w:r w:rsidRPr="00981B3D">
        <w:rPr>
          <w:rFonts w:cs="Times New Roman"/>
          <w:sz w:val="20"/>
          <w:szCs w:val="20"/>
          <w:lang w:val="en-US"/>
        </w:rPr>
        <w:t>≤</w:t>
      </w:r>
      <w:r w:rsidRPr="00981B3D">
        <w:rPr>
          <w:sz w:val="20"/>
          <w:szCs w:val="20"/>
          <w:lang w:val="en-US"/>
        </w:rPr>
        <w:t xml:space="preserve"> 1 is the relative usefulness given the policymaker’s preference parameter </w:t>
      </w:r>
      <w:r w:rsidRPr="00981B3D">
        <w:rPr>
          <w:rFonts w:cs="Times New Roman"/>
          <w:sz w:val="20"/>
          <w:szCs w:val="20"/>
          <w:lang w:val="en-US"/>
        </w:rPr>
        <w:t>θ</w:t>
      </w:r>
      <w:r w:rsidR="00DE7FE2">
        <w:rPr>
          <w:rFonts w:cs="Times New Roman"/>
          <w:sz w:val="20"/>
          <w:szCs w:val="20"/>
          <w:lang w:val="en-US"/>
        </w:rPr>
        <w:t xml:space="preserve"> </w:t>
      </w:r>
      <w:r>
        <w:rPr>
          <w:rFonts w:cs="Times New Roman"/>
          <w:sz w:val="20"/>
          <w:szCs w:val="20"/>
          <w:lang w:val="en-US"/>
        </w:rPr>
        <w:t>=</w:t>
      </w:r>
      <w:r w:rsidR="00DE7FE2">
        <w:rPr>
          <w:rFonts w:cs="Times New Roman"/>
          <w:sz w:val="20"/>
          <w:szCs w:val="20"/>
          <w:lang w:val="en-US"/>
        </w:rPr>
        <w:t xml:space="preserve"> </w:t>
      </w:r>
      <w:r>
        <w:rPr>
          <w:rFonts w:cs="Times New Roman"/>
          <w:sz w:val="20"/>
          <w:szCs w:val="20"/>
          <w:lang w:val="en-US"/>
        </w:rPr>
        <w:t>0.5</w:t>
      </w:r>
      <w:r w:rsidR="002B6529">
        <w:rPr>
          <w:rFonts w:cs="Times New Roman"/>
          <w:sz w:val="20"/>
          <w:szCs w:val="20"/>
          <w:lang w:val="en-US"/>
        </w:rPr>
        <w:t xml:space="preserve"> </w:t>
      </w:r>
      <w:r w:rsidR="002B6529" w:rsidRPr="00981B3D">
        <w:rPr>
          <w:sz w:val="20"/>
          <w:szCs w:val="20"/>
          <w:lang w:val="en-US"/>
        </w:rPr>
        <w:t xml:space="preserve">(see </w:t>
      </w:r>
      <w:r w:rsidR="00FB6B6C">
        <w:rPr>
          <w:sz w:val="20"/>
          <w:szCs w:val="20"/>
          <w:lang w:val="en-US"/>
        </w:rPr>
        <w:t xml:space="preserve">Section </w:t>
      </w:r>
      <w:r w:rsidR="002B6529" w:rsidRPr="00981B3D">
        <w:rPr>
          <w:sz w:val="20"/>
          <w:szCs w:val="20"/>
          <w:lang w:val="en-US"/>
        </w:rPr>
        <w:t>3B for definition)</w:t>
      </w:r>
      <w:r w:rsidR="002B6529">
        <w:rPr>
          <w:sz w:val="20"/>
          <w:szCs w:val="20"/>
          <w:lang w:val="en-US"/>
        </w:rPr>
        <w:t>, absolute usefulness = Min(</w:t>
      </w:r>
      <w:r w:rsidR="002B6529">
        <w:rPr>
          <w:rFonts w:cs="Times New Roman"/>
          <w:sz w:val="20"/>
          <w:szCs w:val="20"/>
          <w:lang w:val="en-US"/>
        </w:rPr>
        <w:t>θ</w:t>
      </w:r>
      <w:r w:rsidR="002B6529">
        <w:rPr>
          <w:sz w:val="20"/>
          <w:szCs w:val="20"/>
          <w:lang w:val="en-US"/>
        </w:rPr>
        <w:t xml:space="preserve"> ,1-</w:t>
      </w:r>
      <w:r w:rsidR="002B6529" w:rsidRPr="002B6529">
        <w:rPr>
          <w:rFonts w:cs="Times New Roman"/>
          <w:sz w:val="20"/>
          <w:szCs w:val="20"/>
          <w:lang w:val="en-US"/>
        </w:rPr>
        <w:t xml:space="preserve"> </w:t>
      </w:r>
      <w:r w:rsidR="002B6529">
        <w:rPr>
          <w:rFonts w:cs="Times New Roman"/>
          <w:sz w:val="20"/>
          <w:szCs w:val="20"/>
          <w:lang w:val="en-US"/>
        </w:rPr>
        <w:t>θ</w:t>
      </w:r>
      <w:r w:rsidR="002B6529">
        <w:rPr>
          <w:sz w:val="20"/>
          <w:szCs w:val="20"/>
          <w:lang w:val="en-US"/>
        </w:rPr>
        <w:t>)RU,</w:t>
      </w:r>
      <w:r w:rsidR="002B6529" w:rsidRPr="00981B3D">
        <w:rPr>
          <w:sz w:val="20"/>
          <w:szCs w:val="20"/>
          <w:lang w:val="en-US"/>
        </w:rPr>
        <w:t xml:space="preserve"> </w:t>
      </w:r>
      <w:r w:rsidRPr="00981B3D">
        <w:rPr>
          <w:sz w:val="20"/>
          <w:szCs w:val="20"/>
          <w:lang w:val="en-US"/>
        </w:rPr>
        <w:t>FP is False Positive Rate, FN is False Negative Rate. 0</w:t>
      </w:r>
      <w:r w:rsidRPr="00981B3D">
        <w:rPr>
          <w:rFonts w:cs="Times New Roman"/>
          <w:sz w:val="20"/>
          <w:szCs w:val="20"/>
          <w:lang w:val="en-US"/>
        </w:rPr>
        <w:t>≤</w:t>
      </w:r>
      <w:r w:rsidRPr="00981B3D">
        <w:rPr>
          <w:sz w:val="20"/>
          <w:szCs w:val="20"/>
          <w:lang w:val="en-US"/>
        </w:rPr>
        <w:t>AUROC</w:t>
      </w:r>
      <w:r w:rsidRPr="00981B3D">
        <w:rPr>
          <w:rFonts w:cs="Times New Roman"/>
          <w:sz w:val="20"/>
          <w:szCs w:val="20"/>
          <w:lang w:val="en-US"/>
        </w:rPr>
        <w:t>≤1</w:t>
      </w:r>
      <w:r w:rsidRPr="00981B3D">
        <w:rPr>
          <w:sz w:val="20"/>
          <w:szCs w:val="20"/>
          <w:lang w:val="en-US"/>
        </w:rPr>
        <w:t xml:space="preserve"> is calculated as defined in Section 3B. A one-quarter publication lag is used for quarterly variables, except for equity prices. Crisis definitions are according to the ESRB crisis dataset (Detken </w:t>
      </w:r>
      <w:r w:rsidR="000B2E8F" w:rsidRPr="00E7758C">
        <w:rPr>
          <w:sz w:val="20"/>
          <w:szCs w:val="20"/>
          <w:lang w:val="en-US"/>
        </w:rPr>
        <w:t>et al.</w:t>
      </w:r>
      <w:r w:rsidR="00FB6B6C">
        <w:rPr>
          <w:sz w:val="20"/>
          <w:szCs w:val="20"/>
          <w:lang w:val="en-US"/>
        </w:rPr>
        <w:t xml:space="preserve">, </w:t>
      </w:r>
      <w:r w:rsidRPr="00981B3D">
        <w:rPr>
          <w:sz w:val="20"/>
          <w:szCs w:val="20"/>
          <w:lang w:val="en-US"/>
        </w:rPr>
        <w:t xml:space="preserve">2014). The pre-crisis period </w:t>
      </w:r>
      <w:r w:rsidR="00DE7FE2">
        <w:rPr>
          <w:sz w:val="20"/>
          <w:szCs w:val="20"/>
          <w:lang w:val="en-US"/>
        </w:rPr>
        <w:t xml:space="preserve">runs </w:t>
      </w:r>
      <w:r w:rsidRPr="00981B3D">
        <w:rPr>
          <w:sz w:val="20"/>
          <w:szCs w:val="20"/>
          <w:lang w:val="en-US"/>
        </w:rPr>
        <w:t>from 12 to 5 quarters before each crisis.</w:t>
      </w:r>
    </w:p>
    <w:p w14:paraId="132BB918" w14:textId="77777777" w:rsidR="00821349" w:rsidRDefault="00821349">
      <w:pPr>
        <w:tabs>
          <w:tab w:val="clear" w:pos="2520"/>
        </w:tabs>
        <w:spacing w:after="160" w:line="259" w:lineRule="auto"/>
        <w:ind w:firstLine="0"/>
        <w:jc w:val="left"/>
        <w:textAlignment w:val="auto"/>
        <w:rPr>
          <w:sz w:val="20"/>
          <w:szCs w:val="20"/>
          <w:lang w:val="en-US"/>
        </w:rPr>
      </w:pPr>
      <w:r>
        <w:rPr>
          <w:sz w:val="20"/>
          <w:szCs w:val="20"/>
          <w:lang w:val="en-US"/>
        </w:rPr>
        <w:br w:type="page"/>
      </w:r>
    </w:p>
    <w:p w14:paraId="5DA6FFAD" w14:textId="77777777" w:rsidR="00FB6B6C" w:rsidRDefault="00454B57" w:rsidP="00454B57">
      <w:pPr>
        <w:tabs>
          <w:tab w:val="clear" w:pos="2520"/>
        </w:tabs>
        <w:spacing w:after="160" w:line="259" w:lineRule="auto"/>
        <w:ind w:firstLine="0"/>
        <w:jc w:val="left"/>
        <w:textAlignment w:val="auto"/>
        <w:rPr>
          <w:b/>
          <w:lang w:val="en-US"/>
        </w:rPr>
      </w:pPr>
      <w:r>
        <w:rPr>
          <w:b/>
          <w:lang w:val="en-US"/>
        </w:rPr>
        <w:t>Table 6</w:t>
      </w:r>
    </w:p>
    <w:p w14:paraId="0F687882" w14:textId="72349CF1" w:rsidR="00454B57" w:rsidRPr="00E7758C" w:rsidRDefault="00454B57" w:rsidP="00454B57">
      <w:pPr>
        <w:tabs>
          <w:tab w:val="clear" w:pos="2520"/>
        </w:tabs>
        <w:spacing w:after="160" w:line="259" w:lineRule="auto"/>
        <w:ind w:firstLine="0"/>
        <w:jc w:val="left"/>
        <w:textAlignment w:val="auto"/>
        <w:rPr>
          <w:lang w:val="en-US"/>
        </w:rPr>
      </w:pPr>
      <w:r w:rsidRPr="00E7758C">
        <w:rPr>
          <w:lang w:val="en-US"/>
        </w:rPr>
        <w:t>Comparison of performance statistics with the early warning models in Alessi et al. (2015).</w:t>
      </w:r>
    </w:p>
    <w:p w14:paraId="7CA9EBD0" w14:textId="2B62F4C0" w:rsidR="00454B57" w:rsidRDefault="009C1C9A" w:rsidP="00454B57">
      <w:pPr>
        <w:tabs>
          <w:tab w:val="clear" w:pos="2520"/>
        </w:tabs>
        <w:spacing w:after="160" w:line="259" w:lineRule="auto"/>
        <w:ind w:firstLine="0"/>
        <w:jc w:val="left"/>
        <w:textAlignment w:val="auto"/>
        <w:rPr>
          <w:sz w:val="20"/>
          <w:lang w:val="en-US"/>
        </w:rPr>
      </w:pPr>
      <w:r w:rsidRPr="009C1C9A">
        <w:rPr>
          <w:noProof/>
          <w:lang w:eastAsia="fi-FI"/>
        </w:rPr>
        <w:drawing>
          <wp:inline distT="0" distB="0" distL="0" distR="0" wp14:anchorId="74EF648B" wp14:editId="66556047">
            <wp:extent cx="6645910" cy="3724826"/>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45910" cy="3724826"/>
                    </a:xfrm>
                    <a:prstGeom prst="rect">
                      <a:avLst/>
                    </a:prstGeom>
                    <a:noFill/>
                    <a:ln>
                      <a:noFill/>
                    </a:ln>
                  </pic:spPr>
                </pic:pic>
              </a:graphicData>
            </a:graphic>
          </wp:inline>
        </w:drawing>
      </w:r>
    </w:p>
    <w:p w14:paraId="7882C432" w14:textId="26CEF813" w:rsidR="00FB6B6C" w:rsidRDefault="00FB6B6C" w:rsidP="00454B57">
      <w:pPr>
        <w:tabs>
          <w:tab w:val="clear" w:pos="2520"/>
        </w:tabs>
        <w:spacing w:after="160" w:line="259" w:lineRule="auto"/>
        <w:ind w:firstLine="0"/>
        <w:jc w:val="left"/>
        <w:textAlignment w:val="auto"/>
        <w:rPr>
          <w:sz w:val="20"/>
          <w:lang w:val="en-US"/>
        </w:rPr>
      </w:pPr>
      <w:r>
        <w:rPr>
          <w:szCs w:val="24"/>
          <w:lang w:val="en-US"/>
        </w:rPr>
        <w:t>Th</w:t>
      </w:r>
      <w:r w:rsidR="00DE7FE2">
        <w:rPr>
          <w:szCs w:val="24"/>
          <w:lang w:val="en-US"/>
        </w:rPr>
        <w:t xml:space="preserve">is table reports the </w:t>
      </w:r>
      <w:r>
        <w:rPr>
          <w:szCs w:val="24"/>
          <w:lang w:val="en-US"/>
        </w:rPr>
        <w:t xml:space="preserve">in-sample performance statistics for nine alternative early warning models (adapted from </w:t>
      </w:r>
      <w:r w:rsidRPr="00212882">
        <w:rPr>
          <w:szCs w:val="24"/>
          <w:lang w:val="en-US"/>
        </w:rPr>
        <w:t xml:space="preserve">Alessi </w:t>
      </w:r>
      <w:r w:rsidRPr="00E7758C">
        <w:rPr>
          <w:szCs w:val="24"/>
          <w:lang w:val="en-US"/>
        </w:rPr>
        <w:t>et al.</w:t>
      </w:r>
      <w:r w:rsidR="009E2435">
        <w:rPr>
          <w:szCs w:val="24"/>
          <w:lang w:val="en-US"/>
        </w:rPr>
        <w:t xml:space="preserve">, </w:t>
      </w:r>
      <w:r w:rsidRPr="00212882">
        <w:rPr>
          <w:szCs w:val="24"/>
          <w:lang w:val="en-US"/>
        </w:rPr>
        <w:t>2015)</w:t>
      </w:r>
      <w:r>
        <w:rPr>
          <w:szCs w:val="24"/>
          <w:lang w:val="en-US"/>
        </w:rPr>
        <w:t xml:space="preserve"> and corresponding in-sample and out-of-sample statistics for the exuberance indicators</w:t>
      </w:r>
      <w:r w:rsidRPr="00212882">
        <w:rPr>
          <w:szCs w:val="24"/>
          <w:lang w:val="en-US"/>
        </w:rPr>
        <w:t>.</w:t>
      </w:r>
    </w:p>
    <w:p w14:paraId="1DC87A0F" w14:textId="5BF952EE" w:rsidR="00454B57" w:rsidRPr="00D84954" w:rsidRDefault="00454B57" w:rsidP="00454B57">
      <w:pPr>
        <w:tabs>
          <w:tab w:val="clear" w:pos="2520"/>
        </w:tabs>
        <w:spacing w:after="160" w:line="259" w:lineRule="auto"/>
        <w:ind w:firstLine="0"/>
        <w:jc w:val="left"/>
        <w:textAlignment w:val="auto"/>
        <w:rPr>
          <w:sz w:val="20"/>
          <w:lang w:val="en-US"/>
        </w:rPr>
      </w:pPr>
      <w:r>
        <w:rPr>
          <w:sz w:val="20"/>
          <w:lang w:val="en-US"/>
        </w:rPr>
        <w:t xml:space="preserve">In Alessi et al. (2015) the training and evaluation period is from 1970 or 1980 to about 2010, the data covers 17 to 28 EU countries, the crisis definitions are according to the ECB HoR crisis </w:t>
      </w:r>
      <w:r w:rsidRPr="003C1844">
        <w:rPr>
          <w:sz w:val="20"/>
          <w:szCs w:val="20"/>
          <w:lang w:val="en-US"/>
        </w:rPr>
        <w:t>dataset (</w:t>
      </w:r>
      <w:r w:rsidRPr="00EF05B9">
        <w:rPr>
          <w:sz w:val="20"/>
          <w:szCs w:val="20"/>
          <w:lang w:val="en-US" w:eastAsia="fi-FI"/>
        </w:rPr>
        <w:t xml:space="preserve">Babecký </w:t>
      </w:r>
      <w:r w:rsidRPr="00E7758C">
        <w:rPr>
          <w:sz w:val="20"/>
          <w:szCs w:val="20"/>
          <w:lang w:val="en-US" w:eastAsia="fi-FI"/>
        </w:rPr>
        <w:t>et al.</w:t>
      </w:r>
      <w:r w:rsidR="009E2435">
        <w:rPr>
          <w:sz w:val="20"/>
          <w:szCs w:val="20"/>
          <w:lang w:val="en-US" w:eastAsia="fi-FI"/>
        </w:rPr>
        <w:t xml:space="preserve">, </w:t>
      </w:r>
      <w:r w:rsidRPr="00EF05B9">
        <w:rPr>
          <w:sz w:val="20"/>
          <w:szCs w:val="20"/>
          <w:lang w:val="en-US" w:eastAsia="fi-FI"/>
        </w:rPr>
        <w:t>2012</w:t>
      </w:r>
      <w:r w:rsidRPr="003C1844">
        <w:rPr>
          <w:sz w:val="20"/>
          <w:szCs w:val="20"/>
          <w:lang w:val="en-US"/>
        </w:rPr>
        <w:t>)</w:t>
      </w:r>
      <w:r>
        <w:rPr>
          <w:sz w:val="20"/>
          <w:szCs w:val="20"/>
          <w:lang w:val="en-US"/>
        </w:rPr>
        <w:t>, t</w:t>
      </w:r>
      <w:r w:rsidRPr="00981B3D">
        <w:rPr>
          <w:sz w:val="20"/>
          <w:szCs w:val="20"/>
          <w:lang w:val="en-US"/>
        </w:rPr>
        <w:t xml:space="preserve">he pre-crisis period </w:t>
      </w:r>
      <w:r w:rsidR="00DE7FE2">
        <w:rPr>
          <w:sz w:val="20"/>
          <w:szCs w:val="20"/>
          <w:lang w:val="en-US"/>
        </w:rPr>
        <w:t xml:space="preserve">runs </w:t>
      </w:r>
      <w:r w:rsidRPr="00981B3D">
        <w:rPr>
          <w:sz w:val="20"/>
          <w:szCs w:val="20"/>
          <w:lang w:val="en-US"/>
        </w:rPr>
        <w:t xml:space="preserve">from 12 to </w:t>
      </w:r>
      <w:r>
        <w:rPr>
          <w:sz w:val="20"/>
          <w:szCs w:val="20"/>
          <w:lang w:val="en-US"/>
        </w:rPr>
        <w:t>4</w:t>
      </w:r>
      <w:r w:rsidRPr="00981B3D">
        <w:rPr>
          <w:sz w:val="20"/>
          <w:szCs w:val="20"/>
          <w:lang w:val="en-US"/>
        </w:rPr>
        <w:t xml:space="preserve"> quarters before each crisis</w:t>
      </w:r>
      <w:r>
        <w:rPr>
          <w:sz w:val="20"/>
          <w:szCs w:val="20"/>
          <w:lang w:val="en-US"/>
        </w:rPr>
        <w:t>, and the policymaker’s preference parameter is not disclosed</w:t>
      </w:r>
      <w:r w:rsidRPr="00981B3D">
        <w:rPr>
          <w:sz w:val="20"/>
          <w:szCs w:val="20"/>
          <w:lang w:val="en-US"/>
        </w:rPr>
        <w:t>.</w:t>
      </w:r>
      <w:r>
        <w:rPr>
          <w:sz w:val="20"/>
          <w:szCs w:val="20"/>
          <w:lang w:val="en-US"/>
        </w:rPr>
        <w:t xml:space="preserve"> For in-sample (IS) exuberance indicators, the training and evaluation period is from 1980 to 2012. For the out-of-sample (OOS) exuberance indicators, the training period is from 1980 to 1999 and the evaluation period is from 2003 to 2012.</w:t>
      </w:r>
      <w:r w:rsidRPr="003C1844">
        <w:rPr>
          <w:sz w:val="20"/>
          <w:szCs w:val="20"/>
          <w:lang w:val="en-US"/>
        </w:rPr>
        <w:t xml:space="preserve"> </w:t>
      </w:r>
      <w:r>
        <w:rPr>
          <w:sz w:val="20"/>
          <w:szCs w:val="20"/>
          <w:lang w:val="en-US"/>
        </w:rPr>
        <w:t>In both cases, the data cover 15 EU countries, the c</w:t>
      </w:r>
      <w:r w:rsidRPr="00981B3D">
        <w:rPr>
          <w:sz w:val="20"/>
          <w:szCs w:val="20"/>
          <w:lang w:val="en-US"/>
        </w:rPr>
        <w:t xml:space="preserve">risis definitions are according to the ESRB crisis dataset (Detken </w:t>
      </w:r>
      <w:r w:rsidRPr="00E7758C">
        <w:rPr>
          <w:sz w:val="20"/>
          <w:szCs w:val="20"/>
          <w:lang w:val="en-US"/>
        </w:rPr>
        <w:t>et al.</w:t>
      </w:r>
      <w:r w:rsidR="009E2435">
        <w:rPr>
          <w:sz w:val="20"/>
          <w:szCs w:val="20"/>
          <w:lang w:val="en-US"/>
        </w:rPr>
        <w:t xml:space="preserve">, </w:t>
      </w:r>
      <w:r w:rsidRPr="00981B3D">
        <w:rPr>
          <w:sz w:val="20"/>
          <w:szCs w:val="20"/>
          <w:lang w:val="en-US"/>
        </w:rPr>
        <w:t>2014)</w:t>
      </w:r>
      <w:r>
        <w:rPr>
          <w:sz w:val="20"/>
          <w:szCs w:val="20"/>
          <w:lang w:val="en-US"/>
        </w:rPr>
        <w:t>, t</w:t>
      </w:r>
      <w:r w:rsidRPr="00981B3D">
        <w:rPr>
          <w:sz w:val="20"/>
          <w:szCs w:val="20"/>
          <w:lang w:val="en-US"/>
        </w:rPr>
        <w:t xml:space="preserve">he pre-crisis period </w:t>
      </w:r>
      <w:r w:rsidR="00DE7FE2">
        <w:rPr>
          <w:sz w:val="20"/>
          <w:szCs w:val="20"/>
          <w:lang w:val="en-US"/>
        </w:rPr>
        <w:t xml:space="preserve">runs </w:t>
      </w:r>
      <w:r w:rsidRPr="00981B3D">
        <w:rPr>
          <w:sz w:val="20"/>
          <w:szCs w:val="20"/>
          <w:lang w:val="en-US"/>
        </w:rPr>
        <w:t>from 12 to 5 quarters before each crisis</w:t>
      </w:r>
      <w:r>
        <w:rPr>
          <w:sz w:val="20"/>
          <w:szCs w:val="20"/>
          <w:lang w:val="en-US"/>
        </w:rPr>
        <w:t xml:space="preserve">, and the policymaker’s preference parameter </w:t>
      </w:r>
      <w:r>
        <w:rPr>
          <w:rFonts w:cs="Times New Roman"/>
          <w:sz w:val="20"/>
          <w:szCs w:val="20"/>
          <w:lang w:val="en-US"/>
        </w:rPr>
        <w:t>θ</w:t>
      </w:r>
      <w:r w:rsidR="00DE7FE2">
        <w:rPr>
          <w:rFonts w:cs="Times New Roman"/>
          <w:sz w:val="20"/>
          <w:szCs w:val="20"/>
          <w:lang w:val="en-US"/>
        </w:rPr>
        <w:t xml:space="preserve"> </w:t>
      </w:r>
      <w:r>
        <w:rPr>
          <w:rFonts w:cs="Times New Roman"/>
          <w:sz w:val="20"/>
          <w:szCs w:val="20"/>
          <w:lang w:val="en-US"/>
        </w:rPr>
        <w:t>=</w:t>
      </w:r>
      <w:r w:rsidR="00DE7FE2">
        <w:rPr>
          <w:rFonts w:cs="Times New Roman"/>
          <w:sz w:val="20"/>
          <w:szCs w:val="20"/>
          <w:lang w:val="en-US"/>
        </w:rPr>
        <w:t xml:space="preserve"> </w:t>
      </w:r>
      <w:r>
        <w:rPr>
          <w:rFonts w:cs="Times New Roman"/>
          <w:sz w:val="20"/>
          <w:szCs w:val="20"/>
          <w:lang w:val="en-US"/>
        </w:rPr>
        <w:t>0.5</w:t>
      </w:r>
      <w:r w:rsidRPr="00981B3D">
        <w:rPr>
          <w:sz w:val="20"/>
          <w:szCs w:val="20"/>
          <w:lang w:val="en-US"/>
        </w:rPr>
        <w:t>.</w:t>
      </w:r>
      <w:r>
        <w:rPr>
          <w:sz w:val="20"/>
          <w:szCs w:val="20"/>
          <w:lang w:val="en-US"/>
        </w:rPr>
        <w:t xml:space="preserve"> For all models, publication lags are used for data based on national accounts (not for market prices). </w:t>
      </w:r>
      <w:r w:rsidRPr="00981B3D">
        <w:rPr>
          <w:sz w:val="20"/>
          <w:szCs w:val="20"/>
          <w:lang w:val="en-US"/>
        </w:rPr>
        <w:t>FP is False Positive Rate, FN is False Negative Rate. 0</w:t>
      </w:r>
      <w:r w:rsidRPr="00981B3D">
        <w:rPr>
          <w:rFonts w:cs="Times New Roman"/>
          <w:sz w:val="20"/>
          <w:szCs w:val="20"/>
          <w:lang w:val="en-US"/>
        </w:rPr>
        <w:t>≤</w:t>
      </w:r>
      <w:r w:rsidRPr="00981B3D">
        <w:rPr>
          <w:sz w:val="20"/>
          <w:szCs w:val="20"/>
          <w:lang w:val="en-US"/>
        </w:rPr>
        <w:t>AUROC</w:t>
      </w:r>
      <w:r w:rsidRPr="00981B3D">
        <w:rPr>
          <w:rFonts w:cs="Times New Roman"/>
          <w:sz w:val="20"/>
          <w:szCs w:val="20"/>
          <w:lang w:val="en-US"/>
        </w:rPr>
        <w:t>≤1</w:t>
      </w:r>
      <w:r w:rsidRPr="00981B3D">
        <w:rPr>
          <w:sz w:val="20"/>
          <w:szCs w:val="20"/>
          <w:lang w:val="en-US"/>
        </w:rPr>
        <w:t xml:space="preserve"> is calculated as defined in Section 3B.</w:t>
      </w:r>
    </w:p>
    <w:p w14:paraId="2EFF4FB7" w14:textId="77777777" w:rsidR="00EE7496" w:rsidRDefault="00EE7496" w:rsidP="00EE7496">
      <w:pPr>
        <w:tabs>
          <w:tab w:val="clear" w:pos="2520"/>
        </w:tabs>
        <w:spacing w:after="160" w:line="259" w:lineRule="auto"/>
        <w:ind w:firstLine="0"/>
        <w:jc w:val="left"/>
        <w:textAlignment w:val="auto"/>
        <w:rPr>
          <w:b/>
          <w:lang w:val="en-US"/>
        </w:rPr>
      </w:pPr>
      <w:r>
        <w:rPr>
          <w:b/>
          <w:lang w:val="en-US"/>
        </w:rPr>
        <w:br w:type="page"/>
      </w:r>
    </w:p>
    <w:p w14:paraId="7BCFE918" w14:textId="77777777" w:rsidR="009E2435" w:rsidRDefault="00C422AB" w:rsidP="00C422AB">
      <w:pPr>
        <w:spacing w:line="360" w:lineRule="auto"/>
        <w:ind w:firstLine="0"/>
        <w:rPr>
          <w:b/>
          <w:lang w:val="en-US"/>
        </w:rPr>
      </w:pPr>
      <w:r w:rsidRPr="00315FB0">
        <w:rPr>
          <w:b/>
          <w:lang w:val="en-US"/>
        </w:rPr>
        <w:t xml:space="preserve">Table </w:t>
      </w:r>
      <w:r w:rsidR="00821349">
        <w:rPr>
          <w:b/>
          <w:lang w:val="en-US"/>
        </w:rPr>
        <w:t>7</w:t>
      </w:r>
    </w:p>
    <w:p w14:paraId="13A1F726" w14:textId="06EF696E" w:rsidR="00315FB0" w:rsidRPr="009E2435" w:rsidRDefault="00E438D5" w:rsidP="00C422AB">
      <w:pPr>
        <w:spacing w:line="360" w:lineRule="auto"/>
        <w:ind w:firstLine="0"/>
        <w:rPr>
          <w:lang w:val="en-US"/>
        </w:rPr>
      </w:pPr>
      <w:r w:rsidRPr="00E7758C">
        <w:rPr>
          <w:lang w:val="en-US"/>
        </w:rPr>
        <w:t>Timing of signals from exuberance indicators</w:t>
      </w:r>
      <w:r w:rsidR="00315FB0" w:rsidRPr="00E7758C">
        <w:rPr>
          <w:lang w:val="en-US"/>
        </w:rPr>
        <w:t>.</w:t>
      </w:r>
      <w:r w:rsidR="00C422AB" w:rsidRPr="009E2435">
        <w:rPr>
          <w:lang w:val="en-US"/>
        </w:rPr>
        <w:t xml:space="preserve"> </w:t>
      </w:r>
    </w:p>
    <w:p w14:paraId="15D9AF08" w14:textId="29E2651F" w:rsidR="009E2435" w:rsidRPr="00A22DE9" w:rsidRDefault="009C1C9A" w:rsidP="009E2435">
      <w:pPr>
        <w:spacing w:line="240" w:lineRule="auto"/>
        <w:ind w:firstLine="0"/>
        <w:rPr>
          <w:lang w:val="en-US"/>
        </w:rPr>
      </w:pPr>
      <w:r w:rsidRPr="009C1C9A">
        <w:rPr>
          <w:noProof/>
          <w:lang w:eastAsia="fi-FI"/>
        </w:rPr>
        <w:drawing>
          <wp:inline distT="0" distB="0" distL="0" distR="0" wp14:anchorId="4F4AECA2" wp14:editId="0F76DAD6">
            <wp:extent cx="4102735" cy="366585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02735" cy="3665855"/>
                    </a:xfrm>
                    <a:prstGeom prst="rect">
                      <a:avLst/>
                    </a:prstGeom>
                    <a:noFill/>
                    <a:ln>
                      <a:noFill/>
                    </a:ln>
                  </pic:spPr>
                </pic:pic>
              </a:graphicData>
            </a:graphic>
          </wp:inline>
        </w:drawing>
      </w:r>
      <w:r w:rsidR="00C422AB" w:rsidRPr="00A22DE9">
        <w:rPr>
          <w:lang w:val="en-US"/>
        </w:rPr>
        <w:br/>
      </w:r>
      <w:r w:rsidR="009E2435">
        <w:rPr>
          <w:szCs w:val="24"/>
          <w:lang w:val="en-US"/>
        </w:rPr>
        <w:t xml:space="preserve">This table present two statistics that describe the timing of signals from the exuberance indicators. </w:t>
      </w:r>
      <w:r w:rsidR="009E2435" w:rsidRPr="00CB5130">
        <w:rPr>
          <w:szCs w:val="24"/>
          <w:lang w:val="en-US"/>
        </w:rPr>
        <w:t>T</w:t>
      </w:r>
      <w:r w:rsidR="009E2435" w:rsidRPr="00E438D5">
        <w:rPr>
          <w:szCs w:val="24"/>
          <w:lang w:val="en-US"/>
        </w:rPr>
        <w:t xml:space="preserve">he alerting lead </w:t>
      </w:r>
      <w:r w:rsidR="009E2435" w:rsidRPr="00CB5130">
        <w:rPr>
          <w:szCs w:val="24"/>
          <w:lang w:val="en-US"/>
        </w:rPr>
        <w:t xml:space="preserve">tells how many quarters before a crisis </w:t>
      </w:r>
      <w:r w:rsidR="009E2435">
        <w:rPr>
          <w:szCs w:val="24"/>
          <w:lang w:val="en-US"/>
        </w:rPr>
        <w:t xml:space="preserve">the indicator is most useful and is based on maximizing the AUROC at different prediction horizons (see </w:t>
      </w:r>
      <w:r w:rsidR="00317477">
        <w:rPr>
          <w:szCs w:val="24"/>
          <w:lang w:val="en-US"/>
        </w:rPr>
        <w:t>Equation</w:t>
      </w:r>
      <w:r w:rsidR="009E2435">
        <w:rPr>
          <w:szCs w:val="24"/>
          <w:lang w:val="en-US"/>
        </w:rPr>
        <w:t xml:space="preserve"> 13)</w:t>
      </w:r>
      <w:r w:rsidR="009E2435" w:rsidRPr="00CB5130">
        <w:rPr>
          <w:szCs w:val="24"/>
          <w:lang w:val="en-US"/>
        </w:rPr>
        <w:t xml:space="preserve">. The optimal pre-crisis window location defines the location for pre-crisis window that maximizes the relative usefulness with </w:t>
      </w:r>
      <w:r w:rsidR="009E2435" w:rsidRPr="00212882">
        <w:rPr>
          <w:rFonts w:cs="Times New Roman"/>
          <w:szCs w:val="24"/>
          <w:lang w:val="en-US"/>
        </w:rPr>
        <w:t>θ</w:t>
      </w:r>
      <w:r w:rsidR="00317477">
        <w:rPr>
          <w:rFonts w:cs="Times New Roman"/>
          <w:szCs w:val="24"/>
          <w:lang w:val="en-US"/>
        </w:rPr>
        <w:t xml:space="preserve"> </w:t>
      </w:r>
      <w:r w:rsidR="009E2435" w:rsidRPr="00212882">
        <w:rPr>
          <w:rFonts w:cs="Times New Roman"/>
          <w:szCs w:val="24"/>
          <w:lang w:val="en-US"/>
        </w:rPr>
        <w:t>=</w:t>
      </w:r>
      <w:r w:rsidR="00317477">
        <w:rPr>
          <w:rFonts w:cs="Times New Roman"/>
          <w:szCs w:val="24"/>
          <w:lang w:val="en-US"/>
        </w:rPr>
        <w:t xml:space="preserve"> </w:t>
      </w:r>
      <w:r w:rsidR="009E2435" w:rsidRPr="00212882">
        <w:rPr>
          <w:rFonts w:cs="Times New Roman"/>
          <w:szCs w:val="24"/>
          <w:lang w:val="en-US"/>
        </w:rPr>
        <w:t>0.5</w:t>
      </w:r>
      <w:r w:rsidR="009E2435" w:rsidRPr="00CB5130">
        <w:rPr>
          <w:szCs w:val="24"/>
          <w:lang w:val="en-US"/>
        </w:rPr>
        <w:t>. For example, “optimal pre-crisis</w:t>
      </w:r>
      <w:r w:rsidR="009E2435">
        <w:rPr>
          <w:lang w:val="en-US"/>
        </w:rPr>
        <w:t xml:space="preserve"> window start” of 5 means that the highest usefulness is attained when the pre-crisis window is 5 to 12 quarters before the crisis</w:t>
      </w:r>
      <w:r w:rsidR="009E2435" w:rsidRPr="00874BFE">
        <w:rPr>
          <w:lang w:val="en-US"/>
        </w:rPr>
        <w:t xml:space="preserve">, which is the pre-crisis window used </w:t>
      </w:r>
      <w:r w:rsidR="00317477" w:rsidRPr="00874BFE">
        <w:rPr>
          <w:lang w:val="en-US"/>
        </w:rPr>
        <w:t>here</w:t>
      </w:r>
      <w:r w:rsidR="009E2435">
        <w:rPr>
          <w:lang w:val="en-US"/>
        </w:rPr>
        <w:t>.</w:t>
      </w:r>
    </w:p>
    <w:p w14:paraId="694F635C" w14:textId="77777777" w:rsidR="009E2435" w:rsidRDefault="009E2435" w:rsidP="00B15D38">
      <w:pPr>
        <w:spacing w:line="240" w:lineRule="auto"/>
        <w:ind w:firstLine="0"/>
        <w:rPr>
          <w:sz w:val="20"/>
          <w:szCs w:val="20"/>
          <w:lang w:val="en-US"/>
        </w:rPr>
      </w:pPr>
    </w:p>
    <w:p w14:paraId="3A101452" w14:textId="33BDEDAA" w:rsidR="00C422AB" w:rsidRPr="00A22DE9" w:rsidRDefault="00E438D5" w:rsidP="00B15D38">
      <w:pPr>
        <w:spacing w:line="240" w:lineRule="auto"/>
        <w:ind w:firstLine="0"/>
        <w:rPr>
          <w:sz w:val="20"/>
          <w:szCs w:val="20"/>
          <w:lang w:val="en-US"/>
        </w:rPr>
      </w:pPr>
      <w:r w:rsidRPr="00D06C83">
        <w:rPr>
          <w:sz w:val="20"/>
          <w:szCs w:val="20"/>
          <w:lang w:val="en-US"/>
        </w:rPr>
        <w:t>Data covers 1980 to 2012</w:t>
      </w:r>
      <w:r w:rsidRPr="00A22DE9">
        <w:rPr>
          <w:sz w:val="20"/>
          <w:szCs w:val="20"/>
          <w:lang w:val="en-US"/>
        </w:rPr>
        <w:t xml:space="preserve">. </w:t>
      </w:r>
      <w:r>
        <w:rPr>
          <w:sz w:val="20"/>
          <w:szCs w:val="20"/>
          <w:lang w:val="en-US"/>
        </w:rPr>
        <w:t xml:space="preserve">Alerting leads </w:t>
      </w:r>
      <w:r w:rsidR="00142E97">
        <w:rPr>
          <w:sz w:val="20"/>
          <w:szCs w:val="20"/>
          <w:lang w:val="en-US"/>
        </w:rPr>
        <w:t xml:space="preserve">are </w:t>
      </w:r>
      <w:r>
        <w:rPr>
          <w:sz w:val="20"/>
          <w:szCs w:val="20"/>
          <w:lang w:val="en-US"/>
        </w:rPr>
        <w:t>based on picking the lag that maximizes AUROC and hence independent of the significance level parameter</w:t>
      </w:r>
      <w:r w:rsidDel="00C41179">
        <w:rPr>
          <w:sz w:val="20"/>
          <w:szCs w:val="20"/>
          <w:lang w:val="en-US"/>
        </w:rPr>
        <w:t xml:space="preserve"> </w:t>
      </w:r>
      <w:r>
        <w:rPr>
          <w:rFonts w:cs="Times New Roman"/>
          <w:sz w:val="20"/>
          <w:szCs w:val="20"/>
          <w:lang w:val="en-US"/>
        </w:rPr>
        <w:t>α. For determining the optimal pre-crisis window location</w:t>
      </w:r>
      <w:r w:rsidR="009E2435">
        <w:rPr>
          <w:rFonts w:cs="Times New Roman"/>
          <w:sz w:val="20"/>
          <w:szCs w:val="20"/>
          <w:lang w:val="en-US"/>
        </w:rPr>
        <w:t>,</w:t>
      </w:r>
      <w:r>
        <w:rPr>
          <w:rFonts w:cs="Times New Roman"/>
          <w:sz w:val="20"/>
          <w:szCs w:val="20"/>
          <w:lang w:val="en-US"/>
        </w:rPr>
        <w:t xml:space="preserve"> α is set to 0.</w:t>
      </w:r>
      <w:r w:rsidR="005A6437">
        <w:rPr>
          <w:rFonts w:cs="Times New Roman"/>
          <w:sz w:val="20"/>
          <w:szCs w:val="20"/>
          <w:lang w:val="en-US"/>
        </w:rPr>
        <w:t>0</w:t>
      </w:r>
      <w:r>
        <w:rPr>
          <w:rFonts w:cs="Times New Roman"/>
          <w:sz w:val="20"/>
          <w:szCs w:val="20"/>
          <w:lang w:val="en-US"/>
        </w:rPr>
        <w:t xml:space="preserve">5. </w:t>
      </w:r>
      <w:r>
        <w:rPr>
          <w:sz w:val="20"/>
          <w:szCs w:val="20"/>
          <w:lang w:val="en-US"/>
        </w:rPr>
        <w:t>Other BSADF parameters are</w:t>
      </w:r>
      <w:r w:rsidDel="00C41179">
        <w:rPr>
          <w:sz w:val="20"/>
          <w:szCs w:val="20"/>
          <w:lang w:val="en-US"/>
        </w:rPr>
        <w:t xml:space="preserve"> </w:t>
      </w:r>
      <w:r>
        <w:rPr>
          <w:sz w:val="20"/>
          <w:szCs w:val="20"/>
          <w:lang w:val="en-US"/>
        </w:rPr>
        <w:t>minimum w</w:t>
      </w:r>
      <w:r w:rsidRPr="00A22DE9">
        <w:rPr>
          <w:sz w:val="20"/>
          <w:szCs w:val="20"/>
          <w:lang w:val="en-US"/>
        </w:rPr>
        <w:t xml:space="preserve">indow length </w:t>
      </w:r>
      <w:r>
        <w:rPr>
          <w:sz w:val="20"/>
          <w:szCs w:val="20"/>
          <w:lang w:val="en-US"/>
        </w:rPr>
        <w:t>= 24 quarters and lag length = 2</w:t>
      </w:r>
      <w:r w:rsidRPr="00A22DE9">
        <w:rPr>
          <w:sz w:val="20"/>
          <w:szCs w:val="20"/>
          <w:lang w:val="en-US"/>
        </w:rPr>
        <w:t>. A one-quarter publication lag is used for quarterly variables, except for equity prices.</w:t>
      </w:r>
      <w:r>
        <w:rPr>
          <w:sz w:val="20"/>
          <w:szCs w:val="20"/>
          <w:lang w:val="en-US"/>
        </w:rPr>
        <w:t xml:space="preserve"> Crisis definitions are according to the ESRB crisis dataset (Detken </w:t>
      </w:r>
      <w:r w:rsidR="000B2E8F" w:rsidRPr="00E7758C">
        <w:rPr>
          <w:sz w:val="20"/>
          <w:szCs w:val="20"/>
          <w:lang w:val="en-US"/>
        </w:rPr>
        <w:t>et al.</w:t>
      </w:r>
      <w:r w:rsidR="009E2435">
        <w:rPr>
          <w:sz w:val="20"/>
          <w:szCs w:val="20"/>
          <w:lang w:val="en-US"/>
        </w:rPr>
        <w:t xml:space="preserve">, </w:t>
      </w:r>
      <w:r>
        <w:rPr>
          <w:sz w:val="20"/>
          <w:szCs w:val="20"/>
          <w:lang w:val="en-US"/>
        </w:rPr>
        <w:t>2014).</w:t>
      </w:r>
    </w:p>
    <w:p w14:paraId="15E87305" w14:textId="77777777" w:rsidR="00C422AB" w:rsidRDefault="00C422AB" w:rsidP="00E45E76">
      <w:pPr>
        <w:spacing w:line="360" w:lineRule="auto"/>
        <w:ind w:firstLine="0"/>
        <w:rPr>
          <w:lang w:val="en-US"/>
        </w:rPr>
      </w:pPr>
      <w:r>
        <w:rPr>
          <w:lang w:val="en-US"/>
        </w:rPr>
        <w:br w:type="page"/>
      </w:r>
    </w:p>
    <w:p w14:paraId="799E6A15" w14:textId="18536C60" w:rsidR="0079023C" w:rsidRDefault="00241FD1" w:rsidP="00E45E76">
      <w:pPr>
        <w:spacing w:line="360" w:lineRule="auto"/>
        <w:ind w:firstLine="0"/>
        <w:rPr>
          <w:b/>
          <w:lang w:val="en-US"/>
        </w:rPr>
      </w:pPr>
      <w:r w:rsidRPr="00315FB0">
        <w:rPr>
          <w:b/>
          <w:lang w:val="en-US"/>
        </w:rPr>
        <w:t xml:space="preserve">Table </w:t>
      </w:r>
      <w:r w:rsidR="00821349">
        <w:rPr>
          <w:b/>
          <w:lang w:val="en-US"/>
        </w:rPr>
        <w:t>8</w:t>
      </w:r>
    </w:p>
    <w:p w14:paraId="11914981" w14:textId="53715BA4" w:rsidR="00315FB0" w:rsidRPr="00E7758C" w:rsidRDefault="003A7139" w:rsidP="00E45E76">
      <w:pPr>
        <w:spacing w:line="360" w:lineRule="auto"/>
        <w:ind w:firstLine="0"/>
        <w:rPr>
          <w:lang w:val="en-US"/>
        </w:rPr>
      </w:pPr>
      <w:r w:rsidRPr="00E7758C">
        <w:rPr>
          <w:lang w:val="en-US"/>
        </w:rPr>
        <w:t xml:space="preserve">Statistics </w:t>
      </w:r>
      <w:r w:rsidR="00241FD1" w:rsidRPr="00E7758C">
        <w:rPr>
          <w:lang w:val="en-US"/>
        </w:rPr>
        <w:t xml:space="preserve">of </w:t>
      </w:r>
      <w:r w:rsidR="006414C6" w:rsidRPr="00E7758C">
        <w:rPr>
          <w:lang w:val="en-US"/>
        </w:rPr>
        <w:t xml:space="preserve">correctly </w:t>
      </w:r>
      <w:r w:rsidR="004869E1" w:rsidRPr="00E7758C">
        <w:rPr>
          <w:lang w:val="en-US"/>
        </w:rPr>
        <w:t xml:space="preserve">alerted </w:t>
      </w:r>
      <w:r w:rsidR="00241FD1" w:rsidRPr="00E7758C">
        <w:rPr>
          <w:lang w:val="en-US"/>
        </w:rPr>
        <w:t xml:space="preserve">crises and false alarms. </w:t>
      </w:r>
    </w:p>
    <w:p w14:paraId="2274E5BE" w14:textId="0919571A" w:rsidR="0079023C" w:rsidRPr="00CB5130" w:rsidRDefault="009C1C9A" w:rsidP="0079023C">
      <w:pPr>
        <w:spacing w:line="240" w:lineRule="auto"/>
        <w:ind w:firstLine="0"/>
        <w:rPr>
          <w:szCs w:val="24"/>
          <w:lang w:val="en-US"/>
        </w:rPr>
      </w:pPr>
      <w:r w:rsidRPr="009C1C9A">
        <w:rPr>
          <w:noProof/>
          <w:lang w:eastAsia="fi-FI"/>
        </w:rPr>
        <w:drawing>
          <wp:inline distT="0" distB="0" distL="0" distR="0" wp14:anchorId="58A295DA" wp14:editId="2646E704">
            <wp:extent cx="6645910" cy="3602182"/>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45910" cy="3602182"/>
                    </a:xfrm>
                    <a:prstGeom prst="rect">
                      <a:avLst/>
                    </a:prstGeom>
                    <a:noFill/>
                    <a:ln>
                      <a:noFill/>
                    </a:ln>
                  </pic:spPr>
                </pic:pic>
              </a:graphicData>
            </a:graphic>
          </wp:inline>
        </w:drawing>
      </w:r>
      <w:r w:rsidR="00241FD1" w:rsidRPr="00A22DE9">
        <w:rPr>
          <w:b/>
          <w:lang w:val="en-US"/>
        </w:rPr>
        <w:br/>
      </w:r>
      <w:r w:rsidR="0079023C" w:rsidRPr="00CB5130">
        <w:rPr>
          <w:szCs w:val="24"/>
          <w:lang w:val="en-US"/>
        </w:rPr>
        <w:t xml:space="preserve">This table presents the alternative statistics to assess the quality of crisis prediction. </w:t>
      </w:r>
      <w:r w:rsidR="0079023C" w:rsidRPr="00212882">
        <w:rPr>
          <w:szCs w:val="24"/>
          <w:lang w:val="en-US"/>
        </w:rPr>
        <w:t>Total crises column shows how many crises in total in our data fall into the timeframe where data from the corresponding variable is available to calculate the exuberance indicators. TP columns are the number of crises where the exuberance indicator has alerted for at least 6,</w:t>
      </w:r>
      <w:r w:rsidR="00216D06">
        <w:rPr>
          <w:szCs w:val="24"/>
          <w:lang w:val="en-US"/>
        </w:rPr>
        <w:t xml:space="preserve"> </w:t>
      </w:r>
      <w:r w:rsidR="0079023C" w:rsidRPr="00212882">
        <w:rPr>
          <w:szCs w:val="24"/>
          <w:lang w:val="en-US"/>
        </w:rPr>
        <w:t xml:space="preserve">8, or 10 </w:t>
      </w:r>
      <w:r w:rsidR="0079023C">
        <w:rPr>
          <w:szCs w:val="24"/>
          <w:lang w:val="en-US"/>
        </w:rPr>
        <w:t xml:space="preserve">(depending on criteria) </w:t>
      </w:r>
      <w:r w:rsidR="0079023C" w:rsidRPr="00212882">
        <w:rPr>
          <w:szCs w:val="24"/>
          <w:lang w:val="en-US"/>
        </w:rPr>
        <w:t>consecutive quarters before the crisis and a crisis has occurred within 5 years from the beginning of the alert. FP columns denote the number of occasions where the exuberance indicator has alerted for at least 6, 8, or 10 quarters (</w:t>
      </w:r>
      <w:r w:rsidR="0079023C">
        <w:rPr>
          <w:szCs w:val="24"/>
          <w:lang w:val="en-US"/>
        </w:rPr>
        <w:t xml:space="preserve">depending on </w:t>
      </w:r>
      <w:r w:rsidR="0079023C" w:rsidRPr="00212882">
        <w:rPr>
          <w:szCs w:val="24"/>
          <w:lang w:val="en-US"/>
        </w:rPr>
        <w:t>criteria), but no crisis has occurred within 5 years from the beginning of the alert.</w:t>
      </w:r>
    </w:p>
    <w:p w14:paraId="20C338A4" w14:textId="77777777" w:rsidR="0079023C" w:rsidRDefault="0079023C" w:rsidP="00F40938">
      <w:pPr>
        <w:spacing w:line="240" w:lineRule="auto"/>
        <w:ind w:firstLine="0"/>
        <w:rPr>
          <w:sz w:val="20"/>
          <w:szCs w:val="20"/>
          <w:lang w:val="en-US"/>
        </w:rPr>
      </w:pPr>
    </w:p>
    <w:p w14:paraId="3FAFA891" w14:textId="039C4657" w:rsidR="00E438D5" w:rsidRDefault="00E438D5" w:rsidP="00F40938">
      <w:pPr>
        <w:spacing w:line="240" w:lineRule="auto"/>
        <w:ind w:firstLine="0"/>
        <w:rPr>
          <w:sz w:val="20"/>
          <w:szCs w:val="20"/>
          <w:lang w:val="en-US" w:eastAsia="fi-FI"/>
        </w:rPr>
      </w:pPr>
      <w:r w:rsidRPr="00D06C83">
        <w:rPr>
          <w:sz w:val="20"/>
          <w:szCs w:val="20"/>
          <w:lang w:val="en-US"/>
        </w:rPr>
        <w:t>Data covers 1980 to 2012</w:t>
      </w:r>
      <w:r w:rsidRPr="00A22DE9">
        <w:rPr>
          <w:sz w:val="20"/>
          <w:szCs w:val="20"/>
          <w:lang w:val="en-US"/>
        </w:rPr>
        <w:t xml:space="preserve">. </w:t>
      </w:r>
      <w:r>
        <w:rPr>
          <w:sz w:val="20"/>
          <w:szCs w:val="20"/>
          <w:lang w:val="en-US"/>
        </w:rPr>
        <w:t xml:space="preserve">BSADF parameters are </w:t>
      </w:r>
      <w:r>
        <w:rPr>
          <w:rFonts w:cs="Times New Roman"/>
          <w:sz w:val="20"/>
          <w:szCs w:val="20"/>
          <w:lang w:val="en-US"/>
        </w:rPr>
        <w:t>α=0.</w:t>
      </w:r>
      <w:r w:rsidR="00142E97">
        <w:rPr>
          <w:rFonts w:cs="Times New Roman"/>
          <w:sz w:val="20"/>
          <w:szCs w:val="20"/>
          <w:lang w:val="en-US"/>
        </w:rPr>
        <w:t>05</w:t>
      </w:r>
      <w:r>
        <w:rPr>
          <w:rFonts w:cs="Times New Roman"/>
          <w:sz w:val="20"/>
          <w:szCs w:val="20"/>
          <w:lang w:val="en-US"/>
        </w:rPr>
        <w:t>,</w:t>
      </w:r>
      <w:r w:rsidDel="00C41179">
        <w:rPr>
          <w:sz w:val="20"/>
          <w:szCs w:val="20"/>
          <w:lang w:val="en-US"/>
        </w:rPr>
        <w:t xml:space="preserve"> </w:t>
      </w:r>
      <w:r>
        <w:rPr>
          <w:sz w:val="20"/>
          <w:szCs w:val="20"/>
          <w:lang w:val="en-US"/>
        </w:rPr>
        <w:t>minimum w</w:t>
      </w:r>
      <w:r w:rsidRPr="00A22DE9">
        <w:rPr>
          <w:sz w:val="20"/>
          <w:szCs w:val="20"/>
          <w:lang w:val="en-US"/>
        </w:rPr>
        <w:t xml:space="preserve">indow length </w:t>
      </w:r>
      <w:r>
        <w:rPr>
          <w:sz w:val="20"/>
          <w:szCs w:val="20"/>
          <w:lang w:val="en-US"/>
        </w:rPr>
        <w:t>= 24 quarters and lag length = 2</w:t>
      </w:r>
      <w:r w:rsidR="003A7139">
        <w:rPr>
          <w:sz w:val="20"/>
          <w:szCs w:val="20"/>
          <w:lang w:val="en-US"/>
        </w:rPr>
        <w:t xml:space="preserve">. </w:t>
      </w:r>
      <w:r w:rsidRPr="00A22DE9">
        <w:rPr>
          <w:sz w:val="20"/>
          <w:szCs w:val="20"/>
          <w:lang w:val="en-US"/>
        </w:rPr>
        <w:t>A one-quarter publication lag is used for quarterly variables</w:t>
      </w:r>
      <w:r w:rsidR="00216D06">
        <w:rPr>
          <w:sz w:val="20"/>
          <w:szCs w:val="20"/>
          <w:lang w:val="en-US"/>
        </w:rPr>
        <w:t xml:space="preserve"> (</w:t>
      </w:r>
      <w:r w:rsidRPr="00A22DE9">
        <w:rPr>
          <w:sz w:val="20"/>
          <w:szCs w:val="20"/>
          <w:lang w:val="en-US"/>
        </w:rPr>
        <w:t>except for equity prices</w:t>
      </w:r>
      <w:r w:rsidR="00216D06">
        <w:rPr>
          <w:sz w:val="20"/>
          <w:szCs w:val="20"/>
          <w:lang w:val="en-US"/>
        </w:rPr>
        <w:t>)</w:t>
      </w:r>
      <w:r w:rsidRPr="00A22DE9">
        <w:rPr>
          <w:sz w:val="20"/>
          <w:szCs w:val="20"/>
          <w:lang w:val="en-US"/>
        </w:rPr>
        <w:t>.</w:t>
      </w:r>
      <w:r>
        <w:rPr>
          <w:sz w:val="20"/>
          <w:szCs w:val="20"/>
          <w:lang w:val="en-US"/>
        </w:rPr>
        <w:t xml:space="preserve"> Crisis definitions are according to the ESRB crisis dataset (Detken </w:t>
      </w:r>
      <w:r w:rsidR="000B2E8F" w:rsidRPr="00E7758C">
        <w:rPr>
          <w:sz w:val="20"/>
          <w:szCs w:val="20"/>
          <w:lang w:val="en-US"/>
        </w:rPr>
        <w:t>et al.</w:t>
      </w:r>
      <w:r w:rsidR="0079023C">
        <w:rPr>
          <w:sz w:val="20"/>
          <w:szCs w:val="20"/>
          <w:lang w:val="en-US"/>
        </w:rPr>
        <w:t xml:space="preserve">, </w:t>
      </w:r>
      <w:r>
        <w:rPr>
          <w:sz w:val="20"/>
          <w:szCs w:val="20"/>
          <w:lang w:val="en-US"/>
        </w:rPr>
        <w:t>2014).</w:t>
      </w:r>
    </w:p>
    <w:p w14:paraId="50E2903A" w14:textId="77777777" w:rsidR="004852E0" w:rsidRDefault="004852E0">
      <w:pPr>
        <w:tabs>
          <w:tab w:val="clear" w:pos="2520"/>
        </w:tabs>
        <w:spacing w:after="160" w:line="259" w:lineRule="auto"/>
        <w:ind w:firstLine="0"/>
        <w:jc w:val="left"/>
        <w:textAlignment w:val="auto"/>
        <w:rPr>
          <w:b/>
          <w:lang w:val="en-US"/>
        </w:rPr>
      </w:pPr>
      <w:r>
        <w:rPr>
          <w:b/>
          <w:lang w:val="en-US"/>
        </w:rPr>
        <w:br w:type="page"/>
      </w:r>
    </w:p>
    <w:p w14:paraId="0B279476" w14:textId="77777777" w:rsidR="00F15E31" w:rsidRDefault="00AA78FD" w:rsidP="00AA78FD">
      <w:pPr>
        <w:spacing w:line="360" w:lineRule="auto"/>
        <w:ind w:firstLine="0"/>
        <w:rPr>
          <w:b/>
          <w:lang w:val="en-US"/>
        </w:rPr>
      </w:pPr>
      <w:r w:rsidRPr="00315FB0">
        <w:rPr>
          <w:b/>
          <w:lang w:val="en-US"/>
        </w:rPr>
        <w:t xml:space="preserve">Table </w:t>
      </w:r>
      <w:r>
        <w:rPr>
          <w:b/>
          <w:lang w:val="en-US"/>
        </w:rPr>
        <w:t>9</w:t>
      </w:r>
    </w:p>
    <w:p w14:paraId="1EC3DAD6" w14:textId="36A1A1BD" w:rsidR="00AA78FD" w:rsidRDefault="00AA78FD" w:rsidP="00AA78FD">
      <w:pPr>
        <w:spacing w:line="360" w:lineRule="auto"/>
        <w:ind w:firstLine="0"/>
        <w:rPr>
          <w:b/>
          <w:lang w:val="en-US"/>
        </w:rPr>
      </w:pPr>
      <w:r w:rsidRPr="00E7758C">
        <w:rPr>
          <w:lang w:val="en-US"/>
        </w:rPr>
        <w:t>Usefulness values for optimized significance level and varying policymaker preference</w:t>
      </w:r>
      <w:r w:rsidR="00F15E31">
        <w:rPr>
          <w:lang w:val="en-US"/>
        </w:rPr>
        <w:t>.</w:t>
      </w:r>
    </w:p>
    <w:p w14:paraId="08CA08EE" w14:textId="3818D6F8" w:rsidR="00AA78FD" w:rsidRDefault="009C1C9A" w:rsidP="00AA78FD">
      <w:pPr>
        <w:tabs>
          <w:tab w:val="clear" w:pos="2520"/>
        </w:tabs>
        <w:spacing w:after="160" w:line="259" w:lineRule="auto"/>
        <w:ind w:firstLine="0"/>
        <w:jc w:val="left"/>
        <w:textAlignment w:val="auto"/>
        <w:rPr>
          <w:b/>
          <w:lang w:val="en-US"/>
        </w:rPr>
      </w:pPr>
      <w:r w:rsidRPr="009C1C9A">
        <w:rPr>
          <w:noProof/>
          <w:lang w:eastAsia="fi-FI"/>
        </w:rPr>
        <w:drawing>
          <wp:inline distT="0" distB="0" distL="0" distR="0" wp14:anchorId="12D5A7E2" wp14:editId="3E2AEAB0">
            <wp:extent cx="6645910" cy="3933273"/>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645910" cy="3933273"/>
                    </a:xfrm>
                    <a:prstGeom prst="rect">
                      <a:avLst/>
                    </a:prstGeom>
                    <a:noFill/>
                    <a:ln>
                      <a:noFill/>
                    </a:ln>
                  </pic:spPr>
                </pic:pic>
              </a:graphicData>
            </a:graphic>
          </wp:inline>
        </w:drawing>
      </w:r>
    </w:p>
    <w:p w14:paraId="02EBD528" w14:textId="328F760F" w:rsidR="00F15E31" w:rsidRPr="00CB5130" w:rsidRDefault="00F15E31" w:rsidP="00F15E31">
      <w:pPr>
        <w:spacing w:line="240" w:lineRule="auto"/>
        <w:ind w:firstLine="0"/>
        <w:rPr>
          <w:szCs w:val="24"/>
          <w:lang w:val="en-US"/>
        </w:rPr>
      </w:pPr>
      <w:r>
        <w:rPr>
          <w:szCs w:val="24"/>
          <w:lang w:val="en-US"/>
        </w:rPr>
        <w:t>Th</w:t>
      </w:r>
      <w:r w:rsidR="00216D06">
        <w:rPr>
          <w:szCs w:val="24"/>
          <w:lang w:val="en-US"/>
        </w:rPr>
        <w:t xml:space="preserve">is </w:t>
      </w:r>
      <w:r>
        <w:rPr>
          <w:szCs w:val="24"/>
          <w:lang w:val="en-US"/>
        </w:rPr>
        <w:t>t</w:t>
      </w:r>
      <w:r w:rsidRPr="00CB5130">
        <w:rPr>
          <w:szCs w:val="24"/>
          <w:lang w:val="en-US"/>
        </w:rPr>
        <w:t xml:space="preserve">able presents </w:t>
      </w:r>
      <w:r>
        <w:rPr>
          <w:szCs w:val="24"/>
          <w:lang w:val="en-US"/>
        </w:rPr>
        <w:t>in-sample</w:t>
      </w:r>
      <w:r w:rsidRPr="00CB5130">
        <w:rPr>
          <w:szCs w:val="24"/>
          <w:lang w:val="en-US"/>
        </w:rPr>
        <w:t xml:space="preserve"> </w:t>
      </w:r>
      <w:r>
        <w:rPr>
          <w:szCs w:val="24"/>
          <w:lang w:val="en-US"/>
        </w:rPr>
        <w:t xml:space="preserve">and out-of-sample </w:t>
      </w:r>
      <w:r w:rsidRPr="00CB5130">
        <w:rPr>
          <w:szCs w:val="24"/>
          <w:lang w:val="en-US"/>
        </w:rPr>
        <w:t xml:space="preserve">performance statistics for individual exuberance indicators. </w:t>
      </w:r>
      <w:r>
        <w:rPr>
          <w:szCs w:val="24"/>
          <w:lang w:val="en-US"/>
        </w:rPr>
        <w:t xml:space="preserve">In the upper panel, the significance level </w:t>
      </w:r>
      <w:r>
        <w:rPr>
          <w:rFonts w:cs="Times New Roman"/>
          <w:szCs w:val="24"/>
          <w:lang w:val="en-US"/>
        </w:rPr>
        <w:t>α</w:t>
      </w:r>
      <w:r>
        <w:rPr>
          <w:szCs w:val="24"/>
          <w:lang w:val="en-US"/>
        </w:rPr>
        <w:t xml:space="preserve"> is optimized using the whole data sample. In the lower panel, the significance level has been optimized using the data sample between 1980 and 1999 and the evaluation is based on data between 2003 and 2012. Corresponding relative usefulness and AUROC values for the signaling method are provided as comparison. Three different values of the</w:t>
      </w:r>
      <w:r w:rsidRPr="00CB5130">
        <w:rPr>
          <w:szCs w:val="24"/>
          <w:lang w:val="en-US"/>
        </w:rPr>
        <w:t xml:space="preserve"> policymaker’s preference</w:t>
      </w:r>
      <w:r>
        <w:rPr>
          <w:szCs w:val="24"/>
          <w:lang w:val="en-US"/>
        </w:rPr>
        <w:t xml:space="preserve"> parameter</w:t>
      </w:r>
      <w:r w:rsidRPr="00CB5130">
        <w:rPr>
          <w:szCs w:val="24"/>
          <w:lang w:val="en-US"/>
        </w:rPr>
        <w:t xml:space="preserve"> </w:t>
      </w:r>
      <w:r w:rsidRPr="00212882">
        <w:rPr>
          <w:rFonts w:cs="Times New Roman"/>
          <w:szCs w:val="24"/>
          <w:lang w:val="en-US"/>
        </w:rPr>
        <w:t>θ</w:t>
      </w:r>
      <w:r w:rsidRPr="00CB5130">
        <w:rPr>
          <w:szCs w:val="24"/>
          <w:lang w:val="en-US"/>
        </w:rPr>
        <w:t xml:space="preserve"> </w:t>
      </w:r>
      <w:r>
        <w:rPr>
          <w:szCs w:val="24"/>
          <w:lang w:val="en-US"/>
        </w:rPr>
        <w:t>are considered.</w:t>
      </w:r>
    </w:p>
    <w:p w14:paraId="6AE6B6B7" w14:textId="77777777" w:rsidR="00F15E31" w:rsidRDefault="00F15E31" w:rsidP="00AA78FD">
      <w:pPr>
        <w:tabs>
          <w:tab w:val="clear" w:pos="2520"/>
        </w:tabs>
        <w:spacing w:after="160" w:line="259" w:lineRule="auto"/>
        <w:ind w:firstLine="0"/>
        <w:jc w:val="left"/>
        <w:textAlignment w:val="auto"/>
        <w:rPr>
          <w:sz w:val="20"/>
          <w:szCs w:val="20"/>
          <w:lang w:val="en-US"/>
        </w:rPr>
      </w:pPr>
    </w:p>
    <w:p w14:paraId="6BE0796A" w14:textId="4FB8D736" w:rsidR="00216D06" w:rsidRDefault="00AA78FD" w:rsidP="00AA78FD">
      <w:pPr>
        <w:tabs>
          <w:tab w:val="clear" w:pos="2520"/>
        </w:tabs>
        <w:spacing w:after="160" w:line="259" w:lineRule="auto"/>
        <w:ind w:firstLine="0"/>
        <w:jc w:val="left"/>
        <w:textAlignment w:val="auto"/>
        <w:rPr>
          <w:sz w:val="20"/>
          <w:szCs w:val="20"/>
          <w:lang w:val="en-US"/>
        </w:rPr>
      </w:pPr>
      <w:r w:rsidRPr="00555597">
        <w:rPr>
          <w:sz w:val="20"/>
          <w:szCs w:val="20"/>
          <w:lang w:val="en-US"/>
        </w:rPr>
        <w:t>Data cover</w:t>
      </w:r>
      <w:r>
        <w:rPr>
          <w:sz w:val="20"/>
          <w:szCs w:val="20"/>
          <w:lang w:val="en-US"/>
        </w:rPr>
        <w:t>s</w:t>
      </w:r>
      <w:r w:rsidRPr="00555597">
        <w:rPr>
          <w:sz w:val="20"/>
          <w:szCs w:val="20"/>
          <w:lang w:val="en-US"/>
        </w:rPr>
        <w:t xml:space="preserve"> 2003 to 2012. </w:t>
      </w:r>
      <w:r>
        <w:rPr>
          <w:sz w:val="20"/>
          <w:szCs w:val="20"/>
          <w:lang w:val="en-US"/>
        </w:rPr>
        <w:t>T</w:t>
      </w:r>
      <w:r w:rsidRPr="00555597">
        <w:rPr>
          <w:sz w:val="20"/>
          <w:szCs w:val="20"/>
          <w:lang w:val="en-US"/>
        </w:rPr>
        <w:t xml:space="preserve">he </w:t>
      </w:r>
      <w:r>
        <w:rPr>
          <w:sz w:val="20"/>
          <w:szCs w:val="20"/>
          <w:lang w:val="en-US"/>
        </w:rPr>
        <w:t>significance</w:t>
      </w:r>
      <w:r w:rsidRPr="00555597">
        <w:rPr>
          <w:sz w:val="20"/>
          <w:szCs w:val="20"/>
          <w:lang w:val="en-US"/>
        </w:rPr>
        <w:t xml:space="preserve"> level </w:t>
      </w:r>
      <w:r w:rsidRPr="00212882">
        <w:rPr>
          <w:sz w:val="20"/>
          <w:szCs w:val="20"/>
          <w:lang w:val="en-US"/>
        </w:rPr>
        <w:t>α</w:t>
      </w:r>
      <w:r w:rsidRPr="00555597">
        <w:rPr>
          <w:sz w:val="20"/>
          <w:szCs w:val="20"/>
          <w:lang w:val="en-US"/>
        </w:rPr>
        <w:t xml:space="preserve"> </w:t>
      </w:r>
      <w:r>
        <w:rPr>
          <w:sz w:val="20"/>
          <w:szCs w:val="20"/>
          <w:lang w:val="en-US"/>
        </w:rPr>
        <w:t xml:space="preserve">of the BSADF test </w:t>
      </w:r>
      <w:r w:rsidRPr="00555597">
        <w:rPr>
          <w:sz w:val="20"/>
          <w:szCs w:val="20"/>
          <w:lang w:val="en-US"/>
        </w:rPr>
        <w:t xml:space="preserve">is </w:t>
      </w:r>
      <w:r w:rsidRPr="00212882">
        <w:rPr>
          <w:sz w:val="20"/>
          <w:szCs w:val="20"/>
          <w:lang w:val="en-US"/>
        </w:rPr>
        <w:t xml:space="preserve">optimized based on training with </w:t>
      </w:r>
      <w:r>
        <w:rPr>
          <w:sz w:val="20"/>
          <w:szCs w:val="20"/>
          <w:lang w:val="en-US"/>
        </w:rPr>
        <w:t xml:space="preserve">the whole sample (upper panel) and </w:t>
      </w:r>
      <w:r w:rsidRPr="00212882">
        <w:rPr>
          <w:sz w:val="20"/>
          <w:szCs w:val="20"/>
          <w:lang w:val="en-US"/>
        </w:rPr>
        <w:t>1980</w:t>
      </w:r>
      <w:r w:rsidRPr="00212882">
        <w:rPr>
          <w:sz w:val="20"/>
          <w:szCs w:val="20"/>
          <w:lang w:val="en-US"/>
        </w:rPr>
        <w:softHyphen/>
        <w:t>–1999 data</w:t>
      </w:r>
      <w:r>
        <w:rPr>
          <w:sz w:val="20"/>
          <w:szCs w:val="20"/>
          <w:lang w:val="en-US"/>
        </w:rPr>
        <w:t xml:space="preserve"> (lower panel)</w:t>
      </w:r>
      <w:r w:rsidRPr="00212882">
        <w:rPr>
          <w:sz w:val="20"/>
          <w:szCs w:val="20"/>
          <w:lang w:val="en-US"/>
        </w:rPr>
        <w:t>.</w:t>
      </w:r>
      <w:r>
        <w:rPr>
          <w:sz w:val="20"/>
          <w:szCs w:val="20"/>
          <w:lang w:val="en-US"/>
        </w:rPr>
        <w:t xml:space="preserve"> </w:t>
      </w:r>
      <w:r w:rsidRPr="00555597">
        <w:rPr>
          <w:sz w:val="20"/>
          <w:szCs w:val="20"/>
          <w:lang w:val="en-US"/>
        </w:rPr>
        <w:t>Other BSADF parameters are minimum window length = 24 quarters and lag length = 2. For the signaling benchmark, the variables are transformed using 2-year differences or growth rates</w:t>
      </w:r>
      <w:r>
        <w:rPr>
          <w:sz w:val="20"/>
          <w:szCs w:val="20"/>
          <w:lang w:val="en-US"/>
        </w:rPr>
        <w:t xml:space="preserve"> (except debt service ratios, which are in levels)</w:t>
      </w:r>
      <w:r w:rsidRPr="00555597">
        <w:rPr>
          <w:sz w:val="20"/>
          <w:szCs w:val="20"/>
          <w:lang w:val="en-US"/>
        </w:rPr>
        <w:t xml:space="preserve">, and the signaling threshold is updated each period using a training sample. RU </w:t>
      </w:r>
      <w:r w:rsidRPr="00555597">
        <w:rPr>
          <w:rFonts w:cs="Times New Roman"/>
          <w:sz w:val="20"/>
          <w:szCs w:val="20"/>
          <w:lang w:val="en-US"/>
        </w:rPr>
        <w:t>≤</w:t>
      </w:r>
      <w:r w:rsidRPr="00555597">
        <w:rPr>
          <w:sz w:val="20"/>
          <w:szCs w:val="20"/>
          <w:lang w:val="en-US"/>
        </w:rPr>
        <w:t xml:space="preserve"> 1 is the relative usefulness given the policymaker’s preference parameter </w:t>
      </w:r>
      <w:r w:rsidRPr="00555597">
        <w:rPr>
          <w:rFonts w:cs="Times New Roman"/>
          <w:sz w:val="20"/>
          <w:szCs w:val="20"/>
          <w:lang w:val="en-US"/>
        </w:rPr>
        <w:t>θ</w:t>
      </w:r>
      <w:r w:rsidRPr="00555597">
        <w:rPr>
          <w:sz w:val="20"/>
          <w:szCs w:val="20"/>
          <w:lang w:val="en-US"/>
        </w:rPr>
        <w:t xml:space="preserve"> (see </w:t>
      </w:r>
      <w:r w:rsidR="00216D06">
        <w:rPr>
          <w:sz w:val="20"/>
          <w:szCs w:val="20"/>
          <w:lang w:val="en-US"/>
        </w:rPr>
        <w:t xml:space="preserve">Section </w:t>
      </w:r>
      <w:r w:rsidRPr="00555597">
        <w:rPr>
          <w:sz w:val="20"/>
          <w:szCs w:val="20"/>
          <w:lang w:val="en-US"/>
        </w:rPr>
        <w:t>3B for definition)</w:t>
      </w:r>
      <w:r>
        <w:rPr>
          <w:sz w:val="20"/>
          <w:szCs w:val="20"/>
          <w:lang w:val="en-US"/>
        </w:rPr>
        <w:t>, absolute usefulness = Min(</w:t>
      </w:r>
      <w:r>
        <w:rPr>
          <w:rFonts w:cs="Times New Roman"/>
          <w:sz w:val="20"/>
          <w:szCs w:val="20"/>
          <w:lang w:val="en-US"/>
        </w:rPr>
        <w:t>θ</w:t>
      </w:r>
      <w:r>
        <w:rPr>
          <w:sz w:val="20"/>
          <w:szCs w:val="20"/>
          <w:lang w:val="en-US"/>
        </w:rPr>
        <w:t xml:space="preserve"> ,1-</w:t>
      </w:r>
      <w:r w:rsidRPr="002B6529">
        <w:rPr>
          <w:rFonts w:cs="Times New Roman"/>
          <w:sz w:val="20"/>
          <w:szCs w:val="20"/>
          <w:lang w:val="en-US"/>
        </w:rPr>
        <w:t xml:space="preserve"> </w:t>
      </w:r>
      <w:r>
        <w:rPr>
          <w:rFonts w:cs="Times New Roman"/>
          <w:sz w:val="20"/>
          <w:szCs w:val="20"/>
          <w:lang w:val="en-US"/>
        </w:rPr>
        <w:t>θ</w:t>
      </w:r>
      <w:r>
        <w:rPr>
          <w:sz w:val="20"/>
          <w:szCs w:val="20"/>
          <w:lang w:val="en-US"/>
        </w:rPr>
        <w:t>)RU</w:t>
      </w:r>
      <w:r w:rsidRPr="00555597">
        <w:rPr>
          <w:sz w:val="20"/>
          <w:szCs w:val="20"/>
          <w:lang w:val="en-US"/>
        </w:rPr>
        <w:t>, FP is False Positive Rate, FN is False Negative Rate. 0</w:t>
      </w:r>
      <w:r w:rsidR="00216D06">
        <w:rPr>
          <w:sz w:val="20"/>
          <w:szCs w:val="20"/>
          <w:lang w:val="en-US"/>
        </w:rPr>
        <w:t xml:space="preserve"> </w:t>
      </w:r>
      <w:r w:rsidRPr="00555597">
        <w:rPr>
          <w:rFonts w:cs="Times New Roman"/>
          <w:sz w:val="20"/>
          <w:szCs w:val="20"/>
          <w:lang w:val="en-US"/>
        </w:rPr>
        <w:t>≤</w:t>
      </w:r>
      <w:r w:rsidRPr="00555597">
        <w:rPr>
          <w:sz w:val="20"/>
          <w:szCs w:val="20"/>
          <w:lang w:val="en-US"/>
        </w:rPr>
        <w:t>AUROC</w:t>
      </w:r>
      <w:r w:rsidR="00216D06">
        <w:rPr>
          <w:sz w:val="20"/>
          <w:szCs w:val="20"/>
          <w:lang w:val="en-US"/>
        </w:rPr>
        <w:t xml:space="preserve"> </w:t>
      </w:r>
      <w:r w:rsidRPr="00555597">
        <w:rPr>
          <w:rFonts w:cs="Times New Roman"/>
          <w:sz w:val="20"/>
          <w:szCs w:val="20"/>
          <w:lang w:val="en-US"/>
        </w:rPr>
        <w:t>≤1</w:t>
      </w:r>
      <w:r w:rsidRPr="00555597">
        <w:rPr>
          <w:sz w:val="20"/>
          <w:szCs w:val="20"/>
          <w:lang w:val="en-US"/>
        </w:rPr>
        <w:t xml:space="preserve"> is calculated as defined in Section 3B. A one-quarter publication lag is used for quarterly variables</w:t>
      </w:r>
      <w:r w:rsidR="00216D06">
        <w:rPr>
          <w:sz w:val="20"/>
          <w:szCs w:val="20"/>
          <w:lang w:val="en-US"/>
        </w:rPr>
        <w:t xml:space="preserve"> (</w:t>
      </w:r>
      <w:r w:rsidRPr="00555597">
        <w:rPr>
          <w:sz w:val="20"/>
          <w:szCs w:val="20"/>
          <w:lang w:val="en-US"/>
        </w:rPr>
        <w:t>except for equity prices</w:t>
      </w:r>
      <w:r w:rsidR="00216D06">
        <w:rPr>
          <w:sz w:val="20"/>
          <w:szCs w:val="20"/>
          <w:lang w:val="en-US"/>
        </w:rPr>
        <w:t>)</w:t>
      </w:r>
      <w:r w:rsidRPr="00555597">
        <w:rPr>
          <w:sz w:val="20"/>
          <w:szCs w:val="20"/>
          <w:lang w:val="en-US"/>
        </w:rPr>
        <w:t xml:space="preserve">. Crisis definitions are according to the ESRB crisis dataset (Detken </w:t>
      </w:r>
      <w:r w:rsidRPr="00E7758C">
        <w:rPr>
          <w:sz w:val="20"/>
          <w:szCs w:val="20"/>
          <w:lang w:val="en-US"/>
        </w:rPr>
        <w:t>et al.</w:t>
      </w:r>
      <w:r w:rsidR="00216D06">
        <w:rPr>
          <w:sz w:val="20"/>
          <w:szCs w:val="20"/>
          <w:lang w:val="en-US"/>
        </w:rPr>
        <w:t xml:space="preserve">, </w:t>
      </w:r>
      <w:r w:rsidRPr="00555597">
        <w:rPr>
          <w:sz w:val="20"/>
          <w:szCs w:val="20"/>
          <w:lang w:val="en-US"/>
        </w:rPr>
        <w:t xml:space="preserve">2014). The pre-crisis period </w:t>
      </w:r>
      <w:r w:rsidR="00216D06">
        <w:rPr>
          <w:sz w:val="20"/>
          <w:szCs w:val="20"/>
          <w:lang w:val="en-US"/>
        </w:rPr>
        <w:t xml:space="preserve">runs </w:t>
      </w:r>
      <w:r w:rsidRPr="00555597">
        <w:rPr>
          <w:sz w:val="20"/>
          <w:szCs w:val="20"/>
          <w:lang w:val="en-US"/>
        </w:rPr>
        <w:t>from 12 to 5 quarters before each crisis.</w:t>
      </w:r>
    </w:p>
    <w:p w14:paraId="49C539F3" w14:textId="012519F3" w:rsidR="00AA78FD" w:rsidRDefault="00AA78FD" w:rsidP="00AA78FD">
      <w:pPr>
        <w:tabs>
          <w:tab w:val="clear" w:pos="2520"/>
        </w:tabs>
        <w:spacing w:after="160" w:line="259" w:lineRule="auto"/>
        <w:ind w:firstLine="0"/>
        <w:jc w:val="left"/>
        <w:textAlignment w:val="auto"/>
        <w:rPr>
          <w:b/>
          <w:lang w:val="en-US"/>
        </w:rPr>
      </w:pPr>
      <w:r>
        <w:rPr>
          <w:b/>
          <w:lang w:val="en-US"/>
        </w:rPr>
        <w:br w:type="page"/>
      </w:r>
    </w:p>
    <w:p w14:paraId="13EAA58B" w14:textId="07611EE7" w:rsidR="00F15E31" w:rsidRDefault="00AA78FD" w:rsidP="00AA78FD">
      <w:pPr>
        <w:spacing w:line="360" w:lineRule="auto"/>
        <w:ind w:firstLine="0"/>
        <w:rPr>
          <w:b/>
          <w:lang w:val="en-US"/>
        </w:rPr>
      </w:pPr>
      <w:r w:rsidRPr="00315FB0">
        <w:rPr>
          <w:b/>
          <w:lang w:val="en-US"/>
        </w:rPr>
        <w:t xml:space="preserve">Table </w:t>
      </w:r>
      <w:r>
        <w:rPr>
          <w:b/>
          <w:lang w:val="en-US"/>
        </w:rPr>
        <w:t>10</w:t>
      </w:r>
      <w:r w:rsidRPr="00315FB0">
        <w:rPr>
          <w:b/>
          <w:lang w:val="en-US"/>
        </w:rPr>
        <w:t xml:space="preserve"> </w:t>
      </w:r>
    </w:p>
    <w:p w14:paraId="2E4CEE8E" w14:textId="33EB2A0F" w:rsidR="00AA78FD" w:rsidRPr="00E7758C" w:rsidRDefault="00AA78FD" w:rsidP="00AA78FD">
      <w:pPr>
        <w:spacing w:line="360" w:lineRule="auto"/>
        <w:ind w:firstLine="0"/>
        <w:rPr>
          <w:lang w:val="en-US"/>
        </w:rPr>
      </w:pPr>
      <w:r w:rsidRPr="00E7758C">
        <w:rPr>
          <w:lang w:val="en-US"/>
        </w:rPr>
        <w:t>Usefulness values for fixed significance level and varying policymaker preference</w:t>
      </w:r>
      <w:r w:rsidR="00F15E31">
        <w:rPr>
          <w:lang w:val="en-US"/>
        </w:rPr>
        <w:t>.</w:t>
      </w:r>
    </w:p>
    <w:p w14:paraId="6D2CF376" w14:textId="41101665" w:rsidR="00F15E31" w:rsidRDefault="009C1C9A" w:rsidP="00AA78FD">
      <w:pPr>
        <w:tabs>
          <w:tab w:val="clear" w:pos="2520"/>
        </w:tabs>
        <w:spacing w:after="160" w:line="259" w:lineRule="auto"/>
        <w:ind w:firstLine="0"/>
        <w:jc w:val="left"/>
        <w:textAlignment w:val="auto"/>
        <w:rPr>
          <w:b/>
          <w:lang w:val="en-US"/>
        </w:rPr>
      </w:pPr>
      <w:r w:rsidRPr="009C1C9A">
        <w:rPr>
          <w:noProof/>
          <w:lang w:eastAsia="fi-FI"/>
        </w:rPr>
        <w:drawing>
          <wp:inline distT="0" distB="0" distL="0" distR="0" wp14:anchorId="6954BA19" wp14:editId="2137FC8E">
            <wp:extent cx="5983200" cy="67968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83200" cy="6796800"/>
                    </a:xfrm>
                    <a:prstGeom prst="rect">
                      <a:avLst/>
                    </a:prstGeom>
                    <a:noFill/>
                    <a:ln>
                      <a:noFill/>
                    </a:ln>
                  </pic:spPr>
                </pic:pic>
              </a:graphicData>
            </a:graphic>
          </wp:inline>
        </w:drawing>
      </w:r>
    </w:p>
    <w:p w14:paraId="13FB824A" w14:textId="7E545C14" w:rsidR="00F15E31" w:rsidRDefault="00F15E31" w:rsidP="00E7758C">
      <w:pPr>
        <w:spacing w:line="240" w:lineRule="auto"/>
        <w:ind w:firstLine="0"/>
        <w:rPr>
          <w:sz w:val="20"/>
          <w:szCs w:val="20"/>
          <w:lang w:val="en-US"/>
        </w:rPr>
      </w:pPr>
      <w:r>
        <w:rPr>
          <w:szCs w:val="24"/>
          <w:lang w:val="en-US"/>
        </w:rPr>
        <w:t>This t</w:t>
      </w:r>
      <w:r w:rsidRPr="00CB5130">
        <w:rPr>
          <w:szCs w:val="24"/>
          <w:lang w:val="en-US"/>
        </w:rPr>
        <w:t xml:space="preserve">able presents </w:t>
      </w:r>
      <w:r>
        <w:rPr>
          <w:szCs w:val="24"/>
          <w:lang w:val="en-US"/>
        </w:rPr>
        <w:t>in-sample</w:t>
      </w:r>
      <w:r w:rsidRPr="00CB5130">
        <w:rPr>
          <w:szCs w:val="24"/>
          <w:lang w:val="en-US"/>
        </w:rPr>
        <w:t xml:space="preserve"> </w:t>
      </w:r>
      <w:r>
        <w:rPr>
          <w:szCs w:val="24"/>
          <w:lang w:val="en-US"/>
        </w:rPr>
        <w:t xml:space="preserve">and out-of-sample </w:t>
      </w:r>
      <w:r w:rsidRPr="00CB5130">
        <w:rPr>
          <w:szCs w:val="24"/>
          <w:lang w:val="en-US"/>
        </w:rPr>
        <w:t xml:space="preserve">performance statistics for </w:t>
      </w:r>
      <w:r>
        <w:rPr>
          <w:szCs w:val="24"/>
          <w:lang w:val="en-US"/>
        </w:rPr>
        <w:t xml:space="preserve">the </w:t>
      </w:r>
      <w:r w:rsidRPr="00CB5130">
        <w:rPr>
          <w:szCs w:val="24"/>
          <w:lang w:val="en-US"/>
        </w:rPr>
        <w:t xml:space="preserve">individual exuberance indicators. </w:t>
      </w:r>
      <w:r>
        <w:rPr>
          <w:szCs w:val="24"/>
          <w:lang w:val="en-US"/>
        </w:rPr>
        <w:t xml:space="preserve">Significance level </w:t>
      </w:r>
      <w:r>
        <w:rPr>
          <w:rFonts w:cs="Times New Roman"/>
          <w:szCs w:val="24"/>
          <w:lang w:val="en-US"/>
        </w:rPr>
        <w:t>α</w:t>
      </w:r>
      <w:r>
        <w:rPr>
          <w:szCs w:val="24"/>
          <w:lang w:val="en-US"/>
        </w:rPr>
        <w:t xml:space="preserve"> is fixed to 0.05. Three different values of the</w:t>
      </w:r>
      <w:r w:rsidRPr="00CB5130">
        <w:rPr>
          <w:szCs w:val="24"/>
          <w:lang w:val="en-US"/>
        </w:rPr>
        <w:t xml:space="preserve"> policymaker’s preference</w:t>
      </w:r>
      <w:r>
        <w:rPr>
          <w:szCs w:val="24"/>
          <w:lang w:val="en-US"/>
        </w:rPr>
        <w:t xml:space="preserve"> parameter</w:t>
      </w:r>
      <w:r w:rsidRPr="00CB5130">
        <w:rPr>
          <w:szCs w:val="24"/>
          <w:lang w:val="en-US"/>
        </w:rPr>
        <w:t xml:space="preserve"> </w:t>
      </w:r>
      <w:r w:rsidRPr="00212882">
        <w:rPr>
          <w:rFonts w:cs="Times New Roman"/>
          <w:szCs w:val="24"/>
          <w:lang w:val="en-US"/>
        </w:rPr>
        <w:t>θ</w:t>
      </w:r>
      <w:r w:rsidRPr="00CB5130">
        <w:rPr>
          <w:szCs w:val="24"/>
          <w:lang w:val="en-US"/>
        </w:rPr>
        <w:t xml:space="preserve"> </w:t>
      </w:r>
      <w:r>
        <w:rPr>
          <w:szCs w:val="24"/>
          <w:lang w:val="en-US"/>
        </w:rPr>
        <w:t>are considered.</w:t>
      </w:r>
    </w:p>
    <w:p w14:paraId="73442E18" w14:textId="77777777" w:rsidR="00216D06" w:rsidRDefault="00216D06" w:rsidP="00E7758C">
      <w:pPr>
        <w:spacing w:line="240" w:lineRule="auto"/>
        <w:ind w:firstLine="0"/>
        <w:rPr>
          <w:sz w:val="20"/>
          <w:szCs w:val="20"/>
          <w:lang w:val="en-US"/>
        </w:rPr>
      </w:pPr>
    </w:p>
    <w:p w14:paraId="41902329" w14:textId="7BE0A195" w:rsidR="00AA78FD" w:rsidRDefault="00AA78FD">
      <w:pPr>
        <w:tabs>
          <w:tab w:val="clear" w:pos="2520"/>
        </w:tabs>
        <w:spacing w:after="160" w:line="259" w:lineRule="auto"/>
        <w:ind w:firstLine="0"/>
        <w:jc w:val="left"/>
        <w:textAlignment w:val="auto"/>
        <w:rPr>
          <w:b/>
          <w:lang w:val="en-US"/>
        </w:rPr>
      </w:pPr>
      <w:r>
        <w:rPr>
          <w:sz w:val="20"/>
          <w:szCs w:val="20"/>
          <w:lang w:val="en-US"/>
        </w:rPr>
        <w:t>BSADF parameters are the value of the significance level parameter</w:t>
      </w:r>
      <w:r w:rsidDel="00C41179">
        <w:rPr>
          <w:sz w:val="20"/>
          <w:szCs w:val="20"/>
          <w:lang w:val="en-US"/>
        </w:rPr>
        <w:t xml:space="preserve"> </w:t>
      </w:r>
      <w:r>
        <w:rPr>
          <w:rFonts w:cs="Times New Roman"/>
          <w:sz w:val="20"/>
          <w:szCs w:val="20"/>
          <w:lang w:val="en-US"/>
        </w:rPr>
        <w:t>α,</w:t>
      </w:r>
      <w:r w:rsidDel="00C41179">
        <w:rPr>
          <w:sz w:val="20"/>
          <w:szCs w:val="20"/>
          <w:lang w:val="en-US"/>
        </w:rPr>
        <w:t xml:space="preserve"> </w:t>
      </w:r>
      <w:r>
        <w:rPr>
          <w:sz w:val="20"/>
          <w:szCs w:val="20"/>
          <w:lang w:val="en-US"/>
        </w:rPr>
        <w:t>minimum w</w:t>
      </w:r>
      <w:r w:rsidRPr="00A22DE9">
        <w:rPr>
          <w:sz w:val="20"/>
          <w:szCs w:val="20"/>
          <w:lang w:val="en-US"/>
        </w:rPr>
        <w:t xml:space="preserve">indow length </w:t>
      </w:r>
      <w:r>
        <w:rPr>
          <w:sz w:val="20"/>
          <w:szCs w:val="20"/>
          <w:lang w:val="en-US"/>
        </w:rPr>
        <w:t>= 24 quarters and lag length = 2</w:t>
      </w:r>
      <w:r w:rsidRPr="00A22DE9">
        <w:rPr>
          <w:sz w:val="20"/>
          <w:szCs w:val="20"/>
          <w:lang w:val="en-US"/>
        </w:rPr>
        <w:t xml:space="preserve">. </w:t>
      </w:r>
      <w:r>
        <w:rPr>
          <w:sz w:val="20"/>
          <w:szCs w:val="20"/>
          <w:lang w:val="en-US"/>
        </w:rPr>
        <w:t xml:space="preserve">RU </w:t>
      </w:r>
      <w:r>
        <w:rPr>
          <w:rFonts w:cs="Times New Roman"/>
          <w:sz w:val="20"/>
          <w:szCs w:val="20"/>
          <w:lang w:val="en-US"/>
        </w:rPr>
        <w:t>≤</w:t>
      </w:r>
      <w:r>
        <w:rPr>
          <w:sz w:val="20"/>
          <w:szCs w:val="20"/>
          <w:lang w:val="en-US"/>
        </w:rPr>
        <w:t xml:space="preserve"> 1 is the relative usefulness given </w:t>
      </w:r>
      <w:r w:rsidRPr="00A22DE9">
        <w:rPr>
          <w:sz w:val="20"/>
          <w:szCs w:val="20"/>
          <w:lang w:val="en-US"/>
        </w:rPr>
        <w:t>the policymaker’s preference parameter</w:t>
      </w:r>
      <w:r>
        <w:rPr>
          <w:sz w:val="20"/>
          <w:szCs w:val="20"/>
          <w:lang w:val="en-US"/>
        </w:rPr>
        <w:t xml:space="preserve"> </w:t>
      </w:r>
      <w:r>
        <w:rPr>
          <w:rFonts w:cs="Times New Roman"/>
          <w:sz w:val="20"/>
          <w:szCs w:val="20"/>
          <w:lang w:val="en-US"/>
        </w:rPr>
        <w:t>θ</w:t>
      </w:r>
      <w:r>
        <w:rPr>
          <w:sz w:val="20"/>
          <w:szCs w:val="20"/>
          <w:lang w:val="en-US"/>
        </w:rPr>
        <w:t xml:space="preserve"> (see </w:t>
      </w:r>
      <w:r w:rsidR="00F15E31">
        <w:rPr>
          <w:sz w:val="20"/>
          <w:szCs w:val="20"/>
          <w:lang w:val="en-US"/>
        </w:rPr>
        <w:t xml:space="preserve">Section </w:t>
      </w:r>
      <w:r>
        <w:rPr>
          <w:sz w:val="20"/>
          <w:szCs w:val="20"/>
          <w:lang w:val="en-US"/>
        </w:rPr>
        <w:t>3B for definition), absolute usefulness = Min(</w:t>
      </w:r>
      <w:r>
        <w:rPr>
          <w:rFonts w:cs="Times New Roman"/>
          <w:sz w:val="20"/>
          <w:szCs w:val="20"/>
          <w:lang w:val="en-US"/>
        </w:rPr>
        <w:t>θ</w:t>
      </w:r>
      <w:r>
        <w:rPr>
          <w:sz w:val="20"/>
          <w:szCs w:val="20"/>
          <w:lang w:val="en-US"/>
        </w:rPr>
        <w:t xml:space="preserve"> ,1-</w:t>
      </w:r>
      <w:r w:rsidRPr="002B6529">
        <w:rPr>
          <w:rFonts w:cs="Times New Roman"/>
          <w:sz w:val="20"/>
          <w:szCs w:val="20"/>
          <w:lang w:val="en-US"/>
        </w:rPr>
        <w:t xml:space="preserve"> </w:t>
      </w:r>
      <w:r>
        <w:rPr>
          <w:rFonts w:cs="Times New Roman"/>
          <w:sz w:val="20"/>
          <w:szCs w:val="20"/>
          <w:lang w:val="en-US"/>
        </w:rPr>
        <w:t>θ</w:t>
      </w:r>
      <w:r>
        <w:rPr>
          <w:sz w:val="20"/>
          <w:szCs w:val="20"/>
          <w:lang w:val="en-US"/>
        </w:rPr>
        <w:t xml:space="preserve">)RU, </w:t>
      </w:r>
      <w:r w:rsidRPr="00A22DE9">
        <w:rPr>
          <w:sz w:val="20"/>
          <w:szCs w:val="20"/>
          <w:lang w:val="en-US"/>
        </w:rPr>
        <w:t>FP</w:t>
      </w:r>
      <w:r>
        <w:rPr>
          <w:sz w:val="20"/>
          <w:szCs w:val="20"/>
          <w:lang w:val="en-US"/>
        </w:rPr>
        <w:t xml:space="preserve"> is</w:t>
      </w:r>
      <w:r w:rsidRPr="00A22DE9">
        <w:rPr>
          <w:sz w:val="20"/>
          <w:szCs w:val="20"/>
          <w:lang w:val="en-US"/>
        </w:rPr>
        <w:t xml:space="preserve"> False Positive</w:t>
      </w:r>
      <w:r>
        <w:rPr>
          <w:sz w:val="20"/>
          <w:szCs w:val="20"/>
          <w:lang w:val="en-US"/>
        </w:rPr>
        <w:t xml:space="preserve"> Rate</w:t>
      </w:r>
      <w:r w:rsidRPr="00A22DE9">
        <w:rPr>
          <w:sz w:val="20"/>
          <w:szCs w:val="20"/>
          <w:lang w:val="en-US"/>
        </w:rPr>
        <w:t xml:space="preserve">, FN </w:t>
      </w:r>
      <w:r>
        <w:rPr>
          <w:sz w:val="20"/>
          <w:szCs w:val="20"/>
          <w:lang w:val="en-US"/>
        </w:rPr>
        <w:t>is</w:t>
      </w:r>
      <w:r w:rsidRPr="00A22DE9">
        <w:rPr>
          <w:sz w:val="20"/>
          <w:szCs w:val="20"/>
          <w:lang w:val="en-US"/>
        </w:rPr>
        <w:t xml:space="preserve"> False Negative</w:t>
      </w:r>
      <w:r>
        <w:rPr>
          <w:sz w:val="20"/>
          <w:szCs w:val="20"/>
          <w:lang w:val="en-US"/>
        </w:rPr>
        <w:t xml:space="preserve"> Rate.</w:t>
      </w:r>
      <w:r w:rsidRPr="00A22DE9">
        <w:rPr>
          <w:sz w:val="20"/>
          <w:szCs w:val="20"/>
          <w:lang w:val="en-US"/>
        </w:rPr>
        <w:t xml:space="preserve"> </w:t>
      </w:r>
      <w:r w:rsidR="00F15E31" w:rsidRPr="00216D06">
        <w:rPr>
          <w:sz w:val="20"/>
          <w:szCs w:val="20"/>
          <w:lang w:val="en-US"/>
        </w:rPr>
        <w:t>S</w:t>
      </w:r>
      <w:r w:rsidR="00066A21" w:rsidRPr="00216D06">
        <w:rPr>
          <w:sz w:val="20"/>
          <w:szCs w:val="20"/>
          <w:lang w:val="en-US"/>
        </w:rPr>
        <w:t xml:space="preserve">ince </w:t>
      </w:r>
      <w:r w:rsidR="00066A21" w:rsidRPr="00E7758C">
        <w:rPr>
          <w:rFonts w:cs="Times New Roman"/>
          <w:sz w:val="20"/>
          <w:szCs w:val="20"/>
          <w:lang w:val="en-US"/>
        </w:rPr>
        <w:t xml:space="preserve">α is fixed, </w:t>
      </w:r>
      <w:r w:rsidR="00F15E31" w:rsidRPr="00E7758C">
        <w:rPr>
          <w:rFonts w:cs="Times New Roman"/>
          <w:sz w:val="20"/>
          <w:szCs w:val="20"/>
          <w:lang w:val="en-US"/>
        </w:rPr>
        <w:t xml:space="preserve">note that </w:t>
      </w:r>
      <w:r w:rsidR="00066A21" w:rsidRPr="00E7758C">
        <w:rPr>
          <w:rFonts w:cs="Times New Roman"/>
          <w:sz w:val="20"/>
          <w:szCs w:val="20"/>
          <w:lang w:val="en-US"/>
        </w:rPr>
        <w:t>the FP and FN are independent of θ</w:t>
      </w:r>
      <w:r w:rsidR="00066A21">
        <w:rPr>
          <w:rFonts w:cs="Times New Roman"/>
          <w:sz w:val="18"/>
          <w:szCs w:val="18"/>
          <w:lang w:val="en-US"/>
        </w:rPr>
        <w:t>.</w:t>
      </w:r>
      <w:r w:rsidR="00066A21">
        <w:rPr>
          <w:sz w:val="20"/>
          <w:szCs w:val="20"/>
          <w:lang w:val="en-US"/>
        </w:rPr>
        <w:t xml:space="preserve"> </w:t>
      </w:r>
      <w:r>
        <w:rPr>
          <w:sz w:val="20"/>
          <w:szCs w:val="20"/>
          <w:lang w:val="en-US"/>
        </w:rPr>
        <w:t>0</w:t>
      </w:r>
      <w:r w:rsidR="00216D06">
        <w:rPr>
          <w:sz w:val="20"/>
          <w:szCs w:val="20"/>
          <w:lang w:val="en-US"/>
        </w:rPr>
        <w:t xml:space="preserve"> </w:t>
      </w:r>
      <w:r>
        <w:rPr>
          <w:rFonts w:cs="Times New Roman"/>
          <w:sz w:val="20"/>
          <w:szCs w:val="20"/>
          <w:lang w:val="en-US"/>
        </w:rPr>
        <w:t>≤</w:t>
      </w:r>
      <w:r w:rsidR="00216D06">
        <w:rPr>
          <w:rFonts w:cs="Times New Roman"/>
          <w:sz w:val="20"/>
          <w:szCs w:val="20"/>
          <w:lang w:val="en-US"/>
        </w:rPr>
        <w:t xml:space="preserve"> </w:t>
      </w:r>
      <w:r>
        <w:rPr>
          <w:sz w:val="20"/>
          <w:szCs w:val="20"/>
          <w:lang w:val="en-US"/>
        </w:rPr>
        <w:t>AUROC</w:t>
      </w:r>
      <w:r w:rsidR="00216D06">
        <w:rPr>
          <w:sz w:val="20"/>
          <w:szCs w:val="20"/>
          <w:lang w:val="en-US"/>
        </w:rPr>
        <w:t xml:space="preserve"> </w:t>
      </w:r>
      <w:r>
        <w:rPr>
          <w:rFonts w:cs="Times New Roman"/>
          <w:sz w:val="20"/>
          <w:szCs w:val="20"/>
          <w:lang w:val="en-US"/>
        </w:rPr>
        <w:t>≤1</w:t>
      </w:r>
      <w:r>
        <w:rPr>
          <w:sz w:val="20"/>
          <w:szCs w:val="20"/>
          <w:lang w:val="en-US"/>
        </w:rPr>
        <w:t xml:space="preserve"> is calculated as defined in Section 3B. </w:t>
      </w:r>
      <w:r w:rsidRPr="00A22DE9">
        <w:rPr>
          <w:sz w:val="20"/>
          <w:szCs w:val="20"/>
          <w:lang w:val="en-US"/>
        </w:rPr>
        <w:t>A one-quarter publication lag is used for quarterly variables, except for equity prices.</w:t>
      </w:r>
      <w:r>
        <w:rPr>
          <w:sz w:val="20"/>
          <w:szCs w:val="20"/>
          <w:lang w:val="en-US"/>
        </w:rPr>
        <w:t xml:space="preserve"> Crisis definitions are according to the ESRB crisis dataset (Detken </w:t>
      </w:r>
      <w:r w:rsidRPr="00E7758C">
        <w:rPr>
          <w:sz w:val="20"/>
          <w:szCs w:val="20"/>
          <w:lang w:val="en-US"/>
        </w:rPr>
        <w:t>et al.</w:t>
      </w:r>
      <w:r w:rsidR="00F15E31">
        <w:rPr>
          <w:sz w:val="20"/>
          <w:szCs w:val="20"/>
          <w:lang w:val="en-US"/>
        </w:rPr>
        <w:t xml:space="preserve">, </w:t>
      </w:r>
      <w:r>
        <w:rPr>
          <w:sz w:val="20"/>
          <w:szCs w:val="20"/>
          <w:lang w:val="en-US"/>
        </w:rPr>
        <w:t xml:space="preserve">2014). The pre-crisis period </w:t>
      </w:r>
      <w:r w:rsidR="00216D06">
        <w:rPr>
          <w:sz w:val="20"/>
          <w:szCs w:val="20"/>
          <w:lang w:val="en-US"/>
        </w:rPr>
        <w:t xml:space="preserve">runs </w:t>
      </w:r>
      <w:r>
        <w:rPr>
          <w:sz w:val="20"/>
          <w:szCs w:val="20"/>
          <w:lang w:val="en-US"/>
        </w:rPr>
        <w:t>from 12 to 5 quarters before each crisis.</w:t>
      </w:r>
      <w:r>
        <w:rPr>
          <w:b/>
          <w:lang w:val="en-US"/>
        </w:rPr>
        <w:br w:type="page"/>
      </w:r>
    </w:p>
    <w:p w14:paraId="2CDE8BE3" w14:textId="3D909B00" w:rsidR="00F15E31" w:rsidRDefault="00090D5E" w:rsidP="00090D5E">
      <w:pPr>
        <w:spacing w:line="360" w:lineRule="auto"/>
        <w:ind w:firstLine="0"/>
        <w:jc w:val="left"/>
        <w:rPr>
          <w:b/>
          <w:lang w:val="en-US"/>
        </w:rPr>
      </w:pPr>
      <w:r w:rsidRPr="00315FB0">
        <w:rPr>
          <w:b/>
          <w:lang w:val="en-US"/>
        </w:rPr>
        <w:t xml:space="preserve">Table </w:t>
      </w:r>
      <w:r w:rsidR="00AA78FD">
        <w:rPr>
          <w:b/>
          <w:lang w:val="en-US"/>
        </w:rPr>
        <w:t>11</w:t>
      </w:r>
    </w:p>
    <w:p w14:paraId="51A1C3F8" w14:textId="6F971641" w:rsidR="00090D5E" w:rsidRDefault="00145ED9" w:rsidP="00090D5E">
      <w:pPr>
        <w:spacing w:line="360" w:lineRule="auto"/>
        <w:ind w:firstLine="0"/>
        <w:jc w:val="left"/>
        <w:rPr>
          <w:b/>
          <w:lang w:val="en-US"/>
        </w:rPr>
      </w:pPr>
      <w:r w:rsidRPr="000463F7">
        <w:rPr>
          <w:lang w:val="en-US"/>
        </w:rPr>
        <w:t xml:space="preserve">In-sample performance with alternative </w:t>
      </w:r>
      <w:r w:rsidR="00AA78FD" w:rsidRPr="000463F7">
        <w:rPr>
          <w:lang w:val="en-US"/>
        </w:rPr>
        <w:t>lag and windows lengths</w:t>
      </w:r>
      <w:r w:rsidR="00F15E31">
        <w:rPr>
          <w:lang w:val="en-US"/>
        </w:rPr>
        <w:t>.</w:t>
      </w:r>
    </w:p>
    <w:p w14:paraId="6C7EA0B5" w14:textId="20590799" w:rsidR="00090D5E" w:rsidRPr="00315FB0" w:rsidRDefault="003D2B6B" w:rsidP="00090D5E">
      <w:pPr>
        <w:spacing w:line="360" w:lineRule="auto"/>
        <w:ind w:firstLine="0"/>
        <w:jc w:val="left"/>
        <w:rPr>
          <w:b/>
          <w:lang w:val="en-US"/>
        </w:rPr>
      </w:pPr>
      <w:r w:rsidRPr="003D2B6B">
        <w:rPr>
          <w:noProof/>
          <w:lang w:eastAsia="fi-FI"/>
        </w:rPr>
        <w:drawing>
          <wp:inline distT="0" distB="0" distL="0" distR="0" wp14:anchorId="3BC3D05C" wp14:editId="3AA0BE29">
            <wp:extent cx="6645910" cy="5838573"/>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5838573"/>
                    </a:xfrm>
                    <a:prstGeom prst="rect">
                      <a:avLst/>
                    </a:prstGeom>
                    <a:noFill/>
                    <a:ln>
                      <a:noFill/>
                    </a:ln>
                  </pic:spPr>
                </pic:pic>
              </a:graphicData>
            </a:graphic>
          </wp:inline>
        </w:drawing>
      </w:r>
    </w:p>
    <w:p w14:paraId="3C081FE1" w14:textId="1EBBD22F" w:rsidR="00F15E31" w:rsidRPr="00981B3D" w:rsidRDefault="00F15E31" w:rsidP="00F15E31">
      <w:pPr>
        <w:spacing w:line="240" w:lineRule="auto"/>
        <w:ind w:firstLine="0"/>
        <w:rPr>
          <w:szCs w:val="24"/>
          <w:lang w:val="en-US"/>
        </w:rPr>
      </w:pPr>
      <w:r w:rsidRPr="00981B3D">
        <w:rPr>
          <w:szCs w:val="24"/>
          <w:lang w:val="en-US"/>
        </w:rPr>
        <w:t>T</w:t>
      </w:r>
      <w:r>
        <w:rPr>
          <w:szCs w:val="24"/>
          <w:lang w:val="en-US"/>
        </w:rPr>
        <w:t>his t</w:t>
      </w:r>
      <w:r w:rsidRPr="00981B3D">
        <w:rPr>
          <w:szCs w:val="24"/>
          <w:lang w:val="en-US"/>
        </w:rPr>
        <w:t>able presents the</w:t>
      </w:r>
      <w:r>
        <w:rPr>
          <w:szCs w:val="24"/>
          <w:lang w:val="en-US"/>
        </w:rPr>
        <w:t xml:space="preserve"> in-sample</w:t>
      </w:r>
      <w:r w:rsidRPr="00981B3D">
        <w:rPr>
          <w:szCs w:val="24"/>
          <w:lang w:val="en-US"/>
        </w:rPr>
        <w:t xml:space="preserve"> performance statistics for individual exuberance</w:t>
      </w:r>
      <w:r>
        <w:rPr>
          <w:szCs w:val="24"/>
          <w:lang w:val="en-US"/>
        </w:rPr>
        <w:t xml:space="preserve"> indicators</w:t>
      </w:r>
      <w:r w:rsidRPr="00981B3D">
        <w:rPr>
          <w:szCs w:val="24"/>
          <w:lang w:val="en-US"/>
        </w:rPr>
        <w:t xml:space="preserve">. Upper (lower) panel shows results for </w:t>
      </w:r>
      <w:r>
        <w:rPr>
          <w:szCs w:val="24"/>
          <w:lang w:val="en-US"/>
        </w:rPr>
        <w:t>shorter</w:t>
      </w:r>
      <w:r w:rsidRPr="00981B3D">
        <w:rPr>
          <w:szCs w:val="24"/>
          <w:lang w:val="en-US"/>
        </w:rPr>
        <w:t xml:space="preserve"> (</w:t>
      </w:r>
      <w:r>
        <w:rPr>
          <w:szCs w:val="24"/>
          <w:lang w:val="en-US"/>
        </w:rPr>
        <w:t>longer</w:t>
      </w:r>
      <w:r w:rsidRPr="00981B3D">
        <w:rPr>
          <w:szCs w:val="24"/>
          <w:lang w:val="en-US"/>
        </w:rPr>
        <w:t xml:space="preserve">) </w:t>
      </w:r>
      <w:r>
        <w:rPr>
          <w:szCs w:val="24"/>
          <w:lang w:val="en-US"/>
        </w:rPr>
        <w:t xml:space="preserve">lag length </w:t>
      </w:r>
      <w:r w:rsidRPr="00981B3D">
        <w:rPr>
          <w:szCs w:val="24"/>
          <w:lang w:val="en-US"/>
        </w:rPr>
        <w:t xml:space="preserve">parameter. Three alternative specifications </w:t>
      </w:r>
      <w:r>
        <w:rPr>
          <w:szCs w:val="24"/>
          <w:lang w:val="en-US"/>
        </w:rPr>
        <w:t xml:space="preserve">(12, 24, and 36) </w:t>
      </w:r>
      <w:r w:rsidRPr="00981B3D">
        <w:rPr>
          <w:szCs w:val="24"/>
          <w:lang w:val="en-US"/>
        </w:rPr>
        <w:t xml:space="preserve">for </w:t>
      </w:r>
      <w:r>
        <w:rPr>
          <w:szCs w:val="24"/>
          <w:lang w:val="en-US"/>
        </w:rPr>
        <w:t xml:space="preserve">minimum window length are </w:t>
      </w:r>
      <w:r w:rsidRPr="00981B3D">
        <w:rPr>
          <w:szCs w:val="24"/>
          <w:lang w:val="en-US"/>
        </w:rPr>
        <w:t>considered.</w:t>
      </w:r>
    </w:p>
    <w:p w14:paraId="5C582173" w14:textId="77777777" w:rsidR="00F15E31" w:rsidRDefault="00F15E31" w:rsidP="00090D5E">
      <w:pPr>
        <w:tabs>
          <w:tab w:val="clear" w:pos="2520"/>
        </w:tabs>
        <w:spacing w:after="160" w:line="259" w:lineRule="auto"/>
        <w:ind w:firstLine="0"/>
        <w:jc w:val="left"/>
        <w:textAlignment w:val="auto"/>
        <w:rPr>
          <w:sz w:val="20"/>
          <w:szCs w:val="20"/>
          <w:lang w:val="en-US"/>
        </w:rPr>
      </w:pPr>
    </w:p>
    <w:p w14:paraId="50E82ECC" w14:textId="5B4B275B" w:rsidR="00090D5E" w:rsidRDefault="00145ED9" w:rsidP="00090D5E">
      <w:pPr>
        <w:tabs>
          <w:tab w:val="clear" w:pos="2520"/>
        </w:tabs>
        <w:spacing w:after="160" w:line="259" w:lineRule="auto"/>
        <w:ind w:firstLine="0"/>
        <w:jc w:val="left"/>
        <w:textAlignment w:val="auto"/>
        <w:rPr>
          <w:lang w:val="en-US" w:eastAsia="fi-FI"/>
        </w:rPr>
      </w:pPr>
      <w:r w:rsidRPr="00D06C83">
        <w:rPr>
          <w:sz w:val="20"/>
          <w:szCs w:val="20"/>
          <w:lang w:val="en-US"/>
        </w:rPr>
        <w:t>Data covers 1980 to 2012</w:t>
      </w:r>
      <w:r w:rsidRPr="00A22DE9">
        <w:rPr>
          <w:sz w:val="20"/>
          <w:szCs w:val="20"/>
          <w:lang w:val="en-US"/>
        </w:rPr>
        <w:t xml:space="preserve">. </w:t>
      </w:r>
      <w:r>
        <w:rPr>
          <w:rFonts w:cs="Times New Roman"/>
          <w:sz w:val="20"/>
          <w:szCs w:val="20"/>
          <w:lang w:val="en-US"/>
        </w:rPr>
        <w:t>α</w:t>
      </w:r>
      <w:r w:rsidR="00F15E31">
        <w:rPr>
          <w:rFonts w:cs="Times New Roman"/>
          <w:sz w:val="20"/>
          <w:szCs w:val="20"/>
          <w:lang w:val="en-US"/>
        </w:rPr>
        <w:t xml:space="preserve"> </w:t>
      </w:r>
      <w:r w:rsidR="00A87C3B">
        <w:rPr>
          <w:rFonts w:cs="Times New Roman"/>
          <w:sz w:val="20"/>
          <w:szCs w:val="20"/>
          <w:lang w:val="en-US"/>
        </w:rPr>
        <w:t>=</w:t>
      </w:r>
      <w:r w:rsidR="00F15E31">
        <w:rPr>
          <w:rFonts w:cs="Times New Roman"/>
          <w:sz w:val="20"/>
          <w:szCs w:val="20"/>
          <w:lang w:val="en-US"/>
        </w:rPr>
        <w:t xml:space="preserve"> </w:t>
      </w:r>
      <w:r w:rsidR="00A87C3B">
        <w:rPr>
          <w:rFonts w:cs="Times New Roman"/>
          <w:sz w:val="20"/>
          <w:szCs w:val="20"/>
          <w:lang w:val="en-US"/>
        </w:rPr>
        <w:t>0.</w:t>
      </w:r>
      <w:r w:rsidR="00DF5419">
        <w:rPr>
          <w:rFonts w:cs="Times New Roman"/>
          <w:sz w:val="20"/>
          <w:szCs w:val="20"/>
          <w:lang w:val="en-US"/>
        </w:rPr>
        <w:t>0</w:t>
      </w:r>
      <w:r w:rsidR="00A87C3B">
        <w:rPr>
          <w:rFonts w:cs="Times New Roman"/>
          <w:sz w:val="20"/>
          <w:szCs w:val="20"/>
          <w:lang w:val="en-US"/>
        </w:rPr>
        <w:t>5.</w:t>
      </w:r>
      <w:r w:rsidDel="00C41179">
        <w:rPr>
          <w:sz w:val="20"/>
          <w:szCs w:val="20"/>
          <w:lang w:val="en-US"/>
        </w:rPr>
        <w:t xml:space="preserve"> </w:t>
      </w:r>
      <w:r>
        <w:rPr>
          <w:sz w:val="20"/>
          <w:szCs w:val="20"/>
          <w:lang w:val="en-US"/>
        </w:rPr>
        <w:t xml:space="preserve">RU </w:t>
      </w:r>
      <w:r>
        <w:rPr>
          <w:rFonts w:cs="Times New Roman"/>
          <w:sz w:val="20"/>
          <w:szCs w:val="20"/>
          <w:lang w:val="en-US"/>
        </w:rPr>
        <w:t>≤</w:t>
      </w:r>
      <w:r>
        <w:rPr>
          <w:sz w:val="20"/>
          <w:szCs w:val="20"/>
          <w:lang w:val="en-US"/>
        </w:rPr>
        <w:t xml:space="preserve"> 1 is the relative usefulness given </w:t>
      </w:r>
      <w:r w:rsidRPr="00A22DE9">
        <w:rPr>
          <w:sz w:val="20"/>
          <w:szCs w:val="20"/>
          <w:lang w:val="en-US"/>
        </w:rPr>
        <w:t>the policymaker’s preference parameter</w:t>
      </w:r>
      <w:r>
        <w:rPr>
          <w:sz w:val="20"/>
          <w:szCs w:val="20"/>
          <w:lang w:val="en-US"/>
        </w:rPr>
        <w:t xml:space="preserve"> </w:t>
      </w:r>
      <w:r>
        <w:rPr>
          <w:rFonts w:cs="Times New Roman"/>
          <w:sz w:val="20"/>
          <w:szCs w:val="20"/>
          <w:lang w:val="en-US"/>
        </w:rPr>
        <w:t>θ</w:t>
      </w:r>
      <w:r w:rsidR="00F15E31">
        <w:rPr>
          <w:rFonts w:cs="Times New Roman"/>
          <w:sz w:val="20"/>
          <w:szCs w:val="20"/>
          <w:lang w:val="en-US"/>
        </w:rPr>
        <w:t xml:space="preserve"> </w:t>
      </w:r>
      <w:r w:rsidR="00A87C3B">
        <w:rPr>
          <w:rFonts w:cs="Times New Roman"/>
          <w:sz w:val="20"/>
          <w:szCs w:val="20"/>
          <w:lang w:val="en-US"/>
        </w:rPr>
        <w:t>=</w:t>
      </w:r>
      <w:r w:rsidR="00F15E31">
        <w:rPr>
          <w:rFonts w:cs="Times New Roman"/>
          <w:sz w:val="20"/>
          <w:szCs w:val="20"/>
          <w:lang w:val="en-US"/>
        </w:rPr>
        <w:t xml:space="preserve"> </w:t>
      </w:r>
      <w:r w:rsidR="00A87C3B">
        <w:rPr>
          <w:rFonts w:cs="Times New Roman"/>
          <w:sz w:val="20"/>
          <w:szCs w:val="20"/>
          <w:lang w:val="en-US"/>
        </w:rPr>
        <w:t>0.5</w:t>
      </w:r>
      <w:r>
        <w:rPr>
          <w:sz w:val="20"/>
          <w:szCs w:val="20"/>
          <w:lang w:val="en-US"/>
        </w:rPr>
        <w:t xml:space="preserve"> (see </w:t>
      </w:r>
      <w:r w:rsidR="00F15E31">
        <w:rPr>
          <w:sz w:val="20"/>
          <w:szCs w:val="20"/>
          <w:lang w:val="en-US"/>
        </w:rPr>
        <w:t xml:space="preserve">Section </w:t>
      </w:r>
      <w:r>
        <w:rPr>
          <w:sz w:val="20"/>
          <w:szCs w:val="20"/>
          <w:lang w:val="en-US"/>
        </w:rPr>
        <w:t>3B for definition)</w:t>
      </w:r>
      <w:r w:rsidR="002B6529">
        <w:rPr>
          <w:sz w:val="20"/>
          <w:szCs w:val="20"/>
          <w:lang w:val="en-US"/>
        </w:rPr>
        <w:t>, absolute usefulness = Min(</w:t>
      </w:r>
      <w:r w:rsidR="002B6529">
        <w:rPr>
          <w:rFonts w:cs="Times New Roman"/>
          <w:sz w:val="20"/>
          <w:szCs w:val="20"/>
          <w:lang w:val="en-US"/>
        </w:rPr>
        <w:t>θ</w:t>
      </w:r>
      <w:r w:rsidR="002B6529">
        <w:rPr>
          <w:sz w:val="20"/>
          <w:szCs w:val="20"/>
          <w:lang w:val="en-US"/>
        </w:rPr>
        <w:t xml:space="preserve"> ,1-</w:t>
      </w:r>
      <w:r w:rsidR="002B6529" w:rsidRPr="002B6529">
        <w:rPr>
          <w:rFonts w:cs="Times New Roman"/>
          <w:sz w:val="20"/>
          <w:szCs w:val="20"/>
          <w:lang w:val="en-US"/>
        </w:rPr>
        <w:t xml:space="preserve"> </w:t>
      </w:r>
      <w:r w:rsidR="002B6529">
        <w:rPr>
          <w:rFonts w:cs="Times New Roman"/>
          <w:sz w:val="20"/>
          <w:szCs w:val="20"/>
          <w:lang w:val="en-US"/>
        </w:rPr>
        <w:t>θ</w:t>
      </w:r>
      <w:r w:rsidR="002B6529">
        <w:rPr>
          <w:sz w:val="20"/>
          <w:szCs w:val="20"/>
          <w:lang w:val="en-US"/>
        </w:rPr>
        <w:t>)RU</w:t>
      </w:r>
      <w:r>
        <w:rPr>
          <w:sz w:val="20"/>
          <w:szCs w:val="20"/>
          <w:lang w:val="en-US"/>
        </w:rPr>
        <w:t xml:space="preserve">, </w:t>
      </w:r>
      <w:r w:rsidRPr="00A22DE9">
        <w:rPr>
          <w:sz w:val="20"/>
          <w:szCs w:val="20"/>
          <w:lang w:val="en-US"/>
        </w:rPr>
        <w:t>FP</w:t>
      </w:r>
      <w:r>
        <w:rPr>
          <w:sz w:val="20"/>
          <w:szCs w:val="20"/>
          <w:lang w:val="en-US"/>
        </w:rPr>
        <w:t xml:space="preserve"> is</w:t>
      </w:r>
      <w:r w:rsidRPr="00A22DE9">
        <w:rPr>
          <w:sz w:val="20"/>
          <w:szCs w:val="20"/>
          <w:lang w:val="en-US"/>
        </w:rPr>
        <w:t xml:space="preserve"> False Positive</w:t>
      </w:r>
      <w:r>
        <w:rPr>
          <w:sz w:val="20"/>
          <w:szCs w:val="20"/>
          <w:lang w:val="en-US"/>
        </w:rPr>
        <w:t xml:space="preserve"> Rate</w:t>
      </w:r>
      <w:r w:rsidRPr="00A22DE9">
        <w:rPr>
          <w:sz w:val="20"/>
          <w:szCs w:val="20"/>
          <w:lang w:val="en-US"/>
        </w:rPr>
        <w:t xml:space="preserve">, FN </w:t>
      </w:r>
      <w:r>
        <w:rPr>
          <w:sz w:val="20"/>
          <w:szCs w:val="20"/>
          <w:lang w:val="en-US"/>
        </w:rPr>
        <w:t>is</w:t>
      </w:r>
      <w:r w:rsidRPr="00A22DE9">
        <w:rPr>
          <w:sz w:val="20"/>
          <w:szCs w:val="20"/>
          <w:lang w:val="en-US"/>
        </w:rPr>
        <w:t xml:space="preserve"> False Negative</w:t>
      </w:r>
      <w:r>
        <w:rPr>
          <w:sz w:val="20"/>
          <w:szCs w:val="20"/>
          <w:lang w:val="en-US"/>
        </w:rPr>
        <w:t xml:space="preserve"> Rate.</w:t>
      </w:r>
      <w:r w:rsidRPr="00A22DE9">
        <w:rPr>
          <w:sz w:val="20"/>
          <w:szCs w:val="20"/>
          <w:lang w:val="en-US"/>
        </w:rPr>
        <w:t xml:space="preserve"> </w:t>
      </w:r>
      <w:r>
        <w:rPr>
          <w:sz w:val="20"/>
          <w:szCs w:val="20"/>
          <w:lang w:val="en-US"/>
        </w:rPr>
        <w:t>0</w:t>
      </w:r>
      <w:r w:rsidR="00216D06">
        <w:rPr>
          <w:sz w:val="20"/>
          <w:szCs w:val="20"/>
          <w:lang w:val="en-US"/>
        </w:rPr>
        <w:t xml:space="preserve"> </w:t>
      </w:r>
      <w:r>
        <w:rPr>
          <w:rFonts w:cs="Times New Roman"/>
          <w:sz w:val="20"/>
          <w:szCs w:val="20"/>
          <w:lang w:val="en-US"/>
        </w:rPr>
        <w:t>≤</w:t>
      </w:r>
      <w:r w:rsidR="00216D06">
        <w:rPr>
          <w:rFonts w:cs="Times New Roman"/>
          <w:sz w:val="20"/>
          <w:szCs w:val="20"/>
          <w:lang w:val="en-US"/>
        </w:rPr>
        <w:t xml:space="preserve"> </w:t>
      </w:r>
      <w:r>
        <w:rPr>
          <w:sz w:val="20"/>
          <w:szCs w:val="20"/>
          <w:lang w:val="en-US"/>
        </w:rPr>
        <w:t>AUROC</w:t>
      </w:r>
      <w:r w:rsidR="00216D06">
        <w:rPr>
          <w:sz w:val="20"/>
          <w:szCs w:val="20"/>
          <w:lang w:val="en-US"/>
        </w:rPr>
        <w:t xml:space="preserve"> </w:t>
      </w:r>
      <w:r>
        <w:rPr>
          <w:rFonts w:cs="Times New Roman"/>
          <w:sz w:val="20"/>
          <w:szCs w:val="20"/>
          <w:lang w:val="en-US"/>
        </w:rPr>
        <w:t>≤1</w:t>
      </w:r>
      <w:r>
        <w:rPr>
          <w:sz w:val="20"/>
          <w:szCs w:val="20"/>
          <w:lang w:val="en-US"/>
        </w:rPr>
        <w:t xml:space="preserve"> is calculated as defined in Section 3B. </w:t>
      </w:r>
      <w:r w:rsidRPr="00A22DE9">
        <w:rPr>
          <w:sz w:val="20"/>
          <w:szCs w:val="20"/>
          <w:lang w:val="en-US"/>
        </w:rPr>
        <w:t>A one-quarter publication lag is used for quarterly variables</w:t>
      </w:r>
      <w:r w:rsidR="00216D06">
        <w:rPr>
          <w:sz w:val="20"/>
          <w:szCs w:val="20"/>
          <w:lang w:val="en-US"/>
        </w:rPr>
        <w:t xml:space="preserve"> (</w:t>
      </w:r>
      <w:r w:rsidRPr="00A22DE9">
        <w:rPr>
          <w:sz w:val="20"/>
          <w:szCs w:val="20"/>
          <w:lang w:val="en-US"/>
        </w:rPr>
        <w:t>except for equity prices</w:t>
      </w:r>
      <w:r w:rsidR="00216D06">
        <w:rPr>
          <w:sz w:val="20"/>
          <w:szCs w:val="20"/>
          <w:lang w:val="en-US"/>
        </w:rPr>
        <w:t>)</w:t>
      </w:r>
      <w:r w:rsidRPr="00A22DE9">
        <w:rPr>
          <w:sz w:val="20"/>
          <w:szCs w:val="20"/>
          <w:lang w:val="en-US"/>
        </w:rPr>
        <w:t>.</w:t>
      </w:r>
      <w:r>
        <w:rPr>
          <w:sz w:val="20"/>
          <w:szCs w:val="20"/>
          <w:lang w:val="en-US"/>
        </w:rPr>
        <w:t xml:space="preserve"> Crisis definitions are according to the ESRB crisis dataset (Detken </w:t>
      </w:r>
      <w:r w:rsidR="000B2E8F" w:rsidRPr="000463F7">
        <w:rPr>
          <w:sz w:val="20"/>
          <w:szCs w:val="20"/>
          <w:lang w:val="en-US"/>
        </w:rPr>
        <w:t>et al.</w:t>
      </w:r>
      <w:r w:rsidR="00F15E31">
        <w:rPr>
          <w:sz w:val="20"/>
          <w:szCs w:val="20"/>
          <w:lang w:val="en-US"/>
        </w:rPr>
        <w:t>,</w:t>
      </w:r>
      <w:r>
        <w:rPr>
          <w:sz w:val="20"/>
          <w:szCs w:val="20"/>
          <w:lang w:val="en-US"/>
        </w:rPr>
        <w:t xml:space="preserve"> 2014). The pre-crisis period </w:t>
      </w:r>
      <w:r w:rsidR="00216D06">
        <w:rPr>
          <w:sz w:val="20"/>
          <w:szCs w:val="20"/>
          <w:lang w:val="en-US"/>
        </w:rPr>
        <w:t>runs</w:t>
      </w:r>
      <w:r>
        <w:rPr>
          <w:sz w:val="20"/>
          <w:szCs w:val="20"/>
          <w:lang w:val="en-US"/>
        </w:rPr>
        <w:t xml:space="preserve"> from 12 to 5 quarters before each crisis.</w:t>
      </w:r>
      <w:r w:rsidR="00090D5E">
        <w:rPr>
          <w:lang w:val="en-US" w:eastAsia="fi-FI"/>
        </w:rPr>
        <w:br/>
      </w:r>
    </w:p>
    <w:p w14:paraId="76582970" w14:textId="77777777" w:rsidR="00090D5E" w:rsidRDefault="00090D5E" w:rsidP="00090D5E">
      <w:pPr>
        <w:tabs>
          <w:tab w:val="clear" w:pos="2520"/>
        </w:tabs>
        <w:spacing w:after="160" w:line="259" w:lineRule="auto"/>
        <w:ind w:firstLine="0"/>
        <w:jc w:val="left"/>
        <w:textAlignment w:val="auto"/>
        <w:rPr>
          <w:b/>
          <w:lang w:val="en-US"/>
        </w:rPr>
      </w:pPr>
      <w:r>
        <w:rPr>
          <w:b/>
          <w:lang w:val="en-US"/>
        </w:rPr>
        <w:br w:type="page"/>
      </w:r>
    </w:p>
    <w:p w14:paraId="2DF419AA" w14:textId="38D10D22" w:rsidR="00E27284" w:rsidRDefault="00AA78FD" w:rsidP="00AA78FD">
      <w:pPr>
        <w:spacing w:line="360" w:lineRule="auto"/>
        <w:ind w:firstLine="0"/>
        <w:rPr>
          <w:b/>
          <w:lang w:val="en-US"/>
        </w:rPr>
      </w:pPr>
      <w:r w:rsidRPr="00315FB0">
        <w:rPr>
          <w:b/>
          <w:lang w:val="en-US"/>
        </w:rPr>
        <w:t xml:space="preserve">Table </w:t>
      </w:r>
      <w:r>
        <w:rPr>
          <w:b/>
          <w:lang w:val="en-US"/>
        </w:rPr>
        <w:t>12</w:t>
      </w:r>
    </w:p>
    <w:p w14:paraId="2F3AAC05" w14:textId="25451141" w:rsidR="00AA78FD" w:rsidRPr="000463F7" w:rsidRDefault="00AA78FD" w:rsidP="00AA78FD">
      <w:pPr>
        <w:spacing w:line="360" w:lineRule="auto"/>
        <w:ind w:firstLine="0"/>
        <w:rPr>
          <w:lang w:val="en-US"/>
        </w:rPr>
      </w:pPr>
      <w:r w:rsidRPr="000463F7">
        <w:rPr>
          <w:lang w:val="en-US"/>
        </w:rPr>
        <w:t>Alternative crisis definitions</w:t>
      </w:r>
      <w:r w:rsidR="00E27284">
        <w:rPr>
          <w:lang w:val="en-US"/>
        </w:rPr>
        <w:t>.</w:t>
      </w:r>
    </w:p>
    <w:p w14:paraId="2989D15E" w14:textId="77777777" w:rsidR="00AA78FD" w:rsidRPr="000463F7" w:rsidRDefault="00AA78FD" w:rsidP="00AA78FD">
      <w:pPr>
        <w:spacing w:line="240" w:lineRule="auto"/>
        <w:ind w:firstLine="0"/>
        <w:jc w:val="center"/>
        <w:rPr>
          <w:b/>
          <w:szCs w:val="24"/>
          <w:lang w:val="en-US"/>
        </w:rPr>
      </w:pPr>
      <w:r w:rsidRPr="000463F7">
        <w:rPr>
          <w:b/>
          <w:szCs w:val="24"/>
          <w:lang w:val="en-US"/>
        </w:rPr>
        <w:t>Laeven and Valencia</w:t>
      </w:r>
      <w:r w:rsidR="00066A21" w:rsidRPr="000463F7">
        <w:rPr>
          <w:b/>
          <w:szCs w:val="24"/>
          <w:lang w:val="en-US"/>
        </w:rPr>
        <w:t xml:space="preserve"> (2012)</w:t>
      </w:r>
      <w:r w:rsidRPr="000463F7">
        <w:rPr>
          <w:b/>
          <w:szCs w:val="24"/>
          <w:lang w:val="en-US"/>
        </w:rPr>
        <w:t xml:space="preserve"> crisis dating</w:t>
      </w:r>
    </w:p>
    <w:p w14:paraId="541E0183" w14:textId="1CA3F831" w:rsidR="00216D06" w:rsidRDefault="009C1C9A" w:rsidP="00AA78FD">
      <w:pPr>
        <w:spacing w:line="360" w:lineRule="auto"/>
        <w:ind w:firstLine="0"/>
        <w:rPr>
          <w:b/>
          <w:lang w:val="en-US"/>
        </w:rPr>
      </w:pPr>
      <w:r w:rsidRPr="009C1C9A">
        <w:rPr>
          <w:noProof/>
          <w:lang w:eastAsia="fi-FI"/>
        </w:rPr>
        <w:drawing>
          <wp:inline distT="0" distB="0" distL="0" distR="0" wp14:anchorId="4E8804E3" wp14:editId="623C42BF">
            <wp:extent cx="5324400" cy="32436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24400" cy="3243600"/>
                    </a:xfrm>
                    <a:prstGeom prst="rect">
                      <a:avLst/>
                    </a:prstGeom>
                    <a:noFill/>
                    <a:ln>
                      <a:noFill/>
                    </a:ln>
                  </pic:spPr>
                </pic:pic>
              </a:graphicData>
            </a:graphic>
          </wp:inline>
        </w:drawing>
      </w:r>
    </w:p>
    <w:p w14:paraId="3A9C59C3" w14:textId="77777777" w:rsidR="00AA78FD" w:rsidRPr="000463F7" w:rsidRDefault="00066A21" w:rsidP="00AA78FD">
      <w:pPr>
        <w:spacing w:line="240" w:lineRule="auto"/>
        <w:ind w:firstLine="0"/>
        <w:jc w:val="center"/>
        <w:rPr>
          <w:b/>
          <w:szCs w:val="24"/>
          <w:lang w:val="en-US"/>
        </w:rPr>
      </w:pPr>
      <w:r w:rsidRPr="000463F7">
        <w:rPr>
          <w:b/>
          <w:szCs w:val="24"/>
          <w:lang w:val="en-US"/>
        </w:rPr>
        <w:t xml:space="preserve">Lo Duca et al. (2017) </w:t>
      </w:r>
      <w:r w:rsidR="00AA78FD" w:rsidRPr="000463F7">
        <w:rPr>
          <w:b/>
          <w:szCs w:val="24"/>
          <w:lang w:val="en-US"/>
        </w:rPr>
        <w:t>ECB/ESRB EU crisis dating</w:t>
      </w:r>
    </w:p>
    <w:p w14:paraId="1B2C5AF2" w14:textId="77F08C1E" w:rsidR="00AA78FD" w:rsidRDefault="009C1C9A" w:rsidP="00AA78FD">
      <w:pPr>
        <w:spacing w:line="360" w:lineRule="auto"/>
        <w:ind w:firstLine="0"/>
        <w:rPr>
          <w:b/>
          <w:lang w:val="en-US"/>
        </w:rPr>
      </w:pPr>
      <w:r w:rsidRPr="009C1C9A">
        <w:rPr>
          <w:noProof/>
          <w:lang w:eastAsia="fi-FI"/>
        </w:rPr>
        <w:drawing>
          <wp:inline distT="0" distB="0" distL="0" distR="0" wp14:anchorId="13FB92D8" wp14:editId="3CD9904C">
            <wp:extent cx="5317200" cy="32364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17200" cy="3236400"/>
                    </a:xfrm>
                    <a:prstGeom prst="rect">
                      <a:avLst/>
                    </a:prstGeom>
                    <a:noFill/>
                    <a:ln>
                      <a:noFill/>
                    </a:ln>
                  </pic:spPr>
                </pic:pic>
              </a:graphicData>
            </a:graphic>
          </wp:inline>
        </w:drawing>
      </w:r>
    </w:p>
    <w:p w14:paraId="068B619A" w14:textId="6455B172" w:rsidR="00216D06" w:rsidRDefault="00216D06" w:rsidP="00216D06">
      <w:pPr>
        <w:spacing w:line="240" w:lineRule="auto"/>
        <w:ind w:firstLine="0"/>
        <w:rPr>
          <w:szCs w:val="24"/>
          <w:lang w:val="en-US"/>
        </w:rPr>
      </w:pPr>
      <w:r>
        <w:rPr>
          <w:szCs w:val="24"/>
          <w:lang w:val="en-US"/>
        </w:rPr>
        <w:t>T</w:t>
      </w:r>
      <w:r w:rsidRPr="00981B3D">
        <w:rPr>
          <w:szCs w:val="24"/>
          <w:lang w:val="en-US"/>
        </w:rPr>
        <w:t>he</w:t>
      </w:r>
      <w:r>
        <w:rPr>
          <w:szCs w:val="24"/>
          <w:lang w:val="en-US"/>
        </w:rPr>
        <w:t xml:space="preserve"> in-sample</w:t>
      </w:r>
      <w:r w:rsidRPr="00981B3D">
        <w:rPr>
          <w:szCs w:val="24"/>
          <w:lang w:val="en-US"/>
        </w:rPr>
        <w:t xml:space="preserve"> performance statistics for </w:t>
      </w:r>
      <w:r>
        <w:rPr>
          <w:szCs w:val="24"/>
          <w:lang w:val="en-US"/>
        </w:rPr>
        <w:t xml:space="preserve">the </w:t>
      </w:r>
      <w:r w:rsidRPr="00981B3D">
        <w:rPr>
          <w:szCs w:val="24"/>
          <w:lang w:val="en-US"/>
        </w:rPr>
        <w:t>individual exuberance indicators and the benchmark signaling method</w:t>
      </w:r>
      <w:r>
        <w:rPr>
          <w:szCs w:val="24"/>
          <w:lang w:val="en-US"/>
        </w:rPr>
        <w:t xml:space="preserve"> with two alternative crisis-dating schemes are reported here</w:t>
      </w:r>
      <w:r w:rsidRPr="00981B3D">
        <w:rPr>
          <w:szCs w:val="24"/>
          <w:lang w:val="en-US"/>
        </w:rPr>
        <w:t xml:space="preserve">. Three alternative specifications for policymaker’s preference </w:t>
      </w:r>
      <w:r w:rsidRPr="00981B3D">
        <w:rPr>
          <w:rFonts w:cs="Times New Roman"/>
          <w:szCs w:val="24"/>
          <w:lang w:val="en-US"/>
        </w:rPr>
        <w:t>θ</w:t>
      </w:r>
      <w:r w:rsidRPr="00981B3D">
        <w:rPr>
          <w:szCs w:val="24"/>
          <w:lang w:val="en-US"/>
        </w:rPr>
        <w:t xml:space="preserve"> with respect to false alarms (FP) and missed crises (FN) are considered.</w:t>
      </w:r>
    </w:p>
    <w:p w14:paraId="34A3DF59" w14:textId="77777777" w:rsidR="00216D06" w:rsidRDefault="00216D06" w:rsidP="00AA78FD">
      <w:pPr>
        <w:spacing w:line="240" w:lineRule="auto"/>
        <w:ind w:firstLine="0"/>
        <w:rPr>
          <w:sz w:val="20"/>
          <w:szCs w:val="20"/>
          <w:lang w:val="en-US"/>
        </w:rPr>
      </w:pPr>
    </w:p>
    <w:p w14:paraId="0DBC295C" w14:textId="77777777" w:rsidR="00216D06" w:rsidRDefault="00216D06" w:rsidP="00AA78FD">
      <w:pPr>
        <w:spacing w:line="240" w:lineRule="auto"/>
        <w:ind w:firstLine="0"/>
        <w:rPr>
          <w:sz w:val="20"/>
          <w:szCs w:val="20"/>
          <w:lang w:val="en-US"/>
        </w:rPr>
      </w:pPr>
    </w:p>
    <w:p w14:paraId="7A4D1913" w14:textId="01819791" w:rsidR="00AA78FD" w:rsidRDefault="00AA78FD" w:rsidP="009C1C9A">
      <w:pPr>
        <w:spacing w:line="240" w:lineRule="auto"/>
        <w:ind w:firstLine="0"/>
        <w:rPr>
          <w:b/>
          <w:lang w:val="en-US"/>
        </w:rPr>
      </w:pPr>
      <w:r w:rsidRPr="00D06C83">
        <w:rPr>
          <w:sz w:val="20"/>
          <w:szCs w:val="20"/>
          <w:lang w:val="en-US"/>
        </w:rPr>
        <w:t>Data covers 1980 to 2012</w:t>
      </w:r>
      <w:r w:rsidRPr="00A22DE9">
        <w:rPr>
          <w:sz w:val="20"/>
          <w:szCs w:val="20"/>
          <w:lang w:val="en-US"/>
        </w:rPr>
        <w:t xml:space="preserve">. </w:t>
      </w:r>
      <w:r>
        <w:rPr>
          <w:sz w:val="20"/>
          <w:szCs w:val="20"/>
          <w:lang w:val="en-US"/>
        </w:rPr>
        <w:t xml:space="preserve">BSADF parameters include the value of </w:t>
      </w:r>
      <w:r>
        <w:rPr>
          <w:rFonts w:cs="Times New Roman"/>
          <w:sz w:val="20"/>
          <w:szCs w:val="20"/>
          <w:lang w:val="en-US"/>
        </w:rPr>
        <w:t>α</w:t>
      </w:r>
      <w:r w:rsidR="00216D06">
        <w:rPr>
          <w:rFonts w:cs="Times New Roman"/>
          <w:sz w:val="20"/>
          <w:szCs w:val="20"/>
          <w:lang w:val="en-US"/>
        </w:rPr>
        <w:t xml:space="preserve"> </w:t>
      </w:r>
      <w:r>
        <w:rPr>
          <w:rFonts w:cs="Times New Roman"/>
          <w:sz w:val="20"/>
          <w:szCs w:val="20"/>
          <w:lang w:val="en-US"/>
        </w:rPr>
        <w:t>=</w:t>
      </w:r>
      <w:r w:rsidR="00216D06">
        <w:rPr>
          <w:rFonts w:cs="Times New Roman"/>
          <w:sz w:val="20"/>
          <w:szCs w:val="20"/>
          <w:lang w:val="en-US"/>
        </w:rPr>
        <w:t xml:space="preserve"> </w:t>
      </w:r>
      <w:r>
        <w:rPr>
          <w:rFonts w:cs="Times New Roman"/>
          <w:sz w:val="20"/>
          <w:szCs w:val="20"/>
          <w:lang w:val="en-US"/>
        </w:rPr>
        <w:t>0.05,</w:t>
      </w:r>
      <w:r w:rsidDel="00C41179">
        <w:rPr>
          <w:sz w:val="20"/>
          <w:szCs w:val="20"/>
          <w:lang w:val="en-US"/>
        </w:rPr>
        <w:t xml:space="preserve"> </w:t>
      </w:r>
      <w:r>
        <w:rPr>
          <w:sz w:val="20"/>
          <w:szCs w:val="20"/>
          <w:lang w:val="en-US"/>
        </w:rPr>
        <w:t>minimum w</w:t>
      </w:r>
      <w:r w:rsidRPr="00A22DE9">
        <w:rPr>
          <w:sz w:val="20"/>
          <w:szCs w:val="20"/>
          <w:lang w:val="en-US"/>
        </w:rPr>
        <w:t xml:space="preserve">indow length </w:t>
      </w:r>
      <w:r>
        <w:rPr>
          <w:sz w:val="20"/>
          <w:szCs w:val="20"/>
          <w:lang w:val="en-US"/>
        </w:rPr>
        <w:t>= 24 quarters and lag length = 2</w:t>
      </w:r>
      <w:r w:rsidRPr="00A22DE9">
        <w:rPr>
          <w:sz w:val="20"/>
          <w:szCs w:val="20"/>
          <w:lang w:val="en-US"/>
        </w:rPr>
        <w:t xml:space="preserve">. </w:t>
      </w:r>
      <w:r w:rsidRPr="00981B3D">
        <w:rPr>
          <w:sz w:val="20"/>
          <w:szCs w:val="20"/>
          <w:lang w:val="en-US"/>
        </w:rPr>
        <w:t>For the signaling benchmark, the variables are transformed using 2</w:t>
      </w:r>
      <w:r w:rsidR="00216D06">
        <w:rPr>
          <w:sz w:val="20"/>
          <w:szCs w:val="20"/>
          <w:lang w:val="en-US"/>
        </w:rPr>
        <w:t>-</w:t>
      </w:r>
      <w:r w:rsidRPr="00981B3D">
        <w:rPr>
          <w:sz w:val="20"/>
          <w:szCs w:val="20"/>
          <w:lang w:val="en-US"/>
        </w:rPr>
        <w:t>year differences or growth rates</w:t>
      </w:r>
      <w:r>
        <w:rPr>
          <w:sz w:val="20"/>
          <w:szCs w:val="20"/>
          <w:lang w:val="en-US"/>
        </w:rPr>
        <w:t xml:space="preserve"> (except debt service ratios, which are in levels)</w:t>
      </w:r>
      <w:r w:rsidRPr="00981B3D">
        <w:rPr>
          <w:sz w:val="20"/>
          <w:szCs w:val="20"/>
          <w:lang w:val="en-US"/>
        </w:rPr>
        <w:t>.</w:t>
      </w:r>
      <w:r w:rsidDel="00C41179">
        <w:rPr>
          <w:sz w:val="20"/>
          <w:szCs w:val="20"/>
          <w:lang w:val="en-US"/>
        </w:rPr>
        <w:t xml:space="preserve"> </w:t>
      </w:r>
      <w:r>
        <w:rPr>
          <w:sz w:val="20"/>
          <w:szCs w:val="20"/>
          <w:lang w:val="en-US"/>
        </w:rPr>
        <w:t xml:space="preserve">RU </w:t>
      </w:r>
      <w:r w:rsidR="00216D06">
        <w:rPr>
          <w:sz w:val="20"/>
          <w:szCs w:val="20"/>
          <w:lang w:val="en-US"/>
        </w:rPr>
        <w:t xml:space="preserve"> </w:t>
      </w:r>
      <w:r>
        <w:rPr>
          <w:rFonts w:cs="Times New Roman"/>
          <w:sz w:val="20"/>
          <w:szCs w:val="20"/>
          <w:lang w:val="en-US"/>
        </w:rPr>
        <w:t>≤</w:t>
      </w:r>
      <w:r>
        <w:rPr>
          <w:sz w:val="20"/>
          <w:szCs w:val="20"/>
          <w:lang w:val="en-US"/>
        </w:rPr>
        <w:t xml:space="preserve"> 1 is the relative usefulness given </w:t>
      </w:r>
      <w:r w:rsidRPr="00A22DE9">
        <w:rPr>
          <w:sz w:val="20"/>
          <w:szCs w:val="20"/>
          <w:lang w:val="en-US"/>
        </w:rPr>
        <w:t>the policymaker’s preference parameter</w:t>
      </w:r>
      <w:r>
        <w:rPr>
          <w:sz w:val="20"/>
          <w:szCs w:val="20"/>
          <w:lang w:val="en-US"/>
        </w:rPr>
        <w:t xml:space="preserve"> </w:t>
      </w:r>
      <w:r>
        <w:rPr>
          <w:rFonts w:cs="Times New Roman"/>
          <w:sz w:val="20"/>
          <w:szCs w:val="20"/>
          <w:lang w:val="en-US"/>
        </w:rPr>
        <w:t>θ</w:t>
      </w:r>
      <w:r>
        <w:rPr>
          <w:sz w:val="20"/>
          <w:szCs w:val="20"/>
          <w:lang w:val="en-US"/>
        </w:rPr>
        <w:t xml:space="preserve"> (see </w:t>
      </w:r>
      <w:r w:rsidR="00216D06">
        <w:rPr>
          <w:sz w:val="20"/>
          <w:szCs w:val="20"/>
          <w:lang w:val="en-US"/>
        </w:rPr>
        <w:t xml:space="preserve">Section </w:t>
      </w:r>
      <w:r>
        <w:rPr>
          <w:sz w:val="20"/>
          <w:szCs w:val="20"/>
          <w:lang w:val="en-US"/>
        </w:rPr>
        <w:t>3B for definition), absolute usefulness = Min(</w:t>
      </w:r>
      <w:r>
        <w:rPr>
          <w:rFonts w:cs="Times New Roman"/>
          <w:sz w:val="20"/>
          <w:szCs w:val="20"/>
          <w:lang w:val="en-US"/>
        </w:rPr>
        <w:t>θ</w:t>
      </w:r>
      <w:r>
        <w:rPr>
          <w:sz w:val="20"/>
          <w:szCs w:val="20"/>
          <w:lang w:val="en-US"/>
        </w:rPr>
        <w:t xml:space="preserve"> ,1-</w:t>
      </w:r>
      <w:r w:rsidRPr="002B6529">
        <w:rPr>
          <w:rFonts w:cs="Times New Roman"/>
          <w:sz w:val="20"/>
          <w:szCs w:val="20"/>
          <w:lang w:val="en-US"/>
        </w:rPr>
        <w:t xml:space="preserve"> </w:t>
      </w:r>
      <w:r>
        <w:rPr>
          <w:rFonts w:cs="Times New Roman"/>
          <w:sz w:val="20"/>
          <w:szCs w:val="20"/>
          <w:lang w:val="en-US"/>
        </w:rPr>
        <w:t>θ</w:t>
      </w:r>
      <w:r>
        <w:rPr>
          <w:sz w:val="20"/>
          <w:szCs w:val="20"/>
          <w:lang w:val="en-US"/>
        </w:rPr>
        <w:t xml:space="preserve">)RU, </w:t>
      </w:r>
      <w:r w:rsidRPr="00A22DE9">
        <w:rPr>
          <w:sz w:val="20"/>
          <w:szCs w:val="20"/>
          <w:lang w:val="en-US"/>
        </w:rPr>
        <w:t>FP</w:t>
      </w:r>
      <w:r>
        <w:rPr>
          <w:sz w:val="20"/>
          <w:szCs w:val="20"/>
          <w:lang w:val="en-US"/>
        </w:rPr>
        <w:t xml:space="preserve"> is</w:t>
      </w:r>
      <w:r w:rsidRPr="00A22DE9">
        <w:rPr>
          <w:sz w:val="20"/>
          <w:szCs w:val="20"/>
          <w:lang w:val="en-US"/>
        </w:rPr>
        <w:t xml:space="preserve"> False Positive</w:t>
      </w:r>
      <w:r>
        <w:rPr>
          <w:sz w:val="20"/>
          <w:szCs w:val="20"/>
          <w:lang w:val="en-US"/>
        </w:rPr>
        <w:t xml:space="preserve"> Rate</w:t>
      </w:r>
      <w:r w:rsidRPr="00A22DE9">
        <w:rPr>
          <w:sz w:val="20"/>
          <w:szCs w:val="20"/>
          <w:lang w:val="en-US"/>
        </w:rPr>
        <w:t xml:space="preserve">, FN </w:t>
      </w:r>
      <w:r>
        <w:rPr>
          <w:sz w:val="20"/>
          <w:szCs w:val="20"/>
          <w:lang w:val="en-US"/>
        </w:rPr>
        <w:t>is</w:t>
      </w:r>
      <w:r w:rsidRPr="00A22DE9">
        <w:rPr>
          <w:sz w:val="20"/>
          <w:szCs w:val="20"/>
          <w:lang w:val="en-US"/>
        </w:rPr>
        <w:t xml:space="preserve"> False Negative</w:t>
      </w:r>
      <w:r>
        <w:rPr>
          <w:sz w:val="20"/>
          <w:szCs w:val="20"/>
          <w:lang w:val="en-US"/>
        </w:rPr>
        <w:t xml:space="preserve"> Rate.</w:t>
      </w:r>
      <w:r w:rsidRPr="00A22DE9">
        <w:rPr>
          <w:sz w:val="20"/>
          <w:szCs w:val="20"/>
          <w:lang w:val="en-US"/>
        </w:rPr>
        <w:t xml:space="preserve"> </w:t>
      </w:r>
      <w:r w:rsidR="00066A21">
        <w:rPr>
          <w:sz w:val="20"/>
          <w:szCs w:val="20"/>
          <w:lang w:val="en-US"/>
        </w:rPr>
        <w:t xml:space="preserve">Note that </w:t>
      </w:r>
      <w:r w:rsidR="00066A21" w:rsidRPr="00216D06">
        <w:rPr>
          <w:sz w:val="20"/>
          <w:szCs w:val="20"/>
          <w:lang w:val="en-US"/>
        </w:rPr>
        <w:t xml:space="preserve">since </w:t>
      </w:r>
      <w:r w:rsidR="00066A21" w:rsidRPr="000463F7">
        <w:rPr>
          <w:rFonts w:cs="Times New Roman"/>
          <w:sz w:val="20"/>
          <w:szCs w:val="20"/>
          <w:lang w:val="en-US"/>
        </w:rPr>
        <w:t>α is fixed, the FP and FN are independent of</w:t>
      </w:r>
      <w:r w:rsidR="00066A21">
        <w:rPr>
          <w:rFonts w:cs="Times New Roman"/>
          <w:sz w:val="18"/>
          <w:szCs w:val="18"/>
          <w:lang w:val="en-US"/>
        </w:rPr>
        <w:t xml:space="preserve"> </w:t>
      </w:r>
      <w:r w:rsidR="00066A21">
        <w:rPr>
          <w:rFonts w:cs="Times New Roman"/>
          <w:sz w:val="20"/>
          <w:szCs w:val="20"/>
          <w:lang w:val="en-US"/>
        </w:rPr>
        <w:t>θ</w:t>
      </w:r>
      <w:r w:rsidR="00066A21">
        <w:rPr>
          <w:rFonts w:cs="Times New Roman"/>
          <w:sz w:val="18"/>
          <w:szCs w:val="18"/>
          <w:lang w:val="en-US"/>
        </w:rPr>
        <w:t xml:space="preserve">. </w:t>
      </w:r>
      <w:r>
        <w:rPr>
          <w:sz w:val="20"/>
          <w:szCs w:val="20"/>
          <w:lang w:val="en-US"/>
        </w:rPr>
        <w:t>0</w:t>
      </w:r>
      <w:r>
        <w:rPr>
          <w:rFonts w:cs="Times New Roman"/>
          <w:sz w:val="20"/>
          <w:szCs w:val="20"/>
          <w:lang w:val="en-US"/>
        </w:rPr>
        <w:t>≤</w:t>
      </w:r>
      <w:r>
        <w:rPr>
          <w:sz w:val="20"/>
          <w:szCs w:val="20"/>
          <w:lang w:val="en-US"/>
        </w:rPr>
        <w:t>AUROC</w:t>
      </w:r>
      <w:r>
        <w:rPr>
          <w:rFonts w:cs="Times New Roman"/>
          <w:sz w:val="20"/>
          <w:szCs w:val="20"/>
          <w:lang w:val="en-US"/>
        </w:rPr>
        <w:t>≤1</w:t>
      </w:r>
      <w:r>
        <w:rPr>
          <w:sz w:val="20"/>
          <w:szCs w:val="20"/>
          <w:lang w:val="en-US"/>
        </w:rPr>
        <w:t xml:space="preserve"> is calculated as defined in Section 3B. </w:t>
      </w:r>
      <w:r w:rsidRPr="00A22DE9">
        <w:rPr>
          <w:sz w:val="20"/>
          <w:szCs w:val="20"/>
          <w:lang w:val="en-US"/>
        </w:rPr>
        <w:t>A one-quarter publication lag is used for quarterly variables</w:t>
      </w:r>
      <w:r w:rsidR="00216D06">
        <w:rPr>
          <w:sz w:val="20"/>
          <w:szCs w:val="20"/>
          <w:lang w:val="en-US"/>
        </w:rPr>
        <w:t xml:space="preserve"> (</w:t>
      </w:r>
      <w:r w:rsidRPr="00A22DE9">
        <w:rPr>
          <w:sz w:val="20"/>
          <w:szCs w:val="20"/>
          <w:lang w:val="en-US"/>
        </w:rPr>
        <w:t>except for equity prices</w:t>
      </w:r>
      <w:r w:rsidR="00216D06">
        <w:rPr>
          <w:sz w:val="20"/>
          <w:szCs w:val="20"/>
          <w:lang w:val="en-US"/>
        </w:rPr>
        <w:t>)</w:t>
      </w:r>
      <w:r w:rsidRPr="00A22DE9">
        <w:rPr>
          <w:sz w:val="20"/>
          <w:szCs w:val="20"/>
          <w:lang w:val="en-US"/>
        </w:rPr>
        <w:t>.</w:t>
      </w:r>
      <w:r>
        <w:rPr>
          <w:sz w:val="20"/>
          <w:szCs w:val="20"/>
          <w:lang w:val="en-US"/>
        </w:rPr>
        <w:t xml:space="preserve"> The pre-crisis period </w:t>
      </w:r>
      <w:r w:rsidR="00216D06">
        <w:rPr>
          <w:sz w:val="20"/>
          <w:szCs w:val="20"/>
          <w:lang w:val="en-US"/>
        </w:rPr>
        <w:t xml:space="preserve">runs </w:t>
      </w:r>
      <w:r>
        <w:rPr>
          <w:sz w:val="20"/>
          <w:szCs w:val="20"/>
          <w:lang w:val="en-US"/>
        </w:rPr>
        <w:t>from 12 to 5 quarters before each crisis.</w:t>
      </w:r>
      <w:r>
        <w:rPr>
          <w:b/>
          <w:lang w:val="en-US"/>
        </w:rPr>
        <w:br w:type="page"/>
      </w:r>
    </w:p>
    <w:p w14:paraId="7AC7EF86" w14:textId="27EAED3D" w:rsidR="004852E0" w:rsidRDefault="00874BFE" w:rsidP="00F258F0">
      <w:pPr>
        <w:tabs>
          <w:tab w:val="clear" w:pos="2520"/>
        </w:tabs>
        <w:spacing w:after="160" w:line="259" w:lineRule="auto"/>
        <w:ind w:firstLine="0"/>
        <w:jc w:val="left"/>
        <w:textAlignment w:val="auto"/>
        <w:rPr>
          <w:sz w:val="20"/>
          <w:szCs w:val="20"/>
          <w:lang w:val="en-US" w:eastAsia="fi-FI"/>
        </w:rPr>
      </w:pPr>
      <w:r>
        <w:rPr>
          <w:noProof/>
          <w:sz w:val="20"/>
          <w:szCs w:val="20"/>
          <w:lang w:eastAsia="fi-FI"/>
        </w:rPr>
        <w:drawing>
          <wp:inline distT="0" distB="0" distL="0" distR="0" wp14:anchorId="7A9C06E3" wp14:editId="582B5F52">
            <wp:extent cx="6166800" cy="8157600"/>
            <wp:effectExtent l="0" t="0" r="5715" b="0"/>
            <wp:docPr id="4684" name="Picture 4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4" name="Kuva_L_CB2GDP_new_crop.emf"/>
                    <pic:cNvPicPr/>
                  </pic:nvPicPr>
                  <pic:blipFill>
                    <a:blip r:embed="rId28">
                      <a:extLst>
                        <a:ext uri="{28A0092B-C50C-407E-A947-70E740481C1C}">
                          <a14:useLocalDpi xmlns:a14="http://schemas.microsoft.com/office/drawing/2010/main" val="0"/>
                        </a:ext>
                      </a:extLst>
                    </a:blip>
                    <a:stretch>
                      <a:fillRect/>
                    </a:stretch>
                  </pic:blipFill>
                  <pic:spPr>
                    <a:xfrm>
                      <a:off x="0" y="0"/>
                      <a:ext cx="6166800" cy="8157600"/>
                    </a:xfrm>
                    <a:prstGeom prst="rect">
                      <a:avLst/>
                    </a:prstGeom>
                  </pic:spPr>
                </pic:pic>
              </a:graphicData>
            </a:graphic>
          </wp:inline>
        </w:drawing>
      </w:r>
    </w:p>
    <w:p w14:paraId="633CF12C" w14:textId="2745ECD6" w:rsidR="003931B4" w:rsidRPr="00AF445D" w:rsidRDefault="002E7672" w:rsidP="00AF445D">
      <w:pPr>
        <w:spacing w:line="240" w:lineRule="auto"/>
        <w:ind w:firstLine="0"/>
        <w:jc w:val="left"/>
        <w:rPr>
          <w:b/>
          <w:szCs w:val="24"/>
          <w:lang w:val="en-US"/>
        </w:rPr>
      </w:pPr>
      <w:r w:rsidRPr="000463F7">
        <w:rPr>
          <w:b/>
          <w:szCs w:val="24"/>
          <w:lang w:val="en-US" w:eastAsia="fi-FI"/>
        </w:rPr>
        <w:t>Figure 1.</w:t>
      </w:r>
      <w:r w:rsidRPr="00AF445D">
        <w:rPr>
          <w:szCs w:val="24"/>
          <w:lang w:val="en-US" w:eastAsia="fi-FI"/>
        </w:rPr>
        <w:t xml:space="preserve"> </w:t>
      </w:r>
      <w:r w:rsidR="002E4E58" w:rsidRPr="00AF445D">
        <w:rPr>
          <w:szCs w:val="24"/>
          <w:lang w:val="en-US" w:eastAsia="fi-FI"/>
        </w:rPr>
        <w:t xml:space="preserve">The line curve is </w:t>
      </w:r>
      <w:r w:rsidR="007F1357" w:rsidRPr="00AF445D">
        <w:rPr>
          <w:szCs w:val="24"/>
          <w:lang w:val="en-US" w:eastAsia="fi-FI"/>
        </w:rPr>
        <w:t>b</w:t>
      </w:r>
      <w:r w:rsidRPr="00AF445D">
        <w:rPr>
          <w:szCs w:val="24"/>
          <w:lang w:val="en-US" w:eastAsia="fi-FI"/>
        </w:rPr>
        <w:t>ank credit to GDP ratio</w:t>
      </w:r>
      <w:r w:rsidR="007F1357" w:rsidRPr="00AF445D">
        <w:rPr>
          <w:szCs w:val="24"/>
          <w:lang w:val="en-US" w:eastAsia="fi-FI"/>
        </w:rPr>
        <w:t xml:space="preserve"> (BIS data)</w:t>
      </w:r>
      <w:r w:rsidRPr="00AF445D">
        <w:rPr>
          <w:szCs w:val="24"/>
          <w:lang w:val="en-US" w:eastAsia="fi-FI"/>
        </w:rPr>
        <w:t xml:space="preserve">. </w:t>
      </w:r>
      <w:r w:rsidR="002E4E58" w:rsidRPr="00AF445D">
        <w:rPr>
          <w:szCs w:val="24"/>
          <w:lang w:val="en-US" w:eastAsia="fi-FI"/>
        </w:rPr>
        <w:t>The full height s</w:t>
      </w:r>
      <w:r w:rsidRPr="00AF445D">
        <w:rPr>
          <w:szCs w:val="24"/>
          <w:lang w:val="en-US" w:eastAsia="fi-FI"/>
        </w:rPr>
        <w:t xml:space="preserve">haded areas </w:t>
      </w:r>
      <w:r w:rsidR="002E4E58" w:rsidRPr="00AF445D">
        <w:rPr>
          <w:szCs w:val="24"/>
          <w:lang w:val="en-US" w:eastAsia="fi-FI"/>
        </w:rPr>
        <w:t xml:space="preserve">are bubble alerts </w:t>
      </w:r>
      <w:r w:rsidR="00DC61C6" w:rsidRPr="00AF445D">
        <w:rPr>
          <w:szCs w:val="24"/>
          <w:lang w:val="en-US" w:eastAsia="fi-FI"/>
        </w:rPr>
        <w:t xml:space="preserve">from </w:t>
      </w:r>
      <w:r w:rsidRPr="00AF445D">
        <w:rPr>
          <w:szCs w:val="24"/>
          <w:lang w:val="en-US" w:eastAsia="fi-FI"/>
        </w:rPr>
        <w:t>the BSADF</w:t>
      </w:r>
      <w:r w:rsidR="00DC61C6" w:rsidRPr="00AF445D">
        <w:rPr>
          <w:szCs w:val="24"/>
          <w:lang w:val="en-US" w:eastAsia="fi-FI"/>
        </w:rPr>
        <w:t xml:space="preserve"> method</w:t>
      </w:r>
      <w:r w:rsidRPr="00AF445D">
        <w:rPr>
          <w:szCs w:val="24"/>
          <w:lang w:val="en-US" w:eastAsia="fi-FI"/>
        </w:rPr>
        <w:t>.</w:t>
      </w:r>
      <w:r w:rsidR="002E4E58" w:rsidRPr="00AF445D">
        <w:rPr>
          <w:szCs w:val="24"/>
          <w:lang w:val="en-US" w:eastAsia="fi-FI"/>
        </w:rPr>
        <w:t xml:space="preserve"> </w:t>
      </w:r>
      <w:r w:rsidR="00A617B2">
        <w:rPr>
          <w:szCs w:val="24"/>
          <w:lang w:val="en-US" w:eastAsia="fi-FI"/>
        </w:rPr>
        <w:t>Half-</w:t>
      </w:r>
      <w:r w:rsidR="00DC61C6" w:rsidRPr="00AF445D">
        <w:rPr>
          <w:szCs w:val="24"/>
          <w:lang w:val="en-US" w:eastAsia="fi-FI"/>
        </w:rPr>
        <w:t xml:space="preserve">height </w:t>
      </w:r>
      <w:r w:rsidR="002E4E58" w:rsidRPr="00AF445D">
        <w:rPr>
          <w:szCs w:val="24"/>
          <w:lang w:val="en-US" w:eastAsia="fi-FI"/>
        </w:rPr>
        <w:t xml:space="preserve">shaded areas are </w:t>
      </w:r>
      <w:r w:rsidR="003931B4" w:rsidRPr="00AF445D">
        <w:rPr>
          <w:szCs w:val="24"/>
          <w:lang w:val="en-US" w:eastAsia="fi-FI"/>
        </w:rPr>
        <w:t xml:space="preserve">pre-crisis </w:t>
      </w:r>
      <w:r w:rsidR="002E4E58" w:rsidRPr="00AF445D">
        <w:rPr>
          <w:szCs w:val="24"/>
          <w:lang w:val="en-US" w:eastAsia="fi-FI"/>
        </w:rPr>
        <w:t xml:space="preserve">periods </w:t>
      </w:r>
      <w:r w:rsidR="003931B4" w:rsidRPr="00AF445D">
        <w:rPr>
          <w:szCs w:val="24"/>
          <w:lang w:val="en-US" w:eastAsia="fi-FI"/>
        </w:rPr>
        <w:t xml:space="preserve">(12 to 5 quarters before crisis). </w:t>
      </w:r>
      <w:r w:rsidR="00A617B2">
        <w:rPr>
          <w:szCs w:val="24"/>
          <w:lang w:val="en-US" w:eastAsia="fi-FI"/>
        </w:rPr>
        <w:t xml:space="preserve">The </w:t>
      </w:r>
      <w:r w:rsidR="00E27284">
        <w:rPr>
          <w:szCs w:val="24"/>
          <w:lang w:val="en-US" w:eastAsia="fi-FI"/>
        </w:rPr>
        <w:t xml:space="preserve">dark short </w:t>
      </w:r>
      <w:r w:rsidR="002E4E58" w:rsidRPr="00AF445D">
        <w:rPr>
          <w:szCs w:val="24"/>
          <w:lang w:val="en-US" w:eastAsia="fi-FI"/>
        </w:rPr>
        <w:t xml:space="preserve">areas are </w:t>
      </w:r>
      <w:r w:rsidR="00446D69">
        <w:rPr>
          <w:szCs w:val="24"/>
          <w:lang w:val="en-US" w:eastAsia="fi-FI"/>
        </w:rPr>
        <w:t xml:space="preserve">the </w:t>
      </w:r>
      <w:r w:rsidR="003931B4" w:rsidRPr="00AF445D">
        <w:rPr>
          <w:szCs w:val="24"/>
          <w:lang w:val="en-US" w:eastAsia="fi-FI"/>
        </w:rPr>
        <w:t xml:space="preserve">financial crisis </w:t>
      </w:r>
      <w:r w:rsidR="002E4E58" w:rsidRPr="00AF445D">
        <w:rPr>
          <w:szCs w:val="24"/>
          <w:lang w:val="en-US" w:eastAsia="fi-FI"/>
        </w:rPr>
        <w:t xml:space="preserve">periods </w:t>
      </w:r>
      <w:r w:rsidR="00DC61C6" w:rsidRPr="00AF445D">
        <w:rPr>
          <w:szCs w:val="24"/>
          <w:lang w:val="en-US" w:eastAsia="fi-FI"/>
        </w:rPr>
        <w:t>in the ESRB crisis dataset</w:t>
      </w:r>
      <w:r w:rsidR="003931B4" w:rsidRPr="00AF445D">
        <w:rPr>
          <w:szCs w:val="24"/>
          <w:lang w:val="en-US" w:eastAsia="fi-FI"/>
        </w:rPr>
        <w:t>.</w:t>
      </w:r>
      <w:r w:rsidR="00DA0F5C" w:rsidRPr="00AF445D">
        <w:rPr>
          <w:szCs w:val="24"/>
          <w:lang w:val="en-US" w:eastAsia="fi-FI"/>
        </w:rPr>
        <w:t xml:space="preserve"> </w:t>
      </w:r>
      <w:r w:rsidR="002E4E58" w:rsidRPr="00AF445D">
        <w:rPr>
          <w:szCs w:val="24"/>
          <w:lang w:val="en-US"/>
        </w:rPr>
        <w:t>BSADF parameters are the value of the significance level parameter</w:t>
      </w:r>
      <w:r w:rsidR="002E4E58" w:rsidRPr="00AF445D" w:rsidDel="00C41179">
        <w:rPr>
          <w:szCs w:val="24"/>
          <w:lang w:val="en-US"/>
        </w:rPr>
        <w:t xml:space="preserve"> </w:t>
      </w:r>
      <w:r w:rsidR="002E4E58" w:rsidRPr="00AF445D">
        <w:rPr>
          <w:rFonts w:cs="Times New Roman"/>
          <w:szCs w:val="24"/>
          <w:lang w:val="en-US"/>
        </w:rPr>
        <w:t>α</w:t>
      </w:r>
      <w:r w:rsidR="0079023C">
        <w:rPr>
          <w:rFonts w:cs="Times New Roman"/>
          <w:szCs w:val="24"/>
          <w:lang w:val="en-US"/>
        </w:rPr>
        <w:t xml:space="preserve"> </w:t>
      </w:r>
      <w:r w:rsidR="002E4E58" w:rsidRPr="00AF445D">
        <w:rPr>
          <w:rFonts w:cs="Times New Roman"/>
          <w:szCs w:val="24"/>
          <w:lang w:val="en-US"/>
        </w:rPr>
        <w:t>=</w:t>
      </w:r>
      <w:r w:rsidR="0079023C">
        <w:rPr>
          <w:rFonts w:cs="Times New Roman"/>
          <w:szCs w:val="24"/>
          <w:lang w:val="en-US"/>
        </w:rPr>
        <w:t xml:space="preserve"> </w:t>
      </w:r>
      <w:r w:rsidR="002E4E58" w:rsidRPr="00AF445D">
        <w:rPr>
          <w:rFonts w:cs="Times New Roman"/>
          <w:szCs w:val="24"/>
          <w:lang w:val="en-US"/>
        </w:rPr>
        <w:t>0.</w:t>
      </w:r>
      <w:r w:rsidR="00DF5419">
        <w:rPr>
          <w:rFonts w:cs="Times New Roman"/>
          <w:szCs w:val="24"/>
          <w:lang w:val="en-US"/>
        </w:rPr>
        <w:t>0</w:t>
      </w:r>
      <w:r w:rsidR="002E4E58" w:rsidRPr="00AF445D">
        <w:rPr>
          <w:rFonts w:cs="Times New Roman"/>
          <w:szCs w:val="24"/>
          <w:lang w:val="en-US"/>
        </w:rPr>
        <w:t>5,</w:t>
      </w:r>
      <w:r w:rsidR="002E4E58" w:rsidRPr="00AF445D" w:rsidDel="00C41179">
        <w:rPr>
          <w:szCs w:val="24"/>
          <w:lang w:val="en-US"/>
        </w:rPr>
        <w:t xml:space="preserve"> </w:t>
      </w:r>
      <w:r w:rsidR="002E4E58" w:rsidRPr="00AF445D">
        <w:rPr>
          <w:szCs w:val="24"/>
          <w:lang w:val="en-US"/>
        </w:rPr>
        <w:t>minimum window length = 24 quarters and lag length = 2.</w:t>
      </w:r>
      <w:r w:rsidR="002E4E58" w:rsidRPr="00AF445D">
        <w:rPr>
          <w:szCs w:val="24"/>
          <w:lang w:val="en-US" w:eastAsia="fi-FI"/>
        </w:rPr>
        <w:t xml:space="preserve"> </w:t>
      </w:r>
      <w:r w:rsidR="00085BDE" w:rsidRPr="00AF445D">
        <w:rPr>
          <w:b/>
          <w:szCs w:val="24"/>
          <w:lang w:val="en-US"/>
        </w:rPr>
        <w:br w:type="page"/>
      </w:r>
    </w:p>
    <w:p w14:paraId="33FD0AD0" w14:textId="41ACFD0C" w:rsidR="003931B4" w:rsidRDefault="00874BFE" w:rsidP="00E45E76">
      <w:pPr>
        <w:spacing w:line="360" w:lineRule="auto"/>
        <w:ind w:firstLine="0"/>
        <w:rPr>
          <w:b/>
          <w:lang w:val="en-US"/>
        </w:rPr>
      </w:pPr>
      <w:r>
        <w:rPr>
          <w:b/>
          <w:noProof/>
          <w:lang w:eastAsia="fi-FI"/>
        </w:rPr>
        <w:drawing>
          <wp:inline distT="0" distB="0" distL="0" distR="0" wp14:anchorId="24748263" wp14:editId="63D95C11">
            <wp:extent cx="6645910" cy="7043420"/>
            <wp:effectExtent l="0" t="0" r="2540" b="5080"/>
            <wp:docPr id="4685" name="Picture 4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5" name="Kuva_L_DF_HPIPDI_new_crop.emf"/>
                    <pic:cNvPicPr/>
                  </pic:nvPicPr>
                  <pic:blipFill>
                    <a:blip r:embed="rId29">
                      <a:extLst>
                        <a:ext uri="{28A0092B-C50C-407E-A947-70E740481C1C}">
                          <a14:useLocalDpi xmlns:a14="http://schemas.microsoft.com/office/drawing/2010/main" val="0"/>
                        </a:ext>
                      </a:extLst>
                    </a:blip>
                    <a:stretch>
                      <a:fillRect/>
                    </a:stretch>
                  </pic:blipFill>
                  <pic:spPr>
                    <a:xfrm>
                      <a:off x="0" y="0"/>
                      <a:ext cx="6645910" cy="7043420"/>
                    </a:xfrm>
                    <a:prstGeom prst="rect">
                      <a:avLst/>
                    </a:prstGeom>
                  </pic:spPr>
                </pic:pic>
              </a:graphicData>
            </a:graphic>
          </wp:inline>
        </w:drawing>
      </w:r>
    </w:p>
    <w:p w14:paraId="7CCE2E29" w14:textId="6D7B5228" w:rsidR="003E1E19" w:rsidRPr="000463F7" w:rsidRDefault="003931B4" w:rsidP="000463F7">
      <w:pPr>
        <w:pStyle w:val="Kuvaotsikko"/>
        <w:ind w:firstLine="0"/>
        <w:rPr>
          <w:i w:val="0"/>
          <w:iCs w:val="0"/>
          <w:color w:val="auto"/>
          <w:sz w:val="20"/>
          <w:szCs w:val="20"/>
          <w:lang w:val="en-US" w:eastAsia="fi-FI"/>
        </w:rPr>
      </w:pPr>
      <w:r w:rsidRPr="000463F7">
        <w:rPr>
          <w:b/>
          <w:i w:val="0"/>
          <w:iCs w:val="0"/>
          <w:color w:val="auto"/>
          <w:sz w:val="24"/>
          <w:szCs w:val="24"/>
          <w:lang w:val="en-US" w:eastAsia="fi-FI"/>
        </w:rPr>
        <w:t xml:space="preserve">Figure </w:t>
      </w:r>
      <w:r w:rsidR="00D7346B" w:rsidRPr="000463F7">
        <w:rPr>
          <w:b/>
          <w:i w:val="0"/>
          <w:iCs w:val="0"/>
          <w:color w:val="auto"/>
          <w:sz w:val="24"/>
          <w:szCs w:val="24"/>
          <w:lang w:val="en-US" w:eastAsia="fi-FI"/>
        </w:rPr>
        <w:t>2</w:t>
      </w:r>
      <w:r w:rsidRPr="000463F7">
        <w:rPr>
          <w:b/>
          <w:i w:val="0"/>
          <w:iCs w:val="0"/>
          <w:color w:val="auto"/>
          <w:sz w:val="24"/>
          <w:szCs w:val="24"/>
          <w:lang w:val="en-US" w:eastAsia="fi-FI"/>
        </w:rPr>
        <w:t xml:space="preserve">. </w:t>
      </w:r>
      <w:r w:rsidR="007F1357" w:rsidRPr="00AF445D">
        <w:rPr>
          <w:i w:val="0"/>
          <w:color w:val="auto"/>
          <w:sz w:val="24"/>
          <w:szCs w:val="24"/>
          <w:lang w:val="en-US" w:eastAsia="fi-FI"/>
        </w:rPr>
        <w:t>The line curve is house price</w:t>
      </w:r>
      <w:r w:rsidR="00026D61">
        <w:rPr>
          <w:i w:val="0"/>
          <w:color w:val="auto"/>
          <w:sz w:val="24"/>
          <w:szCs w:val="24"/>
          <w:lang w:val="en-US" w:eastAsia="fi-FI"/>
        </w:rPr>
        <w:t>-</w:t>
      </w:r>
      <w:r w:rsidR="007F1357" w:rsidRPr="00AF445D">
        <w:rPr>
          <w:i w:val="0"/>
          <w:color w:val="auto"/>
          <w:sz w:val="24"/>
          <w:szCs w:val="24"/>
          <w:lang w:val="en-US" w:eastAsia="fi-FI"/>
        </w:rPr>
        <w:t>to</w:t>
      </w:r>
      <w:r w:rsidR="00026D61">
        <w:rPr>
          <w:i w:val="0"/>
          <w:color w:val="auto"/>
          <w:sz w:val="24"/>
          <w:szCs w:val="24"/>
          <w:lang w:val="en-US" w:eastAsia="fi-FI"/>
        </w:rPr>
        <w:t>-</w:t>
      </w:r>
      <w:r w:rsidR="007F1357" w:rsidRPr="00AF445D">
        <w:rPr>
          <w:i w:val="0"/>
          <w:color w:val="auto"/>
          <w:sz w:val="24"/>
          <w:szCs w:val="24"/>
          <w:lang w:val="en-US" w:eastAsia="fi-FI"/>
        </w:rPr>
        <w:t>income ratio (Dallas Fed data). The full</w:t>
      </w:r>
      <w:r w:rsidR="00A617B2">
        <w:rPr>
          <w:i w:val="0"/>
          <w:color w:val="auto"/>
          <w:sz w:val="24"/>
          <w:szCs w:val="24"/>
          <w:lang w:val="en-US" w:eastAsia="fi-FI"/>
        </w:rPr>
        <w:t>-</w:t>
      </w:r>
      <w:r w:rsidR="007F1357" w:rsidRPr="00AF445D">
        <w:rPr>
          <w:i w:val="0"/>
          <w:color w:val="auto"/>
          <w:sz w:val="24"/>
          <w:szCs w:val="24"/>
          <w:lang w:val="en-US" w:eastAsia="fi-FI"/>
        </w:rPr>
        <w:t xml:space="preserve">height shaded areas are bubble alerts from the BSADF method. </w:t>
      </w:r>
      <w:r w:rsidR="00A617B2">
        <w:rPr>
          <w:i w:val="0"/>
          <w:color w:val="auto"/>
          <w:sz w:val="24"/>
          <w:szCs w:val="24"/>
          <w:lang w:val="en-US" w:eastAsia="fi-FI"/>
        </w:rPr>
        <w:t>Half-</w:t>
      </w:r>
      <w:r w:rsidR="007F1357" w:rsidRPr="00AF445D">
        <w:rPr>
          <w:i w:val="0"/>
          <w:color w:val="auto"/>
          <w:sz w:val="24"/>
          <w:szCs w:val="24"/>
          <w:lang w:val="en-US" w:eastAsia="fi-FI"/>
        </w:rPr>
        <w:t xml:space="preserve">height shaded areas are pre-crisis periods (12 to 5 quarters before crisis). </w:t>
      </w:r>
      <w:r w:rsidR="00A617B2">
        <w:rPr>
          <w:i w:val="0"/>
          <w:color w:val="auto"/>
          <w:sz w:val="24"/>
          <w:szCs w:val="24"/>
          <w:lang w:val="en-US" w:eastAsia="fi-FI"/>
        </w:rPr>
        <w:t xml:space="preserve">The </w:t>
      </w:r>
      <w:r w:rsidR="00E27284">
        <w:rPr>
          <w:i w:val="0"/>
          <w:color w:val="auto"/>
          <w:sz w:val="24"/>
          <w:szCs w:val="24"/>
          <w:lang w:val="en-US" w:eastAsia="fi-FI"/>
        </w:rPr>
        <w:t xml:space="preserve">dark </w:t>
      </w:r>
      <w:r w:rsidR="00A617B2">
        <w:rPr>
          <w:i w:val="0"/>
          <w:color w:val="auto"/>
          <w:sz w:val="24"/>
          <w:szCs w:val="24"/>
          <w:lang w:val="en-US" w:eastAsia="fi-FI"/>
        </w:rPr>
        <w:t>short</w:t>
      </w:r>
      <w:r w:rsidR="007F1357" w:rsidRPr="00AF445D">
        <w:rPr>
          <w:i w:val="0"/>
          <w:color w:val="auto"/>
          <w:sz w:val="24"/>
          <w:szCs w:val="24"/>
          <w:lang w:val="en-US" w:eastAsia="fi-FI"/>
        </w:rPr>
        <w:t xml:space="preserve"> areas are financial crisis periods in the ESRB crisis dataset. </w:t>
      </w:r>
      <w:r w:rsidR="007F1357" w:rsidRPr="00AF445D">
        <w:rPr>
          <w:i w:val="0"/>
          <w:color w:val="auto"/>
          <w:sz w:val="24"/>
          <w:szCs w:val="24"/>
          <w:lang w:val="en-US"/>
        </w:rPr>
        <w:t>BSADF parameters are the value of the significance level parameter</w:t>
      </w:r>
      <w:r w:rsidR="007F1357" w:rsidRPr="00AF445D" w:rsidDel="00C41179">
        <w:rPr>
          <w:i w:val="0"/>
          <w:color w:val="auto"/>
          <w:sz w:val="24"/>
          <w:szCs w:val="24"/>
          <w:lang w:val="en-US"/>
        </w:rPr>
        <w:t xml:space="preserve"> </w:t>
      </w:r>
      <w:r w:rsidR="007F1357" w:rsidRPr="00AF445D">
        <w:rPr>
          <w:rFonts w:cs="Times New Roman"/>
          <w:i w:val="0"/>
          <w:color w:val="auto"/>
          <w:sz w:val="24"/>
          <w:szCs w:val="24"/>
          <w:lang w:val="en-US"/>
        </w:rPr>
        <w:t>α</w:t>
      </w:r>
      <w:r w:rsidR="00A617B2">
        <w:rPr>
          <w:rFonts w:cs="Times New Roman"/>
          <w:i w:val="0"/>
          <w:color w:val="auto"/>
          <w:sz w:val="24"/>
          <w:szCs w:val="24"/>
          <w:lang w:val="en-US"/>
        </w:rPr>
        <w:t xml:space="preserve"> </w:t>
      </w:r>
      <w:r w:rsidR="007F1357" w:rsidRPr="00AF445D">
        <w:rPr>
          <w:rFonts w:cs="Times New Roman"/>
          <w:i w:val="0"/>
          <w:color w:val="auto"/>
          <w:sz w:val="24"/>
          <w:szCs w:val="24"/>
          <w:lang w:val="en-US"/>
        </w:rPr>
        <w:t>=</w:t>
      </w:r>
      <w:r w:rsidR="00A617B2">
        <w:rPr>
          <w:rFonts w:cs="Times New Roman"/>
          <w:i w:val="0"/>
          <w:color w:val="auto"/>
          <w:sz w:val="24"/>
          <w:szCs w:val="24"/>
          <w:lang w:val="en-US"/>
        </w:rPr>
        <w:t xml:space="preserve"> </w:t>
      </w:r>
      <w:r w:rsidR="007F1357" w:rsidRPr="00AF445D">
        <w:rPr>
          <w:rFonts w:cs="Times New Roman"/>
          <w:i w:val="0"/>
          <w:color w:val="auto"/>
          <w:sz w:val="24"/>
          <w:szCs w:val="24"/>
          <w:lang w:val="en-US"/>
        </w:rPr>
        <w:t>0.</w:t>
      </w:r>
      <w:r w:rsidR="00DF5419">
        <w:rPr>
          <w:rFonts w:cs="Times New Roman"/>
          <w:i w:val="0"/>
          <w:color w:val="auto"/>
          <w:sz w:val="24"/>
          <w:szCs w:val="24"/>
          <w:lang w:val="en-US"/>
        </w:rPr>
        <w:t>0</w:t>
      </w:r>
      <w:r w:rsidR="007F1357" w:rsidRPr="00AF445D">
        <w:rPr>
          <w:rFonts w:cs="Times New Roman"/>
          <w:i w:val="0"/>
          <w:color w:val="auto"/>
          <w:sz w:val="24"/>
          <w:szCs w:val="24"/>
          <w:lang w:val="en-US"/>
        </w:rPr>
        <w:t>5,</w:t>
      </w:r>
      <w:r w:rsidR="007F1357" w:rsidRPr="00AF445D" w:rsidDel="00C41179">
        <w:rPr>
          <w:i w:val="0"/>
          <w:color w:val="auto"/>
          <w:sz w:val="24"/>
          <w:szCs w:val="24"/>
          <w:lang w:val="en-US"/>
        </w:rPr>
        <w:t xml:space="preserve"> </w:t>
      </w:r>
      <w:r w:rsidR="007F1357" w:rsidRPr="00AF445D">
        <w:rPr>
          <w:i w:val="0"/>
          <w:color w:val="auto"/>
          <w:sz w:val="24"/>
          <w:szCs w:val="24"/>
          <w:lang w:val="en-US"/>
        </w:rPr>
        <w:t>minimum window length = 24 quarters</w:t>
      </w:r>
      <w:r w:rsidR="00AE3C27">
        <w:rPr>
          <w:i w:val="0"/>
          <w:color w:val="auto"/>
          <w:sz w:val="24"/>
          <w:szCs w:val="24"/>
          <w:lang w:val="en-US"/>
        </w:rPr>
        <w:t>,</w:t>
      </w:r>
      <w:r w:rsidR="007F1357" w:rsidRPr="00AF445D">
        <w:rPr>
          <w:i w:val="0"/>
          <w:color w:val="auto"/>
          <w:sz w:val="24"/>
          <w:szCs w:val="24"/>
          <w:lang w:val="en-US"/>
        </w:rPr>
        <w:t xml:space="preserve"> and lag length = 2.</w:t>
      </w:r>
      <w:r w:rsidR="000463F7">
        <w:rPr>
          <w:i w:val="0"/>
          <w:iCs w:val="0"/>
          <w:color w:val="auto"/>
          <w:sz w:val="20"/>
          <w:szCs w:val="20"/>
          <w:lang w:val="en-US" w:eastAsia="fi-FI"/>
        </w:rPr>
        <w:t xml:space="preserve"> </w:t>
      </w:r>
    </w:p>
    <w:sectPr w:rsidR="003E1E19" w:rsidRPr="000463F7" w:rsidSect="00EA562B">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976225" w14:textId="77777777" w:rsidR="00B41185" w:rsidRDefault="00B41185" w:rsidP="00E42545">
      <w:r>
        <w:separator/>
      </w:r>
    </w:p>
    <w:p w14:paraId="009CF9F7" w14:textId="77777777" w:rsidR="00B41185" w:rsidRDefault="00B41185" w:rsidP="00E42545"/>
    <w:p w14:paraId="212E2803" w14:textId="77777777" w:rsidR="00B41185" w:rsidRDefault="00B41185" w:rsidP="00E42545"/>
  </w:endnote>
  <w:endnote w:type="continuationSeparator" w:id="0">
    <w:p w14:paraId="5EDC451C" w14:textId="77777777" w:rsidR="00B41185" w:rsidRDefault="00B41185" w:rsidP="00E42545">
      <w:r>
        <w:continuationSeparator/>
      </w:r>
    </w:p>
    <w:p w14:paraId="4354316E" w14:textId="77777777" w:rsidR="00B41185" w:rsidRDefault="00B41185" w:rsidP="00E42545"/>
    <w:p w14:paraId="0FF9317D" w14:textId="77777777" w:rsidR="00B41185" w:rsidRDefault="00B41185" w:rsidP="00E425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NimbusRomNo9L-Regu">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742DD6" w14:textId="77777777" w:rsidR="00B41185" w:rsidRDefault="00B41185" w:rsidP="00520E08">
      <w:pPr>
        <w:ind w:firstLine="0"/>
      </w:pPr>
      <w:r>
        <w:separator/>
      </w:r>
    </w:p>
  </w:footnote>
  <w:footnote w:type="continuationSeparator" w:id="0">
    <w:p w14:paraId="718D87E5" w14:textId="77777777" w:rsidR="00B41185" w:rsidRDefault="00B41185" w:rsidP="00E42545">
      <w:r>
        <w:continuationSeparator/>
      </w:r>
    </w:p>
    <w:p w14:paraId="5DA350C7" w14:textId="77777777" w:rsidR="00B41185" w:rsidRDefault="00B41185" w:rsidP="00E42545"/>
    <w:p w14:paraId="5D5ED468" w14:textId="77777777" w:rsidR="00B41185" w:rsidRDefault="00B41185" w:rsidP="00E42545"/>
  </w:footnote>
  <w:footnote w:id="1">
    <w:p w14:paraId="157668FA" w14:textId="77777777" w:rsidR="00C212DD" w:rsidRPr="00224976" w:rsidRDefault="00C212DD" w:rsidP="00224976">
      <w:pPr>
        <w:pStyle w:val="Alaviitteenteksti"/>
        <w:ind w:firstLine="0"/>
        <w:rPr>
          <w:lang w:val="en-US"/>
        </w:rPr>
      </w:pPr>
      <w:r>
        <w:rPr>
          <w:rStyle w:val="Alaviitteenviite"/>
        </w:rPr>
        <w:footnoteRef/>
      </w:r>
      <w:r w:rsidRPr="00224976">
        <w:rPr>
          <w:lang w:val="en-US"/>
        </w:rPr>
        <w:t xml:space="preserve"> </w:t>
      </w:r>
      <w:r w:rsidRPr="00A22DE9">
        <w:rPr>
          <w:lang w:val="en-US"/>
        </w:rPr>
        <w:t xml:space="preserve">Lawrence Ball (2014), for example, estimates that the cost </w:t>
      </w:r>
      <w:r>
        <w:rPr>
          <w:lang w:val="en-US"/>
        </w:rPr>
        <w:t xml:space="preserve">from financial crises </w:t>
      </w:r>
      <w:r w:rsidRPr="00A22DE9">
        <w:rPr>
          <w:lang w:val="en-US"/>
        </w:rPr>
        <w:t>to 23 OECD economies in the aftermath since 2008 has averaged about 8.4% of GDP</w:t>
      </w:r>
      <w:r>
        <w:rPr>
          <w:lang w:val="en-US"/>
        </w:rPr>
        <w:t>.</w:t>
      </w:r>
    </w:p>
  </w:footnote>
  <w:footnote w:id="2">
    <w:p w14:paraId="24D3C30A" w14:textId="3A7A909E" w:rsidR="00C212DD" w:rsidRPr="00465752" w:rsidRDefault="00C212DD" w:rsidP="00465752">
      <w:pPr>
        <w:pStyle w:val="Alaviitteenteksti"/>
        <w:ind w:firstLine="0"/>
        <w:rPr>
          <w:lang w:val="en-US"/>
        </w:rPr>
      </w:pPr>
      <w:r>
        <w:rPr>
          <w:rStyle w:val="Alaviitteenviite"/>
        </w:rPr>
        <w:footnoteRef/>
      </w:r>
      <w:r w:rsidRPr="00465752">
        <w:rPr>
          <w:lang w:val="en-US"/>
        </w:rPr>
        <w:t xml:space="preserve"> </w:t>
      </w:r>
      <w:r>
        <w:rPr>
          <w:lang w:val="en-US"/>
        </w:rPr>
        <w:t>Both of these cited articles provide good reviews of available methods.</w:t>
      </w:r>
    </w:p>
  </w:footnote>
  <w:footnote w:id="3">
    <w:p w14:paraId="7AA6083F" w14:textId="493848EF" w:rsidR="00C212DD" w:rsidRPr="00212882" w:rsidRDefault="00C212DD" w:rsidP="00465752">
      <w:pPr>
        <w:pStyle w:val="Alaviitteenteksti"/>
        <w:ind w:firstLine="0"/>
        <w:rPr>
          <w:lang w:val="en-US"/>
        </w:rPr>
      </w:pPr>
      <w:r>
        <w:rPr>
          <w:rStyle w:val="Alaviitteenviite"/>
        </w:rPr>
        <w:footnoteRef/>
      </w:r>
      <w:r w:rsidRPr="00212882">
        <w:rPr>
          <w:lang w:val="en-US"/>
        </w:rPr>
        <w:t xml:space="preserve"> </w:t>
      </w:r>
      <w:r>
        <w:rPr>
          <w:lang w:val="en-US"/>
        </w:rPr>
        <w:t xml:space="preserve">Compared with the signaling benchmark, </w:t>
      </w:r>
      <w:r w:rsidRPr="003D2B6B">
        <w:rPr>
          <w:lang w:val="en-US"/>
        </w:rPr>
        <w:t>exuberance indicators show significantly better in-sample performance with the Laeven and Valencia (2012) crisis dataset, which is used in our robustness check (see Section</w:t>
      </w:r>
      <w:r>
        <w:rPr>
          <w:lang w:val="en-US"/>
        </w:rPr>
        <w:t xml:space="preserve"> 5D).</w:t>
      </w:r>
    </w:p>
  </w:footnote>
  <w:footnote w:id="4">
    <w:p w14:paraId="0369AAE6" w14:textId="0A5AA223" w:rsidR="00C212DD" w:rsidRDefault="00C212DD" w:rsidP="00D62992">
      <w:pPr>
        <w:spacing w:line="360" w:lineRule="auto"/>
        <w:ind w:firstLine="0"/>
        <w:rPr>
          <w:lang w:val="en-US"/>
        </w:rPr>
      </w:pPr>
      <w:r>
        <w:rPr>
          <w:rStyle w:val="Alaviitteenviite"/>
        </w:rPr>
        <w:footnoteRef/>
      </w:r>
      <w:r w:rsidRPr="008311E0">
        <w:rPr>
          <w:lang w:val="en-US"/>
        </w:rPr>
        <w:t xml:space="preserve"> See </w:t>
      </w:r>
      <w:r>
        <w:rPr>
          <w:lang w:val="en-US"/>
        </w:rPr>
        <w:t xml:space="preserve">Phillips </w:t>
      </w:r>
      <w:r w:rsidRPr="008311E0">
        <w:rPr>
          <w:lang w:val="en-US"/>
        </w:rPr>
        <w:t>et al.</w:t>
      </w:r>
      <w:r>
        <w:rPr>
          <w:lang w:val="en-US"/>
        </w:rPr>
        <w:t xml:space="preserve"> (2011 and 2015) for a detailed exposition.</w:t>
      </w:r>
    </w:p>
    <w:p w14:paraId="372A521A" w14:textId="25889284" w:rsidR="00C212DD" w:rsidRPr="008311E0" w:rsidRDefault="00C212DD">
      <w:pPr>
        <w:pStyle w:val="Alaviitteenteksti"/>
        <w:rPr>
          <w:lang w:val="en-US"/>
        </w:rPr>
      </w:pPr>
    </w:p>
  </w:footnote>
  <w:footnote w:id="5">
    <w:p w14:paraId="1ED935E0" w14:textId="4A7D79BC" w:rsidR="00C212DD" w:rsidRPr="008311E0" w:rsidRDefault="00C212DD" w:rsidP="008311E0">
      <w:pPr>
        <w:pStyle w:val="Alaviitteenteksti"/>
        <w:ind w:firstLine="0"/>
        <w:rPr>
          <w:lang w:val="en-US"/>
        </w:rPr>
      </w:pPr>
      <w:r>
        <w:rPr>
          <w:rStyle w:val="Alaviitteenviite"/>
        </w:rPr>
        <w:footnoteRef/>
      </w:r>
      <w:r w:rsidRPr="008311E0">
        <w:rPr>
          <w:lang w:val="en-US"/>
        </w:rPr>
        <w:t xml:space="preserve"> </w:t>
      </w:r>
      <w:r>
        <w:rPr>
          <w:lang w:val="en-US"/>
        </w:rPr>
        <w:t xml:space="preserve">See </w:t>
      </w:r>
      <w:r w:rsidRPr="00D06C83">
        <w:rPr>
          <w:lang w:val="en-US"/>
        </w:rPr>
        <w:t>Frankel and Saravelos (2010) for a useful review</w:t>
      </w:r>
      <w:r>
        <w:rPr>
          <w:lang w:val="en-US"/>
        </w:rPr>
        <w:t>.</w:t>
      </w:r>
    </w:p>
  </w:footnote>
  <w:footnote w:id="6">
    <w:p w14:paraId="4E975963" w14:textId="362380D8" w:rsidR="00C212DD" w:rsidRPr="00D06C83" w:rsidRDefault="00C212DD" w:rsidP="008311E0">
      <w:pPr>
        <w:pStyle w:val="Alaviitteenteksti"/>
        <w:ind w:firstLine="0"/>
        <w:rPr>
          <w:lang w:val="en-US"/>
        </w:rPr>
      </w:pPr>
      <w:r>
        <w:rPr>
          <w:rStyle w:val="Alaviitteenviite"/>
        </w:rPr>
        <w:footnoteRef/>
      </w:r>
      <w:r w:rsidRPr="00D06C83">
        <w:rPr>
          <w:lang w:val="en-US"/>
        </w:rPr>
        <w:t xml:space="preserve"> </w:t>
      </w:r>
      <w:r>
        <w:rPr>
          <w:lang w:val="en-US"/>
        </w:rPr>
        <w:t>The BSADF test may indicate a bubble at some point even if the GSADF test indicates that the time series has no bubbles. Thus, short isolated bubble signals should usually be omitted.</w:t>
      </w:r>
    </w:p>
  </w:footnote>
  <w:footnote w:id="7">
    <w:p w14:paraId="1F4D1896" w14:textId="77777777" w:rsidR="00C212DD" w:rsidRPr="00046403" w:rsidRDefault="00C212DD" w:rsidP="00F90185">
      <w:pPr>
        <w:pStyle w:val="Alaviitteenteksti"/>
        <w:ind w:firstLine="0"/>
        <w:rPr>
          <w:lang w:val="en-US"/>
        </w:rPr>
      </w:pPr>
      <w:r w:rsidRPr="0058719C">
        <w:rPr>
          <w:rStyle w:val="Alaviitteenviite"/>
          <w:lang w:val="en-US"/>
        </w:rPr>
        <w:footnoteRef/>
      </w:r>
      <w:r w:rsidRPr="00046403">
        <w:rPr>
          <w:lang w:val="en-US"/>
        </w:rPr>
        <w:t xml:space="preserve"> In the formula</w:t>
      </w:r>
      <w:r>
        <w:rPr>
          <w:lang w:val="en-US"/>
        </w:rPr>
        <w:t xml:space="preserve">, </w:t>
      </w:r>
      <w:r w:rsidRPr="00046403">
        <w:rPr>
          <w:lang w:val="en-US"/>
        </w:rPr>
        <w:t xml:space="preserve">the order of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1</m:t>
            </m:r>
          </m:sub>
        </m:sSub>
      </m:oMath>
      <w:r w:rsidRPr="00046403">
        <w:rPr>
          <w:rFonts w:eastAsiaTheme="minorEastAsia"/>
          <w:lang w:val="en-US"/>
        </w:rPr>
        <w:t xml:space="preserve"> and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2</m:t>
            </m:r>
          </m:sub>
        </m:sSub>
      </m:oMath>
      <w:r w:rsidRPr="00046403">
        <w:rPr>
          <w:rFonts w:eastAsiaTheme="minorEastAsia"/>
          <w:lang w:val="en-US"/>
        </w:rPr>
        <w:t xml:space="preserve"> differs </w:t>
      </w:r>
      <w:r>
        <w:rPr>
          <w:rFonts w:eastAsiaTheme="minorEastAsia"/>
          <w:lang w:val="en-US"/>
        </w:rPr>
        <w:t xml:space="preserve">a bit </w:t>
      </w:r>
      <w:r w:rsidRPr="00046403">
        <w:rPr>
          <w:rFonts w:eastAsiaTheme="minorEastAsia"/>
          <w:lang w:val="en-US"/>
        </w:rPr>
        <w:t xml:space="preserve">from </w:t>
      </w:r>
      <w:r>
        <w:rPr>
          <w:rFonts w:eastAsiaTheme="minorEastAsia"/>
          <w:lang w:val="en-US"/>
        </w:rPr>
        <w:t>Alessi and Detken (2011)</w:t>
      </w:r>
      <w:r w:rsidRPr="00046403">
        <w:rPr>
          <w:rFonts w:eastAsiaTheme="minorEastAsia"/>
          <w:lang w:val="en-US"/>
        </w:rPr>
        <w:t xml:space="preserve">. </w:t>
      </w:r>
      <w:r>
        <w:rPr>
          <w:rFonts w:eastAsiaTheme="minorEastAsia"/>
          <w:lang w:val="en-US"/>
        </w:rPr>
        <w:t xml:space="preserve">This is </w:t>
      </w:r>
      <w:r w:rsidRPr="00046403">
        <w:rPr>
          <w:rFonts w:eastAsiaTheme="minorEastAsia"/>
          <w:lang w:val="en-US"/>
        </w:rPr>
        <w:t xml:space="preserve">a matter of convention </w:t>
      </w:r>
      <w:r>
        <w:rPr>
          <w:rFonts w:eastAsiaTheme="minorEastAsia"/>
          <w:lang w:val="en-US"/>
        </w:rPr>
        <w:t xml:space="preserve">in </w:t>
      </w:r>
      <w:r w:rsidRPr="00046403">
        <w:rPr>
          <w:rFonts w:eastAsiaTheme="minorEastAsia"/>
          <w:lang w:val="en-US"/>
        </w:rPr>
        <w:t xml:space="preserve">forming the null hypothesis. </w:t>
      </w:r>
      <w:r>
        <w:rPr>
          <w:rFonts w:eastAsiaTheme="minorEastAsia"/>
          <w:lang w:val="en-US"/>
        </w:rPr>
        <w:t>Here, a t</w:t>
      </w:r>
      <w:r w:rsidRPr="00046403">
        <w:rPr>
          <w:lang w:val="en-US"/>
        </w:rPr>
        <w:t>ype I error (false positive) is the incorrect rejection of a true null hypothesis H</w:t>
      </w:r>
      <w:r w:rsidRPr="00046403">
        <w:rPr>
          <w:vertAlign w:val="subscript"/>
          <w:lang w:val="en-US"/>
        </w:rPr>
        <w:t>0</w:t>
      </w:r>
      <w:r w:rsidRPr="00866F0E">
        <w:rPr>
          <w:lang w:val="en-US"/>
        </w:rPr>
        <w:t xml:space="preserve">. We </w:t>
      </w:r>
      <w:r w:rsidRPr="00046403">
        <w:rPr>
          <w:lang w:val="en-US"/>
        </w:rPr>
        <w:t>set H</w:t>
      </w:r>
      <w:r w:rsidRPr="00046403">
        <w:rPr>
          <w:vertAlign w:val="subscript"/>
          <w:lang w:val="en-US"/>
        </w:rPr>
        <w:t>0</w:t>
      </w:r>
      <w:r>
        <w:rPr>
          <w:lang w:val="en-US"/>
        </w:rPr>
        <w:t>, i.e.</w:t>
      </w:r>
      <w:r w:rsidRPr="00046403">
        <w:rPr>
          <w:lang w:val="en-US"/>
        </w:rPr>
        <w:t xml:space="preserve"> “no crisis within the next 3 years” so that </w:t>
      </w:r>
      <w:r>
        <w:rPr>
          <w:lang w:val="en-US"/>
        </w:rPr>
        <w:t xml:space="preserve">a </w:t>
      </w:r>
      <w:r w:rsidRPr="00046403">
        <w:rPr>
          <w:lang w:val="en-US"/>
        </w:rPr>
        <w:t xml:space="preserve">false positive </w:t>
      </w:r>
      <w:r>
        <w:rPr>
          <w:lang w:val="en-US"/>
        </w:rPr>
        <w:t xml:space="preserve">indicates </w:t>
      </w:r>
      <w:r w:rsidRPr="00046403">
        <w:rPr>
          <w:lang w:val="en-US"/>
        </w:rPr>
        <w:t xml:space="preserve">a false alarm. </w:t>
      </w:r>
      <w:r>
        <w:rPr>
          <w:lang w:val="en-US"/>
        </w:rPr>
        <w:t>A t</w:t>
      </w:r>
      <w:r w:rsidRPr="00046403">
        <w:rPr>
          <w:lang w:val="en-US"/>
        </w:rPr>
        <w:t>ype II error (false negative) incorrectly retain</w:t>
      </w:r>
      <w:r>
        <w:rPr>
          <w:lang w:val="en-US"/>
        </w:rPr>
        <w:t>s</w:t>
      </w:r>
      <w:r w:rsidRPr="00046403">
        <w:rPr>
          <w:lang w:val="en-US"/>
        </w:rPr>
        <w:t xml:space="preserve"> a false null hypothesis</w:t>
      </w:r>
      <w:r>
        <w:rPr>
          <w:lang w:val="en-US"/>
        </w:rPr>
        <w:t xml:space="preserve">. Thus, </w:t>
      </w:r>
      <w:r w:rsidRPr="00046403">
        <w:rPr>
          <w:lang w:val="en-US"/>
        </w:rPr>
        <w:t xml:space="preserve">our false negative </w:t>
      </w:r>
      <w:r>
        <w:rPr>
          <w:lang w:val="en-US"/>
        </w:rPr>
        <w:t xml:space="preserve">here </w:t>
      </w:r>
      <w:r w:rsidRPr="00046403">
        <w:rPr>
          <w:lang w:val="en-US"/>
        </w:rPr>
        <w:t>means failure to detect a crisis.</w:t>
      </w:r>
    </w:p>
  </w:footnote>
  <w:footnote w:id="8">
    <w:p w14:paraId="263DE512" w14:textId="71A8B00D" w:rsidR="00C212DD" w:rsidRPr="007F0753" w:rsidRDefault="00C212DD" w:rsidP="007F0753">
      <w:pPr>
        <w:pStyle w:val="Alaviitteenteksti"/>
        <w:ind w:firstLine="0"/>
        <w:rPr>
          <w:lang w:val="en-US"/>
        </w:rPr>
      </w:pPr>
      <w:r>
        <w:rPr>
          <w:rStyle w:val="Alaviitteenviite"/>
        </w:rPr>
        <w:footnoteRef/>
      </w:r>
      <w:r w:rsidRPr="007F0753">
        <w:rPr>
          <w:lang w:val="en-US"/>
        </w:rPr>
        <w:t xml:space="preserve"> </w:t>
      </w:r>
      <w:r>
        <w:rPr>
          <w:lang w:val="en-US"/>
        </w:rPr>
        <w:t>See e.g. Drehmann and Juselius (2014) for discussion on the use of AUROC in this context.</w:t>
      </w:r>
    </w:p>
  </w:footnote>
  <w:footnote w:id="9">
    <w:p w14:paraId="6BB5025D" w14:textId="6DB9A136" w:rsidR="00C212DD" w:rsidRPr="00046403" w:rsidRDefault="00C212DD" w:rsidP="00BB4F80">
      <w:pPr>
        <w:pStyle w:val="Alaviitteenteksti"/>
        <w:ind w:firstLine="0"/>
        <w:rPr>
          <w:lang w:val="en-US"/>
        </w:rPr>
      </w:pPr>
      <w:r w:rsidRPr="00F02C22">
        <w:rPr>
          <w:rStyle w:val="Alaviitteenviite"/>
          <w:lang w:val="en-US"/>
        </w:rPr>
        <w:footnoteRef/>
      </w:r>
      <w:r w:rsidRPr="00046403">
        <w:rPr>
          <w:lang w:val="en-US"/>
        </w:rPr>
        <w:t xml:space="preserve"> </w:t>
      </w:r>
      <w:r>
        <w:rPr>
          <w:lang w:val="en-US"/>
        </w:rPr>
        <w:t xml:space="preserve">Recent </w:t>
      </w:r>
      <w:r w:rsidRPr="00046403">
        <w:rPr>
          <w:lang w:val="en-US"/>
        </w:rPr>
        <w:t xml:space="preserve">evidence </w:t>
      </w:r>
      <w:r>
        <w:rPr>
          <w:lang w:val="en-US"/>
        </w:rPr>
        <w:t xml:space="preserve">is </w:t>
      </w:r>
      <w:r w:rsidRPr="00046403">
        <w:rPr>
          <w:lang w:val="en-US"/>
        </w:rPr>
        <w:t xml:space="preserve">provided </w:t>
      </w:r>
      <w:r>
        <w:rPr>
          <w:lang w:val="en-US"/>
        </w:rPr>
        <w:t xml:space="preserve">in </w:t>
      </w:r>
      <w:r w:rsidRPr="00046403">
        <w:rPr>
          <w:lang w:val="en-US"/>
        </w:rPr>
        <w:t>Ristolainen (201</w:t>
      </w:r>
      <w:r>
        <w:rPr>
          <w:lang w:val="en-US"/>
        </w:rPr>
        <w:t>7</w:t>
      </w:r>
      <w:r w:rsidRPr="00046403">
        <w:rPr>
          <w:lang w:val="en-US"/>
        </w:rPr>
        <w:t>).</w:t>
      </w:r>
    </w:p>
  </w:footnote>
  <w:footnote w:id="10">
    <w:p w14:paraId="1A289BC1" w14:textId="58F60BA3" w:rsidR="00C212DD" w:rsidRPr="004C0648" w:rsidRDefault="00C212DD" w:rsidP="007F0753">
      <w:pPr>
        <w:pStyle w:val="Alaviitteenteksti"/>
        <w:ind w:firstLine="0"/>
        <w:rPr>
          <w:lang w:val="en-US"/>
        </w:rPr>
      </w:pPr>
      <w:r>
        <w:rPr>
          <w:rStyle w:val="Alaviitteenviite"/>
        </w:rPr>
        <w:footnoteRef/>
      </w:r>
      <w:r w:rsidRPr="004C0648">
        <w:rPr>
          <w:lang w:val="en-US"/>
        </w:rPr>
        <w:t xml:space="preserve"> </w:t>
      </w:r>
      <w:r>
        <w:rPr>
          <w:lang w:val="en-US"/>
        </w:rPr>
        <w:t xml:space="preserve">See Tölö </w:t>
      </w:r>
      <w:r w:rsidRPr="007F0753">
        <w:rPr>
          <w:lang w:val="en-US"/>
        </w:rPr>
        <w:t>et al.</w:t>
      </w:r>
      <w:r>
        <w:rPr>
          <w:lang w:val="en-US"/>
        </w:rPr>
        <w:t xml:space="preserve"> (2017) for a comprehensive survey table showing the crisis datasets used in various studies.</w:t>
      </w:r>
    </w:p>
  </w:footnote>
  <w:footnote w:id="11">
    <w:p w14:paraId="22EBF93B" w14:textId="32BA688B" w:rsidR="00C212DD" w:rsidRPr="00046403" w:rsidRDefault="00C212DD" w:rsidP="005C6750">
      <w:pPr>
        <w:pStyle w:val="Alaviitteenteksti"/>
        <w:ind w:firstLine="0"/>
        <w:rPr>
          <w:color w:val="FF0000"/>
          <w:lang w:val="en-US"/>
        </w:rPr>
      </w:pPr>
      <w:r w:rsidRPr="0058719C">
        <w:rPr>
          <w:rStyle w:val="Alaviitteenviite"/>
          <w:lang w:val="en-US"/>
        </w:rPr>
        <w:footnoteRef/>
      </w:r>
      <w:r w:rsidRPr="00046403">
        <w:rPr>
          <w:lang w:val="en-US"/>
        </w:rPr>
        <w:t xml:space="preserve"> The banking sectors in th</w:t>
      </w:r>
      <w:r>
        <w:rPr>
          <w:lang w:val="en-US"/>
        </w:rPr>
        <w:t>e</w:t>
      </w:r>
      <w:r w:rsidRPr="00046403">
        <w:rPr>
          <w:lang w:val="en-US"/>
        </w:rPr>
        <w:t xml:space="preserve">se countries </w:t>
      </w:r>
      <w:r>
        <w:rPr>
          <w:lang w:val="en-US"/>
        </w:rPr>
        <w:t xml:space="preserve">still suffered </w:t>
      </w:r>
      <w:r w:rsidRPr="00046403">
        <w:rPr>
          <w:lang w:val="en-US"/>
        </w:rPr>
        <w:t xml:space="preserve">considerable losses </w:t>
      </w:r>
      <w:r>
        <w:rPr>
          <w:lang w:val="en-US"/>
        </w:rPr>
        <w:t xml:space="preserve">during </w:t>
      </w:r>
      <w:r w:rsidRPr="00046403">
        <w:rPr>
          <w:lang w:val="en-US"/>
        </w:rPr>
        <w:t>2008</w:t>
      </w:r>
      <w:r>
        <w:rPr>
          <w:lang w:val="en-US"/>
        </w:rPr>
        <w:t>–</w:t>
      </w:r>
      <w:r w:rsidRPr="00046403">
        <w:rPr>
          <w:lang w:val="en-US"/>
        </w:rPr>
        <w:t xml:space="preserve">2012. </w:t>
      </w:r>
      <w:r>
        <w:rPr>
          <w:lang w:val="en-US"/>
        </w:rPr>
        <w:t>According to the crisis definitions of Laeven and Valencia (2012), Austria, Belgium, and Italy experienced systemic banking crises from 2008 onwards. In the robustness checks below, we not that our results improve when use this crisis dataset.</w:t>
      </w:r>
    </w:p>
  </w:footnote>
  <w:footnote w:id="12">
    <w:p w14:paraId="51C5162A" w14:textId="3D6404AE" w:rsidR="00C212DD" w:rsidRPr="00AF6EAB" w:rsidRDefault="00C212DD" w:rsidP="00454B57">
      <w:pPr>
        <w:pStyle w:val="Alaviitteenteksti"/>
        <w:ind w:firstLine="0"/>
        <w:rPr>
          <w:lang w:val="en-US"/>
        </w:rPr>
      </w:pPr>
      <w:r>
        <w:rPr>
          <w:rStyle w:val="Alaviitteenviite"/>
        </w:rPr>
        <w:footnoteRef/>
      </w:r>
      <w:r w:rsidRPr="00AF6EAB">
        <w:rPr>
          <w:lang w:val="en-US"/>
        </w:rPr>
        <w:t xml:space="preserve"> </w:t>
      </w:r>
      <w:r>
        <w:rPr>
          <w:lang w:val="en-US"/>
        </w:rPr>
        <w:t xml:space="preserve">We calculate the usefulness values for </w:t>
      </w:r>
      <m:oMath>
        <m:r>
          <w:rPr>
            <w:rFonts w:ascii="Cambria Math" w:hAnsi="Cambria Math"/>
            <w:lang w:val="en-US"/>
          </w:rPr>
          <m:t>α∈[0.01,0.2]</m:t>
        </m:r>
      </m:oMath>
      <w:r>
        <w:rPr>
          <w:rFonts w:eastAsiaTheme="minorEastAsia"/>
          <w:lang w:val="en-US"/>
        </w:rPr>
        <w:t xml:space="preserve"> and find the maximum. In a few cases, values less than 0.8 yield a higher usefulness (at the expense of high rates of false positives), but they are highly unconventional for right-tailed hypothesis testing. Constraining the range of parameter values may have a minor deteriorating effect on performance of exuberance indicators.</w:t>
      </w:r>
    </w:p>
  </w:footnote>
  <w:footnote w:id="13">
    <w:p w14:paraId="10F018E9" w14:textId="46450A80" w:rsidR="00C212DD" w:rsidRPr="00AF6EAB" w:rsidRDefault="00C212DD" w:rsidP="00454B57">
      <w:pPr>
        <w:pStyle w:val="Alaviitteenteksti"/>
        <w:ind w:firstLine="0"/>
        <w:rPr>
          <w:lang w:val="en-US"/>
        </w:rPr>
      </w:pPr>
      <w:r>
        <w:rPr>
          <w:rStyle w:val="Alaviitteenviite"/>
        </w:rPr>
        <w:footnoteRef/>
      </w:r>
      <w:r w:rsidRPr="00AF6EAB">
        <w:rPr>
          <w:lang w:val="en-US"/>
        </w:rPr>
        <w:t xml:space="preserve"> </w:t>
      </w:r>
      <w:r>
        <w:rPr>
          <w:lang w:val="en-US"/>
        </w:rPr>
        <w:t>Standard errors clustered by country, which we have omitted here for the sake of brevity, are typically about 0.04–0.05.</w:t>
      </w:r>
    </w:p>
  </w:footnote>
  <w:footnote w:id="14">
    <w:p w14:paraId="65F85957" w14:textId="6645911B" w:rsidR="00C212DD" w:rsidRPr="003A0145" w:rsidRDefault="00C212DD" w:rsidP="00454B57">
      <w:pPr>
        <w:pStyle w:val="Alaviitteenteksti"/>
        <w:ind w:firstLine="0"/>
        <w:rPr>
          <w:lang w:val="en-US"/>
        </w:rPr>
      </w:pPr>
      <w:r>
        <w:rPr>
          <w:rStyle w:val="Alaviitteenviite"/>
        </w:rPr>
        <w:footnoteRef/>
      </w:r>
      <w:r w:rsidRPr="003A0145">
        <w:rPr>
          <w:lang w:val="en-US"/>
        </w:rPr>
        <w:t xml:space="preserve"> </w:t>
      </w:r>
      <w:r>
        <w:rPr>
          <w:lang w:val="en-US"/>
        </w:rPr>
        <w:t>We do not use the years 2000, 2001, and 2002 in the training, because a policymaker in 2003 could not know whether to classify these years as pre-crisis or tranquil periods.</w:t>
      </w:r>
    </w:p>
  </w:footnote>
  <w:footnote w:id="15">
    <w:p w14:paraId="64EC6A2C" w14:textId="7D9B0D05" w:rsidR="00C212DD" w:rsidRPr="00C212DD" w:rsidRDefault="00C212DD">
      <w:pPr>
        <w:pStyle w:val="Alaviitteenteksti"/>
        <w:rPr>
          <w:lang w:val="en-US"/>
        </w:rPr>
      </w:pPr>
      <w:r>
        <w:rPr>
          <w:rStyle w:val="Alaviitteenviite"/>
        </w:rPr>
        <w:footnoteRef/>
      </w:r>
      <w:r w:rsidRPr="00C212DD">
        <w:rPr>
          <w:lang w:val="en-US"/>
        </w:rPr>
        <w:t xml:space="preserve"> </w:t>
      </w:r>
      <w:r w:rsidRPr="009363A4">
        <w:rPr>
          <w:lang w:val="en-US"/>
        </w:rPr>
        <w:t xml:space="preserve"> </w:t>
      </w:r>
      <w:r>
        <w:rPr>
          <w:lang w:val="en-US"/>
        </w:rPr>
        <w:t>R</w:t>
      </w:r>
      <w:r w:rsidRPr="009363A4">
        <w:rPr>
          <w:lang w:val="en-US"/>
        </w:rPr>
        <w:t xml:space="preserve">esults are available for </w:t>
      </w:r>
      <w:r>
        <w:rPr>
          <w:lang w:val="en-US"/>
        </w:rPr>
        <w:t xml:space="preserve">the </w:t>
      </w:r>
      <w:r w:rsidRPr="009363A4">
        <w:rPr>
          <w:lang w:val="en-US"/>
        </w:rPr>
        <w:t>4</w:t>
      </w:r>
      <w:r>
        <w:rPr>
          <w:lang w:val="en-US"/>
        </w:rPr>
        <w:t>-</w:t>
      </w:r>
      <w:r w:rsidRPr="009363A4">
        <w:rPr>
          <w:lang w:val="en-US"/>
        </w:rPr>
        <w:t xml:space="preserve"> to 12</w:t>
      </w:r>
      <w:r>
        <w:rPr>
          <w:lang w:val="en-US"/>
        </w:rPr>
        <w:t>-</w:t>
      </w:r>
      <w:r w:rsidRPr="009363A4">
        <w:rPr>
          <w:lang w:val="en-US"/>
        </w:rPr>
        <w:t>quarter prediction horizon</w:t>
      </w:r>
      <w:r>
        <w:rPr>
          <w:lang w:val="en-US"/>
        </w:rPr>
        <w:t>s on request.</w:t>
      </w:r>
    </w:p>
  </w:footnote>
  <w:footnote w:id="16">
    <w:p w14:paraId="03884F60" w14:textId="50B9476F" w:rsidR="00C212DD" w:rsidRPr="00212882" w:rsidRDefault="00C212DD" w:rsidP="00E7758C">
      <w:pPr>
        <w:pStyle w:val="Alaviitteenteksti"/>
        <w:ind w:firstLine="0"/>
        <w:rPr>
          <w:lang w:val="en-US"/>
        </w:rPr>
      </w:pPr>
      <w:r>
        <w:rPr>
          <w:rStyle w:val="Alaviitteenviite"/>
        </w:rPr>
        <w:footnoteRef/>
      </w:r>
      <w:r w:rsidRPr="00212882">
        <w:rPr>
          <w:lang w:val="en-US"/>
        </w:rPr>
        <w:t xml:space="preserve"> </w:t>
      </w:r>
      <w:r>
        <w:rPr>
          <w:lang w:val="en-US"/>
        </w:rPr>
        <w:t xml:space="preserve">For example, one of the methods attains AUROC = 0.989. Even without reciting the methodology behind that model, it is clear that such a value cannot be reached without overfitting. Even the financial crisis datasets </w:t>
      </w:r>
      <w:r w:rsidR="00E7758C">
        <w:rPr>
          <w:lang w:val="en-US"/>
        </w:rPr>
        <w:t>cannot</w:t>
      </w:r>
      <w:r>
        <w:rPr>
          <w:lang w:val="en-US"/>
        </w:rPr>
        <w:t xml:space="preserve"> pinpoint the crisis dates </w:t>
      </w:r>
      <w:r w:rsidR="00E7758C">
        <w:rPr>
          <w:lang w:val="en-US"/>
        </w:rPr>
        <w:t xml:space="preserve">that </w:t>
      </w:r>
      <w:r>
        <w:rPr>
          <w:lang w:val="en-US"/>
        </w:rPr>
        <w:t xml:space="preserve">accurately. For example, if we directly use the Laeven and Valencia (2012) crisis dates to in-sample predict the Detken </w:t>
      </w:r>
      <w:r w:rsidRPr="00E7758C">
        <w:rPr>
          <w:lang w:val="en-US"/>
        </w:rPr>
        <w:t>et al.</w:t>
      </w:r>
      <w:r>
        <w:rPr>
          <w:lang w:val="en-US"/>
        </w:rPr>
        <w:t xml:space="preserve"> (2014) crisis dates, such a model has an AUROC value of only about 0.73. In theory, the best model would fitting both crisis datasets equally would have an AUROC of about (1+0.73)/2 = 0.87. As a rule, financial crisis forecasting only obtains very high AUROC values by rare coincidence or overfitting.</w:t>
      </w:r>
    </w:p>
  </w:footnote>
  <w:footnote w:id="17">
    <w:p w14:paraId="1F59D784" w14:textId="4F92B4D0" w:rsidR="00C212DD" w:rsidRPr="00212882" w:rsidRDefault="00C212DD" w:rsidP="00E7758C">
      <w:pPr>
        <w:pStyle w:val="Alaviitteenteksti"/>
        <w:ind w:firstLine="0"/>
        <w:rPr>
          <w:lang w:val="en-US"/>
        </w:rPr>
      </w:pPr>
      <w:r>
        <w:rPr>
          <w:rStyle w:val="Alaviitteenviite"/>
        </w:rPr>
        <w:footnoteRef/>
      </w:r>
      <w:r w:rsidRPr="00212882">
        <w:rPr>
          <w:lang w:val="en-US"/>
        </w:rPr>
        <w:t xml:space="preserve"> </w:t>
      </w:r>
      <w:r>
        <w:rPr>
          <w:lang w:val="en-US"/>
        </w:rPr>
        <w:t xml:space="preserve">When we optimize the weights for exuberance composite indicator </w:t>
      </w:r>
      <w:r w:rsidRPr="00212882">
        <w:rPr>
          <w:lang w:val="en-US"/>
        </w:rPr>
        <w:t>Model 1, the in-sample AUROC</w:t>
      </w:r>
      <w:r>
        <w:rPr>
          <w:lang w:val="en-US"/>
        </w:rPr>
        <w:t xml:space="preserve"> is 0.89. When we add country fixed effects it increases to 0.91. For Model 2, the numbers are 0.85 and 0.88, respectively. For Model 3, the numbers are 0.87 and 0.91, respectively.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7A8B7" w14:textId="77777777" w:rsidR="00C212DD" w:rsidRDefault="00C212DD" w:rsidP="00092237">
    <w:pPr>
      <w:pStyle w:val="Yltunniste"/>
      <w:framePr w:wrap="none" w:vAnchor="text" w:hAnchor="margin" w:xAlign="center" w:y="1"/>
      <w:rPr>
        <w:rStyle w:val="Sivunumero"/>
      </w:rPr>
    </w:pPr>
    <w:r>
      <w:rPr>
        <w:rStyle w:val="Sivunumero"/>
      </w:rPr>
      <w:fldChar w:fldCharType="begin"/>
    </w:r>
    <w:r>
      <w:rPr>
        <w:rStyle w:val="Sivunumero"/>
      </w:rPr>
      <w:instrText xml:space="preserve">PAGE  </w:instrText>
    </w:r>
    <w:r>
      <w:rPr>
        <w:rStyle w:val="Sivunumero"/>
      </w:rPr>
      <w:fldChar w:fldCharType="separate"/>
    </w:r>
    <w:r>
      <w:rPr>
        <w:rStyle w:val="Sivunumero"/>
        <w:noProof/>
      </w:rPr>
      <w:t>28</w:t>
    </w:r>
    <w:r>
      <w:rPr>
        <w:rStyle w:val="Sivunumero"/>
      </w:rPr>
      <w:fldChar w:fldCharType="end"/>
    </w:r>
  </w:p>
  <w:p w14:paraId="753037D7" w14:textId="77777777" w:rsidR="00C212DD" w:rsidRDefault="00C212DD" w:rsidP="00E42545">
    <w:pPr>
      <w:pStyle w:val="Yltunniste"/>
    </w:pPr>
  </w:p>
  <w:p w14:paraId="55DB1842" w14:textId="77777777" w:rsidR="00C212DD" w:rsidRDefault="00C212DD" w:rsidP="00E4254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7C961C" w14:textId="77777777" w:rsidR="00C212DD" w:rsidRDefault="00C212DD" w:rsidP="000937AB">
    <w:pPr>
      <w:pStyle w:val="Yltunniste"/>
      <w:framePr w:wrap="none" w:vAnchor="text" w:hAnchor="margin" w:xAlign="center" w:y="1"/>
      <w:rPr>
        <w:rStyle w:val="Sivunumero"/>
      </w:rPr>
    </w:pPr>
    <w:r>
      <w:rPr>
        <w:rStyle w:val="Sivunumero"/>
      </w:rPr>
      <w:fldChar w:fldCharType="begin"/>
    </w:r>
    <w:r>
      <w:rPr>
        <w:rStyle w:val="Sivunumero"/>
      </w:rPr>
      <w:instrText xml:space="preserve">PAGE  </w:instrText>
    </w:r>
    <w:r>
      <w:rPr>
        <w:rStyle w:val="Sivunumero"/>
      </w:rPr>
      <w:fldChar w:fldCharType="separate"/>
    </w:r>
    <w:r w:rsidR="00182CAB">
      <w:rPr>
        <w:rStyle w:val="Sivunumero"/>
        <w:noProof/>
      </w:rPr>
      <w:t>4</w:t>
    </w:r>
    <w:r>
      <w:rPr>
        <w:rStyle w:val="Sivunumero"/>
      </w:rPr>
      <w:fldChar w:fldCharType="end"/>
    </w:r>
  </w:p>
  <w:p w14:paraId="7797AEB9" w14:textId="77777777" w:rsidR="00C212DD" w:rsidRDefault="00C212DD" w:rsidP="00092237">
    <w:pPr>
      <w:pStyle w:val="Yltunniste"/>
      <w:jc w:val="center"/>
    </w:pPr>
  </w:p>
  <w:p w14:paraId="1116E765" w14:textId="77777777" w:rsidR="00C212DD" w:rsidRDefault="00C212DD" w:rsidP="000937AB">
    <w:pPr>
      <w:pStyle w:val="Yltunniste"/>
    </w:pPr>
  </w:p>
  <w:p w14:paraId="36B7CEA8" w14:textId="77777777" w:rsidR="00C212DD" w:rsidRDefault="00C212D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F6AF4" w14:textId="77777777" w:rsidR="00C212DD" w:rsidRDefault="00C212DD" w:rsidP="000937AB">
    <w:pPr>
      <w:pStyle w:val="Yltunniste"/>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521A2C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472F6C"/>
    <w:multiLevelType w:val="hybridMultilevel"/>
    <w:tmpl w:val="19482668"/>
    <w:lvl w:ilvl="0" w:tplc="CB0644A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E53181"/>
    <w:multiLevelType w:val="hybridMultilevel"/>
    <w:tmpl w:val="0DE09228"/>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B371EB"/>
    <w:multiLevelType w:val="hybridMultilevel"/>
    <w:tmpl w:val="1E1C7BC4"/>
    <w:lvl w:ilvl="0" w:tplc="75AEF312">
      <w:start w:val="1"/>
      <w:numFmt w:val="upperLetter"/>
      <w:lvlText w:val="%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757B9C"/>
    <w:multiLevelType w:val="hybridMultilevel"/>
    <w:tmpl w:val="ABA21B9C"/>
    <w:lvl w:ilvl="0" w:tplc="8734602C">
      <w:start w:val="1"/>
      <w:numFmt w:val="bullet"/>
      <w:lvlText w:val="-"/>
      <w:lvlJc w:val="left"/>
      <w:pPr>
        <w:tabs>
          <w:tab w:val="num" w:pos="720"/>
        </w:tabs>
        <w:ind w:left="720" w:hanging="360"/>
      </w:pPr>
      <w:rPr>
        <w:rFonts w:ascii="Times New Roman" w:hAnsi="Times New Roman" w:hint="default"/>
      </w:rPr>
    </w:lvl>
    <w:lvl w:ilvl="1" w:tplc="EC3C58A0" w:tentative="1">
      <w:start w:val="1"/>
      <w:numFmt w:val="bullet"/>
      <w:lvlText w:val="-"/>
      <w:lvlJc w:val="left"/>
      <w:pPr>
        <w:tabs>
          <w:tab w:val="num" w:pos="1440"/>
        </w:tabs>
        <w:ind w:left="1440" w:hanging="360"/>
      </w:pPr>
      <w:rPr>
        <w:rFonts w:ascii="Times New Roman" w:hAnsi="Times New Roman" w:hint="default"/>
      </w:rPr>
    </w:lvl>
    <w:lvl w:ilvl="2" w:tplc="8EF6E982" w:tentative="1">
      <w:start w:val="1"/>
      <w:numFmt w:val="bullet"/>
      <w:lvlText w:val="-"/>
      <w:lvlJc w:val="left"/>
      <w:pPr>
        <w:tabs>
          <w:tab w:val="num" w:pos="2160"/>
        </w:tabs>
        <w:ind w:left="2160" w:hanging="360"/>
      </w:pPr>
      <w:rPr>
        <w:rFonts w:ascii="Times New Roman" w:hAnsi="Times New Roman" w:hint="default"/>
      </w:rPr>
    </w:lvl>
    <w:lvl w:ilvl="3" w:tplc="BCA6AB78" w:tentative="1">
      <w:start w:val="1"/>
      <w:numFmt w:val="bullet"/>
      <w:lvlText w:val="-"/>
      <w:lvlJc w:val="left"/>
      <w:pPr>
        <w:tabs>
          <w:tab w:val="num" w:pos="2880"/>
        </w:tabs>
        <w:ind w:left="2880" w:hanging="360"/>
      </w:pPr>
      <w:rPr>
        <w:rFonts w:ascii="Times New Roman" w:hAnsi="Times New Roman" w:hint="default"/>
      </w:rPr>
    </w:lvl>
    <w:lvl w:ilvl="4" w:tplc="B8F052BE" w:tentative="1">
      <w:start w:val="1"/>
      <w:numFmt w:val="bullet"/>
      <w:lvlText w:val="-"/>
      <w:lvlJc w:val="left"/>
      <w:pPr>
        <w:tabs>
          <w:tab w:val="num" w:pos="3600"/>
        </w:tabs>
        <w:ind w:left="3600" w:hanging="360"/>
      </w:pPr>
      <w:rPr>
        <w:rFonts w:ascii="Times New Roman" w:hAnsi="Times New Roman" w:hint="default"/>
      </w:rPr>
    </w:lvl>
    <w:lvl w:ilvl="5" w:tplc="B5BA0ED4" w:tentative="1">
      <w:start w:val="1"/>
      <w:numFmt w:val="bullet"/>
      <w:lvlText w:val="-"/>
      <w:lvlJc w:val="left"/>
      <w:pPr>
        <w:tabs>
          <w:tab w:val="num" w:pos="4320"/>
        </w:tabs>
        <w:ind w:left="4320" w:hanging="360"/>
      </w:pPr>
      <w:rPr>
        <w:rFonts w:ascii="Times New Roman" w:hAnsi="Times New Roman" w:hint="default"/>
      </w:rPr>
    </w:lvl>
    <w:lvl w:ilvl="6" w:tplc="32045330" w:tentative="1">
      <w:start w:val="1"/>
      <w:numFmt w:val="bullet"/>
      <w:lvlText w:val="-"/>
      <w:lvlJc w:val="left"/>
      <w:pPr>
        <w:tabs>
          <w:tab w:val="num" w:pos="5040"/>
        </w:tabs>
        <w:ind w:left="5040" w:hanging="360"/>
      </w:pPr>
      <w:rPr>
        <w:rFonts w:ascii="Times New Roman" w:hAnsi="Times New Roman" w:hint="default"/>
      </w:rPr>
    </w:lvl>
    <w:lvl w:ilvl="7" w:tplc="CC4E6C3C" w:tentative="1">
      <w:start w:val="1"/>
      <w:numFmt w:val="bullet"/>
      <w:lvlText w:val="-"/>
      <w:lvlJc w:val="left"/>
      <w:pPr>
        <w:tabs>
          <w:tab w:val="num" w:pos="5760"/>
        </w:tabs>
        <w:ind w:left="5760" w:hanging="360"/>
      </w:pPr>
      <w:rPr>
        <w:rFonts w:ascii="Times New Roman" w:hAnsi="Times New Roman" w:hint="default"/>
      </w:rPr>
    </w:lvl>
    <w:lvl w:ilvl="8" w:tplc="A0E8808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6834930"/>
    <w:multiLevelType w:val="hybridMultilevel"/>
    <w:tmpl w:val="EFCC26C0"/>
    <w:lvl w:ilvl="0" w:tplc="32BE13C6">
      <w:start w:val="1"/>
      <w:numFmt w:val="upperLetter"/>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6" w15:restartNumberingAfterBreak="0">
    <w:nsid w:val="182D3794"/>
    <w:multiLevelType w:val="hybridMultilevel"/>
    <w:tmpl w:val="18249ACA"/>
    <w:lvl w:ilvl="0" w:tplc="040B000F">
      <w:start w:val="3"/>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1E456EE3"/>
    <w:multiLevelType w:val="multilevel"/>
    <w:tmpl w:val="9F3ADE1E"/>
    <w:lvl w:ilvl="0">
      <w:start w:val="1"/>
      <w:numFmt w:val="decimal"/>
      <w:pStyle w:val="Otsikko1"/>
      <w:lvlText w:val="%1."/>
      <w:lvlJc w:val="left"/>
      <w:pPr>
        <w:ind w:left="360" w:hanging="360"/>
      </w:pPr>
      <w:rPr>
        <w:rFonts w:hint="default"/>
        <w:sz w:val="28"/>
        <w:szCs w:val="28"/>
      </w:rPr>
    </w:lvl>
    <w:lvl w:ilvl="1">
      <w:start w:val="2"/>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8" w15:restartNumberingAfterBreak="0">
    <w:nsid w:val="2D5F50CE"/>
    <w:multiLevelType w:val="hybridMultilevel"/>
    <w:tmpl w:val="8EE2FED2"/>
    <w:lvl w:ilvl="0" w:tplc="52609268">
      <w:start w:val="1"/>
      <w:numFmt w:val="bullet"/>
      <w:lvlText w:val="•"/>
      <w:lvlJc w:val="left"/>
      <w:pPr>
        <w:tabs>
          <w:tab w:val="num" w:pos="720"/>
        </w:tabs>
        <w:ind w:left="720" w:hanging="360"/>
      </w:pPr>
      <w:rPr>
        <w:rFonts w:ascii="Arial" w:hAnsi="Arial" w:hint="default"/>
      </w:rPr>
    </w:lvl>
    <w:lvl w:ilvl="1" w:tplc="3B56C6B6" w:tentative="1">
      <w:start w:val="1"/>
      <w:numFmt w:val="bullet"/>
      <w:lvlText w:val="•"/>
      <w:lvlJc w:val="left"/>
      <w:pPr>
        <w:tabs>
          <w:tab w:val="num" w:pos="1440"/>
        </w:tabs>
        <w:ind w:left="1440" w:hanging="360"/>
      </w:pPr>
      <w:rPr>
        <w:rFonts w:ascii="Arial" w:hAnsi="Arial" w:hint="default"/>
      </w:rPr>
    </w:lvl>
    <w:lvl w:ilvl="2" w:tplc="BB82E668" w:tentative="1">
      <w:start w:val="1"/>
      <w:numFmt w:val="bullet"/>
      <w:lvlText w:val="•"/>
      <w:lvlJc w:val="left"/>
      <w:pPr>
        <w:tabs>
          <w:tab w:val="num" w:pos="2160"/>
        </w:tabs>
        <w:ind w:left="2160" w:hanging="360"/>
      </w:pPr>
      <w:rPr>
        <w:rFonts w:ascii="Arial" w:hAnsi="Arial" w:hint="default"/>
      </w:rPr>
    </w:lvl>
    <w:lvl w:ilvl="3" w:tplc="C7966C22" w:tentative="1">
      <w:start w:val="1"/>
      <w:numFmt w:val="bullet"/>
      <w:lvlText w:val="•"/>
      <w:lvlJc w:val="left"/>
      <w:pPr>
        <w:tabs>
          <w:tab w:val="num" w:pos="2880"/>
        </w:tabs>
        <w:ind w:left="2880" w:hanging="360"/>
      </w:pPr>
      <w:rPr>
        <w:rFonts w:ascii="Arial" w:hAnsi="Arial" w:hint="default"/>
      </w:rPr>
    </w:lvl>
    <w:lvl w:ilvl="4" w:tplc="C6541E9A" w:tentative="1">
      <w:start w:val="1"/>
      <w:numFmt w:val="bullet"/>
      <w:lvlText w:val="•"/>
      <w:lvlJc w:val="left"/>
      <w:pPr>
        <w:tabs>
          <w:tab w:val="num" w:pos="3600"/>
        </w:tabs>
        <w:ind w:left="3600" w:hanging="360"/>
      </w:pPr>
      <w:rPr>
        <w:rFonts w:ascii="Arial" w:hAnsi="Arial" w:hint="default"/>
      </w:rPr>
    </w:lvl>
    <w:lvl w:ilvl="5" w:tplc="79BA7766" w:tentative="1">
      <w:start w:val="1"/>
      <w:numFmt w:val="bullet"/>
      <w:lvlText w:val="•"/>
      <w:lvlJc w:val="left"/>
      <w:pPr>
        <w:tabs>
          <w:tab w:val="num" w:pos="4320"/>
        </w:tabs>
        <w:ind w:left="4320" w:hanging="360"/>
      </w:pPr>
      <w:rPr>
        <w:rFonts w:ascii="Arial" w:hAnsi="Arial" w:hint="default"/>
      </w:rPr>
    </w:lvl>
    <w:lvl w:ilvl="6" w:tplc="EE54A374" w:tentative="1">
      <w:start w:val="1"/>
      <w:numFmt w:val="bullet"/>
      <w:lvlText w:val="•"/>
      <w:lvlJc w:val="left"/>
      <w:pPr>
        <w:tabs>
          <w:tab w:val="num" w:pos="5040"/>
        </w:tabs>
        <w:ind w:left="5040" w:hanging="360"/>
      </w:pPr>
      <w:rPr>
        <w:rFonts w:ascii="Arial" w:hAnsi="Arial" w:hint="default"/>
      </w:rPr>
    </w:lvl>
    <w:lvl w:ilvl="7" w:tplc="37C86718" w:tentative="1">
      <w:start w:val="1"/>
      <w:numFmt w:val="bullet"/>
      <w:lvlText w:val="•"/>
      <w:lvlJc w:val="left"/>
      <w:pPr>
        <w:tabs>
          <w:tab w:val="num" w:pos="5760"/>
        </w:tabs>
        <w:ind w:left="5760" w:hanging="360"/>
      </w:pPr>
      <w:rPr>
        <w:rFonts w:ascii="Arial" w:hAnsi="Arial" w:hint="default"/>
      </w:rPr>
    </w:lvl>
    <w:lvl w:ilvl="8" w:tplc="5B8EAE6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E996EA0"/>
    <w:multiLevelType w:val="hybridMultilevel"/>
    <w:tmpl w:val="06926D6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2F80771A"/>
    <w:multiLevelType w:val="hybridMultilevel"/>
    <w:tmpl w:val="E884AC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5F2C16"/>
    <w:multiLevelType w:val="hybridMultilevel"/>
    <w:tmpl w:val="F6BE99C2"/>
    <w:lvl w:ilvl="0" w:tplc="3014C168">
      <w:start w:val="1"/>
      <w:numFmt w:val="bullet"/>
      <w:lvlText w:val="•"/>
      <w:lvlJc w:val="left"/>
      <w:pPr>
        <w:tabs>
          <w:tab w:val="num" w:pos="720"/>
        </w:tabs>
        <w:ind w:left="720" w:hanging="360"/>
      </w:pPr>
      <w:rPr>
        <w:rFonts w:ascii="Arial" w:hAnsi="Arial" w:hint="default"/>
      </w:rPr>
    </w:lvl>
    <w:lvl w:ilvl="1" w:tplc="469880FE" w:tentative="1">
      <w:start w:val="1"/>
      <w:numFmt w:val="bullet"/>
      <w:lvlText w:val="•"/>
      <w:lvlJc w:val="left"/>
      <w:pPr>
        <w:tabs>
          <w:tab w:val="num" w:pos="1440"/>
        </w:tabs>
        <w:ind w:left="1440" w:hanging="360"/>
      </w:pPr>
      <w:rPr>
        <w:rFonts w:ascii="Arial" w:hAnsi="Arial" w:hint="default"/>
      </w:rPr>
    </w:lvl>
    <w:lvl w:ilvl="2" w:tplc="2AFC66E2" w:tentative="1">
      <w:start w:val="1"/>
      <w:numFmt w:val="bullet"/>
      <w:lvlText w:val="•"/>
      <w:lvlJc w:val="left"/>
      <w:pPr>
        <w:tabs>
          <w:tab w:val="num" w:pos="2160"/>
        </w:tabs>
        <w:ind w:left="2160" w:hanging="360"/>
      </w:pPr>
      <w:rPr>
        <w:rFonts w:ascii="Arial" w:hAnsi="Arial" w:hint="default"/>
      </w:rPr>
    </w:lvl>
    <w:lvl w:ilvl="3" w:tplc="4A4A762C" w:tentative="1">
      <w:start w:val="1"/>
      <w:numFmt w:val="bullet"/>
      <w:lvlText w:val="•"/>
      <w:lvlJc w:val="left"/>
      <w:pPr>
        <w:tabs>
          <w:tab w:val="num" w:pos="2880"/>
        </w:tabs>
        <w:ind w:left="2880" w:hanging="360"/>
      </w:pPr>
      <w:rPr>
        <w:rFonts w:ascii="Arial" w:hAnsi="Arial" w:hint="default"/>
      </w:rPr>
    </w:lvl>
    <w:lvl w:ilvl="4" w:tplc="F3629562" w:tentative="1">
      <w:start w:val="1"/>
      <w:numFmt w:val="bullet"/>
      <w:lvlText w:val="•"/>
      <w:lvlJc w:val="left"/>
      <w:pPr>
        <w:tabs>
          <w:tab w:val="num" w:pos="3600"/>
        </w:tabs>
        <w:ind w:left="3600" w:hanging="360"/>
      </w:pPr>
      <w:rPr>
        <w:rFonts w:ascii="Arial" w:hAnsi="Arial" w:hint="default"/>
      </w:rPr>
    </w:lvl>
    <w:lvl w:ilvl="5" w:tplc="7F8206E2" w:tentative="1">
      <w:start w:val="1"/>
      <w:numFmt w:val="bullet"/>
      <w:lvlText w:val="•"/>
      <w:lvlJc w:val="left"/>
      <w:pPr>
        <w:tabs>
          <w:tab w:val="num" w:pos="4320"/>
        </w:tabs>
        <w:ind w:left="4320" w:hanging="360"/>
      </w:pPr>
      <w:rPr>
        <w:rFonts w:ascii="Arial" w:hAnsi="Arial" w:hint="default"/>
      </w:rPr>
    </w:lvl>
    <w:lvl w:ilvl="6" w:tplc="88024ADC" w:tentative="1">
      <w:start w:val="1"/>
      <w:numFmt w:val="bullet"/>
      <w:lvlText w:val="•"/>
      <w:lvlJc w:val="left"/>
      <w:pPr>
        <w:tabs>
          <w:tab w:val="num" w:pos="5040"/>
        </w:tabs>
        <w:ind w:left="5040" w:hanging="360"/>
      </w:pPr>
      <w:rPr>
        <w:rFonts w:ascii="Arial" w:hAnsi="Arial" w:hint="default"/>
      </w:rPr>
    </w:lvl>
    <w:lvl w:ilvl="7" w:tplc="57B412AC" w:tentative="1">
      <w:start w:val="1"/>
      <w:numFmt w:val="bullet"/>
      <w:lvlText w:val="•"/>
      <w:lvlJc w:val="left"/>
      <w:pPr>
        <w:tabs>
          <w:tab w:val="num" w:pos="5760"/>
        </w:tabs>
        <w:ind w:left="5760" w:hanging="360"/>
      </w:pPr>
      <w:rPr>
        <w:rFonts w:ascii="Arial" w:hAnsi="Arial" w:hint="default"/>
      </w:rPr>
    </w:lvl>
    <w:lvl w:ilvl="8" w:tplc="D1ECD31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4F55DA4"/>
    <w:multiLevelType w:val="hybridMultilevel"/>
    <w:tmpl w:val="5C74324C"/>
    <w:lvl w:ilvl="0" w:tplc="90AA4722">
      <w:start w:val="2"/>
      <w:numFmt w:val="decimal"/>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13" w15:restartNumberingAfterBreak="0">
    <w:nsid w:val="37585F7A"/>
    <w:multiLevelType w:val="hybridMultilevel"/>
    <w:tmpl w:val="D2F0F24A"/>
    <w:lvl w:ilvl="0" w:tplc="9D7C4634">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1C72C2D"/>
    <w:multiLevelType w:val="hybridMultilevel"/>
    <w:tmpl w:val="9C4CB93E"/>
    <w:lvl w:ilvl="0" w:tplc="DD24683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 w15:restartNumberingAfterBreak="0">
    <w:nsid w:val="434A33C7"/>
    <w:multiLevelType w:val="hybridMultilevel"/>
    <w:tmpl w:val="77EAB9A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46416CF3"/>
    <w:multiLevelType w:val="hybridMultilevel"/>
    <w:tmpl w:val="EA4ABE6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9D3991"/>
    <w:multiLevelType w:val="hybridMultilevel"/>
    <w:tmpl w:val="E7BE13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FB33E5"/>
    <w:multiLevelType w:val="hybridMultilevel"/>
    <w:tmpl w:val="6ABE7DAE"/>
    <w:lvl w:ilvl="0" w:tplc="FA6817B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8F3056"/>
    <w:multiLevelType w:val="hybridMultilevel"/>
    <w:tmpl w:val="2FF05F7A"/>
    <w:lvl w:ilvl="0" w:tplc="D90AD24C">
      <w:start w:val="1"/>
      <w:numFmt w:val="upperLetter"/>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20" w15:restartNumberingAfterBreak="0">
    <w:nsid w:val="51305A21"/>
    <w:multiLevelType w:val="hybridMultilevel"/>
    <w:tmpl w:val="E9923D1A"/>
    <w:lvl w:ilvl="0" w:tplc="590A3C66">
      <w:start w:val="1"/>
      <w:numFmt w:val="upp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32A3256"/>
    <w:multiLevelType w:val="hybridMultilevel"/>
    <w:tmpl w:val="D3248404"/>
    <w:lvl w:ilvl="0" w:tplc="DDDA6F2E">
      <w:start w:val="3"/>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22" w15:restartNumberingAfterBreak="0">
    <w:nsid w:val="5CC4091D"/>
    <w:multiLevelType w:val="hybridMultilevel"/>
    <w:tmpl w:val="A948B5F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 w15:restartNumberingAfterBreak="0">
    <w:nsid w:val="5EA24043"/>
    <w:multiLevelType w:val="hybridMultilevel"/>
    <w:tmpl w:val="69D6A0DA"/>
    <w:lvl w:ilvl="0" w:tplc="77F6B7A2">
      <w:start w:val="1"/>
      <w:numFmt w:val="decimal"/>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24" w15:restartNumberingAfterBreak="0">
    <w:nsid w:val="674D439D"/>
    <w:multiLevelType w:val="hybridMultilevel"/>
    <w:tmpl w:val="352889A4"/>
    <w:lvl w:ilvl="0" w:tplc="D9C4F272">
      <w:start w:val="1"/>
      <w:numFmt w:val="bullet"/>
      <w:lvlText w:val="•"/>
      <w:lvlJc w:val="left"/>
      <w:pPr>
        <w:tabs>
          <w:tab w:val="num" w:pos="720"/>
        </w:tabs>
        <w:ind w:left="720" w:hanging="360"/>
      </w:pPr>
      <w:rPr>
        <w:rFonts w:ascii="Arial" w:hAnsi="Arial" w:hint="default"/>
      </w:rPr>
    </w:lvl>
    <w:lvl w:ilvl="1" w:tplc="961E88F2" w:tentative="1">
      <w:start w:val="1"/>
      <w:numFmt w:val="bullet"/>
      <w:lvlText w:val="•"/>
      <w:lvlJc w:val="left"/>
      <w:pPr>
        <w:tabs>
          <w:tab w:val="num" w:pos="1440"/>
        </w:tabs>
        <w:ind w:left="1440" w:hanging="360"/>
      </w:pPr>
      <w:rPr>
        <w:rFonts w:ascii="Arial" w:hAnsi="Arial" w:hint="default"/>
      </w:rPr>
    </w:lvl>
    <w:lvl w:ilvl="2" w:tplc="1B607354" w:tentative="1">
      <w:start w:val="1"/>
      <w:numFmt w:val="bullet"/>
      <w:lvlText w:val="•"/>
      <w:lvlJc w:val="left"/>
      <w:pPr>
        <w:tabs>
          <w:tab w:val="num" w:pos="2160"/>
        </w:tabs>
        <w:ind w:left="2160" w:hanging="360"/>
      </w:pPr>
      <w:rPr>
        <w:rFonts w:ascii="Arial" w:hAnsi="Arial" w:hint="default"/>
      </w:rPr>
    </w:lvl>
    <w:lvl w:ilvl="3" w:tplc="F1923438" w:tentative="1">
      <w:start w:val="1"/>
      <w:numFmt w:val="bullet"/>
      <w:lvlText w:val="•"/>
      <w:lvlJc w:val="left"/>
      <w:pPr>
        <w:tabs>
          <w:tab w:val="num" w:pos="2880"/>
        </w:tabs>
        <w:ind w:left="2880" w:hanging="360"/>
      </w:pPr>
      <w:rPr>
        <w:rFonts w:ascii="Arial" w:hAnsi="Arial" w:hint="default"/>
      </w:rPr>
    </w:lvl>
    <w:lvl w:ilvl="4" w:tplc="9F341620" w:tentative="1">
      <w:start w:val="1"/>
      <w:numFmt w:val="bullet"/>
      <w:lvlText w:val="•"/>
      <w:lvlJc w:val="left"/>
      <w:pPr>
        <w:tabs>
          <w:tab w:val="num" w:pos="3600"/>
        </w:tabs>
        <w:ind w:left="3600" w:hanging="360"/>
      </w:pPr>
      <w:rPr>
        <w:rFonts w:ascii="Arial" w:hAnsi="Arial" w:hint="default"/>
      </w:rPr>
    </w:lvl>
    <w:lvl w:ilvl="5" w:tplc="0C88F82E" w:tentative="1">
      <w:start w:val="1"/>
      <w:numFmt w:val="bullet"/>
      <w:lvlText w:val="•"/>
      <w:lvlJc w:val="left"/>
      <w:pPr>
        <w:tabs>
          <w:tab w:val="num" w:pos="4320"/>
        </w:tabs>
        <w:ind w:left="4320" w:hanging="360"/>
      </w:pPr>
      <w:rPr>
        <w:rFonts w:ascii="Arial" w:hAnsi="Arial" w:hint="default"/>
      </w:rPr>
    </w:lvl>
    <w:lvl w:ilvl="6" w:tplc="C0D65FE4" w:tentative="1">
      <w:start w:val="1"/>
      <w:numFmt w:val="bullet"/>
      <w:lvlText w:val="•"/>
      <w:lvlJc w:val="left"/>
      <w:pPr>
        <w:tabs>
          <w:tab w:val="num" w:pos="5040"/>
        </w:tabs>
        <w:ind w:left="5040" w:hanging="360"/>
      </w:pPr>
      <w:rPr>
        <w:rFonts w:ascii="Arial" w:hAnsi="Arial" w:hint="default"/>
      </w:rPr>
    </w:lvl>
    <w:lvl w:ilvl="7" w:tplc="1E82D6D4" w:tentative="1">
      <w:start w:val="1"/>
      <w:numFmt w:val="bullet"/>
      <w:lvlText w:val="•"/>
      <w:lvlJc w:val="left"/>
      <w:pPr>
        <w:tabs>
          <w:tab w:val="num" w:pos="5760"/>
        </w:tabs>
        <w:ind w:left="5760" w:hanging="360"/>
      </w:pPr>
      <w:rPr>
        <w:rFonts w:ascii="Arial" w:hAnsi="Arial" w:hint="default"/>
      </w:rPr>
    </w:lvl>
    <w:lvl w:ilvl="8" w:tplc="42EE1D8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B864D45"/>
    <w:multiLevelType w:val="hybridMultilevel"/>
    <w:tmpl w:val="66C4C25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 w15:restartNumberingAfterBreak="0">
    <w:nsid w:val="76A1580D"/>
    <w:multiLevelType w:val="hybridMultilevel"/>
    <w:tmpl w:val="B2A6FDEC"/>
    <w:lvl w:ilvl="0" w:tplc="7744FA44">
      <w:start w:val="1"/>
      <w:numFmt w:val="upperLetter"/>
      <w:lvlText w:val="%1."/>
      <w:lvlJc w:val="left"/>
      <w:pPr>
        <w:ind w:left="1287" w:hanging="360"/>
      </w:pPr>
      <w:rPr>
        <w:rFonts w:hint="default"/>
      </w:rPr>
    </w:lvl>
    <w:lvl w:ilvl="1" w:tplc="040B0019" w:tentative="1">
      <w:start w:val="1"/>
      <w:numFmt w:val="lowerLetter"/>
      <w:lvlText w:val="%2."/>
      <w:lvlJc w:val="left"/>
      <w:pPr>
        <w:ind w:left="2007" w:hanging="360"/>
      </w:pPr>
    </w:lvl>
    <w:lvl w:ilvl="2" w:tplc="040B001B" w:tentative="1">
      <w:start w:val="1"/>
      <w:numFmt w:val="lowerRoman"/>
      <w:lvlText w:val="%3."/>
      <w:lvlJc w:val="right"/>
      <w:pPr>
        <w:ind w:left="2727" w:hanging="180"/>
      </w:pPr>
    </w:lvl>
    <w:lvl w:ilvl="3" w:tplc="040B000F" w:tentative="1">
      <w:start w:val="1"/>
      <w:numFmt w:val="decimal"/>
      <w:lvlText w:val="%4."/>
      <w:lvlJc w:val="left"/>
      <w:pPr>
        <w:ind w:left="3447" w:hanging="360"/>
      </w:pPr>
    </w:lvl>
    <w:lvl w:ilvl="4" w:tplc="040B0019" w:tentative="1">
      <w:start w:val="1"/>
      <w:numFmt w:val="lowerLetter"/>
      <w:lvlText w:val="%5."/>
      <w:lvlJc w:val="left"/>
      <w:pPr>
        <w:ind w:left="4167" w:hanging="360"/>
      </w:pPr>
    </w:lvl>
    <w:lvl w:ilvl="5" w:tplc="040B001B" w:tentative="1">
      <w:start w:val="1"/>
      <w:numFmt w:val="lowerRoman"/>
      <w:lvlText w:val="%6."/>
      <w:lvlJc w:val="right"/>
      <w:pPr>
        <w:ind w:left="4887" w:hanging="180"/>
      </w:pPr>
    </w:lvl>
    <w:lvl w:ilvl="6" w:tplc="040B000F" w:tentative="1">
      <w:start w:val="1"/>
      <w:numFmt w:val="decimal"/>
      <w:lvlText w:val="%7."/>
      <w:lvlJc w:val="left"/>
      <w:pPr>
        <w:ind w:left="5607" w:hanging="360"/>
      </w:pPr>
    </w:lvl>
    <w:lvl w:ilvl="7" w:tplc="040B0019" w:tentative="1">
      <w:start w:val="1"/>
      <w:numFmt w:val="lowerLetter"/>
      <w:lvlText w:val="%8."/>
      <w:lvlJc w:val="left"/>
      <w:pPr>
        <w:ind w:left="6327" w:hanging="360"/>
      </w:pPr>
    </w:lvl>
    <w:lvl w:ilvl="8" w:tplc="040B001B" w:tentative="1">
      <w:start w:val="1"/>
      <w:numFmt w:val="lowerRoman"/>
      <w:lvlText w:val="%9."/>
      <w:lvlJc w:val="right"/>
      <w:pPr>
        <w:ind w:left="7047" w:hanging="180"/>
      </w:pPr>
    </w:lvl>
  </w:abstractNum>
  <w:abstractNum w:abstractNumId="27" w15:restartNumberingAfterBreak="0">
    <w:nsid w:val="77EB45F1"/>
    <w:multiLevelType w:val="hybridMultilevel"/>
    <w:tmpl w:val="6204981C"/>
    <w:lvl w:ilvl="0" w:tplc="DBCCE2A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3C56AA"/>
    <w:multiLevelType w:val="hybridMultilevel"/>
    <w:tmpl w:val="573E7816"/>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num w:numId="1">
    <w:abstractNumId w:val="24"/>
  </w:num>
  <w:num w:numId="2">
    <w:abstractNumId w:val="8"/>
  </w:num>
  <w:num w:numId="3">
    <w:abstractNumId w:val="28"/>
  </w:num>
  <w:num w:numId="4">
    <w:abstractNumId w:val="11"/>
  </w:num>
  <w:num w:numId="5">
    <w:abstractNumId w:val="4"/>
  </w:num>
  <w:num w:numId="6">
    <w:abstractNumId w:val="9"/>
  </w:num>
  <w:num w:numId="7">
    <w:abstractNumId w:val="14"/>
  </w:num>
  <w:num w:numId="8">
    <w:abstractNumId w:val="25"/>
  </w:num>
  <w:num w:numId="9">
    <w:abstractNumId w:val="22"/>
  </w:num>
  <w:num w:numId="10">
    <w:abstractNumId w:val="15"/>
  </w:num>
  <w:num w:numId="11">
    <w:abstractNumId w:val="1"/>
  </w:num>
  <w:num w:numId="12">
    <w:abstractNumId w:val="7"/>
  </w:num>
  <w:num w:numId="13">
    <w:abstractNumId w:val="0"/>
  </w:num>
  <w:num w:numId="14">
    <w:abstractNumId w:val="12"/>
  </w:num>
  <w:num w:numId="15">
    <w:abstractNumId w:val="26"/>
  </w:num>
  <w:num w:numId="16">
    <w:abstractNumId w:val="19"/>
  </w:num>
  <w:num w:numId="17">
    <w:abstractNumId w:val="21"/>
  </w:num>
  <w:num w:numId="18">
    <w:abstractNumId w:val="6"/>
  </w:num>
  <w:num w:numId="19">
    <w:abstractNumId w:val="7"/>
  </w:num>
  <w:num w:numId="20">
    <w:abstractNumId w:val="7"/>
  </w:num>
  <w:num w:numId="21">
    <w:abstractNumId w:val="7"/>
  </w:num>
  <w:num w:numId="22">
    <w:abstractNumId w:val="17"/>
  </w:num>
  <w:num w:numId="23">
    <w:abstractNumId w:val="16"/>
  </w:num>
  <w:num w:numId="24">
    <w:abstractNumId w:val="2"/>
  </w:num>
  <w:num w:numId="25">
    <w:abstractNumId w:val="23"/>
  </w:num>
  <w:num w:numId="26">
    <w:abstractNumId w:val="20"/>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18"/>
  </w:num>
  <w:num w:numId="31">
    <w:abstractNumId w:val="13"/>
  </w:num>
  <w:num w:numId="32">
    <w:abstractNumId w:val="13"/>
    <w:lvlOverride w:ilvl="0">
      <w:startOverride w:val="1"/>
    </w:lvlOverride>
  </w:num>
  <w:num w:numId="33">
    <w:abstractNumId w:val="13"/>
    <w:lvlOverride w:ilvl="0">
      <w:startOverride w:val="1"/>
    </w:lvlOverride>
  </w:num>
  <w:num w:numId="34">
    <w:abstractNumId w:val="10"/>
  </w:num>
  <w:num w:numId="35">
    <w:abstractNumId w:val="3"/>
  </w:num>
  <w:num w:numId="36">
    <w:abstractNumId w:val="3"/>
    <w:lvlOverride w:ilvl="0">
      <w:startOverride w:val="1"/>
    </w:lvlOverride>
  </w:num>
  <w:num w:numId="37">
    <w:abstractNumId w:val="3"/>
    <w:lvlOverride w:ilvl="0">
      <w:startOverride w:val="1"/>
    </w:lvlOverride>
  </w:num>
  <w:num w:numId="38">
    <w:abstractNumId w:val="27"/>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1304"/>
  <w:autoHyphenation/>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61D"/>
    <w:rsid w:val="0000084E"/>
    <w:rsid w:val="00002306"/>
    <w:rsid w:val="0000294E"/>
    <w:rsid w:val="000046AA"/>
    <w:rsid w:val="000105E7"/>
    <w:rsid w:val="00011950"/>
    <w:rsid w:val="000163EC"/>
    <w:rsid w:val="00025A90"/>
    <w:rsid w:val="00025B09"/>
    <w:rsid w:val="00025DB9"/>
    <w:rsid w:val="00026D5A"/>
    <w:rsid w:val="00026D61"/>
    <w:rsid w:val="0003029C"/>
    <w:rsid w:val="0003327D"/>
    <w:rsid w:val="000344E9"/>
    <w:rsid w:val="000345B6"/>
    <w:rsid w:val="0003485B"/>
    <w:rsid w:val="00034F2C"/>
    <w:rsid w:val="00035260"/>
    <w:rsid w:val="000369B1"/>
    <w:rsid w:val="00037367"/>
    <w:rsid w:val="0003798E"/>
    <w:rsid w:val="00037D3E"/>
    <w:rsid w:val="00040BE5"/>
    <w:rsid w:val="00042C30"/>
    <w:rsid w:val="0004366F"/>
    <w:rsid w:val="00044B09"/>
    <w:rsid w:val="000463F7"/>
    <w:rsid w:val="00046403"/>
    <w:rsid w:val="00046525"/>
    <w:rsid w:val="00047B7C"/>
    <w:rsid w:val="0005425F"/>
    <w:rsid w:val="000559C2"/>
    <w:rsid w:val="000568EF"/>
    <w:rsid w:val="00060F9B"/>
    <w:rsid w:val="00061193"/>
    <w:rsid w:val="00061E48"/>
    <w:rsid w:val="0006316C"/>
    <w:rsid w:val="00064371"/>
    <w:rsid w:val="000647EB"/>
    <w:rsid w:val="00064ABC"/>
    <w:rsid w:val="00065393"/>
    <w:rsid w:val="00066A21"/>
    <w:rsid w:val="00066F82"/>
    <w:rsid w:val="0006709E"/>
    <w:rsid w:val="000674C4"/>
    <w:rsid w:val="00067A85"/>
    <w:rsid w:val="00070F66"/>
    <w:rsid w:val="000741EA"/>
    <w:rsid w:val="000759C9"/>
    <w:rsid w:val="00076408"/>
    <w:rsid w:val="00082EE0"/>
    <w:rsid w:val="000830B4"/>
    <w:rsid w:val="0008322B"/>
    <w:rsid w:val="000846E4"/>
    <w:rsid w:val="00085BDE"/>
    <w:rsid w:val="00085E40"/>
    <w:rsid w:val="00086A88"/>
    <w:rsid w:val="00087068"/>
    <w:rsid w:val="0008759D"/>
    <w:rsid w:val="0009058E"/>
    <w:rsid w:val="00090D5E"/>
    <w:rsid w:val="00091C4D"/>
    <w:rsid w:val="00091C56"/>
    <w:rsid w:val="00092237"/>
    <w:rsid w:val="000936A0"/>
    <w:rsid w:val="000937AB"/>
    <w:rsid w:val="0009388A"/>
    <w:rsid w:val="00094AFB"/>
    <w:rsid w:val="000A14B9"/>
    <w:rsid w:val="000A238A"/>
    <w:rsid w:val="000B0C16"/>
    <w:rsid w:val="000B2E8F"/>
    <w:rsid w:val="000B4F14"/>
    <w:rsid w:val="000B528F"/>
    <w:rsid w:val="000B58A0"/>
    <w:rsid w:val="000B5B18"/>
    <w:rsid w:val="000C0EA9"/>
    <w:rsid w:val="000C50EF"/>
    <w:rsid w:val="000C6CDF"/>
    <w:rsid w:val="000D0B9B"/>
    <w:rsid w:val="000D1775"/>
    <w:rsid w:val="000D3138"/>
    <w:rsid w:val="000D36BB"/>
    <w:rsid w:val="000D6931"/>
    <w:rsid w:val="000D6D80"/>
    <w:rsid w:val="000D724D"/>
    <w:rsid w:val="000E0CA9"/>
    <w:rsid w:val="000E1309"/>
    <w:rsid w:val="000E2CCC"/>
    <w:rsid w:val="000E3E1E"/>
    <w:rsid w:val="000E42E6"/>
    <w:rsid w:val="000E4944"/>
    <w:rsid w:val="000E5A92"/>
    <w:rsid w:val="000E5BE5"/>
    <w:rsid w:val="000E723F"/>
    <w:rsid w:val="000E7A77"/>
    <w:rsid w:val="000F02F0"/>
    <w:rsid w:val="000F0EBA"/>
    <w:rsid w:val="000F3F73"/>
    <w:rsid w:val="000F6BD0"/>
    <w:rsid w:val="0010136F"/>
    <w:rsid w:val="001033A8"/>
    <w:rsid w:val="00104660"/>
    <w:rsid w:val="001049D2"/>
    <w:rsid w:val="001053BC"/>
    <w:rsid w:val="00105418"/>
    <w:rsid w:val="00107CE8"/>
    <w:rsid w:val="001143FB"/>
    <w:rsid w:val="00115328"/>
    <w:rsid w:val="001165F7"/>
    <w:rsid w:val="0012104F"/>
    <w:rsid w:val="00123DDD"/>
    <w:rsid w:val="001240B2"/>
    <w:rsid w:val="0012772A"/>
    <w:rsid w:val="001305F8"/>
    <w:rsid w:val="00131EC6"/>
    <w:rsid w:val="00136437"/>
    <w:rsid w:val="00136E00"/>
    <w:rsid w:val="00137E77"/>
    <w:rsid w:val="00141A2E"/>
    <w:rsid w:val="00142E97"/>
    <w:rsid w:val="00145ED9"/>
    <w:rsid w:val="001468A3"/>
    <w:rsid w:val="001469CE"/>
    <w:rsid w:val="00146C2E"/>
    <w:rsid w:val="00146D41"/>
    <w:rsid w:val="001474B9"/>
    <w:rsid w:val="00150165"/>
    <w:rsid w:val="00150ADD"/>
    <w:rsid w:val="0015214D"/>
    <w:rsid w:val="001523B4"/>
    <w:rsid w:val="001527B6"/>
    <w:rsid w:val="001530FE"/>
    <w:rsid w:val="00155F6D"/>
    <w:rsid w:val="00156AA7"/>
    <w:rsid w:val="00156AB4"/>
    <w:rsid w:val="00161BDC"/>
    <w:rsid w:val="00162D50"/>
    <w:rsid w:val="00163C7E"/>
    <w:rsid w:val="001644C2"/>
    <w:rsid w:val="0016502A"/>
    <w:rsid w:val="00170DEF"/>
    <w:rsid w:val="00180338"/>
    <w:rsid w:val="00181D1D"/>
    <w:rsid w:val="00182355"/>
    <w:rsid w:val="00182CAB"/>
    <w:rsid w:val="0018522D"/>
    <w:rsid w:val="00186CF0"/>
    <w:rsid w:val="0019456F"/>
    <w:rsid w:val="00195A08"/>
    <w:rsid w:val="001A22D3"/>
    <w:rsid w:val="001A4431"/>
    <w:rsid w:val="001A45A1"/>
    <w:rsid w:val="001B0036"/>
    <w:rsid w:val="001B0326"/>
    <w:rsid w:val="001B16BC"/>
    <w:rsid w:val="001B521A"/>
    <w:rsid w:val="001B7599"/>
    <w:rsid w:val="001C2542"/>
    <w:rsid w:val="001C31E0"/>
    <w:rsid w:val="001C3609"/>
    <w:rsid w:val="001C6A50"/>
    <w:rsid w:val="001D1682"/>
    <w:rsid w:val="001D1861"/>
    <w:rsid w:val="001E0FFC"/>
    <w:rsid w:val="001E5388"/>
    <w:rsid w:val="001E7846"/>
    <w:rsid w:val="001F2B0E"/>
    <w:rsid w:val="001F389C"/>
    <w:rsid w:val="001F4A2F"/>
    <w:rsid w:val="001F652A"/>
    <w:rsid w:val="001F6941"/>
    <w:rsid w:val="00200322"/>
    <w:rsid w:val="00204B40"/>
    <w:rsid w:val="002052E9"/>
    <w:rsid w:val="00207A57"/>
    <w:rsid w:val="00210B15"/>
    <w:rsid w:val="00210CB8"/>
    <w:rsid w:val="00212882"/>
    <w:rsid w:val="002133DE"/>
    <w:rsid w:val="002140C2"/>
    <w:rsid w:val="002151FB"/>
    <w:rsid w:val="00216C8D"/>
    <w:rsid w:val="00216D06"/>
    <w:rsid w:val="002175B4"/>
    <w:rsid w:val="00217B30"/>
    <w:rsid w:val="00222559"/>
    <w:rsid w:val="00224976"/>
    <w:rsid w:val="00226EA7"/>
    <w:rsid w:val="0022719D"/>
    <w:rsid w:val="0022726A"/>
    <w:rsid w:val="00232FE4"/>
    <w:rsid w:val="00234D41"/>
    <w:rsid w:val="002373BF"/>
    <w:rsid w:val="00240C3A"/>
    <w:rsid w:val="00240FCC"/>
    <w:rsid w:val="00241FD1"/>
    <w:rsid w:val="002440C8"/>
    <w:rsid w:val="00244153"/>
    <w:rsid w:val="002506E9"/>
    <w:rsid w:val="00252D9D"/>
    <w:rsid w:val="00252DE1"/>
    <w:rsid w:val="0025472C"/>
    <w:rsid w:val="00254887"/>
    <w:rsid w:val="0025543E"/>
    <w:rsid w:val="002604F4"/>
    <w:rsid w:val="00262365"/>
    <w:rsid w:val="00263FE7"/>
    <w:rsid w:val="00271679"/>
    <w:rsid w:val="00273140"/>
    <w:rsid w:val="00273304"/>
    <w:rsid w:val="00273EFF"/>
    <w:rsid w:val="00276469"/>
    <w:rsid w:val="002773ED"/>
    <w:rsid w:val="00277BDE"/>
    <w:rsid w:val="002804F3"/>
    <w:rsid w:val="00281404"/>
    <w:rsid w:val="002825AC"/>
    <w:rsid w:val="002838F1"/>
    <w:rsid w:val="00283D3B"/>
    <w:rsid w:val="002850E1"/>
    <w:rsid w:val="002868DF"/>
    <w:rsid w:val="00286904"/>
    <w:rsid w:val="00286AD2"/>
    <w:rsid w:val="00287F8D"/>
    <w:rsid w:val="0029093D"/>
    <w:rsid w:val="00291E5C"/>
    <w:rsid w:val="00291F3B"/>
    <w:rsid w:val="002928C2"/>
    <w:rsid w:val="00293160"/>
    <w:rsid w:val="00294B84"/>
    <w:rsid w:val="002963FD"/>
    <w:rsid w:val="0029689A"/>
    <w:rsid w:val="002A1A27"/>
    <w:rsid w:val="002A207F"/>
    <w:rsid w:val="002A62CA"/>
    <w:rsid w:val="002B0429"/>
    <w:rsid w:val="002B2D57"/>
    <w:rsid w:val="002B2F85"/>
    <w:rsid w:val="002B4A42"/>
    <w:rsid w:val="002B4D23"/>
    <w:rsid w:val="002B5E83"/>
    <w:rsid w:val="002B6529"/>
    <w:rsid w:val="002B769F"/>
    <w:rsid w:val="002C17B3"/>
    <w:rsid w:val="002C2A4D"/>
    <w:rsid w:val="002C2DC4"/>
    <w:rsid w:val="002C38BD"/>
    <w:rsid w:val="002C6692"/>
    <w:rsid w:val="002C7FEB"/>
    <w:rsid w:val="002D0042"/>
    <w:rsid w:val="002D1D5C"/>
    <w:rsid w:val="002D6FD2"/>
    <w:rsid w:val="002D7ECA"/>
    <w:rsid w:val="002E1582"/>
    <w:rsid w:val="002E198F"/>
    <w:rsid w:val="002E2FAC"/>
    <w:rsid w:val="002E3A07"/>
    <w:rsid w:val="002E3FFC"/>
    <w:rsid w:val="002E4911"/>
    <w:rsid w:val="002E4E58"/>
    <w:rsid w:val="002E7672"/>
    <w:rsid w:val="002E7C54"/>
    <w:rsid w:val="002F0B0F"/>
    <w:rsid w:val="002F0BB2"/>
    <w:rsid w:val="002F14BB"/>
    <w:rsid w:val="002F2D72"/>
    <w:rsid w:val="002F45EC"/>
    <w:rsid w:val="00300FEB"/>
    <w:rsid w:val="0030297F"/>
    <w:rsid w:val="003050F5"/>
    <w:rsid w:val="0030659F"/>
    <w:rsid w:val="00307FF9"/>
    <w:rsid w:val="00310FE8"/>
    <w:rsid w:val="00315D07"/>
    <w:rsid w:val="00315FB0"/>
    <w:rsid w:val="00316331"/>
    <w:rsid w:val="003167D3"/>
    <w:rsid w:val="00316F36"/>
    <w:rsid w:val="00317477"/>
    <w:rsid w:val="003177DF"/>
    <w:rsid w:val="003208D2"/>
    <w:rsid w:val="003236F1"/>
    <w:rsid w:val="003243D7"/>
    <w:rsid w:val="003302BE"/>
    <w:rsid w:val="00334FF9"/>
    <w:rsid w:val="0033584C"/>
    <w:rsid w:val="00335A67"/>
    <w:rsid w:val="00336A28"/>
    <w:rsid w:val="0033737B"/>
    <w:rsid w:val="00343565"/>
    <w:rsid w:val="003479A8"/>
    <w:rsid w:val="00350073"/>
    <w:rsid w:val="00351545"/>
    <w:rsid w:val="003547A4"/>
    <w:rsid w:val="00355175"/>
    <w:rsid w:val="003555A8"/>
    <w:rsid w:val="00355D63"/>
    <w:rsid w:val="0035638D"/>
    <w:rsid w:val="003570BA"/>
    <w:rsid w:val="00361100"/>
    <w:rsid w:val="00361E81"/>
    <w:rsid w:val="00363344"/>
    <w:rsid w:val="0036337C"/>
    <w:rsid w:val="0036352B"/>
    <w:rsid w:val="00364319"/>
    <w:rsid w:val="00365579"/>
    <w:rsid w:val="003656BE"/>
    <w:rsid w:val="0037150C"/>
    <w:rsid w:val="00371824"/>
    <w:rsid w:val="00371D35"/>
    <w:rsid w:val="003739A3"/>
    <w:rsid w:val="00373CDB"/>
    <w:rsid w:val="00375262"/>
    <w:rsid w:val="00375E4D"/>
    <w:rsid w:val="003765CD"/>
    <w:rsid w:val="00382C2E"/>
    <w:rsid w:val="00382E96"/>
    <w:rsid w:val="00382F7B"/>
    <w:rsid w:val="003840AE"/>
    <w:rsid w:val="0038427B"/>
    <w:rsid w:val="00385C85"/>
    <w:rsid w:val="00386DC6"/>
    <w:rsid w:val="003916D4"/>
    <w:rsid w:val="00391E5F"/>
    <w:rsid w:val="003931B4"/>
    <w:rsid w:val="00393EA9"/>
    <w:rsid w:val="003943DD"/>
    <w:rsid w:val="0039573E"/>
    <w:rsid w:val="00395CA3"/>
    <w:rsid w:val="0039638A"/>
    <w:rsid w:val="0039745B"/>
    <w:rsid w:val="003A0145"/>
    <w:rsid w:val="003A162D"/>
    <w:rsid w:val="003A1EE0"/>
    <w:rsid w:val="003A39DA"/>
    <w:rsid w:val="003A7139"/>
    <w:rsid w:val="003A7FA8"/>
    <w:rsid w:val="003B0590"/>
    <w:rsid w:val="003B05EA"/>
    <w:rsid w:val="003B1451"/>
    <w:rsid w:val="003B18DE"/>
    <w:rsid w:val="003B36E8"/>
    <w:rsid w:val="003B4A8A"/>
    <w:rsid w:val="003C1844"/>
    <w:rsid w:val="003C239C"/>
    <w:rsid w:val="003C5465"/>
    <w:rsid w:val="003C799A"/>
    <w:rsid w:val="003D0494"/>
    <w:rsid w:val="003D0E1F"/>
    <w:rsid w:val="003D1789"/>
    <w:rsid w:val="003D2B6B"/>
    <w:rsid w:val="003D3327"/>
    <w:rsid w:val="003D42D5"/>
    <w:rsid w:val="003D4588"/>
    <w:rsid w:val="003D5C01"/>
    <w:rsid w:val="003D5E1C"/>
    <w:rsid w:val="003E095D"/>
    <w:rsid w:val="003E1E19"/>
    <w:rsid w:val="003E2A18"/>
    <w:rsid w:val="003E3DB9"/>
    <w:rsid w:val="003E559D"/>
    <w:rsid w:val="003E603D"/>
    <w:rsid w:val="003F0157"/>
    <w:rsid w:val="003F14F0"/>
    <w:rsid w:val="003F443D"/>
    <w:rsid w:val="003F6022"/>
    <w:rsid w:val="003F6CE6"/>
    <w:rsid w:val="003F6D22"/>
    <w:rsid w:val="004003DC"/>
    <w:rsid w:val="004016C4"/>
    <w:rsid w:val="00403C4A"/>
    <w:rsid w:val="0040509C"/>
    <w:rsid w:val="00407067"/>
    <w:rsid w:val="0041193E"/>
    <w:rsid w:val="004134AA"/>
    <w:rsid w:val="0041755F"/>
    <w:rsid w:val="0041765C"/>
    <w:rsid w:val="004233D1"/>
    <w:rsid w:val="0042387F"/>
    <w:rsid w:val="004259D6"/>
    <w:rsid w:val="00426488"/>
    <w:rsid w:val="00426866"/>
    <w:rsid w:val="00427CA3"/>
    <w:rsid w:val="00431E49"/>
    <w:rsid w:val="00432E54"/>
    <w:rsid w:val="00436023"/>
    <w:rsid w:val="004423EB"/>
    <w:rsid w:val="00445A88"/>
    <w:rsid w:val="00446D69"/>
    <w:rsid w:val="00447EA2"/>
    <w:rsid w:val="004501AD"/>
    <w:rsid w:val="00450353"/>
    <w:rsid w:val="0045097A"/>
    <w:rsid w:val="00450B9D"/>
    <w:rsid w:val="004547FD"/>
    <w:rsid w:val="00454B57"/>
    <w:rsid w:val="004560D0"/>
    <w:rsid w:val="00460248"/>
    <w:rsid w:val="004619CF"/>
    <w:rsid w:val="0046264C"/>
    <w:rsid w:val="00462CB3"/>
    <w:rsid w:val="00462ED0"/>
    <w:rsid w:val="00463B44"/>
    <w:rsid w:val="00465752"/>
    <w:rsid w:val="00466267"/>
    <w:rsid w:val="00467BB8"/>
    <w:rsid w:val="00467FDF"/>
    <w:rsid w:val="00470782"/>
    <w:rsid w:val="00470B0C"/>
    <w:rsid w:val="0047256D"/>
    <w:rsid w:val="004735FB"/>
    <w:rsid w:val="00481486"/>
    <w:rsid w:val="00482B03"/>
    <w:rsid w:val="00483430"/>
    <w:rsid w:val="0048350E"/>
    <w:rsid w:val="004835C6"/>
    <w:rsid w:val="004852E0"/>
    <w:rsid w:val="0048586B"/>
    <w:rsid w:val="00485BC2"/>
    <w:rsid w:val="004869E1"/>
    <w:rsid w:val="00487F85"/>
    <w:rsid w:val="004903A7"/>
    <w:rsid w:val="00493A2C"/>
    <w:rsid w:val="004945C2"/>
    <w:rsid w:val="00496F93"/>
    <w:rsid w:val="004A1283"/>
    <w:rsid w:val="004A2160"/>
    <w:rsid w:val="004A34A2"/>
    <w:rsid w:val="004A4769"/>
    <w:rsid w:val="004A7437"/>
    <w:rsid w:val="004A771A"/>
    <w:rsid w:val="004B0712"/>
    <w:rsid w:val="004B0CA0"/>
    <w:rsid w:val="004B12D5"/>
    <w:rsid w:val="004B2331"/>
    <w:rsid w:val="004B4CFB"/>
    <w:rsid w:val="004C0648"/>
    <w:rsid w:val="004C1B63"/>
    <w:rsid w:val="004C1B9D"/>
    <w:rsid w:val="004C2BE6"/>
    <w:rsid w:val="004C2EFF"/>
    <w:rsid w:val="004C3177"/>
    <w:rsid w:val="004C38A9"/>
    <w:rsid w:val="004C7036"/>
    <w:rsid w:val="004D1364"/>
    <w:rsid w:val="004D19C0"/>
    <w:rsid w:val="004D4001"/>
    <w:rsid w:val="004D4910"/>
    <w:rsid w:val="004D5344"/>
    <w:rsid w:val="004D71C4"/>
    <w:rsid w:val="004D762B"/>
    <w:rsid w:val="004E035D"/>
    <w:rsid w:val="004E12DD"/>
    <w:rsid w:val="004E4EC0"/>
    <w:rsid w:val="004E62C7"/>
    <w:rsid w:val="004E6801"/>
    <w:rsid w:val="004E6BEC"/>
    <w:rsid w:val="004E6E53"/>
    <w:rsid w:val="004F0DF0"/>
    <w:rsid w:val="004F1467"/>
    <w:rsid w:val="004F1F25"/>
    <w:rsid w:val="004F21A7"/>
    <w:rsid w:val="004F3EF5"/>
    <w:rsid w:val="004F4227"/>
    <w:rsid w:val="004F5134"/>
    <w:rsid w:val="005039B3"/>
    <w:rsid w:val="00504804"/>
    <w:rsid w:val="0050510D"/>
    <w:rsid w:val="005066BF"/>
    <w:rsid w:val="00506C9D"/>
    <w:rsid w:val="0051632E"/>
    <w:rsid w:val="0051635B"/>
    <w:rsid w:val="00516D2C"/>
    <w:rsid w:val="00520E08"/>
    <w:rsid w:val="0052172C"/>
    <w:rsid w:val="00526DD2"/>
    <w:rsid w:val="0052701E"/>
    <w:rsid w:val="0053065D"/>
    <w:rsid w:val="0053716C"/>
    <w:rsid w:val="00537C48"/>
    <w:rsid w:val="005404AB"/>
    <w:rsid w:val="005420F5"/>
    <w:rsid w:val="005426F0"/>
    <w:rsid w:val="00544277"/>
    <w:rsid w:val="00547CF3"/>
    <w:rsid w:val="005503AE"/>
    <w:rsid w:val="00550574"/>
    <w:rsid w:val="00552CC7"/>
    <w:rsid w:val="00553A7A"/>
    <w:rsid w:val="00553AC5"/>
    <w:rsid w:val="00555267"/>
    <w:rsid w:val="00555597"/>
    <w:rsid w:val="00560097"/>
    <w:rsid w:val="0056083A"/>
    <w:rsid w:val="005612FC"/>
    <w:rsid w:val="00561802"/>
    <w:rsid w:val="00561B5E"/>
    <w:rsid w:val="0056357E"/>
    <w:rsid w:val="00563869"/>
    <w:rsid w:val="00563DC9"/>
    <w:rsid w:val="00564BC9"/>
    <w:rsid w:val="00566C1E"/>
    <w:rsid w:val="00570C33"/>
    <w:rsid w:val="00571DFF"/>
    <w:rsid w:val="00572B77"/>
    <w:rsid w:val="005730BC"/>
    <w:rsid w:val="005749B9"/>
    <w:rsid w:val="00575984"/>
    <w:rsid w:val="005764F5"/>
    <w:rsid w:val="00576645"/>
    <w:rsid w:val="005804B4"/>
    <w:rsid w:val="0058326B"/>
    <w:rsid w:val="00585FEA"/>
    <w:rsid w:val="005864BB"/>
    <w:rsid w:val="00586A1E"/>
    <w:rsid w:val="0058719C"/>
    <w:rsid w:val="00590A7B"/>
    <w:rsid w:val="00592562"/>
    <w:rsid w:val="005928E2"/>
    <w:rsid w:val="0059317D"/>
    <w:rsid w:val="00593BA6"/>
    <w:rsid w:val="005945AD"/>
    <w:rsid w:val="00596981"/>
    <w:rsid w:val="0059756B"/>
    <w:rsid w:val="0059784D"/>
    <w:rsid w:val="005A174F"/>
    <w:rsid w:val="005A22CB"/>
    <w:rsid w:val="005A267E"/>
    <w:rsid w:val="005A27A5"/>
    <w:rsid w:val="005A2CA2"/>
    <w:rsid w:val="005A3F41"/>
    <w:rsid w:val="005A4AEA"/>
    <w:rsid w:val="005A6437"/>
    <w:rsid w:val="005A6789"/>
    <w:rsid w:val="005B0669"/>
    <w:rsid w:val="005B0EC8"/>
    <w:rsid w:val="005B2916"/>
    <w:rsid w:val="005B3F3E"/>
    <w:rsid w:val="005B4821"/>
    <w:rsid w:val="005B5DCA"/>
    <w:rsid w:val="005B5F5A"/>
    <w:rsid w:val="005C21DC"/>
    <w:rsid w:val="005C225D"/>
    <w:rsid w:val="005C287D"/>
    <w:rsid w:val="005C565D"/>
    <w:rsid w:val="005C6750"/>
    <w:rsid w:val="005C7B23"/>
    <w:rsid w:val="005D0669"/>
    <w:rsid w:val="005D067B"/>
    <w:rsid w:val="005D1101"/>
    <w:rsid w:val="005D162F"/>
    <w:rsid w:val="005D2D60"/>
    <w:rsid w:val="005D4275"/>
    <w:rsid w:val="005D49B6"/>
    <w:rsid w:val="005D54FD"/>
    <w:rsid w:val="005D55BE"/>
    <w:rsid w:val="005D65F6"/>
    <w:rsid w:val="005D707D"/>
    <w:rsid w:val="005E05E3"/>
    <w:rsid w:val="005E3530"/>
    <w:rsid w:val="005E40AE"/>
    <w:rsid w:val="005E49DE"/>
    <w:rsid w:val="005E6BEE"/>
    <w:rsid w:val="005E79D2"/>
    <w:rsid w:val="005F1A92"/>
    <w:rsid w:val="005F1F0E"/>
    <w:rsid w:val="005F486F"/>
    <w:rsid w:val="005F65CF"/>
    <w:rsid w:val="005F6CB8"/>
    <w:rsid w:val="005F7779"/>
    <w:rsid w:val="00600071"/>
    <w:rsid w:val="00603216"/>
    <w:rsid w:val="00604E79"/>
    <w:rsid w:val="00605269"/>
    <w:rsid w:val="0060560E"/>
    <w:rsid w:val="0060562B"/>
    <w:rsid w:val="00607EEB"/>
    <w:rsid w:val="00612C6E"/>
    <w:rsid w:val="00614919"/>
    <w:rsid w:val="00614D01"/>
    <w:rsid w:val="00615630"/>
    <w:rsid w:val="00615874"/>
    <w:rsid w:val="00616BDE"/>
    <w:rsid w:val="00616EDA"/>
    <w:rsid w:val="00621AAC"/>
    <w:rsid w:val="00622675"/>
    <w:rsid w:val="00622956"/>
    <w:rsid w:val="00624300"/>
    <w:rsid w:val="0062595D"/>
    <w:rsid w:val="0062777A"/>
    <w:rsid w:val="006346DD"/>
    <w:rsid w:val="00635082"/>
    <w:rsid w:val="00635852"/>
    <w:rsid w:val="006369E0"/>
    <w:rsid w:val="006414C6"/>
    <w:rsid w:val="00641551"/>
    <w:rsid w:val="00641CBA"/>
    <w:rsid w:val="006464EA"/>
    <w:rsid w:val="0064763C"/>
    <w:rsid w:val="00647D52"/>
    <w:rsid w:val="00651B70"/>
    <w:rsid w:val="00652C42"/>
    <w:rsid w:val="00652CE2"/>
    <w:rsid w:val="00653135"/>
    <w:rsid w:val="00655A64"/>
    <w:rsid w:val="00655D37"/>
    <w:rsid w:val="00656044"/>
    <w:rsid w:val="00661DB6"/>
    <w:rsid w:val="00662A7D"/>
    <w:rsid w:val="0066449D"/>
    <w:rsid w:val="00665F47"/>
    <w:rsid w:val="00667FB6"/>
    <w:rsid w:val="006737B2"/>
    <w:rsid w:val="00677E43"/>
    <w:rsid w:val="00684236"/>
    <w:rsid w:val="00684D84"/>
    <w:rsid w:val="00684DED"/>
    <w:rsid w:val="00685417"/>
    <w:rsid w:val="00685A49"/>
    <w:rsid w:val="006915C0"/>
    <w:rsid w:val="0069333C"/>
    <w:rsid w:val="00694669"/>
    <w:rsid w:val="0069498A"/>
    <w:rsid w:val="00694C52"/>
    <w:rsid w:val="00697056"/>
    <w:rsid w:val="006A254D"/>
    <w:rsid w:val="006A537A"/>
    <w:rsid w:val="006A7188"/>
    <w:rsid w:val="006A797D"/>
    <w:rsid w:val="006A7D0E"/>
    <w:rsid w:val="006A7DE0"/>
    <w:rsid w:val="006B16C1"/>
    <w:rsid w:val="006B2378"/>
    <w:rsid w:val="006B32EA"/>
    <w:rsid w:val="006B3A7F"/>
    <w:rsid w:val="006B4132"/>
    <w:rsid w:val="006B4971"/>
    <w:rsid w:val="006B56C4"/>
    <w:rsid w:val="006B5D48"/>
    <w:rsid w:val="006B60D1"/>
    <w:rsid w:val="006B7AD6"/>
    <w:rsid w:val="006C03B4"/>
    <w:rsid w:val="006C17F9"/>
    <w:rsid w:val="006C26AA"/>
    <w:rsid w:val="006C33D1"/>
    <w:rsid w:val="006C515D"/>
    <w:rsid w:val="006C6D11"/>
    <w:rsid w:val="006C7DE1"/>
    <w:rsid w:val="006D2B80"/>
    <w:rsid w:val="006D3C2D"/>
    <w:rsid w:val="006D4A5C"/>
    <w:rsid w:val="006D4A5F"/>
    <w:rsid w:val="006D5C32"/>
    <w:rsid w:val="006D68E5"/>
    <w:rsid w:val="006E08EE"/>
    <w:rsid w:val="006E0ADE"/>
    <w:rsid w:val="006E14A0"/>
    <w:rsid w:val="006E2A47"/>
    <w:rsid w:val="006E454F"/>
    <w:rsid w:val="006E59D8"/>
    <w:rsid w:val="006E6B10"/>
    <w:rsid w:val="006E7472"/>
    <w:rsid w:val="006E78FD"/>
    <w:rsid w:val="006F07BE"/>
    <w:rsid w:val="006F07F4"/>
    <w:rsid w:val="006F1583"/>
    <w:rsid w:val="006F1838"/>
    <w:rsid w:val="006F1E70"/>
    <w:rsid w:val="006F2700"/>
    <w:rsid w:val="006F2E1E"/>
    <w:rsid w:val="006F4063"/>
    <w:rsid w:val="006F636E"/>
    <w:rsid w:val="006F69C6"/>
    <w:rsid w:val="006F6E2F"/>
    <w:rsid w:val="006F6FE5"/>
    <w:rsid w:val="006F73D2"/>
    <w:rsid w:val="007009F6"/>
    <w:rsid w:val="00701B05"/>
    <w:rsid w:val="00704162"/>
    <w:rsid w:val="00704568"/>
    <w:rsid w:val="00706A6C"/>
    <w:rsid w:val="00710A6D"/>
    <w:rsid w:val="00711133"/>
    <w:rsid w:val="0071272E"/>
    <w:rsid w:val="00712EFC"/>
    <w:rsid w:val="00714B2C"/>
    <w:rsid w:val="00717093"/>
    <w:rsid w:val="00717A51"/>
    <w:rsid w:val="00717BF6"/>
    <w:rsid w:val="00720867"/>
    <w:rsid w:val="00722001"/>
    <w:rsid w:val="00722EB5"/>
    <w:rsid w:val="00723D3B"/>
    <w:rsid w:val="00724D1C"/>
    <w:rsid w:val="0072562F"/>
    <w:rsid w:val="0072661D"/>
    <w:rsid w:val="007269B3"/>
    <w:rsid w:val="007269F0"/>
    <w:rsid w:val="00727A18"/>
    <w:rsid w:val="00727B0D"/>
    <w:rsid w:val="007304C9"/>
    <w:rsid w:val="0073103C"/>
    <w:rsid w:val="00733A9E"/>
    <w:rsid w:val="0073404E"/>
    <w:rsid w:val="00734131"/>
    <w:rsid w:val="0074246C"/>
    <w:rsid w:val="00742633"/>
    <w:rsid w:val="00742D6E"/>
    <w:rsid w:val="007460A5"/>
    <w:rsid w:val="0074644F"/>
    <w:rsid w:val="00747CF7"/>
    <w:rsid w:val="007522CF"/>
    <w:rsid w:val="007524D3"/>
    <w:rsid w:val="007553EF"/>
    <w:rsid w:val="00755579"/>
    <w:rsid w:val="00755963"/>
    <w:rsid w:val="00760F64"/>
    <w:rsid w:val="00761210"/>
    <w:rsid w:val="007617B8"/>
    <w:rsid w:val="00766B24"/>
    <w:rsid w:val="007701F9"/>
    <w:rsid w:val="00770773"/>
    <w:rsid w:val="0077208B"/>
    <w:rsid w:val="0077477C"/>
    <w:rsid w:val="0077778E"/>
    <w:rsid w:val="00777ED7"/>
    <w:rsid w:val="00780452"/>
    <w:rsid w:val="007816D3"/>
    <w:rsid w:val="00785BC5"/>
    <w:rsid w:val="00787A54"/>
    <w:rsid w:val="0079023C"/>
    <w:rsid w:val="00791DFC"/>
    <w:rsid w:val="0079216B"/>
    <w:rsid w:val="007932AC"/>
    <w:rsid w:val="00793DAD"/>
    <w:rsid w:val="00796236"/>
    <w:rsid w:val="007A483C"/>
    <w:rsid w:val="007A4E7B"/>
    <w:rsid w:val="007A726D"/>
    <w:rsid w:val="007B2464"/>
    <w:rsid w:val="007B3600"/>
    <w:rsid w:val="007B55C2"/>
    <w:rsid w:val="007B797A"/>
    <w:rsid w:val="007C1DE6"/>
    <w:rsid w:val="007C23A0"/>
    <w:rsid w:val="007C2F21"/>
    <w:rsid w:val="007C5446"/>
    <w:rsid w:val="007D3FE0"/>
    <w:rsid w:val="007D4B81"/>
    <w:rsid w:val="007D6DC4"/>
    <w:rsid w:val="007D6E8B"/>
    <w:rsid w:val="007E0272"/>
    <w:rsid w:val="007E185B"/>
    <w:rsid w:val="007E1DF4"/>
    <w:rsid w:val="007E58B3"/>
    <w:rsid w:val="007E76E1"/>
    <w:rsid w:val="007E7E2E"/>
    <w:rsid w:val="007E7E70"/>
    <w:rsid w:val="007F0753"/>
    <w:rsid w:val="007F0C44"/>
    <w:rsid w:val="007F1357"/>
    <w:rsid w:val="007F14C2"/>
    <w:rsid w:val="007F31B4"/>
    <w:rsid w:val="00801F10"/>
    <w:rsid w:val="00802CD0"/>
    <w:rsid w:val="00803A56"/>
    <w:rsid w:val="0080450D"/>
    <w:rsid w:val="008072FD"/>
    <w:rsid w:val="00811AA8"/>
    <w:rsid w:val="00811CF1"/>
    <w:rsid w:val="00812800"/>
    <w:rsid w:val="00815100"/>
    <w:rsid w:val="00821349"/>
    <w:rsid w:val="008239AC"/>
    <w:rsid w:val="00823BBB"/>
    <w:rsid w:val="00830A23"/>
    <w:rsid w:val="008311E0"/>
    <w:rsid w:val="00836205"/>
    <w:rsid w:val="0083623E"/>
    <w:rsid w:val="008376FF"/>
    <w:rsid w:val="008414E3"/>
    <w:rsid w:val="00841E40"/>
    <w:rsid w:val="00843862"/>
    <w:rsid w:val="00845ADA"/>
    <w:rsid w:val="00846058"/>
    <w:rsid w:val="00846085"/>
    <w:rsid w:val="0084784B"/>
    <w:rsid w:val="008504AA"/>
    <w:rsid w:val="008514DF"/>
    <w:rsid w:val="008521C4"/>
    <w:rsid w:val="00853B1E"/>
    <w:rsid w:val="0085454F"/>
    <w:rsid w:val="00856180"/>
    <w:rsid w:val="0085723B"/>
    <w:rsid w:val="0085797A"/>
    <w:rsid w:val="00860EC9"/>
    <w:rsid w:val="00861B68"/>
    <w:rsid w:val="00862384"/>
    <w:rsid w:val="0086467D"/>
    <w:rsid w:val="008656DE"/>
    <w:rsid w:val="00866F0E"/>
    <w:rsid w:val="00870D81"/>
    <w:rsid w:val="00871D5B"/>
    <w:rsid w:val="00871FB9"/>
    <w:rsid w:val="00872C2B"/>
    <w:rsid w:val="008736A4"/>
    <w:rsid w:val="00874215"/>
    <w:rsid w:val="00874BFE"/>
    <w:rsid w:val="00874D92"/>
    <w:rsid w:val="008776AD"/>
    <w:rsid w:val="00877A56"/>
    <w:rsid w:val="00880056"/>
    <w:rsid w:val="00881EDB"/>
    <w:rsid w:val="0088390D"/>
    <w:rsid w:val="00886228"/>
    <w:rsid w:val="008917F4"/>
    <w:rsid w:val="008919A2"/>
    <w:rsid w:val="00891A91"/>
    <w:rsid w:val="0089292B"/>
    <w:rsid w:val="00892E3B"/>
    <w:rsid w:val="00894376"/>
    <w:rsid w:val="008945A2"/>
    <w:rsid w:val="00897C39"/>
    <w:rsid w:val="00897FE2"/>
    <w:rsid w:val="008A72CE"/>
    <w:rsid w:val="008B2BA0"/>
    <w:rsid w:val="008B2E48"/>
    <w:rsid w:val="008C01B7"/>
    <w:rsid w:val="008C267F"/>
    <w:rsid w:val="008C2D77"/>
    <w:rsid w:val="008C394F"/>
    <w:rsid w:val="008C3D46"/>
    <w:rsid w:val="008C4BD5"/>
    <w:rsid w:val="008C6704"/>
    <w:rsid w:val="008D0E6C"/>
    <w:rsid w:val="008D2559"/>
    <w:rsid w:val="008D28CD"/>
    <w:rsid w:val="008D40C5"/>
    <w:rsid w:val="008D424B"/>
    <w:rsid w:val="008D5A38"/>
    <w:rsid w:val="008D7608"/>
    <w:rsid w:val="008E0DAB"/>
    <w:rsid w:val="008E32BE"/>
    <w:rsid w:val="008E33AF"/>
    <w:rsid w:val="008E569D"/>
    <w:rsid w:val="008E5D93"/>
    <w:rsid w:val="008E7D71"/>
    <w:rsid w:val="008F073C"/>
    <w:rsid w:val="008F1F5F"/>
    <w:rsid w:val="008F4D0E"/>
    <w:rsid w:val="008F64C0"/>
    <w:rsid w:val="008F6859"/>
    <w:rsid w:val="008F77CC"/>
    <w:rsid w:val="00901F59"/>
    <w:rsid w:val="00904749"/>
    <w:rsid w:val="009072F9"/>
    <w:rsid w:val="00907D1B"/>
    <w:rsid w:val="00911834"/>
    <w:rsid w:val="009119A9"/>
    <w:rsid w:val="00912E2D"/>
    <w:rsid w:val="00914DB6"/>
    <w:rsid w:val="0091501A"/>
    <w:rsid w:val="00916497"/>
    <w:rsid w:val="009166CB"/>
    <w:rsid w:val="00916C10"/>
    <w:rsid w:val="00921207"/>
    <w:rsid w:val="009321DA"/>
    <w:rsid w:val="00934461"/>
    <w:rsid w:val="00934695"/>
    <w:rsid w:val="00935071"/>
    <w:rsid w:val="00935170"/>
    <w:rsid w:val="00935769"/>
    <w:rsid w:val="009363A4"/>
    <w:rsid w:val="009363CA"/>
    <w:rsid w:val="00937EB7"/>
    <w:rsid w:val="0094052C"/>
    <w:rsid w:val="00941BD6"/>
    <w:rsid w:val="00941E29"/>
    <w:rsid w:val="009432F8"/>
    <w:rsid w:val="00943621"/>
    <w:rsid w:val="00945C15"/>
    <w:rsid w:val="0094602B"/>
    <w:rsid w:val="00946E1A"/>
    <w:rsid w:val="00951B59"/>
    <w:rsid w:val="00953C29"/>
    <w:rsid w:val="009541CB"/>
    <w:rsid w:val="00955228"/>
    <w:rsid w:val="0096102B"/>
    <w:rsid w:val="00961814"/>
    <w:rsid w:val="009619AA"/>
    <w:rsid w:val="00962B6E"/>
    <w:rsid w:val="00963281"/>
    <w:rsid w:val="009651AB"/>
    <w:rsid w:val="0096544E"/>
    <w:rsid w:val="00965F56"/>
    <w:rsid w:val="00966FD4"/>
    <w:rsid w:val="00967897"/>
    <w:rsid w:val="009707AF"/>
    <w:rsid w:val="00970ABC"/>
    <w:rsid w:val="00970BF5"/>
    <w:rsid w:val="009715B1"/>
    <w:rsid w:val="00977F42"/>
    <w:rsid w:val="00983DA0"/>
    <w:rsid w:val="00984648"/>
    <w:rsid w:val="00986B20"/>
    <w:rsid w:val="00987EE2"/>
    <w:rsid w:val="009907F4"/>
    <w:rsid w:val="0099145F"/>
    <w:rsid w:val="00991A3A"/>
    <w:rsid w:val="009952AE"/>
    <w:rsid w:val="00995DA5"/>
    <w:rsid w:val="009960C2"/>
    <w:rsid w:val="00996EAC"/>
    <w:rsid w:val="009A2D0A"/>
    <w:rsid w:val="009A3695"/>
    <w:rsid w:val="009A7E84"/>
    <w:rsid w:val="009B2A7F"/>
    <w:rsid w:val="009B4292"/>
    <w:rsid w:val="009B5320"/>
    <w:rsid w:val="009B7E0A"/>
    <w:rsid w:val="009C0BAF"/>
    <w:rsid w:val="009C1C9A"/>
    <w:rsid w:val="009C6A52"/>
    <w:rsid w:val="009C7B98"/>
    <w:rsid w:val="009C7F85"/>
    <w:rsid w:val="009D362D"/>
    <w:rsid w:val="009D3F68"/>
    <w:rsid w:val="009D43E6"/>
    <w:rsid w:val="009D4902"/>
    <w:rsid w:val="009D4E65"/>
    <w:rsid w:val="009D68FF"/>
    <w:rsid w:val="009D6CDB"/>
    <w:rsid w:val="009D7C85"/>
    <w:rsid w:val="009E2088"/>
    <w:rsid w:val="009E2435"/>
    <w:rsid w:val="009E2983"/>
    <w:rsid w:val="009E575F"/>
    <w:rsid w:val="009E5A85"/>
    <w:rsid w:val="009E68B1"/>
    <w:rsid w:val="009E7C27"/>
    <w:rsid w:val="009F2BD3"/>
    <w:rsid w:val="009F385D"/>
    <w:rsid w:val="009F613C"/>
    <w:rsid w:val="009F6934"/>
    <w:rsid w:val="00A00505"/>
    <w:rsid w:val="00A005F1"/>
    <w:rsid w:val="00A01142"/>
    <w:rsid w:val="00A01F84"/>
    <w:rsid w:val="00A03B5F"/>
    <w:rsid w:val="00A04F7F"/>
    <w:rsid w:val="00A05FA7"/>
    <w:rsid w:val="00A06F6A"/>
    <w:rsid w:val="00A103E0"/>
    <w:rsid w:val="00A1169F"/>
    <w:rsid w:val="00A12BEE"/>
    <w:rsid w:val="00A13427"/>
    <w:rsid w:val="00A15BC9"/>
    <w:rsid w:val="00A15C46"/>
    <w:rsid w:val="00A17277"/>
    <w:rsid w:val="00A174DC"/>
    <w:rsid w:val="00A22DE9"/>
    <w:rsid w:val="00A24BE5"/>
    <w:rsid w:val="00A25007"/>
    <w:rsid w:val="00A252FF"/>
    <w:rsid w:val="00A25D0C"/>
    <w:rsid w:val="00A2606B"/>
    <w:rsid w:val="00A311CE"/>
    <w:rsid w:val="00A31275"/>
    <w:rsid w:val="00A31AA9"/>
    <w:rsid w:val="00A34D76"/>
    <w:rsid w:val="00A35C5A"/>
    <w:rsid w:val="00A35C99"/>
    <w:rsid w:val="00A35E21"/>
    <w:rsid w:val="00A36CA8"/>
    <w:rsid w:val="00A37AF0"/>
    <w:rsid w:val="00A42DB1"/>
    <w:rsid w:val="00A42ECD"/>
    <w:rsid w:val="00A44571"/>
    <w:rsid w:val="00A44CFD"/>
    <w:rsid w:val="00A453C7"/>
    <w:rsid w:val="00A46160"/>
    <w:rsid w:val="00A46FB8"/>
    <w:rsid w:val="00A47879"/>
    <w:rsid w:val="00A50CB7"/>
    <w:rsid w:val="00A51C58"/>
    <w:rsid w:val="00A5311C"/>
    <w:rsid w:val="00A54675"/>
    <w:rsid w:val="00A55577"/>
    <w:rsid w:val="00A55771"/>
    <w:rsid w:val="00A60525"/>
    <w:rsid w:val="00A611C9"/>
    <w:rsid w:val="00A617B2"/>
    <w:rsid w:val="00A6273E"/>
    <w:rsid w:val="00A65492"/>
    <w:rsid w:val="00A6635B"/>
    <w:rsid w:val="00A7091B"/>
    <w:rsid w:val="00A70C82"/>
    <w:rsid w:val="00A721EC"/>
    <w:rsid w:val="00A72C2D"/>
    <w:rsid w:val="00A7355C"/>
    <w:rsid w:val="00A74B4E"/>
    <w:rsid w:val="00A752FD"/>
    <w:rsid w:val="00A75DC8"/>
    <w:rsid w:val="00A768DB"/>
    <w:rsid w:val="00A77558"/>
    <w:rsid w:val="00A807D1"/>
    <w:rsid w:val="00A81A1E"/>
    <w:rsid w:val="00A82824"/>
    <w:rsid w:val="00A843F0"/>
    <w:rsid w:val="00A8552F"/>
    <w:rsid w:val="00A86373"/>
    <w:rsid w:val="00A87118"/>
    <w:rsid w:val="00A87575"/>
    <w:rsid w:val="00A87C3B"/>
    <w:rsid w:val="00A922E9"/>
    <w:rsid w:val="00A9473B"/>
    <w:rsid w:val="00A94E8F"/>
    <w:rsid w:val="00A95629"/>
    <w:rsid w:val="00A95F75"/>
    <w:rsid w:val="00A96215"/>
    <w:rsid w:val="00AA0EB3"/>
    <w:rsid w:val="00AA321F"/>
    <w:rsid w:val="00AA5B7C"/>
    <w:rsid w:val="00AA63AE"/>
    <w:rsid w:val="00AA78FD"/>
    <w:rsid w:val="00AB095F"/>
    <w:rsid w:val="00AB128F"/>
    <w:rsid w:val="00AB2A12"/>
    <w:rsid w:val="00AB44BD"/>
    <w:rsid w:val="00AB63A2"/>
    <w:rsid w:val="00AB7C73"/>
    <w:rsid w:val="00AC0A1B"/>
    <w:rsid w:val="00AC2D96"/>
    <w:rsid w:val="00AC53B4"/>
    <w:rsid w:val="00AC6749"/>
    <w:rsid w:val="00AC6CCE"/>
    <w:rsid w:val="00AD2DF7"/>
    <w:rsid w:val="00AD61BF"/>
    <w:rsid w:val="00AE07DE"/>
    <w:rsid w:val="00AE0954"/>
    <w:rsid w:val="00AE3C27"/>
    <w:rsid w:val="00AE4B03"/>
    <w:rsid w:val="00AF2D15"/>
    <w:rsid w:val="00AF3FCC"/>
    <w:rsid w:val="00AF445D"/>
    <w:rsid w:val="00AF5D05"/>
    <w:rsid w:val="00AF6EAB"/>
    <w:rsid w:val="00B005F7"/>
    <w:rsid w:val="00B0097E"/>
    <w:rsid w:val="00B025F5"/>
    <w:rsid w:val="00B02E83"/>
    <w:rsid w:val="00B043A7"/>
    <w:rsid w:val="00B0572E"/>
    <w:rsid w:val="00B067BD"/>
    <w:rsid w:val="00B104DB"/>
    <w:rsid w:val="00B11CDF"/>
    <w:rsid w:val="00B133BE"/>
    <w:rsid w:val="00B13C37"/>
    <w:rsid w:val="00B1408F"/>
    <w:rsid w:val="00B1440A"/>
    <w:rsid w:val="00B15D38"/>
    <w:rsid w:val="00B20648"/>
    <w:rsid w:val="00B20D02"/>
    <w:rsid w:val="00B2133F"/>
    <w:rsid w:val="00B21A77"/>
    <w:rsid w:val="00B21D20"/>
    <w:rsid w:val="00B22BE1"/>
    <w:rsid w:val="00B23FCF"/>
    <w:rsid w:val="00B25337"/>
    <w:rsid w:val="00B25A19"/>
    <w:rsid w:val="00B2688C"/>
    <w:rsid w:val="00B34373"/>
    <w:rsid w:val="00B35472"/>
    <w:rsid w:val="00B356D5"/>
    <w:rsid w:val="00B3784F"/>
    <w:rsid w:val="00B407F1"/>
    <w:rsid w:val="00B41185"/>
    <w:rsid w:val="00B47756"/>
    <w:rsid w:val="00B5090C"/>
    <w:rsid w:val="00B53F44"/>
    <w:rsid w:val="00B54518"/>
    <w:rsid w:val="00B57800"/>
    <w:rsid w:val="00B6059B"/>
    <w:rsid w:val="00B60F1C"/>
    <w:rsid w:val="00B62B21"/>
    <w:rsid w:val="00B63C86"/>
    <w:rsid w:val="00B66C9C"/>
    <w:rsid w:val="00B73D76"/>
    <w:rsid w:val="00B75D2B"/>
    <w:rsid w:val="00B77209"/>
    <w:rsid w:val="00B80254"/>
    <w:rsid w:val="00B80A73"/>
    <w:rsid w:val="00B82189"/>
    <w:rsid w:val="00B82CDB"/>
    <w:rsid w:val="00B84B78"/>
    <w:rsid w:val="00B8526C"/>
    <w:rsid w:val="00B864E0"/>
    <w:rsid w:val="00B86B0F"/>
    <w:rsid w:val="00B86D40"/>
    <w:rsid w:val="00B871DB"/>
    <w:rsid w:val="00B93343"/>
    <w:rsid w:val="00B93B3E"/>
    <w:rsid w:val="00B9621D"/>
    <w:rsid w:val="00B96EAC"/>
    <w:rsid w:val="00BA00BC"/>
    <w:rsid w:val="00BA03C1"/>
    <w:rsid w:val="00BA0B77"/>
    <w:rsid w:val="00BA33FE"/>
    <w:rsid w:val="00BA5330"/>
    <w:rsid w:val="00BA6FD3"/>
    <w:rsid w:val="00BA781A"/>
    <w:rsid w:val="00BA794C"/>
    <w:rsid w:val="00BA7ACF"/>
    <w:rsid w:val="00BB0705"/>
    <w:rsid w:val="00BB22E2"/>
    <w:rsid w:val="00BB380C"/>
    <w:rsid w:val="00BB4F80"/>
    <w:rsid w:val="00BB5991"/>
    <w:rsid w:val="00BB5F2A"/>
    <w:rsid w:val="00BB6D88"/>
    <w:rsid w:val="00BC09F0"/>
    <w:rsid w:val="00BC1D9B"/>
    <w:rsid w:val="00BC2854"/>
    <w:rsid w:val="00BC3EB8"/>
    <w:rsid w:val="00BC431D"/>
    <w:rsid w:val="00BC56B6"/>
    <w:rsid w:val="00BD0C6C"/>
    <w:rsid w:val="00BD1909"/>
    <w:rsid w:val="00BD242D"/>
    <w:rsid w:val="00BD29AD"/>
    <w:rsid w:val="00BD2E71"/>
    <w:rsid w:val="00BD440C"/>
    <w:rsid w:val="00BD4D77"/>
    <w:rsid w:val="00BD61CD"/>
    <w:rsid w:val="00BD7F80"/>
    <w:rsid w:val="00BE057C"/>
    <w:rsid w:val="00BE174E"/>
    <w:rsid w:val="00BE1B93"/>
    <w:rsid w:val="00BE257C"/>
    <w:rsid w:val="00BE2776"/>
    <w:rsid w:val="00BE32CD"/>
    <w:rsid w:val="00BE3C8C"/>
    <w:rsid w:val="00BE448F"/>
    <w:rsid w:val="00BE6AFD"/>
    <w:rsid w:val="00BE7753"/>
    <w:rsid w:val="00BF1079"/>
    <w:rsid w:val="00BF2C1C"/>
    <w:rsid w:val="00BF33ED"/>
    <w:rsid w:val="00BF4435"/>
    <w:rsid w:val="00BF457C"/>
    <w:rsid w:val="00BF61F8"/>
    <w:rsid w:val="00BF7CFF"/>
    <w:rsid w:val="00C0083D"/>
    <w:rsid w:val="00C03B6B"/>
    <w:rsid w:val="00C03DBA"/>
    <w:rsid w:val="00C043F8"/>
    <w:rsid w:val="00C049B0"/>
    <w:rsid w:val="00C05023"/>
    <w:rsid w:val="00C0587D"/>
    <w:rsid w:val="00C05A2C"/>
    <w:rsid w:val="00C07035"/>
    <w:rsid w:val="00C07F42"/>
    <w:rsid w:val="00C10793"/>
    <w:rsid w:val="00C11B74"/>
    <w:rsid w:val="00C11EA9"/>
    <w:rsid w:val="00C14D75"/>
    <w:rsid w:val="00C212DD"/>
    <w:rsid w:val="00C21903"/>
    <w:rsid w:val="00C22BA6"/>
    <w:rsid w:val="00C26E83"/>
    <w:rsid w:val="00C3169A"/>
    <w:rsid w:val="00C31742"/>
    <w:rsid w:val="00C32C83"/>
    <w:rsid w:val="00C36546"/>
    <w:rsid w:val="00C40B04"/>
    <w:rsid w:val="00C41179"/>
    <w:rsid w:val="00C41881"/>
    <w:rsid w:val="00C422AB"/>
    <w:rsid w:val="00C43C81"/>
    <w:rsid w:val="00C44DE0"/>
    <w:rsid w:val="00C501C6"/>
    <w:rsid w:val="00C516FF"/>
    <w:rsid w:val="00C52AF2"/>
    <w:rsid w:val="00C537AD"/>
    <w:rsid w:val="00C62EC3"/>
    <w:rsid w:val="00C63B19"/>
    <w:rsid w:val="00C65F84"/>
    <w:rsid w:val="00C66FDE"/>
    <w:rsid w:val="00C75A79"/>
    <w:rsid w:val="00C8033D"/>
    <w:rsid w:val="00C80612"/>
    <w:rsid w:val="00C8202D"/>
    <w:rsid w:val="00C82B08"/>
    <w:rsid w:val="00C83546"/>
    <w:rsid w:val="00C846ED"/>
    <w:rsid w:val="00C86FD6"/>
    <w:rsid w:val="00C91D5C"/>
    <w:rsid w:val="00C9211E"/>
    <w:rsid w:val="00C953FC"/>
    <w:rsid w:val="00C96011"/>
    <w:rsid w:val="00CA04A8"/>
    <w:rsid w:val="00CA1C27"/>
    <w:rsid w:val="00CA3E19"/>
    <w:rsid w:val="00CA5CE7"/>
    <w:rsid w:val="00CA67ED"/>
    <w:rsid w:val="00CA6892"/>
    <w:rsid w:val="00CB0674"/>
    <w:rsid w:val="00CB1C05"/>
    <w:rsid w:val="00CB263B"/>
    <w:rsid w:val="00CB2762"/>
    <w:rsid w:val="00CB5130"/>
    <w:rsid w:val="00CB52DC"/>
    <w:rsid w:val="00CB54C0"/>
    <w:rsid w:val="00CB6AE2"/>
    <w:rsid w:val="00CB6CB9"/>
    <w:rsid w:val="00CC1EE2"/>
    <w:rsid w:val="00CC2C7C"/>
    <w:rsid w:val="00CC3115"/>
    <w:rsid w:val="00CC6A75"/>
    <w:rsid w:val="00CD07EC"/>
    <w:rsid w:val="00CD5665"/>
    <w:rsid w:val="00CE2BFA"/>
    <w:rsid w:val="00CE520F"/>
    <w:rsid w:val="00CE5AC4"/>
    <w:rsid w:val="00CE66EB"/>
    <w:rsid w:val="00CF001D"/>
    <w:rsid w:val="00CF00D5"/>
    <w:rsid w:val="00CF13BF"/>
    <w:rsid w:val="00CF27D7"/>
    <w:rsid w:val="00CF2DFC"/>
    <w:rsid w:val="00CF6396"/>
    <w:rsid w:val="00CF69BA"/>
    <w:rsid w:val="00CF7478"/>
    <w:rsid w:val="00D035D0"/>
    <w:rsid w:val="00D055A8"/>
    <w:rsid w:val="00D05B21"/>
    <w:rsid w:val="00D06C83"/>
    <w:rsid w:val="00D0772F"/>
    <w:rsid w:val="00D077BC"/>
    <w:rsid w:val="00D10DE4"/>
    <w:rsid w:val="00D12990"/>
    <w:rsid w:val="00D1299F"/>
    <w:rsid w:val="00D140DB"/>
    <w:rsid w:val="00D15D7E"/>
    <w:rsid w:val="00D17B2C"/>
    <w:rsid w:val="00D17DA2"/>
    <w:rsid w:val="00D22032"/>
    <w:rsid w:val="00D26653"/>
    <w:rsid w:val="00D27BD5"/>
    <w:rsid w:val="00D30193"/>
    <w:rsid w:val="00D31149"/>
    <w:rsid w:val="00D35775"/>
    <w:rsid w:val="00D41A2E"/>
    <w:rsid w:val="00D41D46"/>
    <w:rsid w:val="00D42F25"/>
    <w:rsid w:val="00D439D2"/>
    <w:rsid w:val="00D442B7"/>
    <w:rsid w:val="00D455E0"/>
    <w:rsid w:val="00D460AD"/>
    <w:rsid w:val="00D468DB"/>
    <w:rsid w:val="00D50937"/>
    <w:rsid w:val="00D50986"/>
    <w:rsid w:val="00D50E4D"/>
    <w:rsid w:val="00D5116A"/>
    <w:rsid w:val="00D5153D"/>
    <w:rsid w:val="00D52518"/>
    <w:rsid w:val="00D526FF"/>
    <w:rsid w:val="00D54963"/>
    <w:rsid w:val="00D55118"/>
    <w:rsid w:val="00D55457"/>
    <w:rsid w:val="00D55C57"/>
    <w:rsid w:val="00D55DCF"/>
    <w:rsid w:val="00D6239B"/>
    <w:rsid w:val="00D6296C"/>
    <w:rsid w:val="00D62992"/>
    <w:rsid w:val="00D63C32"/>
    <w:rsid w:val="00D67605"/>
    <w:rsid w:val="00D67A34"/>
    <w:rsid w:val="00D7118E"/>
    <w:rsid w:val="00D7162B"/>
    <w:rsid w:val="00D71B2A"/>
    <w:rsid w:val="00D71BF1"/>
    <w:rsid w:val="00D71D3F"/>
    <w:rsid w:val="00D72167"/>
    <w:rsid w:val="00D72A88"/>
    <w:rsid w:val="00D7346B"/>
    <w:rsid w:val="00D81E56"/>
    <w:rsid w:val="00D820A2"/>
    <w:rsid w:val="00D8490B"/>
    <w:rsid w:val="00D84954"/>
    <w:rsid w:val="00D85D1D"/>
    <w:rsid w:val="00D86819"/>
    <w:rsid w:val="00D9224B"/>
    <w:rsid w:val="00D927EC"/>
    <w:rsid w:val="00D93492"/>
    <w:rsid w:val="00D93A4B"/>
    <w:rsid w:val="00D9534F"/>
    <w:rsid w:val="00DA0F5C"/>
    <w:rsid w:val="00DA1A87"/>
    <w:rsid w:val="00DA3884"/>
    <w:rsid w:val="00DA3EA3"/>
    <w:rsid w:val="00DA46C3"/>
    <w:rsid w:val="00DA7750"/>
    <w:rsid w:val="00DB00C1"/>
    <w:rsid w:val="00DB1D59"/>
    <w:rsid w:val="00DB21A6"/>
    <w:rsid w:val="00DB556C"/>
    <w:rsid w:val="00DB5C8D"/>
    <w:rsid w:val="00DB61B2"/>
    <w:rsid w:val="00DB7561"/>
    <w:rsid w:val="00DB76F5"/>
    <w:rsid w:val="00DB7BC0"/>
    <w:rsid w:val="00DC4177"/>
    <w:rsid w:val="00DC457B"/>
    <w:rsid w:val="00DC4E8D"/>
    <w:rsid w:val="00DC61C6"/>
    <w:rsid w:val="00DC7D2E"/>
    <w:rsid w:val="00DD0922"/>
    <w:rsid w:val="00DD396D"/>
    <w:rsid w:val="00DD45CB"/>
    <w:rsid w:val="00DD50E8"/>
    <w:rsid w:val="00DD678E"/>
    <w:rsid w:val="00DE36B5"/>
    <w:rsid w:val="00DE542E"/>
    <w:rsid w:val="00DE6F2F"/>
    <w:rsid w:val="00DE7FE2"/>
    <w:rsid w:val="00DF5419"/>
    <w:rsid w:val="00DF5A93"/>
    <w:rsid w:val="00DF7C71"/>
    <w:rsid w:val="00E00029"/>
    <w:rsid w:val="00E000F6"/>
    <w:rsid w:val="00E0018F"/>
    <w:rsid w:val="00E01281"/>
    <w:rsid w:val="00E05265"/>
    <w:rsid w:val="00E058BE"/>
    <w:rsid w:val="00E15376"/>
    <w:rsid w:val="00E177A3"/>
    <w:rsid w:val="00E17EC8"/>
    <w:rsid w:val="00E21862"/>
    <w:rsid w:val="00E22109"/>
    <w:rsid w:val="00E23D7F"/>
    <w:rsid w:val="00E25D67"/>
    <w:rsid w:val="00E25EF2"/>
    <w:rsid w:val="00E27284"/>
    <w:rsid w:val="00E304D9"/>
    <w:rsid w:val="00E30E6C"/>
    <w:rsid w:val="00E31AA4"/>
    <w:rsid w:val="00E32B1A"/>
    <w:rsid w:val="00E33370"/>
    <w:rsid w:val="00E35046"/>
    <w:rsid w:val="00E3647C"/>
    <w:rsid w:val="00E37065"/>
    <w:rsid w:val="00E373D0"/>
    <w:rsid w:val="00E41B15"/>
    <w:rsid w:val="00E42545"/>
    <w:rsid w:val="00E438D5"/>
    <w:rsid w:val="00E44E5D"/>
    <w:rsid w:val="00E45748"/>
    <w:rsid w:val="00E45E76"/>
    <w:rsid w:val="00E46B05"/>
    <w:rsid w:val="00E470CC"/>
    <w:rsid w:val="00E51335"/>
    <w:rsid w:val="00E52D82"/>
    <w:rsid w:val="00E5535E"/>
    <w:rsid w:val="00E55552"/>
    <w:rsid w:val="00E60CB8"/>
    <w:rsid w:val="00E66866"/>
    <w:rsid w:val="00E66F62"/>
    <w:rsid w:val="00E704E1"/>
    <w:rsid w:val="00E705AB"/>
    <w:rsid w:val="00E7355B"/>
    <w:rsid w:val="00E7758C"/>
    <w:rsid w:val="00E77A75"/>
    <w:rsid w:val="00E8100C"/>
    <w:rsid w:val="00E82038"/>
    <w:rsid w:val="00E82841"/>
    <w:rsid w:val="00E846EF"/>
    <w:rsid w:val="00E85F32"/>
    <w:rsid w:val="00E87001"/>
    <w:rsid w:val="00E902F6"/>
    <w:rsid w:val="00E90ECD"/>
    <w:rsid w:val="00E9182C"/>
    <w:rsid w:val="00E91940"/>
    <w:rsid w:val="00E946C1"/>
    <w:rsid w:val="00E9512B"/>
    <w:rsid w:val="00EA1065"/>
    <w:rsid w:val="00EA174B"/>
    <w:rsid w:val="00EA2169"/>
    <w:rsid w:val="00EA3F01"/>
    <w:rsid w:val="00EA45E3"/>
    <w:rsid w:val="00EA48B6"/>
    <w:rsid w:val="00EA562B"/>
    <w:rsid w:val="00EA60EA"/>
    <w:rsid w:val="00EB21A0"/>
    <w:rsid w:val="00EB6C00"/>
    <w:rsid w:val="00EC183E"/>
    <w:rsid w:val="00EC2D68"/>
    <w:rsid w:val="00EC5A59"/>
    <w:rsid w:val="00EC75F0"/>
    <w:rsid w:val="00EC7E95"/>
    <w:rsid w:val="00ED129A"/>
    <w:rsid w:val="00ED1AF7"/>
    <w:rsid w:val="00ED2DFB"/>
    <w:rsid w:val="00ED39A0"/>
    <w:rsid w:val="00ED60F6"/>
    <w:rsid w:val="00ED6558"/>
    <w:rsid w:val="00ED6715"/>
    <w:rsid w:val="00EE221C"/>
    <w:rsid w:val="00EE27C0"/>
    <w:rsid w:val="00EE6002"/>
    <w:rsid w:val="00EE6FD3"/>
    <w:rsid w:val="00EE7496"/>
    <w:rsid w:val="00EE780F"/>
    <w:rsid w:val="00EE7C3D"/>
    <w:rsid w:val="00EF338B"/>
    <w:rsid w:val="00EF47FF"/>
    <w:rsid w:val="00EF70B2"/>
    <w:rsid w:val="00F0119C"/>
    <w:rsid w:val="00F01412"/>
    <w:rsid w:val="00F02C22"/>
    <w:rsid w:val="00F0326E"/>
    <w:rsid w:val="00F04C52"/>
    <w:rsid w:val="00F04FED"/>
    <w:rsid w:val="00F05E43"/>
    <w:rsid w:val="00F07A32"/>
    <w:rsid w:val="00F11255"/>
    <w:rsid w:val="00F12E28"/>
    <w:rsid w:val="00F13C65"/>
    <w:rsid w:val="00F15934"/>
    <w:rsid w:val="00F15E31"/>
    <w:rsid w:val="00F21594"/>
    <w:rsid w:val="00F22443"/>
    <w:rsid w:val="00F258F0"/>
    <w:rsid w:val="00F3091D"/>
    <w:rsid w:val="00F3129C"/>
    <w:rsid w:val="00F31582"/>
    <w:rsid w:val="00F330D8"/>
    <w:rsid w:val="00F33D2D"/>
    <w:rsid w:val="00F34BAF"/>
    <w:rsid w:val="00F354E1"/>
    <w:rsid w:val="00F360E2"/>
    <w:rsid w:val="00F36435"/>
    <w:rsid w:val="00F37871"/>
    <w:rsid w:val="00F37A75"/>
    <w:rsid w:val="00F40938"/>
    <w:rsid w:val="00F420DC"/>
    <w:rsid w:val="00F43AD9"/>
    <w:rsid w:val="00F45248"/>
    <w:rsid w:val="00F4533E"/>
    <w:rsid w:val="00F454D6"/>
    <w:rsid w:val="00F47D0E"/>
    <w:rsid w:val="00F50E6A"/>
    <w:rsid w:val="00F51B27"/>
    <w:rsid w:val="00F51C9C"/>
    <w:rsid w:val="00F53401"/>
    <w:rsid w:val="00F53646"/>
    <w:rsid w:val="00F54265"/>
    <w:rsid w:val="00F54F38"/>
    <w:rsid w:val="00F552D8"/>
    <w:rsid w:val="00F55D9C"/>
    <w:rsid w:val="00F55FA9"/>
    <w:rsid w:val="00F56299"/>
    <w:rsid w:val="00F56D59"/>
    <w:rsid w:val="00F6122C"/>
    <w:rsid w:val="00F6209B"/>
    <w:rsid w:val="00F661B0"/>
    <w:rsid w:val="00F70C44"/>
    <w:rsid w:val="00F80588"/>
    <w:rsid w:val="00F8068C"/>
    <w:rsid w:val="00F84753"/>
    <w:rsid w:val="00F852C4"/>
    <w:rsid w:val="00F87CEC"/>
    <w:rsid w:val="00F9014E"/>
    <w:rsid w:val="00F90185"/>
    <w:rsid w:val="00F90F17"/>
    <w:rsid w:val="00F96D4B"/>
    <w:rsid w:val="00FA2286"/>
    <w:rsid w:val="00FA4B1F"/>
    <w:rsid w:val="00FA53DF"/>
    <w:rsid w:val="00FA78F6"/>
    <w:rsid w:val="00FB1032"/>
    <w:rsid w:val="00FB6B27"/>
    <w:rsid w:val="00FB6B6C"/>
    <w:rsid w:val="00FC4954"/>
    <w:rsid w:val="00FC7AC5"/>
    <w:rsid w:val="00FD06C2"/>
    <w:rsid w:val="00FD12EF"/>
    <w:rsid w:val="00FD4358"/>
    <w:rsid w:val="00FD732D"/>
    <w:rsid w:val="00FE6543"/>
    <w:rsid w:val="00FE6830"/>
    <w:rsid w:val="00FE6898"/>
    <w:rsid w:val="00FE742E"/>
    <w:rsid w:val="00FE7440"/>
    <w:rsid w:val="00FE7D8F"/>
    <w:rsid w:val="00FF052A"/>
    <w:rsid w:val="00FF108E"/>
    <w:rsid w:val="00FF1B33"/>
    <w:rsid w:val="00FF3275"/>
    <w:rsid w:val="00FF3702"/>
    <w:rsid w:val="00FF4059"/>
    <w:rsid w:val="00FF4AAC"/>
    <w:rsid w:val="00FF52F2"/>
    <w:rsid w:val="00FF6C6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4C1B0AF"/>
  <w15:docId w15:val="{491CCF7B-782F-43CC-9266-20CE9ECB5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aliases w:val="New Normal"/>
    <w:qFormat/>
    <w:rsid w:val="00E42545"/>
    <w:pPr>
      <w:tabs>
        <w:tab w:val="left" w:pos="2520"/>
      </w:tabs>
      <w:spacing w:after="0" w:line="276" w:lineRule="auto"/>
      <w:ind w:firstLine="567"/>
      <w:jc w:val="both"/>
      <w:textAlignment w:val="baseline"/>
    </w:pPr>
    <w:rPr>
      <w:rFonts w:ascii="Times New Roman" w:hAnsi="Times New Roman"/>
      <w:sz w:val="24"/>
    </w:rPr>
  </w:style>
  <w:style w:type="paragraph" w:styleId="Otsikko1">
    <w:name w:val="heading 1"/>
    <w:basedOn w:val="Normaali"/>
    <w:next w:val="Normaali"/>
    <w:link w:val="Otsikko1Char"/>
    <w:uiPriority w:val="9"/>
    <w:qFormat/>
    <w:rsid w:val="007B2464"/>
    <w:pPr>
      <w:keepNext/>
      <w:keepLines/>
      <w:numPr>
        <w:numId w:val="12"/>
      </w:numPr>
      <w:spacing w:after="240"/>
      <w:outlineLvl w:val="0"/>
    </w:pPr>
    <w:rPr>
      <w:rFonts w:eastAsiaTheme="minorEastAsia" w:cstheme="majorBidi"/>
      <w:b/>
      <w:color w:val="000000" w:themeColor="text1"/>
      <w:sz w:val="28"/>
      <w:szCs w:val="32"/>
      <w:lang w:val="en-US"/>
    </w:rPr>
  </w:style>
  <w:style w:type="paragraph" w:styleId="Otsikko2">
    <w:name w:val="heading 2"/>
    <w:basedOn w:val="Normaali"/>
    <w:next w:val="Normaali"/>
    <w:link w:val="Otsikko2Char"/>
    <w:autoRedefine/>
    <w:uiPriority w:val="9"/>
    <w:unhideWhenUsed/>
    <w:qFormat/>
    <w:rsid w:val="008C4BD5"/>
    <w:pPr>
      <w:adjustRightInd w:val="0"/>
      <w:spacing w:after="200"/>
      <w:ind w:firstLine="0"/>
      <w:outlineLvl w:val="1"/>
    </w:pPr>
    <w:rPr>
      <w:i/>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unhideWhenUsed/>
    <w:rsid w:val="0072661D"/>
    <w:pPr>
      <w:spacing w:before="100" w:beforeAutospacing="1" w:after="100" w:afterAutospacing="1" w:line="240" w:lineRule="auto"/>
    </w:pPr>
    <w:rPr>
      <w:rFonts w:eastAsia="Times New Roman" w:cs="Times New Roman"/>
      <w:szCs w:val="24"/>
      <w:lang w:eastAsia="fi-FI"/>
    </w:rPr>
  </w:style>
  <w:style w:type="paragraph" w:styleId="Luettelokappale">
    <w:name w:val="List Paragraph"/>
    <w:basedOn w:val="Normaali"/>
    <w:uiPriority w:val="34"/>
    <w:qFormat/>
    <w:rsid w:val="0072661D"/>
    <w:pPr>
      <w:spacing w:line="240" w:lineRule="auto"/>
      <w:ind w:left="720"/>
      <w:contextualSpacing/>
    </w:pPr>
    <w:rPr>
      <w:rFonts w:eastAsia="Times New Roman" w:cs="Times New Roman"/>
      <w:szCs w:val="24"/>
      <w:lang w:eastAsia="fi-FI"/>
    </w:rPr>
  </w:style>
  <w:style w:type="character" w:styleId="Hyperlinkki">
    <w:name w:val="Hyperlink"/>
    <w:basedOn w:val="Kappaleenoletusfontti"/>
    <w:uiPriority w:val="99"/>
    <w:unhideWhenUsed/>
    <w:rsid w:val="00E41B15"/>
    <w:rPr>
      <w:color w:val="0563C1" w:themeColor="hyperlink"/>
      <w:u w:val="single"/>
    </w:rPr>
  </w:style>
  <w:style w:type="paragraph" w:customStyle="1" w:styleId="Indent2">
    <w:name w:val="Indent 2"/>
    <w:basedOn w:val="Normaali"/>
    <w:rsid w:val="00E058BE"/>
    <w:pPr>
      <w:spacing w:after="200"/>
      <w:ind w:left="2608"/>
    </w:pPr>
    <w:rPr>
      <w:rFonts w:asciiTheme="majorHAnsi" w:eastAsiaTheme="majorEastAsia" w:hAnsiTheme="majorHAnsi" w:cstheme="majorBidi"/>
      <w:lang w:val="en-US" w:bidi="en-US"/>
    </w:rPr>
  </w:style>
  <w:style w:type="paragraph" w:styleId="Alaviitteenteksti">
    <w:name w:val="footnote text"/>
    <w:basedOn w:val="Normaali"/>
    <w:link w:val="AlaviitteentekstiChar"/>
    <w:uiPriority w:val="99"/>
    <w:unhideWhenUsed/>
    <w:rsid w:val="0046264C"/>
    <w:pPr>
      <w:spacing w:line="240" w:lineRule="auto"/>
    </w:pPr>
    <w:rPr>
      <w:sz w:val="20"/>
      <w:szCs w:val="20"/>
    </w:rPr>
  </w:style>
  <w:style w:type="character" w:customStyle="1" w:styleId="AlaviitteentekstiChar">
    <w:name w:val="Alaviitteen teksti Char"/>
    <w:basedOn w:val="Kappaleenoletusfontti"/>
    <w:link w:val="Alaviitteenteksti"/>
    <w:uiPriority w:val="99"/>
    <w:rsid w:val="0046264C"/>
    <w:rPr>
      <w:sz w:val="20"/>
      <w:szCs w:val="20"/>
    </w:rPr>
  </w:style>
  <w:style w:type="character" w:styleId="Alaviitteenviite">
    <w:name w:val="footnote reference"/>
    <w:basedOn w:val="Kappaleenoletusfontti"/>
    <w:uiPriority w:val="99"/>
    <w:unhideWhenUsed/>
    <w:rsid w:val="0046264C"/>
    <w:rPr>
      <w:vertAlign w:val="superscript"/>
    </w:rPr>
  </w:style>
  <w:style w:type="paragraph" w:styleId="Yltunniste">
    <w:name w:val="header"/>
    <w:basedOn w:val="Normaali"/>
    <w:link w:val="YltunnisteChar"/>
    <w:uiPriority w:val="99"/>
    <w:unhideWhenUsed/>
    <w:rsid w:val="00B11CDF"/>
    <w:pPr>
      <w:tabs>
        <w:tab w:val="center" w:pos="4513"/>
        <w:tab w:val="right" w:pos="9026"/>
      </w:tabs>
      <w:spacing w:line="240" w:lineRule="auto"/>
    </w:pPr>
  </w:style>
  <w:style w:type="character" w:customStyle="1" w:styleId="YltunnisteChar">
    <w:name w:val="Ylätunniste Char"/>
    <w:basedOn w:val="Kappaleenoletusfontti"/>
    <w:link w:val="Yltunniste"/>
    <w:uiPriority w:val="99"/>
    <w:rsid w:val="00B11CDF"/>
  </w:style>
  <w:style w:type="paragraph" w:styleId="Alatunniste">
    <w:name w:val="footer"/>
    <w:basedOn w:val="Normaali"/>
    <w:link w:val="AlatunnisteChar"/>
    <w:uiPriority w:val="99"/>
    <w:unhideWhenUsed/>
    <w:rsid w:val="00B11CDF"/>
    <w:pPr>
      <w:tabs>
        <w:tab w:val="center" w:pos="4513"/>
        <w:tab w:val="right" w:pos="9026"/>
      </w:tabs>
      <w:spacing w:line="240" w:lineRule="auto"/>
    </w:pPr>
  </w:style>
  <w:style w:type="character" w:customStyle="1" w:styleId="AlatunnisteChar">
    <w:name w:val="Alatunniste Char"/>
    <w:basedOn w:val="Kappaleenoletusfontti"/>
    <w:link w:val="Alatunniste"/>
    <w:uiPriority w:val="99"/>
    <w:rsid w:val="00B11CDF"/>
  </w:style>
  <w:style w:type="paragraph" w:styleId="Seliteteksti">
    <w:name w:val="Balloon Text"/>
    <w:basedOn w:val="Normaali"/>
    <w:link w:val="SelitetekstiChar"/>
    <w:uiPriority w:val="99"/>
    <w:semiHidden/>
    <w:unhideWhenUsed/>
    <w:rsid w:val="00A01F84"/>
    <w:pPr>
      <w:spacing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A01F84"/>
    <w:rPr>
      <w:rFonts w:ascii="Tahoma" w:hAnsi="Tahoma" w:cs="Tahoma"/>
      <w:sz w:val="16"/>
      <w:szCs w:val="16"/>
    </w:rPr>
  </w:style>
  <w:style w:type="table" w:styleId="TaulukkoRuudukko">
    <w:name w:val="Table Grid"/>
    <w:basedOn w:val="Normaalitaulukko"/>
    <w:uiPriority w:val="39"/>
    <w:rsid w:val="00996E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Kappaleenoletusfontti"/>
    <w:rsid w:val="00FE6543"/>
  </w:style>
  <w:style w:type="character" w:styleId="Korostus">
    <w:name w:val="Emphasis"/>
    <w:basedOn w:val="Kappaleenoletusfontti"/>
    <w:uiPriority w:val="20"/>
    <w:qFormat/>
    <w:rsid w:val="00FE6543"/>
    <w:rPr>
      <w:i/>
      <w:iCs/>
    </w:rPr>
  </w:style>
  <w:style w:type="character" w:styleId="Kommentinviite">
    <w:name w:val="annotation reference"/>
    <w:basedOn w:val="Kappaleenoletusfontti"/>
    <w:uiPriority w:val="99"/>
    <w:semiHidden/>
    <w:unhideWhenUsed/>
    <w:rsid w:val="00D71BF1"/>
    <w:rPr>
      <w:sz w:val="16"/>
      <w:szCs w:val="16"/>
    </w:rPr>
  </w:style>
  <w:style w:type="paragraph" w:styleId="Kommentinteksti">
    <w:name w:val="annotation text"/>
    <w:basedOn w:val="Normaali"/>
    <w:link w:val="KommentintekstiChar"/>
    <w:uiPriority w:val="99"/>
    <w:semiHidden/>
    <w:unhideWhenUsed/>
    <w:rsid w:val="00D71BF1"/>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D71BF1"/>
    <w:rPr>
      <w:sz w:val="20"/>
      <w:szCs w:val="20"/>
    </w:rPr>
  </w:style>
  <w:style w:type="paragraph" w:styleId="Kommentinotsikko">
    <w:name w:val="annotation subject"/>
    <w:basedOn w:val="Kommentinteksti"/>
    <w:next w:val="Kommentinteksti"/>
    <w:link w:val="KommentinotsikkoChar"/>
    <w:uiPriority w:val="99"/>
    <w:semiHidden/>
    <w:unhideWhenUsed/>
    <w:rsid w:val="00D71BF1"/>
    <w:rPr>
      <w:b/>
      <w:bCs/>
    </w:rPr>
  </w:style>
  <w:style w:type="character" w:customStyle="1" w:styleId="KommentinotsikkoChar">
    <w:name w:val="Kommentin otsikko Char"/>
    <w:basedOn w:val="KommentintekstiChar"/>
    <w:link w:val="Kommentinotsikko"/>
    <w:uiPriority w:val="99"/>
    <w:semiHidden/>
    <w:rsid w:val="00D71BF1"/>
    <w:rPr>
      <w:b/>
      <w:bCs/>
      <w:sz w:val="20"/>
      <w:szCs w:val="20"/>
    </w:rPr>
  </w:style>
  <w:style w:type="paragraph" w:styleId="Muutos">
    <w:name w:val="Revision"/>
    <w:hidden/>
    <w:uiPriority w:val="99"/>
    <w:semiHidden/>
    <w:rsid w:val="00770773"/>
    <w:pPr>
      <w:spacing w:after="0" w:line="240" w:lineRule="auto"/>
    </w:pPr>
  </w:style>
  <w:style w:type="character" w:customStyle="1" w:styleId="Otsikko2Char">
    <w:name w:val="Otsikko 2 Char"/>
    <w:basedOn w:val="Kappaleenoletusfontti"/>
    <w:link w:val="Otsikko2"/>
    <w:uiPriority w:val="9"/>
    <w:rsid w:val="008C4BD5"/>
    <w:rPr>
      <w:rFonts w:ascii="Times New Roman" w:hAnsi="Times New Roman"/>
      <w:i/>
      <w:sz w:val="24"/>
      <w:lang w:val="en-US"/>
    </w:rPr>
  </w:style>
  <w:style w:type="character" w:styleId="Paikkamerkkiteksti">
    <w:name w:val="Placeholder Text"/>
    <w:basedOn w:val="Kappaleenoletusfontti"/>
    <w:uiPriority w:val="99"/>
    <w:semiHidden/>
    <w:rsid w:val="005C565D"/>
    <w:rPr>
      <w:color w:val="808080"/>
    </w:rPr>
  </w:style>
  <w:style w:type="character" w:styleId="Voimakas">
    <w:name w:val="Strong"/>
    <w:basedOn w:val="Kappaleenoletusfontti"/>
    <w:uiPriority w:val="22"/>
    <w:qFormat/>
    <w:rsid w:val="005A4AEA"/>
    <w:rPr>
      <w:b/>
      <w:bCs/>
    </w:rPr>
  </w:style>
  <w:style w:type="paragraph" w:customStyle="1" w:styleId="Default">
    <w:name w:val="Default"/>
    <w:rsid w:val="00A70C8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tsikko1Char">
    <w:name w:val="Otsikko 1 Char"/>
    <w:basedOn w:val="Kappaleenoletusfontti"/>
    <w:link w:val="Otsikko1"/>
    <w:uiPriority w:val="9"/>
    <w:rsid w:val="007B2464"/>
    <w:rPr>
      <w:rFonts w:ascii="Times New Roman" w:eastAsiaTheme="minorEastAsia" w:hAnsi="Times New Roman" w:cstheme="majorBidi"/>
      <w:b/>
      <w:color w:val="000000" w:themeColor="text1"/>
      <w:sz w:val="28"/>
      <w:szCs w:val="32"/>
      <w:lang w:val="en-US"/>
    </w:rPr>
  </w:style>
  <w:style w:type="character" w:styleId="Sivunumero">
    <w:name w:val="page number"/>
    <w:basedOn w:val="Kappaleenoletusfontti"/>
    <w:uiPriority w:val="99"/>
    <w:semiHidden/>
    <w:unhideWhenUsed/>
    <w:rsid w:val="00E42545"/>
  </w:style>
  <w:style w:type="character" w:customStyle="1" w:styleId="current-selection">
    <w:name w:val="current-selection"/>
    <w:basedOn w:val="Kappaleenoletusfontti"/>
    <w:rsid w:val="00FF6C6D"/>
  </w:style>
  <w:style w:type="character" w:customStyle="1" w:styleId="a">
    <w:name w:val="_"/>
    <w:basedOn w:val="Kappaleenoletusfontti"/>
    <w:rsid w:val="00FF6C6D"/>
  </w:style>
  <w:style w:type="character" w:customStyle="1" w:styleId="enhanced-reference">
    <w:name w:val="enhanced-reference"/>
    <w:basedOn w:val="Kappaleenoletusfontti"/>
    <w:rsid w:val="00FF6C6D"/>
  </w:style>
  <w:style w:type="paragraph" w:styleId="Kuvaotsikko">
    <w:name w:val="caption"/>
    <w:basedOn w:val="Normaali"/>
    <w:next w:val="Normaali"/>
    <w:uiPriority w:val="35"/>
    <w:unhideWhenUsed/>
    <w:qFormat/>
    <w:rsid w:val="003177D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4275">
      <w:bodyDiv w:val="1"/>
      <w:marLeft w:val="0"/>
      <w:marRight w:val="0"/>
      <w:marTop w:val="0"/>
      <w:marBottom w:val="0"/>
      <w:divBdr>
        <w:top w:val="none" w:sz="0" w:space="0" w:color="auto"/>
        <w:left w:val="none" w:sz="0" w:space="0" w:color="auto"/>
        <w:bottom w:val="none" w:sz="0" w:space="0" w:color="auto"/>
        <w:right w:val="none" w:sz="0" w:space="0" w:color="auto"/>
      </w:divBdr>
    </w:div>
    <w:div w:id="18243794">
      <w:bodyDiv w:val="1"/>
      <w:marLeft w:val="0"/>
      <w:marRight w:val="0"/>
      <w:marTop w:val="0"/>
      <w:marBottom w:val="0"/>
      <w:divBdr>
        <w:top w:val="none" w:sz="0" w:space="0" w:color="auto"/>
        <w:left w:val="none" w:sz="0" w:space="0" w:color="auto"/>
        <w:bottom w:val="none" w:sz="0" w:space="0" w:color="auto"/>
        <w:right w:val="none" w:sz="0" w:space="0" w:color="auto"/>
      </w:divBdr>
    </w:div>
    <w:div w:id="31467461">
      <w:bodyDiv w:val="1"/>
      <w:marLeft w:val="0"/>
      <w:marRight w:val="0"/>
      <w:marTop w:val="0"/>
      <w:marBottom w:val="0"/>
      <w:divBdr>
        <w:top w:val="none" w:sz="0" w:space="0" w:color="auto"/>
        <w:left w:val="none" w:sz="0" w:space="0" w:color="auto"/>
        <w:bottom w:val="none" w:sz="0" w:space="0" w:color="auto"/>
        <w:right w:val="none" w:sz="0" w:space="0" w:color="auto"/>
      </w:divBdr>
    </w:div>
    <w:div w:id="50155066">
      <w:bodyDiv w:val="1"/>
      <w:marLeft w:val="0"/>
      <w:marRight w:val="0"/>
      <w:marTop w:val="0"/>
      <w:marBottom w:val="0"/>
      <w:divBdr>
        <w:top w:val="none" w:sz="0" w:space="0" w:color="auto"/>
        <w:left w:val="none" w:sz="0" w:space="0" w:color="auto"/>
        <w:bottom w:val="none" w:sz="0" w:space="0" w:color="auto"/>
        <w:right w:val="none" w:sz="0" w:space="0" w:color="auto"/>
      </w:divBdr>
    </w:div>
    <w:div w:id="59910821">
      <w:bodyDiv w:val="1"/>
      <w:marLeft w:val="0"/>
      <w:marRight w:val="0"/>
      <w:marTop w:val="0"/>
      <w:marBottom w:val="0"/>
      <w:divBdr>
        <w:top w:val="none" w:sz="0" w:space="0" w:color="auto"/>
        <w:left w:val="none" w:sz="0" w:space="0" w:color="auto"/>
        <w:bottom w:val="none" w:sz="0" w:space="0" w:color="auto"/>
        <w:right w:val="none" w:sz="0" w:space="0" w:color="auto"/>
      </w:divBdr>
    </w:div>
    <w:div w:id="64567488">
      <w:bodyDiv w:val="1"/>
      <w:marLeft w:val="0"/>
      <w:marRight w:val="0"/>
      <w:marTop w:val="0"/>
      <w:marBottom w:val="0"/>
      <w:divBdr>
        <w:top w:val="none" w:sz="0" w:space="0" w:color="auto"/>
        <w:left w:val="none" w:sz="0" w:space="0" w:color="auto"/>
        <w:bottom w:val="none" w:sz="0" w:space="0" w:color="auto"/>
        <w:right w:val="none" w:sz="0" w:space="0" w:color="auto"/>
      </w:divBdr>
    </w:div>
    <w:div w:id="97601759">
      <w:bodyDiv w:val="1"/>
      <w:marLeft w:val="0"/>
      <w:marRight w:val="0"/>
      <w:marTop w:val="0"/>
      <w:marBottom w:val="0"/>
      <w:divBdr>
        <w:top w:val="none" w:sz="0" w:space="0" w:color="auto"/>
        <w:left w:val="none" w:sz="0" w:space="0" w:color="auto"/>
        <w:bottom w:val="none" w:sz="0" w:space="0" w:color="auto"/>
        <w:right w:val="none" w:sz="0" w:space="0" w:color="auto"/>
      </w:divBdr>
    </w:div>
    <w:div w:id="123500944">
      <w:bodyDiv w:val="1"/>
      <w:marLeft w:val="0"/>
      <w:marRight w:val="0"/>
      <w:marTop w:val="0"/>
      <w:marBottom w:val="0"/>
      <w:divBdr>
        <w:top w:val="none" w:sz="0" w:space="0" w:color="auto"/>
        <w:left w:val="none" w:sz="0" w:space="0" w:color="auto"/>
        <w:bottom w:val="none" w:sz="0" w:space="0" w:color="auto"/>
        <w:right w:val="none" w:sz="0" w:space="0" w:color="auto"/>
      </w:divBdr>
    </w:div>
    <w:div w:id="137844467">
      <w:bodyDiv w:val="1"/>
      <w:marLeft w:val="0"/>
      <w:marRight w:val="0"/>
      <w:marTop w:val="0"/>
      <w:marBottom w:val="0"/>
      <w:divBdr>
        <w:top w:val="none" w:sz="0" w:space="0" w:color="auto"/>
        <w:left w:val="none" w:sz="0" w:space="0" w:color="auto"/>
        <w:bottom w:val="none" w:sz="0" w:space="0" w:color="auto"/>
        <w:right w:val="none" w:sz="0" w:space="0" w:color="auto"/>
      </w:divBdr>
    </w:div>
    <w:div w:id="172233647">
      <w:bodyDiv w:val="1"/>
      <w:marLeft w:val="0"/>
      <w:marRight w:val="0"/>
      <w:marTop w:val="0"/>
      <w:marBottom w:val="0"/>
      <w:divBdr>
        <w:top w:val="none" w:sz="0" w:space="0" w:color="auto"/>
        <w:left w:val="none" w:sz="0" w:space="0" w:color="auto"/>
        <w:bottom w:val="none" w:sz="0" w:space="0" w:color="auto"/>
        <w:right w:val="none" w:sz="0" w:space="0" w:color="auto"/>
      </w:divBdr>
    </w:div>
    <w:div w:id="223494372">
      <w:bodyDiv w:val="1"/>
      <w:marLeft w:val="0"/>
      <w:marRight w:val="0"/>
      <w:marTop w:val="0"/>
      <w:marBottom w:val="0"/>
      <w:divBdr>
        <w:top w:val="none" w:sz="0" w:space="0" w:color="auto"/>
        <w:left w:val="none" w:sz="0" w:space="0" w:color="auto"/>
        <w:bottom w:val="none" w:sz="0" w:space="0" w:color="auto"/>
        <w:right w:val="none" w:sz="0" w:space="0" w:color="auto"/>
      </w:divBdr>
    </w:div>
    <w:div w:id="306785360">
      <w:bodyDiv w:val="1"/>
      <w:marLeft w:val="0"/>
      <w:marRight w:val="0"/>
      <w:marTop w:val="0"/>
      <w:marBottom w:val="0"/>
      <w:divBdr>
        <w:top w:val="none" w:sz="0" w:space="0" w:color="auto"/>
        <w:left w:val="none" w:sz="0" w:space="0" w:color="auto"/>
        <w:bottom w:val="none" w:sz="0" w:space="0" w:color="auto"/>
        <w:right w:val="none" w:sz="0" w:space="0" w:color="auto"/>
      </w:divBdr>
    </w:div>
    <w:div w:id="309671535">
      <w:bodyDiv w:val="1"/>
      <w:marLeft w:val="0"/>
      <w:marRight w:val="0"/>
      <w:marTop w:val="0"/>
      <w:marBottom w:val="0"/>
      <w:divBdr>
        <w:top w:val="none" w:sz="0" w:space="0" w:color="auto"/>
        <w:left w:val="none" w:sz="0" w:space="0" w:color="auto"/>
        <w:bottom w:val="none" w:sz="0" w:space="0" w:color="auto"/>
        <w:right w:val="none" w:sz="0" w:space="0" w:color="auto"/>
      </w:divBdr>
    </w:div>
    <w:div w:id="388460161">
      <w:bodyDiv w:val="1"/>
      <w:marLeft w:val="0"/>
      <w:marRight w:val="0"/>
      <w:marTop w:val="0"/>
      <w:marBottom w:val="0"/>
      <w:divBdr>
        <w:top w:val="none" w:sz="0" w:space="0" w:color="auto"/>
        <w:left w:val="none" w:sz="0" w:space="0" w:color="auto"/>
        <w:bottom w:val="none" w:sz="0" w:space="0" w:color="auto"/>
        <w:right w:val="none" w:sz="0" w:space="0" w:color="auto"/>
      </w:divBdr>
    </w:div>
    <w:div w:id="420689003">
      <w:bodyDiv w:val="1"/>
      <w:marLeft w:val="0"/>
      <w:marRight w:val="0"/>
      <w:marTop w:val="0"/>
      <w:marBottom w:val="0"/>
      <w:divBdr>
        <w:top w:val="none" w:sz="0" w:space="0" w:color="auto"/>
        <w:left w:val="none" w:sz="0" w:space="0" w:color="auto"/>
        <w:bottom w:val="none" w:sz="0" w:space="0" w:color="auto"/>
        <w:right w:val="none" w:sz="0" w:space="0" w:color="auto"/>
      </w:divBdr>
    </w:div>
    <w:div w:id="451746369">
      <w:bodyDiv w:val="1"/>
      <w:marLeft w:val="0"/>
      <w:marRight w:val="0"/>
      <w:marTop w:val="0"/>
      <w:marBottom w:val="0"/>
      <w:divBdr>
        <w:top w:val="none" w:sz="0" w:space="0" w:color="auto"/>
        <w:left w:val="none" w:sz="0" w:space="0" w:color="auto"/>
        <w:bottom w:val="none" w:sz="0" w:space="0" w:color="auto"/>
        <w:right w:val="none" w:sz="0" w:space="0" w:color="auto"/>
      </w:divBdr>
    </w:div>
    <w:div w:id="538011041">
      <w:bodyDiv w:val="1"/>
      <w:marLeft w:val="0"/>
      <w:marRight w:val="0"/>
      <w:marTop w:val="0"/>
      <w:marBottom w:val="0"/>
      <w:divBdr>
        <w:top w:val="none" w:sz="0" w:space="0" w:color="auto"/>
        <w:left w:val="none" w:sz="0" w:space="0" w:color="auto"/>
        <w:bottom w:val="none" w:sz="0" w:space="0" w:color="auto"/>
        <w:right w:val="none" w:sz="0" w:space="0" w:color="auto"/>
      </w:divBdr>
    </w:div>
    <w:div w:id="589698170">
      <w:bodyDiv w:val="1"/>
      <w:marLeft w:val="0"/>
      <w:marRight w:val="0"/>
      <w:marTop w:val="0"/>
      <w:marBottom w:val="0"/>
      <w:divBdr>
        <w:top w:val="none" w:sz="0" w:space="0" w:color="auto"/>
        <w:left w:val="none" w:sz="0" w:space="0" w:color="auto"/>
        <w:bottom w:val="none" w:sz="0" w:space="0" w:color="auto"/>
        <w:right w:val="none" w:sz="0" w:space="0" w:color="auto"/>
      </w:divBdr>
    </w:div>
    <w:div w:id="618413924">
      <w:bodyDiv w:val="1"/>
      <w:marLeft w:val="0"/>
      <w:marRight w:val="0"/>
      <w:marTop w:val="0"/>
      <w:marBottom w:val="0"/>
      <w:divBdr>
        <w:top w:val="none" w:sz="0" w:space="0" w:color="auto"/>
        <w:left w:val="none" w:sz="0" w:space="0" w:color="auto"/>
        <w:bottom w:val="none" w:sz="0" w:space="0" w:color="auto"/>
        <w:right w:val="none" w:sz="0" w:space="0" w:color="auto"/>
      </w:divBdr>
    </w:div>
    <w:div w:id="624044157">
      <w:bodyDiv w:val="1"/>
      <w:marLeft w:val="0"/>
      <w:marRight w:val="0"/>
      <w:marTop w:val="0"/>
      <w:marBottom w:val="0"/>
      <w:divBdr>
        <w:top w:val="none" w:sz="0" w:space="0" w:color="auto"/>
        <w:left w:val="none" w:sz="0" w:space="0" w:color="auto"/>
        <w:bottom w:val="none" w:sz="0" w:space="0" w:color="auto"/>
        <w:right w:val="none" w:sz="0" w:space="0" w:color="auto"/>
      </w:divBdr>
      <w:divsChild>
        <w:div w:id="193226580">
          <w:marLeft w:val="0"/>
          <w:marRight w:val="0"/>
          <w:marTop w:val="0"/>
          <w:marBottom w:val="0"/>
          <w:divBdr>
            <w:top w:val="none" w:sz="0" w:space="0" w:color="auto"/>
            <w:left w:val="none" w:sz="0" w:space="0" w:color="auto"/>
            <w:bottom w:val="none" w:sz="0" w:space="0" w:color="auto"/>
            <w:right w:val="none" w:sz="0" w:space="0" w:color="auto"/>
          </w:divBdr>
        </w:div>
        <w:div w:id="239218399">
          <w:marLeft w:val="0"/>
          <w:marRight w:val="0"/>
          <w:marTop w:val="0"/>
          <w:marBottom w:val="0"/>
          <w:divBdr>
            <w:top w:val="none" w:sz="0" w:space="0" w:color="auto"/>
            <w:left w:val="none" w:sz="0" w:space="0" w:color="auto"/>
            <w:bottom w:val="none" w:sz="0" w:space="0" w:color="auto"/>
            <w:right w:val="none" w:sz="0" w:space="0" w:color="auto"/>
          </w:divBdr>
        </w:div>
        <w:div w:id="797336913">
          <w:marLeft w:val="0"/>
          <w:marRight w:val="0"/>
          <w:marTop w:val="0"/>
          <w:marBottom w:val="0"/>
          <w:divBdr>
            <w:top w:val="none" w:sz="0" w:space="0" w:color="auto"/>
            <w:left w:val="none" w:sz="0" w:space="0" w:color="auto"/>
            <w:bottom w:val="none" w:sz="0" w:space="0" w:color="auto"/>
            <w:right w:val="none" w:sz="0" w:space="0" w:color="auto"/>
          </w:divBdr>
        </w:div>
        <w:div w:id="801457786">
          <w:marLeft w:val="0"/>
          <w:marRight w:val="0"/>
          <w:marTop w:val="0"/>
          <w:marBottom w:val="0"/>
          <w:divBdr>
            <w:top w:val="none" w:sz="0" w:space="0" w:color="auto"/>
            <w:left w:val="none" w:sz="0" w:space="0" w:color="auto"/>
            <w:bottom w:val="none" w:sz="0" w:space="0" w:color="auto"/>
            <w:right w:val="none" w:sz="0" w:space="0" w:color="auto"/>
          </w:divBdr>
        </w:div>
        <w:div w:id="1135680809">
          <w:marLeft w:val="0"/>
          <w:marRight w:val="0"/>
          <w:marTop w:val="0"/>
          <w:marBottom w:val="0"/>
          <w:divBdr>
            <w:top w:val="none" w:sz="0" w:space="0" w:color="auto"/>
            <w:left w:val="none" w:sz="0" w:space="0" w:color="auto"/>
            <w:bottom w:val="none" w:sz="0" w:space="0" w:color="auto"/>
            <w:right w:val="none" w:sz="0" w:space="0" w:color="auto"/>
          </w:divBdr>
        </w:div>
        <w:div w:id="1156996491">
          <w:marLeft w:val="0"/>
          <w:marRight w:val="0"/>
          <w:marTop w:val="0"/>
          <w:marBottom w:val="0"/>
          <w:divBdr>
            <w:top w:val="none" w:sz="0" w:space="0" w:color="auto"/>
            <w:left w:val="none" w:sz="0" w:space="0" w:color="auto"/>
            <w:bottom w:val="none" w:sz="0" w:space="0" w:color="auto"/>
            <w:right w:val="none" w:sz="0" w:space="0" w:color="auto"/>
          </w:divBdr>
        </w:div>
        <w:div w:id="1280377364">
          <w:marLeft w:val="0"/>
          <w:marRight w:val="0"/>
          <w:marTop w:val="0"/>
          <w:marBottom w:val="0"/>
          <w:divBdr>
            <w:top w:val="none" w:sz="0" w:space="0" w:color="auto"/>
            <w:left w:val="none" w:sz="0" w:space="0" w:color="auto"/>
            <w:bottom w:val="none" w:sz="0" w:space="0" w:color="auto"/>
            <w:right w:val="none" w:sz="0" w:space="0" w:color="auto"/>
          </w:divBdr>
        </w:div>
        <w:div w:id="1863394010">
          <w:marLeft w:val="0"/>
          <w:marRight w:val="0"/>
          <w:marTop w:val="0"/>
          <w:marBottom w:val="0"/>
          <w:divBdr>
            <w:top w:val="none" w:sz="0" w:space="0" w:color="auto"/>
            <w:left w:val="none" w:sz="0" w:space="0" w:color="auto"/>
            <w:bottom w:val="none" w:sz="0" w:space="0" w:color="auto"/>
            <w:right w:val="none" w:sz="0" w:space="0" w:color="auto"/>
          </w:divBdr>
          <w:divsChild>
            <w:div w:id="835726234">
              <w:marLeft w:val="0"/>
              <w:marRight w:val="0"/>
              <w:marTop w:val="0"/>
              <w:marBottom w:val="0"/>
              <w:divBdr>
                <w:top w:val="none" w:sz="0" w:space="0" w:color="auto"/>
                <w:left w:val="none" w:sz="0" w:space="0" w:color="auto"/>
                <w:bottom w:val="none" w:sz="0" w:space="0" w:color="auto"/>
                <w:right w:val="none" w:sz="0" w:space="0" w:color="auto"/>
              </w:divBdr>
            </w:div>
            <w:div w:id="128924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086744">
      <w:bodyDiv w:val="1"/>
      <w:marLeft w:val="0"/>
      <w:marRight w:val="0"/>
      <w:marTop w:val="0"/>
      <w:marBottom w:val="0"/>
      <w:divBdr>
        <w:top w:val="none" w:sz="0" w:space="0" w:color="auto"/>
        <w:left w:val="none" w:sz="0" w:space="0" w:color="auto"/>
        <w:bottom w:val="none" w:sz="0" w:space="0" w:color="auto"/>
        <w:right w:val="none" w:sz="0" w:space="0" w:color="auto"/>
      </w:divBdr>
    </w:div>
    <w:div w:id="673726133">
      <w:bodyDiv w:val="1"/>
      <w:marLeft w:val="0"/>
      <w:marRight w:val="0"/>
      <w:marTop w:val="0"/>
      <w:marBottom w:val="0"/>
      <w:divBdr>
        <w:top w:val="none" w:sz="0" w:space="0" w:color="auto"/>
        <w:left w:val="none" w:sz="0" w:space="0" w:color="auto"/>
        <w:bottom w:val="none" w:sz="0" w:space="0" w:color="auto"/>
        <w:right w:val="none" w:sz="0" w:space="0" w:color="auto"/>
      </w:divBdr>
    </w:div>
    <w:div w:id="720981907">
      <w:bodyDiv w:val="1"/>
      <w:marLeft w:val="0"/>
      <w:marRight w:val="0"/>
      <w:marTop w:val="0"/>
      <w:marBottom w:val="0"/>
      <w:divBdr>
        <w:top w:val="none" w:sz="0" w:space="0" w:color="auto"/>
        <w:left w:val="none" w:sz="0" w:space="0" w:color="auto"/>
        <w:bottom w:val="none" w:sz="0" w:space="0" w:color="auto"/>
        <w:right w:val="none" w:sz="0" w:space="0" w:color="auto"/>
      </w:divBdr>
    </w:div>
    <w:div w:id="722096370">
      <w:bodyDiv w:val="1"/>
      <w:marLeft w:val="0"/>
      <w:marRight w:val="0"/>
      <w:marTop w:val="0"/>
      <w:marBottom w:val="0"/>
      <w:divBdr>
        <w:top w:val="none" w:sz="0" w:space="0" w:color="auto"/>
        <w:left w:val="none" w:sz="0" w:space="0" w:color="auto"/>
        <w:bottom w:val="none" w:sz="0" w:space="0" w:color="auto"/>
        <w:right w:val="none" w:sz="0" w:space="0" w:color="auto"/>
      </w:divBdr>
    </w:div>
    <w:div w:id="746532849">
      <w:bodyDiv w:val="1"/>
      <w:marLeft w:val="0"/>
      <w:marRight w:val="0"/>
      <w:marTop w:val="0"/>
      <w:marBottom w:val="0"/>
      <w:divBdr>
        <w:top w:val="none" w:sz="0" w:space="0" w:color="auto"/>
        <w:left w:val="none" w:sz="0" w:space="0" w:color="auto"/>
        <w:bottom w:val="none" w:sz="0" w:space="0" w:color="auto"/>
        <w:right w:val="none" w:sz="0" w:space="0" w:color="auto"/>
      </w:divBdr>
    </w:div>
    <w:div w:id="843470514">
      <w:bodyDiv w:val="1"/>
      <w:marLeft w:val="0"/>
      <w:marRight w:val="0"/>
      <w:marTop w:val="0"/>
      <w:marBottom w:val="0"/>
      <w:divBdr>
        <w:top w:val="none" w:sz="0" w:space="0" w:color="auto"/>
        <w:left w:val="none" w:sz="0" w:space="0" w:color="auto"/>
        <w:bottom w:val="none" w:sz="0" w:space="0" w:color="auto"/>
        <w:right w:val="none" w:sz="0" w:space="0" w:color="auto"/>
      </w:divBdr>
    </w:div>
    <w:div w:id="897131130">
      <w:bodyDiv w:val="1"/>
      <w:marLeft w:val="0"/>
      <w:marRight w:val="0"/>
      <w:marTop w:val="0"/>
      <w:marBottom w:val="0"/>
      <w:divBdr>
        <w:top w:val="none" w:sz="0" w:space="0" w:color="auto"/>
        <w:left w:val="none" w:sz="0" w:space="0" w:color="auto"/>
        <w:bottom w:val="none" w:sz="0" w:space="0" w:color="auto"/>
        <w:right w:val="none" w:sz="0" w:space="0" w:color="auto"/>
      </w:divBdr>
    </w:div>
    <w:div w:id="974410714">
      <w:bodyDiv w:val="1"/>
      <w:marLeft w:val="0"/>
      <w:marRight w:val="0"/>
      <w:marTop w:val="0"/>
      <w:marBottom w:val="0"/>
      <w:divBdr>
        <w:top w:val="none" w:sz="0" w:space="0" w:color="auto"/>
        <w:left w:val="none" w:sz="0" w:space="0" w:color="auto"/>
        <w:bottom w:val="none" w:sz="0" w:space="0" w:color="auto"/>
        <w:right w:val="none" w:sz="0" w:space="0" w:color="auto"/>
      </w:divBdr>
    </w:div>
    <w:div w:id="986399463">
      <w:bodyDiv w:val="1"/>
      <w:marLeft w:val="0"/>
      <w:marRight w:val="0"/>
      <w:marTop w:val="0"/>
      <w:marBottom w:val="0"/>
      <w:divBdr>
        <w:top w:val="none" w:sz="0" w:space="0" w:color="auto"/>
        <w:left w:val="none" w:sz="0" w:space="0" w:color="auto"/>
        <w:bottom w:val="none" w:sz="0" w:space="0" w:color="auto"/>
        <w:right w:val="none" w:sz="0" w:space="0" w:color="auto"/>
      </w:divBdr>
    </w:div>
    <w:div w:id="1081021050">
      <w:bodyDiv w:val="1"/>
      <w:marLeft w:val="0"/>
      <w:marRight w:val="0"/>
      <w:marTop w:val="0"/>
      <w:marBottom w:val="0"/>
      <w:divBdr>
        <w:top w:val="none" w:sz="0" w:space="0" w:color="auto"/>
        <w:left w:val="none" w:sz="0" w:space="0" w:color="auto"/>
        <w:bottom w:val="none" w:sz="0" w:space="0" w:color="auto"/>
        <w:right w:val="none" w:sz="0" w:space="0" w:color="auto"/>
      </w:divBdr>
    </w:div>
    <w:div w:id="1094085645">
      <w:bodyDiv w:val="1"/>
      <w:marLeft w:val="0"/>
      <w:marRight w:val="0"/>
      <w:marTop w:val="0"/>
      <w:marBottom w:val="0"/>
      <w:divBdr>
        <w:top w:val="none" w:sz="0" w:space="0" w:color="auto"/>
        <w:left w:val="none" w:sz="0" w:space="0" w:color="auto"/>
        <w:bottom w:val="none" w:sz="0" w:space="0" w:color="auto"/>
        <w:right w:val="none" w:sz="0" w:space="0" w:color="auto"/>
      </w:divBdr>
    </w:div>
    <w:div w:id="1096635754">
      <w:bodyDiv w:val="1"/>
      <w:marLeft w:val="0"/>
      <w:marRight w:val="0"/>
      <w:marTop w:val="0"/>
      <w:marBottom w:val="0"/>
      <w:divBdr>
        <w:top w:val="none" w:sz="0" w:space="0" w:color="auto"/>
        <w:left w:val="none" w:sz="0" w:space="0" w:color="auto"/>
        <w:bottom w:val="none" w:sz="0" w:space="0" w:color="auto"/>
        <w:right w:val="none" w:sz="0" w:space="0" w:color="auto"/>
      </w:divBdr>
    </w:div>
    <w:div w:id="1125731083">
      <w:bodyDiv w:val="1"/>
      <w:marLeft w:val="0"/>
      <w:marRight w:val="0"/>
      <w:marTop w:val="0"/>
      <w:marBottom w:val="0"/>
      <w:divBdr>
        <w:top w:val="none" w:sz="0" w:space="0" w:color="auto"/>
        <w:left w:val="none" w:sz="0" w:space="0" w:color="auto"/>
        <w:bottom w:val="none" w:sz="0" w:space="0" w:color="auto"/>
        <w:right w:val="none" w:sz="0" w:space="0" w:color="auto"/>
      </w:divBdr>
    </w:div>
    <w:div w:id="1137793711">
      <w:bodyDiv w:val="1"/>
      <w:marLeft w:val="0"/>
      <w:marRight w:val="0"/>
      <w:marTop w:val="0"/>
      <w:marBottom w:val="0"/>
      <w:divBdr>
        <w:top w:val="none" w:sz="0" w:space="0" w:color="auto"/>
        <w:left w:val="none" w:sz="0" w:space="0" w:color="auto"/>
        <w:bottom w:val="none" w:sz="0" w:space="0" w:color="auto"/>
        <w:right w:val="none" w:sz="0" w:space="0" w:color="auto"/>
      </w:divBdr>
    </w:div>
    <w:div w:id="1168138063">
      <w:bodyDiv w:val="1"/>
      <w:marLeft w:val="0"/>
      <w:marRight w:val="0"/>
      <w:marTop w:val="0"/>
      <w:marBottom w:val="0"/>
      <w:divBdr>
        <w:top w:val="none" w:sz="0" w:space="0" w:color="auto"/>
        <w:left w:val="none" w:sz="0" w:space="0" w:color="auto"/>
        <w:bottom w:val="none" w:sz="0" w:space="0" w:color="auto"/>
        <w:right w:val="none" w:sz="0" w:space="0" w:color="auto"/>
      </w:divBdr>
    </w:div>
    <w:div w:id="1224759915">
      <w:bodyDiv w:val="1"/>
      <w:marLeft w:val="0"/>
      <w:marRight w:val="0"/>
      <w:marTop w:val="0"/>
      <w:marBottom w:val="0"/>
      <w:divBdr>
        <w:top w:val="none" w:sz="0" w:space="0" w:color="auto"/>
        <w:left w:val="none" w:sz="0" w:space="0" w:color="auto"/>
        <w:bottom w:val="none" w:sz="0" w:space="0" w:color="auto"/>
        <w:right w:val="none" w:sz="0" w:space="0" w:color="auto"/>
      </w:divBdr>
    </w:div>
    <w:div w:id="1231502958">
      <w:bodyDiv w:val="1"/>
      <w:marLeft w:val="0"/>
      <w:marRight w:val="0"/>
      <w:marTop w:val="0"/>
      <w:marBottom w:val="0"/>
      <w:divBdr>
        <w:top w:val="none" w:sz="0" w:space="0" w:color="auto"/>
        <w:left w:val="none" w:sz="0" w:space="0" w:color="auto"/>
        <w:bottom w:val="none" w:sz="0" w:space="0" w:color="auto"/>
        <w:right w:val="none" w:sz="0" w:space="0" w:color="auto"/>
      </w:divBdr>
    </w:div>
    <w:div w:id="1237591173">
      <w:bodyDiv w:val="1"/>
      <w:marLeft w:val="0"/>
      <w:marRight w:val="0"/>
      <w:marTop w:val="0"/>
      <w:marBottom w:val="0"/>
      <w:divBdr>
        <w:top w:val="none" w:sz="0" w:space="0" w:color="auto"/>
        <w:left w:val="none" w:sz="0" w:space="0" w:color="auto"/>
        <w:bottom w:val="none" w:sz="0" w:space="0" w:color="auto"/>
        <w:right w:val="none" w:sz="0" w:space="0" w:color="auto"/>
      </w:divBdr>
    </w:div>
    <w:div w:id="1245842851">
      <w:bodyDiv w:val="1"/>
      <w:marLeft w:val="0"/>
      <w:marRight w:val="0"/>
      <w:marTop w:val="0"/>
      <w:marBottom w:val="0"/>
      <w:divBdr>
        <w:top w:val="none" w:sz="0" w:space="0" w:color="auto"/>
        <w:left w:val="none" w:sz="0" w:space="0" w:color="auto"/>
        <w:bottom w:val="none" w:sz="0" w:space="0" w:color="auto"/>
        <w:right w:val="none" w:sz="0" w:space="0" w:color="auto"/>
      </w:divBdr>
    </w:div>
    <w:div w:id="1266426005">
      <w:bodyDiv w:val="1"/>
      <w:marLeft w:val="0"/>
      <w:marRight w:val="0"/>
      <w:marTop w:val="0"/>
      <w:marBottom w:val="0"/>
      <w:divBdr>
        <w:top w:val="none" w:sz="0" w:space="0" w:color="auto"/>
        <w:left w:val="none" w:sz="0" w:space="0" w:color="auto"/>
        <w:bottom w:val="none" w:sz="0" w:space="0" w:color="auto"/>
        <w:right w:val="none" w:sz="0" w:space="0" w:color="auto"/>
      </w:divBdr>
    </w:div>
    <w:div w:id="1277296989">
      <w:bodyDiv w:val="1"/>
      <w:marLeft w:val="0"/>
      <w:marRight w:val="0"/>
      <w:marTop w:val="0"/>
      <w:marBottom w:val="0"/>
      <w:divBdr>
        <w:top w:val="none" w:sz="0" w:space="0" w:color="auto"/>
        <w:left w:val="none" w:sz="0" w:space="0" w:color="auto"/>
        <w:bottom w:val="none" w:sz="0" w:space="0" w:color="auto"/>
        <w:right w:val="none" w:sz="0" w:space="0" w:color="auto"/>
      </w:divBdr>
    </w:div>
    <w:div w:id="1277520249">
      <w:bodyDiv w:val="1"/>
      <w:marLeft w:val="0"/>
      <w:marRight w:val="0"/>
      <w:marTop w:val="0"/>
      <w:marBottom w:val="0"/>
      <w:divBdr>
        <w:top w:val="none" w:sz="0" w:space="0" w:color="auto"/>
        <w:left w:val="none" w:sz="0" w:space="0" w:color="auto"/>
        <w:bottom w:val="none" w:sz="0" w:space="0" w:color="auto"/>
        <w:right w:val="none" w:sz="0" w:space="0" w:color="auto"/>
      </w:divBdr>
    </w:div>
    <w:div w:id="1279020811">
      <w:bodyDiv w:val="1"/>
      <w:marLeft w:val="0"/>
      <w:marRight w:val="0"/>
      <w:marTop w:val="0"/>
      <w:marBottom w:val="0"/>
      <w:divBdr>
        <w:top w:val="none" w:sz="0" w:space="0" w:color="auto"/>
        <w:left w:val="none" w:sz="0" w:space="0" w:color="auto"/>
        <w:bottom w:val="none" w:sz="0" w:space="0" w:color="auto"/>
        <w:right w:val="none" w:sz="0" w:space="0" w:color="auto"/>
      </w:divBdr>
    </w:div>
    <w:div w:id="1280720345">
      <w:bodyDiv w:val="1"/>
      <w:marLeft w:val="0"/>
      <w:marRight w:val="0"/>
      <w:marTop w:val="0"/>
      <w:marBottom w:val="0"/>
      <w:divBdr>
        <w:top w:val="none" w:sz="0" w:space="0" w:color="auto"/>
        <w:left w:val="none" w:sz="0" w:space="0" w:color="auto"/>
        <w:bottom w:val="none" w:sz="0" w:space="0" w:color="auto"/>
        <w:right w:val="none" w:sz="0" w:space="0" w:color="auto"/>
      </w:divBdr>
    </w:div>
    <w:div w:id="1352220711">
      <w:bodyDiv w:val="1"/>
      <w:marLeft w:val="0"/>
      <w:marRight w:val="0"/>
      <w:marTop w:val="0"/>
      <w:marBottom w:val="0"/>
      <w:divBdr>
        <w:top w:val="none" w:sz="0" w:space="0" w:color="auto"/>
        <w:left w:val="none" w:sz="0" w:space="0" w:color="auto"/>
        <w:bottom w:val="none" w:sz="0" w:space="0" w:color="auto"/>
        <w:right w:val="none" w:sz="0" w:space="0" w:color="auto"/>
      </w:divBdr>
    </w:div>
    <w:div w:id="1380741485">
      <w:bodyDiv w:val="1"/>
      <w:marLeft w:val="0"/>
      <w:marRight w:val="0"/>
      <w:marTop w:val="0"/>
      <w:marBottom w:val="0"/>
      <w:divBdr>
        <w:top w:val="none" w:sz="0" w:space="0" w:color="auto"/>
        <w:left w:val="none" w:sz="0" w:space="0" w:color="auto"/>
        <w:bottom w:val="none" w:sz="0" w:space="0" w:color="auto"/>
        <w:right w:val="none" w:sz="0" w:space="0" w:color="auto"/>
      </w:divBdr>
    </w:div>
    <w:div w:id="1458723051">
      <w:bodyDiv w:val="1"/>
      <w:marLeft w:val="0"/>
      <w:marRight w:val="0"/>
      <w:marTop w:val="0"/>
      <w:marBottom w:val="0"/>
      <w:divBdr>
        <w:top w:val="none" w:sz="0" w:space="0" w:color="auto"/>
        <w:left w:val="none" w:sz="0" w:space="0" w:color="auto"/>
        <w:bottom w:val="none" w:sz="0" w:space="0" w:color="auto"/>
        <w:right w:val="none" w:sz="0" w:space="0" w:color="auto"/>
      </w:divBdr>
    </w:div>
    <w:div w:id="1513908852">
      <w:bodyDiv w:val="1"/>
      <w:marLeft w:val="0"/>
      <w:marRight w:val="0"/>
      <w:marTop w:val="0"/>
      <w:marBottom w:val="0"/>
      <w:divBdr>
        <w:top w:val="none" w:sz="0" w:space="0" w:color="auto"/>
        <w:left w:val="none" w:sz="0" w:space="0" w:color="auto"/>
        <w:bottom w:val="none" w:sz="0" w:space="0" w:color="auto"/>
        <w:right w:val="none" w:sz="0" w:space="0" w:color="auto"/>
      </w:divBdr>
    </w:div>
    <w:div w:id="1519737082">
      <w:bodyDiv w:val="1"/>
      <w:marLeft w:val="0"/>
      <w:marRight w:val="0"/>
      <w:marTop w:val="0"/>
      <w:marBottom w:val="0"/>
      <w:divBdr>
        <w:top w:val="none" w:sz="0" w:space="0" w:color="auto"/>
        <w:left w:val="none" w:sz="0" w:space="0" w:color="auto"/>
        <w:bottom w:val="none" w:sz="0" w:space="0" w:color="auto"/>
        <w:right w:val="none" w:sz="0" w:space="0" w:color="auto"/>
      </w:divBdr>
    </w:div>
    <w:div w:id="1521624389">
      <w:bodyDiv w:val="1"/>
      <w:marLeft w:val="0"/>
      <w:marRight w:val="0"/>
      <w:marTop w:val="0"/>
      <w:marBottom w:val="0"/>
      <w:divBdr>
        <w:top w:val="none" w:sz="0" w:space="0" w:color="auto"/>
        <w:left w:val="none" w:sz="0" w:space="0" w:color="auto"/>
        <w:bottom w:val="none" w:sz="0" w:space="0" w:color="auto"/>
        <w:right w:val="none" w:sz="0" w:space="0" w:color="auto"/>
      </w:divBdr>
    </w:div>
    <w:div w:id="1531381159">
      <w:bodyDiv w:val="1"/>
      <w:marLeft w:val="0"/>
      <w:marRight w:val="0"/>
      <w:marTop w:val="0"/>
      <w:marBottom w:val="0"/>
      <w:divBdr>
        <w:top w:val="none" w:sz="0" w:space="0" w:color="auto"/>
        <w:left w:val="none" w:sz="0" w:space="0" w:color="auto"/>
        <w:bottom w:val="none" w:sz="0" w:space="0" w:color="auto"/>
        <w:right w:val="none" w:sz="0" w:space="0" w:color="auto"/>
      </w:divBdr>
    </w:div>
    <w:div w:id="1532377182">
      <w:bodyDiv w:val="1"/>
      <w:marLeft w:val="0"/>
      <w:marRight w:val="0"/>
      <w:marTop w:val="0"/>
      <w:marBottom w:val="0"/>
      <w:divBdr>
        <w:top w:val="none" w:sz="0" w:space="0" w:color="auto"/>
        <w:left w:val="none" w:sz="0" w:space="0" w:color="auto"/>
        <w:bottom w:val="none" w:sz="0" w:space="0" w:color="auto"/>
        <w:right w:val="none" w:sz="0" w:space="0" w:color="auto"/>
      </w:divBdr>
    </w:div>
    <w:div w:id="1594122652">
      <w:bodyDiv w:val="1"/>
      <w:marLeft w:val="0"/>
      <w:marRight w:val="0"/>
      <w:marTop w:val="0"/>
      <w:marBottom w:val="0"/>
      <w:divBdr>
        <w:top w:val="none" w:sz="0" w:space="0" w:color="auto"/>
        <w:left w:val="none" w:sz="0" w:space="0" w:color="auto"/>
        <w:bottom w:val="none" w:sz="0" w:space="0" w:color="auto"/>
        <w:right w:val="none" w:sz="0" w:space="0" w:color="auto"/>
      </w:divBdr>
      <w:divsChild>
        <w:div w:id="129246330">
          <w:marLeft w:val="547"/>
          <w:marRight w:val="0"/>
          <w:marTop w:val="96"/>
          <w:marBottom w:val="0"/>
          <w:divBdr>
            <w:top w:val="none" w:sz="0" w:space="0" w:color="auto"/>
            <w:left w:val="none" w:sz="0" w:space="0" w:color="auto"/>
            <w:bottom w:val="none" w:sz="0" w:space="0" w:color="auto"/>
            <w:right w:val="none" w:sz="0" w:space="0" w:color="auto"/>
          </w:divBdr>
        </w:div>
        <w:div w:id="453795359">
          <w:marLeft w:val="547"/>
          <w:marRight w:val="0"/>
          <w:marTop w:val="96"/>
          <w:marBottom w:val="0"/>
          <w:divBdr>
            <w:top w:val="none" w:sz="0" w:space="0" w:color="auto"/>
            <w:left w:val="none" w:sz="0" w:space="0" w:color="auto"/>
            <w:bottom w:val="none" w:sz="0" w:space="0" w:color="auto"/>
            <w:right w:val="none" w:sz="0" w:space="0" w:color="auto"/>
          </w:divBdr>
        </w:div>
        <w:div w:id="1627587176">
          <w:marLeft w:val="547"/>
          <w:marRight w:val="0"/>
          <w:marTop w:val="96"/>
          <w:marBottom w:val="0"/>
          <w:divBdr>
            <w:top w:val="none" w:sz="0" w:space="0" w:color="auto"/>
            <w:left w:val="none" w:sz="0" w:space="0" w:color="auto"/>
            <w:bottom w:val="none" w:sz="0" w:space="0" w:color="auto"/>
            <w:right w:val="none" w:sz="0" w:space="0" w:color="auto"/>
          </w:divBdr>
        </w:div>
        <w:div w:id="1975519282">
          <w:marLeft w:val="547"/>
          <w:marRight w:val="0"/>
          <w:marTop w:val="96"/>
          <w:marBottom w:val="0"/>
          <w:divBdr>
            <w:top w:val="none" w:sz="0" w:space="0" w:color="auto"/>
            <w:left w:val="none" w:sz="0" w:space="0" w:color="auto"/>
            <w:bottom w:val="none" w:sz="0" w:space="0" w:color="auto"/>
            <w:right w:val="none" w:sz="0" w:space="0" w:color="auto"/>
          </w:divBdr>
        </w:div>
      </w:divsChild>
    </w:div>
    <w:div w:id="1621378225">
      <w:bodyDiv w:val="1"/>
      <w:marLeft w:val="0"/>
      <w:marRight w:val="0"/>
      <w:marTop w:val="0"/>
      <w:marBottom w:val="0"/>
      <w:divBdr>
        <w:top w:val="none" w:sz="0" w:space="0" w:color="auto"/>
        <w:left w:val="none" w:sz="0" w:space="0" w:color="auto"/>
        <w:bottom w:val="none" w:sz="0" w:space="0" w:color="auto"/>
        <w:right w:val="none" w:sz="0" w:space="0" w:color="auto"/>
      </w:divBdr>
    </w:div>
    <w:div w:id="1679651106">
      <w:bodyDiv w:val="1"/>
      <w:marLeft w:val="0"/>
      <w:marRight w:val="0"/>
      <w:marTop w:val="0"/>
      <w:marBottom w:val="0"/>
      <w:divBdr>
        <w:top w:val="none" w:sz="0" w:space="0" w:color="auto"/>
        <w:left w:val="none" w:sz="0" w:space="0" w:color="auto"/>
        <w:bottom w:val="none" w:sz="0" w:space="0" w:color="auto"/>
        <w:right w:val="none" w:sz="0" w:space="0" w:color="auto"/>
      </w:divBdr>
    </w:div>
    <w:div w:id="1699893254">
      <w:bodyDiv w:val="1"/>
      <w:marLeft w:val="0"/>
      <w:marRight w:val="0"/>
      <w:marTop w:val="0"/>
      <w:marBottom w:val="0"/>
      <w:divBdr>
        <w:top w:val="none" w:sz="0" w:space="0" w:color="auto"/>
        <w:left w:val="none" w:sz="0" w:space="0" w:color="auto"/>
        <w:bottom w:val="none" w:sz="0" w:space="0" w:color="auto"/>
        <w:right w:val="none" w:sz="0" w:space="0" w:color="auto"/>
      </w:divBdr>
    </w:div>
    <w:div w:id="1735929088">
      <w:bodyDiv w:val="1"/>
      <w:marLeft w:val="0"/>
      <w:marRight w:val="0"/>
      <w:marTop w:val="0"/>
      <w:marBottom w:val="0"/>
      <w:divBdr>
        <w:top w:val="none" w:sz="0" w:space="0" w:color="auto"/>
        <w:left w:val="none" w:sz="0" w:space="0" w:color="auto"/>
        <w:bottom w:val="none" w:sz="0" w:space="0" w:color="auto"/>
        <w:right w:val="none" w:sz="0" w:space="0" w:color="auto"/>
      </w:divBdr>
    </w:div>
    <w:div w:id="1755936726">
      <w:bodyDiv w:val="1"/>
      <w:marLeft w:val="0"/>
      <w:marRight w:val="0"/>
      <w:marTop w:val="0"/>
      <w:marBottom w:val="0"/>
      <w:divBdr>
        <w:top w:val="none" w:sz="0" w:space="0" w:color="auto"/>
        <w:left w:val="none" w:sz="0" w:space="0" w:color="auto"/>
        <w:bottom w:val="none" w:sz="0" w:space="0" w:color="auto"/>
        <w:right w:val="none" w:sz="0" w:space="0" w:color="auto"/>
      </w:divBdr>
    </w:div>
    <w:div w:id="1759249175">
      <w:bodyDiv w:val="1"/>
      <w:marLeft w:val="0"/>
      <w:marRight w:val="0"/>
      <w:marTop w:val="0"/>
      <w:marBottom w:val="0"/>
      <w:divBdr>
        <w:top w:val="none" w:sz="0" w:space="0" w:color="auto"/>
        <w:left w:val="none" w:sz="0" w:space="0" w:color="auto"/>
        <w:bottom w:val="none" w:sz="0" w:space="0" w:color="auto"/>
        <w:right w:val="none" w:sz="0" w:space="0" w:color="auto"/>
      </w:divBdr>
    </w:div>
    <w:div w:id="1765221266">
      <w:bodyDiv w:val="1"/>
      <w:marLeft w:val="0"/>
      <w:marRight w:val="0"/>
      <w:marTop w:val="0"/>
      <w:marBottom w:val="0"/>
      <w:divBdr>
        <w:top w:val="none" w:sz="0" w:space="0" w:color="auto"/>
        <w:left w:val="none" w:sz="0" w:space="0" w:color="auto"/>
        <w:bottom w:val="none" w:sz="0" w:space="0" w:color="auto"/>
        <w:right w:val="none" w:sz="0" w:space="0" w:color="auto"/>
      </w:divBdr>
    </w:div>
    <w:div w:id="1772779303">
      <w:bodyDiv w:val="1"/>
      <w:marLeft w:val="0"/>
      <w:marRight w:val="0"/>
      <w:marTop w:val="0"/>
      <w:marBottom w:val="0"/>
      <w:divBdr>
        <w:top w:val="none" w:sz="0" w:space="0" w:color="auto"/>
        <w:left w:val="none" w:sz="0" w:space="0" w:color="auto"/>
        <w:bottom w:val="none" w:sz="0" w:space="0" w:color="auto"/>
        <w:right w:val="none" w:sz="0" w:space="0" w:color="auto"/>
      </w:divBdr>
    </w:div>
    <w:div w:id="1773433106">
      <w:bodyDiv w:val="1"/>
      <w:marLeft w:val="0"/>
      <w:marRight w:val="0"/>
      <w:marTop w:val="0"/>
      <w:marBottom w:val="0"/>
      <w:divBdr>
        <w:top w:val="none" w:sz="0" w:space="0" w:color="auto"/>
        <w:left w:val="none" w:sz="0" w:space="0" w:color="auto"/>
        <w:bottom w:val="none" w:sz="0" w:space="0" w:color="auto"/>
        <w:right w:val="none" w:sz="0" w:space="0" w:color="auto"/>
      </w:divBdr>
    </w:div>
    <w:div w:id="1778910713">
      <w:bodyDiv w:val="1"/>
      <w:marLeft w:val="0"/>
      <w:marRight w:val="0"/>
      <w:marTop w:val="0"/>
      <w:marBottom w:val="0"/>
      <w:divBdr>
        <w:top w:val="none" w:sz="0" w:space="0" w:color="auto"/>
        <w:left w:val="none" w:sz="0" w:space="0" w:color="auto"/>
        <w:bottom w:val="none" w:sz="0" w:space="0" w:color="auto"/>
        <w:right w:val="none" w:sz="0" w:space="0" w:color="auto"/>
      </w:divBdr>
    </w:div>
    <w:div w:id="1834372923">
      <w:bodyDiv w:val="1"/>
      <w:marLeft w:val="0"/>
      <w:marRight w:val="0"/>
      <w:marTop w:val="0"/>
      <w:marBottom w:val="0"/>
      <w:divBdr>
        <w:top w:val="none" w:sz="0" w:space="0" w:color="auto"/>
        <w:left w:val="none" w:sz="0" w:space="0" w:color="auto"/>
        <w:bottom w:val="none" w:sz="0" w:space="0" w:color="auto"/>
        <w:right w:val="none" w:sz="0" w:space="0" w:color="auto"/>
      </w:divBdr>
    </w:div>
    <w:div w:id="1882130956">
      <w:bodyDiv w:val="1"/>
      <w:marLeft w:val="0"/>
      <w:marRight w:val="0"/>
      <w:marTop w:val="0"/>
      <w:marBottom w:val="0"/>
      <w:divBdr>
        <w:top w:val="none" w:sz="0" w:space="0" w:color="auto"/>
        <w:left w:val="none" w:sz="0" w:space="0" w:color="auto"/>
        <w:bottom w:val="none" w:sz="0" w:space="0" w:color="auto"/>
        <w:right w:val="none" w:sz="0" w:space="0" w:color="auto"/>
      </w:divBdr>
    </w:div>
    <w:div w:id="1883050361">
      <w:bodyDiv w:val="1"/>
      <w:marLeft w:val="0"/>
      <w:marRight w:val="0"/>
      <w:marTop w:val="0"/>
      <w:marBottom w:val="0"/>
      <w:divBdr>
        <w:top w:val="none" w:sz="0" w:space="0" w:color="auto"/>
        <w:left w:val="none" w:sz="0" w:space="0" w:color="auto"/>
        <w:bottom w:val="none" w:sz="0" w:space="0" w:color="auto"/>
        <w:right w:val="none" w:sz="0" w:space="0" w:color="auto"/>
      </w:divBdr>
    </w:div>
    <w:div w:id="1911498406">
      <w:bodyDiv w:val="1"/>
      <w:marLeft w:val="0"/>
      <w:marRight w:val="0"/>
      <w:marTop w:val="0"/>
      <w:marBottom w:val="0"/>
      <w:divBdr>
        <w:top w:val="none" w:sz="0" w:space="0" w:color="auto"/>
        <w:left w:val="none" w:sz="0" w:space="0" w:color="auto"/>
        <w:bottom w:val="none" w:sz="0" w:space="0" w:color="auto"/>
        <w:right w:val="none" w:sz="0" w:space="0" w:color="auto"/>
      </w:divBdr>
    </w:div>
    <w:div w:id="1959290176">
      <w:bodyDiv w:val="1"/>
      <w:marLeft w:val="0"/>
      <w:marRight w:val="0"/>
      <w:marTop w:val="0"/>
      <w:marBottom w:val="0"/>
      <w:divBdr>
        <w:top w:val="none" w:sz="0" w:space="0" w:color="auto"/>
        <w:left w:val="none" w:sz="0" w:space="0" w:color="auto"/>
        <w:bottom w:val="none" w:sz="0" w:space="0" w:color="auto"/>
        <w:right w:val="none" w:sz="0" w:space="0" w:color="auto"/>
      </w:divBdr>
    </w:div>
    <w:div w:id="2011368522">
      <w:bodyDiv w:val="1"/>
      <w:marLeft w:val="0"/>
      <w:marRight w:val="0"/>
      <w:marTop w:val="0"/>
      <w:marBottom w:val="0"/>
      <w:divBdr>
        <w:top w:val="none" w:sz="0" w:space="0" w:color="auto"/>
        <w:left w:val="none" w:sz="0" w:space="0" w:color="auto"/>
        <w:bottom w:val="none" w:sz="0" w:space="0" w:color="auto"/>
        <w:right w:val="none" w:sz="0" w:space="0" w:color="auto"/>
      </w:divBdr>
    </w:div>
    <w:div w:id="2022927214">
      <w:bodyDiv w:val="1"/>
      <w:marLeft w:val="0"/>
      <w:marRight w:val="0"/>
      <w:marTop w:val="0"/>
      <w:marBottom w:val="0"/>
      <w:divBdr>
        <w:top w:val="none" w:sz="0" w:space="0" w:color="auto"/>
        <w:left w:val="none" w:sz="0" w:space="0" w:color="auto"/>
        <w:bottom w:val="none" w:sz="0" w:space="0" w:color="auto"/>
        <w:right w:val="none" w:sz="0" w:space="0" w:color="auto"/>
      </w:divBdr>
      <w:divsChild>
        <w:div w:id="1353728908">
          <w:marLeft w:val="547"/>
          <w:marRight w:val="0"/>
          <w:marTop w:val="125"/>
          <w:marBottom w:val="0"/>
          <w:divBdr>
            <w:top w:val="none" w:sz="0" w:space="0" w:color="auto"/>
            <w:left w:val="none" w:sz="0" w:space="0" w:color="auto"/>
            <w:bottom w:val="none" w:sz="0" w:space="0" w:color="auto"/>
            <w:right w:val="none" w:sz="0" w:space="0" w:color="auto"/>
          </w:divBdr>
        </w:div>
        <w:div w:id="1649244841">
          <w:marLeft w:val="547"/>
          <w:marRight w:val="0"/>
          <w:marTop w:val="125"/>
          <w:marBottom w:val="0"/>
          <w:divBdr>
            <w:top w:val="none" w:sz="0" w:space="0" w:color="auto"/>
            <w:left w:val="none" w:sz="0" w:space="0" w:color="auto"/>
            <w:bottom w:val="none" w:sz="0" w:space="0" w:color="auto"/>
            <w:right w:val="none" w:sz="0" w:space="0" w:color="auto"/>
          </w:divBdr>
        </w:div>
      </w:divsChild>
    </w:div>
    <w:div w:id="2052803046">
      <w:bodyDiv w:val="1"/>
      <w:marLeft w:val="0"/>
      <w:marRight w:val="0"/>
      <w:marTop w:val="0"/>
      <w:marBottom w:val="0"/>
      <w:divBdr>
        <w:top w:val="none" w:sz="0" w:space="0" w:color="auto"/>
        <w:left w:val="none" w:sz="0" w:space="0" w:color="auto"/>
        <w:bottom w:val="none" w:sz="0" w:space="0" w:color="auto"/>
        <w:right w:val="none" w:sz="0" w:space="0" w:color="auto"/>
      </w:divBdr>
    </w:div>
    <w:div w:id="2084569834">
      <w:bodyDiv w:val="1"/>
      <w:marLeft w:val="0"/>
      <w:marRight w:val="0"/>
      <w:marTop w:val="0"/>
      <w:marBottom w:val="0"/>
      <w:divBdr>
        <w:top w:val="none" w:sz="0" w:space="0" w:color="auto"/>
        <w:left w:val="none" w:sz="0" w:space="0" w:color="auto"/>
        <w:bottom w:val="none" w:sz="0" w:space="0" w:color="auto"/>
        <w:right w:val="none" w:sz="0" w:space="0" w:color="auto"/>
      </w:divBdr>
    </w:div>
    <w:div w:id="2094934483">
      <w:bodyDiv w:val="1"/>
      <w:marLeft w:val="0"/>
      <w:marRight w:val="0"/>
      <w:marTop w:val="0"/>
      <w:marBottom w:val="0"/>
      <w:divBdr>
        <w:top w:val="none" w:sz="0" w:space="0" w:color="auto"/>
        <w:left w:val="none" w:sz="0" w:space="0" w:color="auto"/>
        <w:bottom w:val="none" w:sz="0" w:space="0" w:color="auto"/>
        <w:right w:val="none" w:sz="0" w:space="0" w:color="auto"/>
      </w:divBdr>
    </w:div>
    <w:div w:id="2131430456">
      <w:bodyDiv w:val="1"/>
      <w:marLeft w:val="0"/>
      <w:marRight w:val="0"/>
      <w:marTop w:val="0"/>
      <w:marBottom w:val="0"/>
      <w:divBdr>
        <w:top w:val="none" w:sz="0" w:space="0" w:color="auto"/>
        <w:left w:val="none" w:sz="0" w:space="0" w:color="auto"/>
        <w:bottom w:val="none" w:sz="0" w:space="0" w:color="auto"/>
        <w:right w:val="none" w:sz="0" w:space="0" w:color="auto"/>
      </w:divBdr>
      <w:divsChild>
        <w:div w:id="54591805">
          <w:marLeft w:val="547"/>
          <w:marRight w:val="0"/>
          <w:marTop w:val="86"/>
          <w:marBottom w:val="0"/>
          <w:divBdr>
            <w:top w:val="none" w:sz="0" w:space="0" w:color="auto"/>
            <w:left w:val="none" w:sz="0" w:space="0" w:color="auto"/>
            <w:bottom w:val="none" w:sz="0" w:space="0" w:color="auto"/>
            <w:right w:val="none" w:sz="0" w:space="0" w:color="auto"/>
          </w:divBdr>
        </w:div>
        <w:div w:id="849833319">
          <w:marLeft w:val="547"/>
          <w:marRight w:val="0"/>
          <w:marTop w:val="86"/>
          <w:marBottom w:val="0"/>
          <w:divBdr>
            <w:top w:val="none" w:sz="0" w:space="0" w:color="auto"/>
            <w:left w:val="none" w:sz="0" w:space="0" w:color="auto"/>
            <w:bottom w:val="none" w:sz="0" w:space="0" w:color="auto"/>
            <w:right w:val="none" w:sz="0" w:space="0" w:color="auto"/>
          </w:divBdr>
        </w:div>
        <w:div w:id="925959290">
          <w:marLeft w:val="547"/>
          <w:marRight w:val="0"/>
          <w:marTop w:val="86"/>
          <w:marBottom w:val="0"/>
          <w:divBdr>
            <w:top w:val="none" w:sz="0" w:space="0" w:color="auto"/>
            <w:left w:val="none" w:sz="0" w:space="0" w:color="auto"/>
            <w:bottom w:val="none" w:sz="0" w:space="0" w:color="auto"/>
            <w:right w:val="none" w:sz="0" w:space="0" w:color="auto"/>
          </w:divBdr>
        </w:div>
        <w:div w:id="1489202658">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ero.tolo@bof.fi" TargetMode="External"/><Relationship Id="rId13" Type="http://schemas.openxmlformats.org/officeDocument/2006/relationships/header" Target="header3.xml"/><Relationship Id="rId18" Type="http://schemas.openxmlformats.org/officeDocument/2006/relationships/image" Target="media/image5.emf"/><Relationship Id="rId26" Type="http://schemas.openxmlformats.org/officeDocument/2006/relationships/image" Target="media/image13.emf"/><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emf"/><Relationship Id="rId25" Type="http://schemas.openxmlformats.org/officeDocument/2006/relationships/image" Target="media/image12.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emf"/><Relationship Id="rId29"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10.emf"/><Relationship Id="rId28" Type="http://schemas.openxmlformats.org/officeDocument/2006/relationships/image" Target="media/image15.emf"/><Relationship Id="rId10" Type="http://schemas.openxmlformats.org/officeDocument/2006/relationships/hyperlink" Target="http://www.nber.org/papers/w16047" TargetMode="Externa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cholar.princeton.edu/markus/publications/macroeconomics-financial-frictions-survey" TargetMode="External"/><Relationship Id="rId14" Type="http://schemas.openxmlformats.org/officeDocument/2006/relationships/image" Target="media/image1.emf"/><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039E1-F2A4-471C-B9AC-0B8796DAB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8406</Words>
  <Characters>68090</Characters>
  <Application>Microsoft Office Word</Application>
  <DocSecurity>4</DocSecurity>
  <Lines>567</Lines>
  <Paragraphs>152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Suomen Pankki</Company>
  <LinksUpToDate>false</LinksUpToDate>
  <CharactersWithSpaces>76344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Virén, Matti</dc:creator>
  <cp:lastModifiedBy>Jouko Miettinen</cp:lastModifiedBy>
  <cp:revision>2</cp:revision>
  <cp:lastPrinted>2017-12-18T08:58:00Z</cp:lastPrinted>
  <dcterms:created xsi:type="dcterms:W3CDTF">2018-05-15T11:32:00Z</dcterms:created>
  <dcterms:modified xsi:type="dcterms:W3CDTF">2018-05-15T11:32:00Z</dcterms:modified>
</cp:coreProperties>
</file>