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98CA2A" w14:textId="77777777" w:rsidR="002E2257" w:rsidRPr="00516560" w:rsidRDefault="002E2257" w:rsidP="002E2257">
      <w:pPr>
        <w:widowControl w:val="0"/>
        <w:autoSpaceDE w:val="0"/>
        <w:autoSpaceDN w:val="0"/>
        <w:adjustRightInd w:val="0"/>
        <w:spacing w:line="480" w:lineRule="auto"/>
        <w:jc w:val="center"/>
        <w:rPr>
          <w:rFonts w:ascii="Times New Roman" w:hAnsi="Times New Roman"/>
          <w:b/>
          <w:lang w:val="en-US"/>
        </w:rPr>
      </w:pPr>
      <w:bookmarkStart w:id="0" w:name="_GoBack"/>
      <w:bookmarkEnd w:id="0"/>
      <w:r w:rsidRPr="00516560">
        <w:rPr>
          <w:rFonts w:ascii="Times New Roman" w:hAnsi="Times New Roman"/>
          <w:b/>
          <w:lang w:val="en-US"/>
        </w:rPr>
        <w:t>Testicular function and bone in young men with severe childhood-onset obesity</w:t>
      </w:r>
    </w:p>
    <w:p w14:paraId="119093C3" w14:textId="77777777" w:rsidR="002E2257" w:rsidRPr="00516560" w:rsidRDefault="002E2257" w:rsidP="002E2257">
      <w:pPr>
        <w:widowControl w:val="0"/>
        <w:autoSpaceDE w:val="0"/>
        <w:autoSpaceDN w:val="0"/>
        <w:adjustRightInd w:val="0"/>
        <w:spacing w:line="360" w:lineRule="auto"/>
        <w:jc w:val="center"/>
        <w:rPr>
          <w:rFonts w:ascii="Times New Roman" w:hAnsi="Times New Roman"/>
          <w:sz w:val="22"/>
          <w:szCs w:val="22"/>
          <w:lang w:val="en-US"/>
        </w:rPr>
      </w:pPr>
    </w:p>
    <w:p w14:paraId="728165E5" w14:textId="2C9CE118" w:rsidR="002E2257" w:rsidRPr="00516560" w:rsidRDefault="002E2257" w:rsidP="002E2257">
      <w:pPr>
        <w:widowControl w:val="0"/>
        <w:autoSpaceDE w:val="0"/>
        <w:autoSpaceDN w:val="0"/>
        <w:adjustRightInd w:val="0"/>
        <w:spacing w:line="480" w:lineRule="auto"/>
        <w:jc w:val="center"/>
        <w:rPr>
          <w:rFonts w:ascii="Times New Roman" w:hAnsi="Times New Roman"/>
          <w:sz w:val="22"/>
          <w:szCs w:val="22"/>
        </w:rPr>
      </w:pPr>
      <w:r w:rsidRPr="00516560">
        <w:rPr>
          <w:rFonts w:ascii="Times New Roman" w:hAnsi="Times New Roman"/>
          <w:sz w:val="22"/>
          <w:szCs w:val="22"/>
        </w:rPr>
        <w:t>Saila Laakso</w:t>
      </w:r>
      <w:r w:rsidRPr="00516560">
        <w:rPr>
          <w:rFonts w:ascii="Times New Roman" w:hAnsi="Times New Roman"/>
          <w:sz w:val="22"/>
          <w:szCs w:val="22"/>
          <w:vertAlign w:val="superscript"/>
        </w:rPr>
        <w:t>1</w:t>
      </w:r>
      <w:r w:rsidRPr="00516560">
        <w:rPr>
          <w:rFonts w:ascii="Times New Roman" w:hAnsi="Times New Roman"/>
          <w:sz w:val="22"/>
          <w:szCs w:val="22"/>
        </w:rPr>
        <w:t>, Heli Viljakainen</w:t>
      </w:r>
      <w:r w:rsidRPr="00516560">
        <w:rPr>
          <w:rFonts w:ascii="Times New Roman" w:hAnsi="Times New Roman"/>
          <w:sz w:val="22"/>
          <w:szCs w:val="22"/>
          <w:vertAlign w:val="superscript"/>
        </w:rPr>
        <w:t>1,</w:t>
      </w:r>
      <w:r w:rsidR="00624D4B" w:rsidRPr="00516560">
        <w:rPr>
          <w:rFonts w:ascii="Times New Roman" w:hAnsi="Times New Roman"/>
          <w:sz w:val="22"/>
          <w:szCs w:val="22"/>
          <w:vertAlign w:val="superscript"/>
        </w:rPr>
        <w:t xml:space="preserve"> </w:t>
      </w:r>
      <w:r w:rsidRPr="00516560">
        <w:rPr>
          <w:rFonts w:ascii="Times New Roman" w:hAnsi="Times New Roman"/>
          <w:sz w:val="22"/>
          <w:szCs w:val="22"/>
          <w:vertAlign w:val="superscript"/>
        </w:rPr>
        <w:t>2</w:t>
      </w:r>
      <w:r w:rsidRPr="00516560">
        <w:rPr>
          <w:rFonts w:ascii="Times New Roman" w:hAnsi="Times New Roman"/>
          <w:sz w:val="22"/>
          <w:szCs w:val="22"/>
        </w:rPr>
        <w:t>, Marita Lipsanen-Nyman</w:t>
      </w:r>
      <w:r w:rsidRPr="00516560">
        <w:rPr>
          <w:rFonts w:ascii="Times New Roman" w:hAnsi="Times New Roman"/>
          <w:sz w:val="22"/>
          <w:szCs w:val="22"/>
          <w:vertAlign w:val="superscript"/>
        </w:rPr>
        <w:t>1</w:t>
      </w:r>
      <w:r w:rsidRPr="00516560">
        <w:rPr>
          <w:rFonts w:ascii="Times New Roman" w:hAnsi="Times New Roman"/>
          <w:sz w:val="22"/>
          <w:szCs w:val="22"/>
        </w:rPr>
        <w:t>, Ursula Turpeinen</w:t>
      </w:r>
      <w:r w:rsidRPr="00516560">
        <w:rPr>
          <w:rFonts w:ascii="Times New Roman" w:hAnsi="Times New Roman"/>
          <w:sz w:val="22"/>
          <w:szCs w:val="22"/>
          <w:vertAlign w:val="superscript"/>
        </w:rPr>
        <w:t>3</w:t>
      </w:r>
      <w:r w:rsidRPr="00516560">
        <w:rPr>
          <w:rFonts w:ascii="Times New Roman" w:hAnsi="Times New Roman"/>
          <w:sz w:val="22"/>
          <w:szCs w:val="22"/>
        </w:rPr>
        <w:t>, Kaisa K Ivaska</w:t>
      </w:r>
      <w:r w:rsidRPr="00516560">
        <w:rPr>
          <w:rFonts w:ascii="Times New Roman" w:hAnsi="Times New Roman"/>
          <w:sz w:val="22"/>
          <w:szCs w:val="22"/>
          <w:vertAlign w:val="superscript"/>
        </w:rPr>
        <w:t>4</w:t>
      </w:r>
      <w:r w:rsidRPr="00516560">
        <w:rPr>
          <w:rFonts w:ascii="Times New Roman" w:hAnsi="Times New Roman"/>
          <w:sz w:val="22"/>
          <w:szCs w:val="22"/>
        </w:rPr>
        <w:t xml:space="preserve">, </w:t>
      </w:r>
    </w:p>
    <w:p w14:paraId="692EFC06" w14:textId="27B02C36" w:rsidR="002E2257" w:rsidRPr="00516560" w:rsidRDefault="002E2257" w:rsidP="002E2257">
      <w:pPr>
        <w:widowControl w:val="0"/>
        <w:autoSpaceDE w:val="0"/>
        <w:autoSpaceDN w:val="0"/>
        <w:adjustRightInd w:val="0"/>
        <w:spacing w:line="480" w:lineRule="auto"/>
        <w:jc w:val="center"/>
        <w:rPr>
          <w:rFonts w:ascii="Times New Roman" w:hAnsi="Times New Roman"/>
          <w:sz w:val="22"/>
          <w:szCs w:val="22"/>
          <w:vertAlign w:val="superscript"/>
          <w:lang w:val="en-US"/>
        </w:rPr>
      </w:pPr>
      <w:r w:rsidRPr="00516560">
        <w:rPr>
          <w:rFonts w:ascii="Times New Roman" w:hAnsi="Times New Roman"/>
          <w:sz w:val="22"/>
          <w:szCs w:val="22"/>
          <w:lang w:val="en-US"/>
        </w:rPr>
        <w:t>Ravinder Anand-Ivell</w:t>
      </w:r>
      <w:r w:rsidRPr="00516560">
        <w:rPr>
          <w:rFonts w:ascii="Times New Roman" w:hAnsi="Times New Roman"/>
          <w:sz w:val="22"/>
          <w:szCs w:val="22"/>
          <w:vertAlign w:val="superscript"/>
          <w:lang w:val="en-US"/>
        </w:rPr>
        <w:t>5</w:t>
      </w:r>
      <w:r w:rsidRPr="00516560">
        <w:rPr>
          <w:rFonts w:ascii="Times New Roman" w:hAnsi="Times New Roman"/>
          <w:sz w:val="22"/>
          <w:szCs w:val="22"/>
          <w:lang w:val="en-US"/>
        </w:rPr>
        <w:t>, Richard Ivell</w:t>
      </w:r>
      <w:r w:rsidRPr="00516560">
        <w:rPr>
          <w:rFonts w:ascii="Times New Roman" w:hAnsi="Times New Roman"/>
          <w:sz w:val="22"/>
          <w:szCs w:val="22"/>
          <w:vertAlign w:val="superscript"/>
          <w:lang w:val="en-US"/>
        </w:rPr>
        <w:t>5</w:t>
      </w:r>
      <w:r w:rsidRPr="00516560">
        <w:rPr>
          <w:rFonts w:ascii="Times New Roman" w:hAnsi="Times New Roman"/>
          <w:sz w:val="22"/>
          <w:szCs w:val="22"/>
          <w:lang w:val="en-US"/>
        </w:rPr>
        <w:t>, Outi Mäkitie</w:t>
      </w:r>
      <w:r w:rsidRPr="00516560">
        <w:rPr>
          <w:rFonts w:ascii="Times New Roman" w:hAnsi="Times New Roman"/>
          <w:sz w:val="22"/>
          <w:szCs w:val="22"/>
          <w:vertAlign w:val="superscript"/>
          <w:lang w:val="en-US"/>
        </w:rPr>
        <w:t>1,</w:t>
      </w:r>
      <w:r w:rsidR="00624D4B" w:rsidRPr="00516560">
        <w:rPr>
          <w:rFonts w:ascii="Times New Roman" w:hAnsi="Times New Roman"/>
          <w:sz w:val="22"/>
          <w:szCs w:val="22"/>
          <w:vertAlign w:val="superscript"/>
          <w:lang w:val="en-US"/>
        </w:rPr>
        <w:t xml:space="preserve"> </w:t>
      </w:r>
      <w:r w:rsidRPr="00516560">
        <w:rPr>
          <w:rFonts w:ascii="Times New Roman" w:hAnsi="Times New Roman"/>
          <w:sz w:val="22"/>
          <w:szCs w:val="22"/>
          <w:vertAlign w:val="superscript"/>
          <w:lang w:val="en-US"/>
        </w:rPr>
        <w:t>2, 6, 7</w:t>
      </w:r>
    </w:p>
    <w:p w14:paraId="4A875981" w14:textId="77777777" w:rsidR="002E2257" w:rsidRPr="00516560" w:rsidRDefault="002E2257" w:rsidP="002E2257">
      <w:pPr>
        <w:widowControl w:val="0"/>
        <w:autoSpaceDE w:val="0"/>
        <w:autoSpaceDN w:val="0"/>
        <w:adjustRightInd w:val="0"/>
        <w:spacing w:line="360" w:lineRule="auto"/>
        <w:jc w:val="both"/>
        <w:rPr>
          <w:rFonts w:ascii="Times New Roman" w:hAnsi="Times New Roman"/>
          <w:sz w:val="22"/>
          <w:szCs w:val="22"/>
          <w:vertAlign w:val="superscript"/>
          <w:lang w:val="en-US"/>
        </w:rPr>
      </w:pPr>
    </w:p>
    <w:p w14:paraId="45819636" w14:textId="77777777" w:rsidR="002E2257" w:rsidRPr="00516560" w:rsidRDefault="002E2257" w:rsidP="002E2257">
      <w:pPr>
        <w:widowControl w:val="0"/>
        <w:autoSpaceDE w:val="0"/>
        <w:autoSpaceDN w:val="0"/>
        <w:adjustRightInd w:val="0"/>
        <w:spacing w:line="360" w:lineRule="auto"/>
        <w:jc w:val="both"/>
        <w:rPr>
          <w:rFonts w:ascii="Times New Roman" w:hAnsi="Times New Roman"/>
          <w:sz w:val="22"/>
          <w:szCs w:val="22"/>
          <w:lang w:val="en-US"/>
        </w:rPr>
      </w:pPr>
      <w:r w:rsidRPr="00516560">
        <w:rPr>
          <w:rFonts w:ascii="Times New Roman" w:hAnsi="Times New Roman"/>
          <w:sz w:val="22"/>
          <w:szCs w:val="22"/>
          <w:vertAlign w:val="superscript"/>
          <w:lang w:val="en-US"/>
        </w:rPr>
        <w:t xml:space="preserve">1 </w:t>
      </w:r>
      <w:r w:rsidRPr="00516560">
        <w:rPr>
          <w:rFonts w:ascii="Times New Roman" w:hAnsi="Times New Roman"/>
          <w:sz w:val="22"/>
          <w:szCs w:val="22"/>
          <w:lang w:val="en-US"/>
        </w:rPr>
        <w:t>Children’s Hospital, Helsinki University Hospital and University of Helsinki, Helsinki, Finland</w:t>
      </w:r>
    </w:p>
    <w:p w14:paraId="176C621F" w14:textId="77777777" w:rsidR="002E2257" w:rsidRPr="00516560" w:rsidRDefault="002E2257" w:rsidP="002E2257">
      <w:pPr>
        <w:widowControl w:val="0"/>
        <w:autoSpaceDE w:val="0"/>
        <w:autoSpaceDN w:val="0"/>
        <w:adjustRightInd w:val="0"/>
        <w:spacing w:line="360" w:lineRule="auto"/>
        <w:jc w:val="both"/>
        <w:rPr>
          <w:rFonts w:ascii="Times New Roman" w:hAnsi="Times New Roman"/>
          <w:sz w:val="22"/>
          <w:szCs w:val="22"/>
          <w:lang w:val="sv-SE"/>
        </w:rPr>
      </w:pPr>
      <w:r w:rsidRPr="00516560">
        <w:rPr>
          <w:rFonts w:ascii="Times New Roman" w:hAnsi="Times New Roman"/>
          <w:sz w:val="22"/>
          <w:szCs w:val="22"/>
          <w:vertAlign w:val="superscript"/>
          <w:lang w:val="sv-SE"/>
        </w:rPr>
        <w:t xml:space="preserve">2 </w:t>
      </w:r>
      <w:r w:rsidRPr="00516560">
        <w:rPr>
          <w:rFonts w:ascii="Times New Roman" w:hAnsi="Times New Roman"/>
          <w:sz w:val="22"/>
          <w:szCs w:val="22"/>
          <w:lang w:val="sv-SE"/>
        </w:rPr>
        <w:t>Folkhälsan Research Center, Biomedicum, Helsinki, Finland</w:t>
      </w:r>
    </w:p>
    <w:p w14:paraId="33FD0432" w14:textId="77777777" w:rsidR="002E2257" w:rsidRPr="00516560" w:rsidRDefault="002E2257" w:rsidP="002E2257">
      <w:pPr>
        <w:widowControl w:val="0"/>
        <w:autoSpaceDE w:val="0"/>
        <w:autoSpaceDN w:val="0"/>
        <w:adjustRightInd w:val="0"/>
        <w:spacing w:line="360" w:lineRule="auto"/>
        <w:jc w:val="both"/>
        <w:rPr>
          <w:rFonts w:ascii="Times New Roman" w:hAnsi="Times New Roman"/>
          <w:sz w:val="22"/>
          <w:szCs w:val="22"/>
          <w:lang w:val="sv-SE"/>
        </w:rPr>
      </w:pPr>
      <w:r w:rsidRPr="00516560">
        <w:rPr>
          <w:rFonts w:ascii="Times New Roman" w:hAnsi="Times New Roman"/>
          <w:sz w:val="22"/>
          <w:szCs w:val="22"/>
          <w:vertAlign w:val="superscript"/>
          <w:lang w:val="sv-SE"/>
        </w:rPr>
        <w:t xml:space="preserve">3 </w:t>
      </w:r>
      <w:r w:rsidRPr="00516560">
        <w:rPr>
          <w:rFonts w:ascii="Times New Roman" w:hAnsi="Times New Roman"/>
          <w:sz w:val="22"/>
          <w:szCs w:val="22"/>
          <w:lang w:val="sv-SE"/>
        </w:rPr>
        <w:t xml:space="preserve">HUSlab, Helsinki University Hospital, Helsinki, Finland </w:t>
      </w:r>
    </w:p>
    <w:p w14:paraId="0C96D034" w14:textId="77777777" w:rsidR="002E2257" w:rsidRPr="00516560" w:rsidRDefault="002E2257" w:rsidP="002E2257">
      <w:pPr>
        <w:widowControl w:val="0"/>
        <w:autoSpaceDE w:val="0"/>
        <w:autoSpaceDN w:val="0"/>
        <w:adjustRightInd w:val="0"/>
        <w:spacing w:line="360" w:lineRule="auto"/>
        <w:jc w:val="both"/>
        <w:rPr>
          <w:rFonts w:ascii="Times New Roman" w:hAnsi="Times New Roman"/>
          <w:sz w:val="22"/>
          <w:szCs w:val="22"/>
          <w:lang w:val="en-US"/>
        </w:rPr>
      </w:pPr>
      <w:r w:rsidRPr="00516560">
        <w:rPr>
          <w:rFonts w:ascii="Times New Roman" w:hAnsi="Times New Roman"/>
          <w:sz w:val="22"/>
          <w:szCs w:val="22"/>
          <w:vertAlign w:val="superscript"/>
          <w:lang w:val="en-US"/>
        </w:rPr>
        <w:t xml:space="preserve">4 </w:t>
      </w:r>
      <w:r w:rsidRPr="00516560">
        <w:rPr>
          <w:rFonts w:ascii="Times New Roman" w:hAnsi="Times New Roman"/>
          <w:sz w:val="22"/>
          <w:szCs w:val="22"/>
          <w:lang w:val="en-US"/>
        </w:rPr>
        <w:t>Department of Cell Biology and Anatomy, University of Turku, Turku, Finland</w:t>
      </w:r>
    </w:p>
    <w:p w14:paraId="10BE0CCC" w14:textId="77777777" w:rsidR="002E2257" w:rsidRPr="00516560" w:rsidRDefault="002E2257" w:rsidP="002E2257">
      <w:pPr>
        <w:widowControl w:val="0"/>
        <w:autoSpaceDE w:val="0"/>
        <w:autoSpaceDN w:val="0"/>
        <w:adjustRightInd w:val="0"/>
        <w:spacing w:line="360" w:lineRule="auto"/>
        <w:jc w:val="both"/>
        <w:rPr>
          <w:rFonts w:ascii="Times New Roman" w:hAnsi="Times New Roman"/>
          <w:sz w:val="22"/>
          <w:szCs w:val="22"/>
          <w:lang w:val="en-US"/>
        </w:rPr>
      </w:pPr>
      <w:r w:rsidRPr="00516560">
        <w:rPr>
          <w:rFonts w:ascii="Times New Roman" w:hAnsi="Times New Roman"/>
          <w:sz w:val="22"/>
          <w:szCs w:val="22"/>
          <w:vertAlign w:val="superscript"/>
          <w:lang w:val="en-US"/>
        </w:rPr>
        <w:t xml:space="preserve">5 </w:t>
      </w:r>
      <w:r w:rsidRPr="00516560">
        <w:rPr>
          <w:rFonts w:ascii="Times New Roman" w:hAnsi="Times New Roman"/>
          <w:sz w:val="22"/>
          <w:szCs w:val="22"/>
          <w:lang w:val="en-US"/>
        </w:rPr>
        <w:t>School of Biosciences, University of Nottingham, Nottingham, United Kingdom</w:t>
      </w:r>
    </w:p>
    <w:p w14:paraId="65FDA089" w14:textId="77777777" w:rsidR="002E2257" w:rsidRPr="00516560" w:rsidRDefault="002E2257" w:rsidP="002E2257">
      <w:pPr>
        <w:widowControl w:val="0"/>
        <w:autoSpaceDE w:val="0"/>
        <w:autoSpaceDN w:val="0"/>
        <w:adjustRightInd w:val="0"/>
        <w:spacing w:line="360" w:lineRule="auto"/>
        <w:rPr>
          <w:rFonts w:ascii="Times New Roman" w:hAnsi="Times New Roman"/>
          <w:sz w:val="22"/>
          <w:szCs w:val="22"/>
          <w:lang w:val="en-US"/>
        </w:rPr>
      </w:pPr>
      <w:r w:rsidRPr="00516560">
        <w:rPr>
          <w:rFonts w:ascii="Times New Roman" w:hAnsi="Times New Roman"/>
          <w:sz w:val="22"/>
          <w:szCs w:val="22"/>
          <w:vertAlign w:val="superscript"/>
          <w:lang w:val="en-US"/>
        </w:rPr>
        <w:t xml:space="preserve">6 </w:t>
      </w:r>
      <w:r w:rsidRPr="00516560">
        <w:rPr>
          <w:rFonts w:ascii="Times New Roman" w:eastAsia="Times New Roman" w:hAnsi="Times New Roman"/>
          <w:sz w:val="22"/>
          <w:szCs w:val="22"/>
          <w:lang w:val="en-US"/>
        </w:rPr>
        <w:t>Department of Molecular Medicine and Surgery and Center for Molecular Medicine, Karolinska Institutet, Stockholm, Sweden</w:t>
      </w:r>
    </w:p>
    <w:p w14:paraId="4E048AF9" w14:textId="77777777" w:rsidR="002E2257" w:rsidRPr="00516560" w:rsidRDefault="002E2257" w:rsidP="002E2257">
      <w:pPr>
        <w:widowControl w:val="0"/>
        <w:autoSpaceDE w:val="0"/>
        <w:autoSpaceDN w:val="0"/>
        <w:adjustRightInd w:val="0"/>
        <w:spacing w:line="360" w:lineRule="auto"/>
        <w:rPr>
          <w:rFonts w:ascii="Times New Roman" w:hAnsi="Times New Roman"/>
          <w:sz w:val="22"/>
          <w:szCs w:val="22"/>
          <w:lang w:val="en-US"/>
        </w:rPr>
      </w:pPr>
      <w:r w:rsidRPr="00516560">
        <w:rPr>
          <w:rFonts w:ascii="Times New Roman" w:hAnsi="Times New Roman"/>
          <w:sz w:val="22"/>
          <w:szCs w:val="22"/>
          <w:vertAlign w:val="superscript"/>
          <w:lang w:val="en-US"/>
        </w:rPr>
        <w:lastRenderedPageBreak/>
        <w:t xml:space="preserve">7 </w:t>
      </w:r>
      <w:r w:rsidRPr="00516560">
        <w:rPr>
          <w:rFonts w:ascii="Times New Roman" w:eastAsia="Times New Roman" w:hAnsi="Times New Roman"/>
          <w:sz w:val="22"/>
          <w:szCs w:val="22"/>
          <w:lang w:val="en-US"/>
        </w:rPr>
        <w:t>Department of Clinical Genetics, Karolinska University Hospital, Stockholm, Sweden</w:t>
      </w:r>
    </w:p>
    <w:p w14:paraId="1F545F2E" w14:textId="77777777" w:rsidR="002E2257" w:rsidRPr="00516560" w:rsidRDefault="002E2257" w:rsidP="002E2257">
      <w:pPr>
        <w:widowControl w:val="0"/>
        <w:autoSpaceDE w:val="0"/>
        <w:autoSpaceDN w:val="0"/>
        <w:adjustRightInd w:val="0"/>
        <w:spacing w:line="360" w:lineRule="auto"/>
        <w:rPr>
          <w:rFonts w:ascii="Times New Roman" w:hAnsi="Times New Roman"/>
          <w:sz w:val="20"/>
          <w:szCs w:val="20"/>
          <w:lang w:val="en-US"/>
        </w:rPr>
      </w:pPr>
    </w:p>
    <w:p w14:paraId="02D430B2" w14:textId="77777777" w:rsidR="002E2257" w:rsidRPr="00516560" w:rsidRDefault="002E2257" w:rsidP="002E2257">
      <w:pPr>
        <w:widowControl w:val="0"/>
        <w:autoSpaceDE w:val="0"/>
        <w:autoSpaceDN w:val="0"/>
        <w:adjustRightInd w:val="0"/>
        <w:spacing w:line="360" w:lineRule="auto"/>
        <w:jc w:val="both"/>
        <w:rPr>
          <w:rFonts w:ascii="Times New Roman" w:hAnsi="Times New Roman"/>
          <w:sz w:val="22"/>
          <w:szCs w:val="22"/>
          <w:lang w:val="en-US"/>
        </w:rPr>
      </w:pPr>
      <w:r w:rsidRPr="00516560">
        <w:rPr>
          <w:rFonts w:ascii="Times New Roman" w:hAnsi="Times New Roman"/>
          <w:b/>
          <w:sz w:val="22"/>
          <w:szCs w:val="22"/>
          <w:lang w:val="en-US"/>
        </w:rPr>
        <w:t>Keywords</w:t>
      </w:r>
      <w:r w:rsidRPr="00516560">
        <w:rPr>
          <w:rFonts w:ascii="Times New Roman" w:hAnsi="Times New Roman"/>
          <w:sz w:val="22"/>
          <w:szCs w:val="22"/>
          <w:lang w:val="en-US"/>
        </w:rPr>
        <w:t xml:space="preserve">: </w:t>
      </w:r>
      <w:r w:rsidRPr="00516560">
        <w:rPr>
          <w:rFonts w:ascii="Times New Roman" w:hAnsi="Times New Roman"/>
          <w:sz w:val="22"/>
          <w:szCs w:val="22"/>
          <w:lang w:val="en-US"/>
        </w:rPr>
        <w:tab/>
      </w:r>
      <w:r w:rsidRPr="00516560">
        <w:rPr>
          <w:rFonts w:ascii="Times New Roman" w:hAnsi="Times New Roman"/>
          <w:sz w:val="22"/>
          <w:szCs w:val="22"/>
          <w:lang w:val="en-US"/>
        </w:rPr>
        <w:tab/>
        <w:t>Boys, metabolism, sex hormones, puberty, testosterone</w:t>
      </w:r>
    </w:p>
    <w:p w14:paraId="215CCCFF" w14:textId="77777777" w:rsidR="002E2257" w:rsidRPr="00516560" w:rsidRDefault="002E2257" w:rsidP="002E2257">
      <w:pPr>
        <w:widowControl w:val="0"/>
        <w:autoSpaceDE w:val="0"/>
        <w:autoSpaceDN w:val="0"/>
        <w:adjustRightInd w:val="0"/>
        <w:spacing w:line="360" w:lineRule="auto"/>
        <w:rPr>
          <w:rFonts w:ascii="Times New Roman" w:hAnsi="Times New Roman"/>
          <w:i/>
          <w:sz w:val="22"/>
          <w:szCs w:val="22"/>
          <w:lang w:val="en-US"/>
        </w:rPr>
      </w:pPr>
      <w:r w:rsidRPr="00516560">
        <w:rPr>
          <w:rFonts w:ascii="Times New Roman" w:hAnsi="Times New Roman"/>
          <w:b/>
          <w:sz w:val="22"/>
          <w:szCs w:val="22"/>
          <w:lang w:val="en-US"/>
        </w:rPr>
        <w:t>Short Title:</w:t>
      </w:r>
      <w:r w:rsidRPr="00516560">
        <w:rPr>
          <w:rFonts w:ascii="Times New Roman" w:hAnsi="Times New Roman"/>
          <w:sz w:val="20"/>
          <w:szCs w:val="20"/>
          <w:lang w:val="en-US"/>
        </w:rPr>
        <w:tab/>
      </w:r>
      <w:r w:rsidRPr="00516560">
        <w:rPr>
          <w:rFonts w:ascii="Times New Roman" w:hAnsi="Times New Roman"/>
          <w:sz w:val="20"/>
          <w:szCs w:val="20"/>
          <w:lang w:val="en-US"/>
        </w:rPr>
        <w:tab/>
      </w:r>
      <w:r w:rsidRPr="00516560">
        <w:rPr>
          <w:rFonts w:ascii="Times New Roman" w:hAnsi="Times New Roman"/>
          <w:sz w:val="22"/>
          <w:szCs w:val="22"/>
          <w:lang w:val="en-US"/>
        </w:rPr>
        <w:t>Testis, bone and childhood-onset obesity</w:t>
      </w:r>
    </w:p>
    <w:p w14:paraId="00310C30" w14:textId="77777777" w:rsidR="002E2257" w:rsidRPr="00516560" w:rsidRDefault="002E2257" w:rsidP="002E2257">
      <w:pPr>
        <w:widowControl w:val="0"/>
        <w:autoSpaceDE w:val="0"/>
        <w:autoSpaceDN w:val="0"/>
        <w:adjustRightInd w:val="0"/>
        <w:spacing w:line="360" w:lineRule="auto"/>
        <w:jc w:val="both"/>
        <w:rPr>
          <w:rFonts w:ascii="Times New Roman" w:hAnsi="Times New Roman"/>
          <w:sz w:val="20"/>
          <w:szCs w:val="20"/>
          <w:lang w:val="en-US"/>
        </w:rPr>
      </w:pPr>
    </w:p>
    <w:p w14:paraId="74AD44BB" w14:textId="77777777" w:rsidR="002E2257" w:rsidRPr="00516560" w:rsidRDefault="002E2257" w:rsidP="002E2257">
      <w:pPr>
        <w:widowControl w:val="0"/>
        <w:autoSpaceDE w:val="0"/>
        <w:autoSpaceDN w:val="0"/>
        <w:adjustRightInd w:val="0"/>
        <w:spacing w:line="360" w:lineRule="auto"/>
        <w:jc w:val="both"/>
        <w:rPr>
          <w:rFonts w:ascii="Times New Roman" w:hAnsi="Times New Roman"/>
          <w:sz w:val="22"/>
          <w:szCs w:val="22"/>
          <w:lang w:val="en-US"/>
        </w:rPr>
      </w:pPr>
      <w:r w:rsidRPr="00516560">
        <w:rPr>
          <w:rFonts w:ascii="Times New Roman" w:hAnsi="Times New Roman"/>
          <w:b/>
          <w:sz w:val="22"/>
          <w:szCs w:val="22"/>
          <w:lang w:val="en-US"/>
        </w:rPr>
        <w:t>Correspondence</w:t>
      </w:r>
      <w:r w:rsidRPr="00516560">
        <w:rPr>
          <w:rFonts w:ascii="Times New Roman" w:hAnsi="Times New Roman"/>
          <w:sz w:val="22"/>
          <w:szCs w:val="22"/>
          <w:lang w:val="en-US"/>
        </w:rPr>
        <w:t xml:space="preserve">: </w:t>
      </w:r>
      <w:r w:rsidRPr="00516560">
        <w:rPr>
          <w:rFonts w:ascii="Times New Roman" w:hAnsi="Times New Roman"/>
          <w:sz w:val="22"/>
          <w:szCs w:val="22"/>
          <w:lang w:val="en-US"/>
        </w:rPr>
        <w:tab/>
        <w:t>Saila Laakso, MD, PhD</w:t>
      </w:r>
    </w:p>
    <w:p w14:paraId="3632BC16" w14:textId="77777777" w:rsidR="002E2257" w:rsidRPr="00516560" w:rsidRDefault="002E2257" w:rsidP="002E2257">
      <w:pPr>
        <w:widowControl w:val="0"/>
        <w:autoSpaceDE w:val="0"/>
        <w:autoSpaceDN w:val="0"/>
        <w:adjustRightInd w:val="0"/>
        <w:spacing w:line="360" w:lineRule="auto"/>
        <w:ind w:left="1440" w:firstLine="720"/>
        <w:jc w:val="both"/>
        <w:rPr>
          <w:rFonts w:ascii="Times New Roman" w:hAnsi="Times New Roman"/>
          <w:sz w:val="22"/>
          <w:szCs w:val="22"/>
          <w:lang w:val="en-US"/>
        </w:rPr>
      </w:pPr>
      <w:r w:rsidRPr="00516560">
        <w:rPr>
          <w:rFonts w:ascii="Times New Roman" w:hAnsi="Times New Roman"/>
          <w:sz w:val="22"/>
          <w:szCs w:val="22"/>
          <w:lang w:val="en-US"/>
        </w:rPr>
        <w:t>Children’s Hospital</w:t>
      </w:r>
    </w:p>
    <w:p w14:paraId="53666D7C" w14:textId="77777777" w:rsidR="002E2257" w:rsidRPr="00516560" w:rsidRDefault="002E2257" w:rsidP="002E2257">
      <w:pPr>
        <w:widowControl w:val="0"/>
        <w:autoSpaceDE w:val="0"/>
        <w:autoSpaceDN w:val="0"/>
        <w:adjustRightInd w:val="0"/>
        <w:spacing w:line="360" w:lineRule="auto"/>
        <w:ind w:left="1440" w:firstLine="720"/>
        <w:jc w:val="both"/>
        <w:rPr>
          <w:rFonts w:ascii="Times New Roman" w:hAnsi="Times New Roman"/>
          <w:sz w:val="22"/>
          <w:szCs w:val="22"/>
          <w:lang w:val="en-US"/>
        </w:rPr>
      </w:pPr>
      <w:r w:rsidRPr="00516560">
        <w:rPr>
          <w:rFonts w:ascii="Times New Roman" w:hAnsi="Times New Roman"/>
          <w:sz w:val="22"/>
          <w:szCs w:val="22"/>
          <w:lang w:val="en-US"/>
        </w:rPr>
        <w:t>Helsinki University Hospital</w:t>
      </w:r>
    </w:p>
    <w:p w14:paraId="1B83118E" w14:textId="77777777" w:rsidR="002E2257" w:rsidRPr="00516560" w:rsidRDefault="002E2257" w:rsidP="002E2257">
      <w:pPr>
        <w:widowControl w:val="0"/>
        <w:autoSpaceDE w:val="0"/>
        <w:autoSpaceDN w:val="0"/>
        <w:adjustRightInd w:val="0"/>
        <w:spacing w:line="360" w:lineRule="auto"/>
        <w:ind w:left="1440" w:firstLine="720"/>
        <w:jc w:val="both"/>
        <w:rPr>
          <w:rFonts w:ascii="Times New Roman" w:hAnsi="Times New Roman"/>
          <w:sz w:val="22"/>
          <w:szCs w:val="22"/>
          <w:lang w:val="en-US"/>
        </w:rPr>
      </w:pPr>
      <w:r w:rsidRPr="00516560">
        <w:rPr>
          <w:rFonts w:ascii="Times New Roman" w:hAnsi="Times New Roman"/>
          <w:sz w:val="22"/>
          <w:szCs w:val="22"/>
          <w:lang w:val="en-US"/>
        </w:rPr>
        <w:t>PO Box 281</w:t>
      </w:r>
    </w:p>
    <w:p w14:paraId="0E453075" w14:textId="77777777" w:rsidR="002E2257" w:rsidRPr="00516560" w:rsidRDefault="002E2257" w:rsidP="002E2257">
      <w:pPr>
        <w:widowControl w:val="0"/>
        <w:autoSpaceDE w:val="0"/>
        <w:autoSpaceDN w:val="0"/>
        <w:adjustRightInd w:val="0"/>
        <w:spacing w:line="360" w:lineRule="auto"/>
        <w:ind w:left="1440" w:firstLine="720"/>
        <w:jc w:val="both"/>
        <w:rPr>
          <w:rFonts w:ascii="Times New Roman" w:hAnsi="Times New Roman"/>
          <w:sz w:val="22"/>
          <w:szCs w:val="22"/>
          <w:lang w:val="sv-SE"/>
        </w:rPr>
      </w:pPr>
      <w:r w:rsidRPr="00516560">
        <w:rPr>
          <w:rFonts w:ascii="Times New Roman" w:hAnsi="Times New Roman"/>
          <w:sz w:val="22"/>
          <w:szCs w:val="22"/>
          <w:lang w:val="sv-SE"/>
        </w:rPr>
        <w:t>FI-00029 Helsinki</w:t>
      </w:r>
    </w:p>
    <w:p w14:paraId="0F60B101" w14:textId="77777777" w:rsidR="002E2257" w:rsidRPr="00516560" w:rsidRDefault="002E2257" w:rsidP="002E2257">
      <w:pPr>
        <w:widowControl w:val="0"/>
        <w:autoSpaceDE w:val="0"/>
        <w:autoSpaceDN w:val="0"/>
        <w:adjustRightInd w:val="0"/>
        <w:spacing w:line="360" w:lineRule="auto"/>
        <w:ind w:left="1440" w:firstLine="720"/>
        <w:jc w:val="both"/>
        <w:rPr>
          <w:rFonts w:ascii="Times New Roman" w:hAnsi="Times New Roman"/>
          <w:sz w:val="22"/>
          <w:szCs w:val="22"/>
          <w:lang w:val="sv-SE"/>
        </w:rPr>
      </w:pPr>
      <w:r w:rsidRPr="00516560">
        <w:rPr>
          <w:rFonts w:ascii="Times New Roman" w:hAnsi="Times New Roman"/>
          <w:sz w:val="22"/>
          <w:szCs w:val="22"/>
          <w:lang w:val="sv-SE"/>
        </w:rPr>
        <w:t>Finland</w:t>
      </w:r>
    </w:p>
    <w:p w14:paraId="0B732532" w14:textId="77777777" w:rsidR="002E2257" w:rsidRPr="00516560" w:rsidRDefault="002E2257" w:rsidP="002E2257">
      <w:pPr>
        <w:widowControl w:val="0"/>
        <w:autoSpaceDE w:val="0"/>
        <w:autoSpaceDN w:val="0"/>
        <w:adjustRightInd w:val="0"/>
        <w:spacing w:line="360" w:lineRule="auto"/>
        <w:ind w:left="1440" w:firstLine="720"/>
        <w:jc w:val="both"/>
        <w:rPr>
          <w:rFonts w:ascii="Times New Roman" w:hAnsi="Times New Roman"/>
          <w:sz w:val="22"/>
          <w:szCs w:val="22"/>
          <w:lang w:val="sv-SE"/>
        </w:rPr>
      </w:pPr>
      <w:r w:rsidRPr="00516560">
        <w:rPr>
          <w:rFonts w:ascii="Times New Roman" w:hAnsi="Times New Roman"/>
          <w:sz w:val="22"/>
          <w:szCs w:val="22"/>
          <w:lang w:val="sv-SE"/>
        </w:rPr>
        <w:t>Fax: +358 9 471 75888</w:t>
      </w:r>
    </w:p>
    <w:p w14:paraId="5B669A9F" w14:textId="0F10CB84" w:rsidR="002E2257" w:rsidRPr="00516560" w:rsidRDefault="00B81CEF" w:rsidP="002E2257">
      <w:pPr>
        <w:widowControl w:val="0"/>
        <w:autoSpaceDE w:val="0"/>
        <w:autoSpaceDN w:val="0"/>
        <w:adjustRightInd w:val="0"/>
        <w:spacing w:line="360" w:lineRule="auto"/>
        <w:ind w:left="1440" w:firstLine="720"/>
        <w:jc w:val="both"/>
        <w:rPr>
          <w:rFonts w:ascii="Times New Roman" w:hAnsi="Times New Roman"/>
          <w:sz w:val="22"/>
          <w:szCs w:val="22"/>
          <w:lang w:val="sv-SE"/>
        </w:rPr>
      </w:pPr>
      <w:r w:rsidRPr="00516560">
        <w:rPr>
          <w:rFonts w:ascii="Times New Roman" w:hAnsi="Times New Roman"/>
          <w:sz w:val="22"/>
          <w:szCs w:val="22"/>
          <w:lang w:val="sv-SE"/>
        </w:rPr>
        <w:t xml:space="preserve">Phone: +358 50 </w:t>
      </w:r>
      <w:r w:rsidR="002E2257" w:rsidRPr="00516560">
        <w:rPr>
          <w:rFonts w:ascii="Times New Roman" w:hAnsi="Times New Roman"/>
          <w:sz w:val="22"/>
          <w:szCs w:val="22"/>
          <w:lang w:val="sv-SE"/>
        </w:rPr>
        <w:t>372 2400</w:t>
      </w:r>
    </w:p>
    <w:p w14:paraId="0A46AD17" w14:textId="77777777" w:rsidR="002E2257" w:rsidRPr="00516560" w:rsidRDefault="002E2257" w:rsidP="002E2257">
      <w:pPr>
        <w:widowControl w:val="0"/>
        <w:autoSpaceDE w:val="0"/>
        <w:autoSpaceDN w:val="0"/>
        <w:adjustRightInd w:val="0"/>
        <w:spacing w:line="360" w:lineRule="auto"/>
        <w:ind w:left="1440" w:firstLine="720"/>
        <w:jc w:val="both"/>
        <w:rPr>
          <w:rFonts w:ascii="Times New Roman" w:hAnsi="Times New Roman"/>
          <w:sz w:val="22"/>
          <w:szCs w:val="22"/>
          <w:lang w:val="en-US"/>
        </w:rPr>
      </w:pPr>
      <w:r w:rsidRPr="00516560">
        <w:rPr>
          <w:rFonts w:ascii="Times New Roman" w:hAnsi="Times New Roman"/>
          <w:sz w:val="22"/>
          <w:szCs w:val="22"/>
          <w:lang w:val="en-US"/>
        </w:rPr>
        <w:t>E-mail: saila.laakso@helsinki.fi</w:t>
      </w:r>
    </w:p>
    <w:p w14:paraId="546B1156" w14:textId="77777777" w:rsidR="002E2257" w:rsidRPr="00516560" w:rsidRDefault="002E2257" w:rsidP="002E2257">
      <w:pPr>
        <w:widowControl w:val="0"/>
        <w:autoSpaceDE w:val="0"/>
        <w:autoSpaceDN w:val="0"/>
        <w:adjustRightInd w:val="0"/>
        <w:spacing w:line="360" w:lineRule="auto"/>
        <w:ind w:left="1440" w:firstLine="720"/>
        <w:jc w:val="both"/>
        <w:rPr>
          <w:rFonts w:ascii="Times New Roman" w:hAnsi="Times New Roman"/>
          <w:sz w:val="22"/>
          <w:szCs w:val="22"/>
          <w:lang w:val="en-US"/>
        </w:rPr>
      </w:pPr>
    </w:p>
    <w:p w14:paraId="2A85031C" w14:textId="77777777" w:rsidR="002E2257" w:rsidRPr="00516560" w:rsidRDefault="002E2257" w:rsidP="002E2257">
      <w:pPr>
        <w:widowControl w:val="0"/>
        <w:autoSpaceDE w:val="0"/>
        <w:autoSpaceDN w:val="0"/>
        <w:adjustRightInd w:val="0"/>
        <w:spacing w:line="480" w:lineRule="auto"/>
        <w:ind w:left="2160" w:hanging="2160"/>
        <w:jc w:val="both"/>
        <w:rPr>
          <w:rFonts w:ascii="Times New Roman" w:hAnsi="Times New Roman"/>
          <w:sz w:val="22"/>
          <w:szCs w:val="22"/>
          <w:lang w:val="en-US"/>
        </w:rPr>
      </w:pPr>
      <w:r w:rsidRPr="00516560">
        <w:rPr>
          <w:rFonts w:ascii="Times New Roman" w:hAnsi="Times New Roman"/>
          <w:b/>
          <w:sz w:val="22"/>
          <w:szCs w:val="22"/>
          <w:lang w:val="en-US"/>
        </w:rPr>
        <w:t>ESPE members:</w:t>
      </w:r>
      <w:r w:rsidRPr="00516560">
        <w:rPr>
          <w:rFonts w:ascii="Times New Roman" w:hAnsi="Times New Roman"/>
          <w:sz w:val="22"/>
          <w:szCs w:val="22"/>
          <w:lang w:val="en-US"/>
        </w:rPr>
        <w:tab/>
        <w:t>Marita Lipsanen-Nyman, Outi Mäkitie</w:t>
      </w:r>
    </w:p>
    <w:p w14:paraId="4BD50E1B" w14:textId="6DEAC548" w:rsidR="002E2257" w:rsidRPr="00516560" w:rsidRDefault="002E2257" w:rsidP="002E2257">
      <w:pPr>
        <w:widowControl w:val="0"/>
        <w:autoSpaceDE w:val="0"/>
        <w:autoSpaceDN w:val="0"/>
        <w:adjustRightInd w:val="0"/>
        <w:spacing w:line="360" w:lineRule="auto"/>
        <w:jc w:val="both"/>
        <w:rPr>
          <w:rFonts w:ascii="Times New Roman" w:hAnsi="Times New Roman"/>
          <w:sz w:val="22"/>
          <w:szCs w:val="22"/>
          <w:lang w:val="en-US"/>
        </w:rPr>
      </w:pPr>
      <w:r w:rsidRPr="00516560">
        <w:rPr>
          <w:rFonts w:ascii="Times New Roman" w:hAnsi="Times New Roman"/>
          <w:b/>
          <w:sz w:val="22"/>
          <w:szCs w:val="22"/>
          <w:lang w:val="en-US"/>
        </w:rPr>
        <w:lastRenderedPageBreak/>
        <w:t>Word count</w:t>
      </w:r>
      <w:r w:rsidRPr="00516560">
        <w:rPr>
          <w:rFonts w:ascii="Times New Roman" w:hAnsi="Times New Roman"/>
          <w:sz w:val="22"/>
          <w:szCs w:val="22"/>
          <w:lang w:val="en-US"/>
        </w:rPr>
        <w:t xml:space="preserve">: </w:t>
      </w:r>
      <w:r w:rsidR="00BF42F2" w:rsidRPr="00516560">
        <w:rPr>
          <w:rFonts w:ascii="Times New Roman" w:hAnsi="Times New Roman"/>
          <w:sz w:val="22"/>
          <w:szCs w:val="22"/>
          <w:lang w:val="en-US"/>
        </w:rPr>
        <w:tab/>
      </w:r>
      <w:r w:rsidR="00BF42F2" w:rsidRPr="00516560">
        <w:rPr>
          <w:rFonts w:ascii="Times New Roman" w:hAnsi="Times New Roman"/>
          <w:sz w:val="22"/>
          <w:szCs w:val="22"/>
          <w:lang w:val="en-US"/>
        </w:rPr>
        <w:tab/>
        <w:t>3486</w:t>
      </w:r>
      <w:r w:rsidRPr="00516560">
        <w:rPr>
          <w:rFonts w:ascii="Times New Roman" w:hAnsi="Times New Roman"/>
          <w:sz w:val="22"/>
          <w:szCs w:val="22"/>
          <w:lang w:val="en-US"/>
        </w:rPr>
        <w:t xml:space="preserve"> (manuscript), 198 (abstract)</w:t>
      </w:r>
    </w:p>
    <w:p w14:paraId="478AFFD8"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br w:type="page"/>
      </w:r>
      <w:r w:rsidRPr="00516560">
        <w:rPr>
          <w:rFonts w:ascii="Times New Roman" w:hAnsi="Times New Roman"/>
          <w:sz w:val="22"/>
          <w:szCs w:val="22"/>
          <w:lang w:val="en-US"/>
        </w:rPr>
        <w:lastRenderedPageBreak/>
        <w:t xml:space="preserve"> ABSTRACT</w:t>
      </w:r>
    </w:p>
    <w:p w14:paraId="3A85D9BC"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3BFEDA16"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Background: Previous studies suggest increased risk for hypoandrogenism and fractures in men with obesity. We aimed to describe the effects of severe childhood-onset obesity on the cross talk between metabolic state, testes and skeleton at late puberty.</w:t>
      </w:r>
    </w:p>
    <w:p w14:paraId="3B016133"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Methods: A cohort of adolescent and young adult males with severe childhood-onset obesity (n=21, mean age 18.5 yrs) and an age-matched control group were assessed for testicular hormones and DXA-derived bone mass.</w:t>
      </w:r>
    </w:p>
    <w:p w14:paraId="3EFAA7E3" w14:textId="5A1D02A2"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Results: Current median body mass indexes for the obese and control subjects were 37.4 kg/m</w:t>
      </w:r>
      <w:r w:rsidRPr="00516560">
        <w:rPr>
          <w:rFonts w:ascii="Times New Roman" w:hAnsi="Times New Roman"/>
          <w:sz w:val="22"/>
          <w:szCs w:val="22"/>
          <w:vertAlign w:val="superscript"/>
          <w:lang w:val="en-US"/>
        </w:rPr>
        <w:t>2</w:t>
      </w:r>
      <w:r w:rsidRPr="00516560">
        <w:rPr>
          <w:rFonts w:ascii="Times New Roman" w:hAnsi="Times New Roman"/>
          <w:sz w:val="22"/>
          <w:szCs w:val="22"/>
          <w:lang w:val="en-US"/>
        </w:rPr>
        <w:t xml:space="preserve"> and 22.9 kg/m</w:t>
      </w:r>
      <w:r w:rsidRPr="00516560">
        <w:rPr>
          <w:rFonts w:ascii="Times New Roman" w:hAnsi="Times New Roman"/>
          <w:sz w:val="22"/>
          <w:szCs w:val="22"/>
          <w:vertAlign w:val="superscript"/>
          <w:lang w:val="en-US"/>
        </w:rPr>
        <w:t>2</w:t>
      </w:r>
      <w:r w:rsidRPr="00516560">
        <w:rPr>
          <w:rFonts w:ascii="Times New Roman" w:hAnsi="Times New Roman"/>
          <w:sz w:val="22"/>
          <w:szCs w:val="22"/>
          <w:lang w:val="en-US"/>
        </w:rPr>
        <w:t xml:space="preserve">. Severe early-onset obesity manifested with lower free testosterone [median (inter-quartile range) 244 (194–332) vs. 403 (293–463) pmol/l, P=0.002]. Lower insulin-like 3 [1.02 </w:t>
      </w:r>
      <w:r w:rsidRPr="00516560">
        <w:rPr>
          <w:rFonts w:ascii="Times New Roman" w:hAnsi="Times New Roman"/>
          <w:sz w:val="22"/>
          <w:szCs w:val="22"/>
          <w:lang w:val="en-US"/>
        </w:rPr>
        <w:lastRenderedPageBreak/>
        <w:t>(0.82–1.23) vs. 1.22 (1.01–1.46) ng/mL, P=0.045] and lower ratio of testosterone to LH [2.81 (1.96 – 3.98) vs. 4.10 (3.03 – 5.83) nM/IU, P=0.008] suggested disrupted Leydig cell function. Degree of current obesity correlated inversely with free testosterone</w:t>
      </w:r>
      <w:r w:rsidRPr="00516560">
        <w:rPr>
          <w:rFonts w:ascii="Times New Roman" w:hAnsi="Times New Roman"/>
          <w:bCs/>
          <w:sz w:val="22"/>
          <w:szCs w:val="22"/>
          <w:lang w:val="en-US"/>
        </w:rPr>
        <w:t xml:space="preserve"> (</w:t>
      </w:r>
      <w:r w:rsidRPr="00516560">
        <w:rPr>
          <w:rFonts w:ascii="Times New Roman" w:hAnsi="Times New Roman" w:hint="eastAsia"/>
          <w:bCs/>
          <w:sz w:val="22"/>
          <w:szCs w:val="22"/>
          <w:lang w:val="en-US"/>
        </w:rPr>
        <w:t>τ</w:t>
      </w:r>
      <w:r w:rsidRPr="00516560">
        <w:rPr>
          <w:rFonts w:ascii="Times New Roman" w:hAnsi="Times New Roman"/>
          <w:bCs/>
          <w:sz w:val="22"/>
          <w:szCs w:val="22"/>
          <w:lang w:val="en-US"/>
        </w:rPr>
        <w:t>=-0.516, P=0.003)</w:t>
      </w:r>
      <w:r w:rsidRPr="00516560">
        <w:rPr>
          <w:rFonts w:ascii="Times New Roman" w:hAnsi="Times New Roman"/>
          <w:sz w:val="22"/>
          <w:szCs w:val="22"/>
          <w:lang w:val="en-US"/>
        </w:rPr>
        <w:t xml:space="preserve">, which in turn correlated positively with bone area at all measurement sites in males with childhood-onset obesity. </w:t>
      </w:r>
    </w:p>
    <w:p w14:paraId="31077872" w14:textId="283C3515"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Conclusions: Severe childhood-onset obesity associates with impaired Leydig cell function in young men and lower free testosterone may contribu</w:t>
      </w:r>
      <w:r w:rsidR="009E4EF4" w:rsidRPr="00516560">
        <w:rPr>
          <w:rFonts w:ascii="Times New Roman" w:hAnsi="Times New Roman"/>
          <w:sz w:val="22"/>
          <w:szCs w:val="22"/>
          <w:lang w:val="en-US"/>
        </w:rPr>
        <w:t>te to impaired bone growth</w:t>
      </w:r>
      <w:r w:rsidRPr="00516560">
        <w:rPr>
          <w:rFonts w:ascii="Times New Roman" w:hAnsi="Times New Roman"/>
          <w:sz w:val="22"/>
          <w:szCs w:val="22"/>
          <w:lang w:val="en-US"/>
        </w:rPr>
        <w:t>.</w:t>
      </w:r>
    </w:p>
    <w:p w14:paraId="06A4841C"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br w:type="page"/>
      </w:r>
      <w:r w:rsidRPr="00516560">
        <w:rPr>
          <w:rFonts w:ascii="Times New Roman" w:hAnsi="Times New Roman"/>
          <w:sz w:val="22"/>
          <w:szCs w:val="22"/>
          <w:lang w:val="en-US"/>
        </w:rPr>
        <w:lastRenderedPageBreak/>
        <w:t>INTRODUCTION</w:t>
      </w:r>
    </w:p>
    <w:p w14:paraId="706CDFB7"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1BCF5C81" w14:textId="203521C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Childhood-onset obesity is an increasing concern worldwide. Both pubertal development and skeletal growth are sensitive to nutritional status and excessive fat mass</w:t>
      </w:r>
      <w:r w:rsidR="00DD232C" w:rsidRPr="00516560">
        <w:rPr>
          <w:rFonts w:ascii="Times New Roman" w:hAnsi="Times New Roman"/>
          <w:sz w:val="22"/>
          <w:szCs w:val="22"/>
          <w:lang w:val="en-US"/>
        </w:rPr>
        <w:t xml:space="preserve"> [1,2]</w:t>
      </w:r>
      <w:r w:rsidRPr="00516560">
        <w:rPr>
          <w:rFonts w:ascii="Times New Roman" w:hAnsi="Times New Roman"/>
          <w:sz w:val="22"/>
          <w:szCs w:val="22"/>
          <w:lang w:val="en-US"/>
        </w:rPr>
        <w:t xml:space="preserve">. Some studies indicate that fat mass may associate negatively with testicular volume in boys with obesity </w:t>
      </w:r>
      <w:r w:rsidR="00DD232C" w:rsidRPr="00516560">
        <w:rPr>
          <w:rFonts w:ascii="Times New Roman" w:hAnsi="Times New Roman"/>
          <w:sz w:val="22"/>
          <w:szCs w:val="22"/>
          <w:lang w:val="en-US"/>
        </w:rPr>
        <w:t>[3]</w:t>
      </w:r>
      <w:r w:rsidRPr="00516560">
        <w:rPr>
          <w:rFonts w:ascii="Times New Roman" w:hAnsi="Times New Roman"/>
          <w:i/>
          <w:sz w:val="22"/>
          <w:szCs w:val="22"/>
          <w:lang w:val="en-US"/>
        </w:rPr>
        <w:t xml:space="preserve"> </w:t>
      </w:r>
      <w:r w:rsidRPr="00516560">
        <w:rPr>
          <w:rFonts w:ascii="Times New Roman" w:hAnsi="Times New Roman"/>
          <w:sz w:val="22"/>
          <w:szCs w:val="22"/>
          <w:lang w:val="en-US"/>
        </w:rPr>
        <w:t>while other studies have found no effect on testicular volume</w:t>
      </w:r>
      <w:r w:rsidR="00DD232C" w:rsidRPr="00516560">
        <w:rPr>
          <w:rFonts w:ascii="Times New Roman" w:hAnsi="Times New Roman"/>
          <w:sz w:val="22"/>
          <w:szCs w:val="22"/>
          <w:lang w:val="en-US"/>
        </w:rPr>
        <w:t xml:space="preserve"> [4]</w:t>
      </w:r>
      <w:r w:rsidRPr="00516560">
        <w:rPr>
          <w:rFonts w:ascii="Times New Roman" w:hAnsi="Times New Roman"/>
          <w:sz w:val="22"/>
          <w:szCs w:val="22"/>
          <w:lang w:val="en-US"/>
        </w:rPr>
        <w:t>.</w:t>
      </w:r>
      <w:r w:rsidRPr="00516560">
        <w:rPr>
          <w:rFonts w:ascii="Times New Roman" w:hAnsi="Times New Roman"/>
          <w:sz w:val="22"/>
          <w:szCs w:val="22"/>
          <w:vertAlign w:val="superscript"/>
          <w:lang w:val="en-US"/>
        </w:rPr>
        <w:t xml:space="preserve"> </w:t>
      </w:r>
      <w:r w:rsidRPr="00516560">
        <w:rPr>
          <w:rFonts w:ascii="Times New Roman" w:hAnsi="Times New Roman"/>
          <w:sz w:val="22"/>
          <w:szCs w:val="22"/>
          <w:lang w:val="en-US"/>
        </w:rPr>
        <w:t xml:space="preserve">Further, obesity has been associated with lower testosterone levels in males during </w:t>
      </w:r>
      <w:r w:rsidR="00DD232C" w:rsidRPr="00516560">
        <w:rPr>
          <w:rFonts w:ascii="Times New Roman" w:hAnsi="Times New Roman"/>
          <w:sz w:val="22"/>
          <w:szCs w:val="22"/>
          <w:lang w:val="en-US"/>
        </w:rPr>
        <w:t>[5,6]</w:t>
      </w:r>
      <w:r w:rsidRPr="00516560">
        <w:rPr>
          <w:rFonts w:ascii="Times New Roman" w:hAnsi="Times New Roman"/>
          <w:sz w:val="22"/>
          <w:szCs w:val="22"/>
          <w:lang w:val="en-US"/>
        </w:rPr>
        <w:t xml:space="preserve"> and after puberty</w:t>
      </w:r>
      <w:r w:rsidR="00DD232C" w:rsidRPr="00516560">
        <w:rPr>
          <w:rFonts w:ascii="Times New Roman" w:hAnsi="Times New Roman"/>
          <w:sz w:val="22"/>
          <w:szCs w:val="22"/>
          <w:lang w:val="en-US"/>
        </w:rPr>
        <w:t xml:space="preserve"> [4,7]</w:t>
      </w:r>
      <w:r w:rsidRPr="00516560">
        <w:rPr>
          <w:rFonts w:ascii="Times New Roman" w:hAnsi="Times New Roman"/>
          <w:sz w:val="22"/>
          <w:szCs w:val="22"/>
          <w:lang w:val="en-US"/>
        </w:rPr>
        <w:t>, but also with lower SHBG levels and similar free testosterone levels during puberty in comparison with lean peers</w:t>
      </w:r>
      <w:r w:rsidR="00DD232C" w:rsidRPr="00516560">
        <w:rPr>
          <w:rFonts w:ascii="Times New Roman" w:hAnsi="Times New Roman"/>
          <w:sz w:val="22"/>
          <w:szCs w:val="22"/>
          <w:lang w:val="en-US"/>
        </w:rPr>
        <w:t xml:space="preserve"> [4,8]</w:t>
      </w:r>
      <w:r w:rsidRPr="00516560">
        <w:rPr>
          <w:rFonts w:ascii="Times New Roman" w:hAnsi="Times New Roman"/>
          <w:sz w:val="22"/>
          <w:szCs w:val="22"/>
          <w:lang w:val="en-US"/>
        </w:rPr>
        <w:t>. Recent studies have associated obesity in pubertal boys with decreased LH secretion and lower levels of insulin-like 3 (INSL3), another hormone produced by the Leydig cells as puberty proceeds, suggesting impaired Leydig cell stimulation and function, respectively</w:t>
      </w:r>
      <w:r w:rsidR="00DD232C" w:rsidRPr="00516560">
        <w:rPr>
          <w:rFonts w:ascii="Times New Roman" w:hAnsi="Times New Roman"/>
          <w:sz w:val="22"/>
          <w:szCs w:val="22"/>
          <w:lang w:val="en-US"/>
        </w:rPr>
        <w:t xml:space="preserve"> [6,9]</w:t>
      </w:r>
      <w:r w:rsidRPr="00516560">
        <w:rPr>
          <w:rFonts w:ascii="Times New Roman" w:hAnsi="Times New Roman"/>
          <w:sz w:val="22"/>
          <w:szCs w:val="22"/>
          <w:lang w:val="en-US"/>
        </w:rPr>
        <w:t>.</w:t>
      </w:r>
      <w:r w:rsidRPr="00516560">
        <w:rPr>
          <w:rFonts w:ascii="Times New Roman" w:hAnsi="Times New Roman"/>
          <w:sz w:val="22"/>
          <w:szCs w:val="22"/>
          <w:vertAlign w:val="superscript"/>
          <w:lang w:val="en-US"/>
        </w:rPr>
        <w:t xml:space="preserve"> </w:t>
      </w:r>
      <w:r w:rsidRPr="00516560">
        <w:rPr>
          <w:rFonts w:ascii="Times New Roman" w:hAnsi="Times New Roman"/>
          <w:sz w:val="22"/>
          <w:szCs w:val="22"/>
          <w:lang w:val="en-US"/>
        </w:rPr>
        <w:t xml:space="preserve">Impaired LH secretion may be </w:t>
      </w:r>
      <w:r w:rsidRPr="00516560">
        <w:rPr>
          <w:rFonts w:ascii="Times New Roman" w:hAnsi="Times New Roman"/>
          <w:sz w:val="22"/>
          <w:szCs w:val="22"/>
          <w:lang w:val="en-US"/>
        </w:rPr>
        <w:lastRenderedPageBreak/>
        <w:t>due to increased aromatization of androgens to estrogens in fat mass</w:t>
      </w:r>
      <w:r w:rsidR="00DD232C" w:rsidRPr="00516560">
        <w:rPr>
          <w:rFonts w:ascii="Times New Roman" w:hAnsi="Times New Roman"/>
          <w:sz w:val="22"/>
          <w:szCs w:val="22"/>
          <w:lang w:val="en-US"/>
        </w:rPr>
        <w:t xml:space="preserve"> [10]</w:t>
      </w:r>
      <w:r w:rsidRPr="00516560">
        <w:rPr>
          <w:rFonts w:ascii="Times New Roman" w:hAnsi="Times New Roman"/>
          <w:sz w:val="22"/>
          <w:szCs w:val="22"/>
          <w:lang w:val="en-US"/>
        </w:rPr>
        <w:t xml:space="preserve">. However, the </w:t>
      </w:r>
      <w:r w:rsidR="00A92033" w:rsidRPr="00516560">
        <w:rPr>
          <w:rFonts w:ascii="Times New Roman" w:hAnsi="Times New Roman"/>
          <w:sz w:val="22"/>
          <w:szCs w:val="22"/>
          <w:lang w:val="en-US"/>
        </w:rPr>
        <w:t>pubertal development to gain adult maturity</w:t>
      </w:r>
      <w:r w:rsidRPr="00516560">
        <w:rPr>
          <w:rFonts w:ascii="Times New Roman" w:hAnsi="Times New Roman"/>
          <w:sz w:val="22"/>
          <w:szCs w:val="22"/>
          <w:lang w:val="en-US"/>
        </w:rPr>
        <w:t xml:space="preserve"> in boys with obesity remains obscure </w:t>
      </w:r>
      <w:r w:rsidR="00DD232C" w:rsidRPr="00516560">
        <w:rPr>
          <w:rFonts w:ascii="Times New Roman" w:hAnsi="Times New Roman"/>
          <w:sz w:val="22"/>
          <w:szCs w:val="22"/>
          <w:lang w:val="en-US"/>
        </w:rPr>
        <w:t>[11]</w:t>
      </w:r>
      <w:r w:rsidRPr="00516560">
        <w:rPr>
          <w:rFonts w:ascii="Times New Roman" w:hAnsi="Times New Roman"/>
          <w:sz w:val="22"/>
          <w:szCs w:val="22"/>
          <w:lang w:val="en-US"/>
        </w:rPr>
        <w:t xml:space="preserve"> and the mechanisms leading to decreased testosterone levels in male obesity are far from being captured.</w:t>
      </w:r>
    </w:p>
    <w:p w14:paraId="7D1C7F6D"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49516C23" w14:textId="6EEF68E3"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 xml:space="preserve">Children with obesity </w:t>
      </w:r>
      <w:r w:rsidR="00A92033" w:rsidRPr="00516560">
        <w:rPr>
          <w:rFonts w:ascii="Times New Roman" w:hAnsi="Times New Roman"/>
          <w:sz w:val="22"/>
          <w:szCs w:val="22"/>
          <w:lang w:val="en-US"/>
        </w:rPr>
        <w:t>have increased growth velocity</w:t>
      </w:r>
      <w:r w:rsidRPr="00516560">
        <w:rPr>
          <w:rFonts w:ascii="Times New Roman" w:hAnsi="Times New Roman"/>
          <w:sz w:val="22"/>
          <w:szCs w:val="22"/>
          <w:lang w:val="en-US"/>
        </w:rPr>
        <w:t xml:space="preserve"> than children with normal weight</w:t>
      </w:r>
      <w:r w:rsidR="00DD232C" w:rsidRPr="00516560">
        <w:rPr>
          <w:rFonts w:ascii="Times New Roman" w:hAnsi="Times New Roman"/>
          <w:sz w:val="22"/>
          <w:szCs w:val="22"/>
          <w:lang w:val="en-US"/>
        </w:rPr>
        <w:t xml:space="preserve"> [3-5,12]</w:t>
      </w:r>
      <w:r w:rsidRPr="00516560">
        <w:rPr>
          <w:rFonts w:ascii="Times New Roman" w:hAnsi="Times New Roman"/>
          <w:sz w:val="22"/>
          <w:szCs w:val="22"/>
          <w:lang w:val="en-US"/>
        </w:rPr>
        <w:t xml:space="preserve">. Bone formation and structure are altered in children with obesity </w:t>
      </w:r>
      <w:r w:rsidR="00DD232C" w:rsidRPr="00516560">
        <w:rPr>
          <w:rFonts w:ascii="Times New Roman" w:hAnsi="Times New Roman"/>
          <w:sz w:val="22"/>
          <w:szCs w:val="22"/>
          <w:lang w:val="en-US"/>
        </w:rPr>
        <w:t>[13,14]</w:t>
      </w:r>
      <w:r w:rsidRPr="00516560">
        <w:rPr>
          <w:rFonts w:ascii="Times New Roman" w:hAnsi="Times New Roman"/>
          <w:sz w:val="22"/>
          <w:szCs w:val="22"/>
          <w:lang w:val="en-US"/>
        </w:rPr>
        <w:t xml:space="preserve"> and their fracture risk during puberty is increased in relation to lean peers </w:t>
      </w:r>
      <w:r w:rsidR="00DD232C" w:rsidRPr="00516560">
        <w:rPr>
          <w:rFonts w:ascii="Times New Roman" w:hAnsi="Times New Roman"/>
          <w:sz w:val="22"/>
          <w:szCs w:val="22"/>
          <w:lang w:val="en-US"/>
        </w:rPr>
        <w:t>[15]</w:t>
      </w:r>
      <w:r w:rsidRPr="00516560">
        <w:rPr>
          <w:rFonts w:ascii="Times New Roman" w:hAnsi="Times New Roman"/>
          <w:sz w:val="22"/>
          <w:szCs w:val="22"/>
          <w:lang w:val="en-US"/>
        </w:rPr>
        <w:t xml:space="preserve">. Testosterone and estrogens are crucial for skeletal maturation and bone mass accrual. Recent evidence suggests the presence of endocrine regulation between bone and testes beyond sex steroids - the bone-testis axis. Osteoblast-derived uncarboxylated osteocalcin (OC) stimulates testosterone production in the testes in mice </w:t>
      </w:r>
      <w:r w:rsidR="00DD232C" w:rsidRPr="00516560">
        <w:rPr>
          <w:rFonts w:ascii="Times New Roman" w:hAnsi="Times New Roman"/>
          <w:sz w:val="22"/>
          <w:szCs w:val="22"/>
          <w:lang w:val="en-US"/>
        </w:rPr>
        <w:t>[16]</w:t>
      </w:r>
      <w:r w:rsidRPr="00516560">
        <w:rPr>
          <w:rFonts w:ascii="Times New Roman" w:hAnsi="Times New Roman"/>
          <w:sz w:val="22"/>
          <w:szCs w:val="22"/>
          <w:lang w:val="en-US"/>
        </w:rPr>
        <w:t xml:space="preserve">. In humans, serum total OC levels correlate positively with testosterone levels in </w:t>
      </w:r>
      <w:r w:rsidRPr="00516560">
        <w:rPr>
          <w:rFonts w:ascii="Times New Roman" w:hAnsi="Times New Roman"/>
          <w:sz w:val="22"/>
          <w:szCs w:val="22"/>
          <w:lang w:val="en-US"/>
        </w:rPr>
        <w:lastRenderedPageBreak/>
        <w:t xml:space="preserve">adult men </w:t>
      </w:r>
      <w:r w:rsidR="00DD232C" w:rsidRPr="00516560">
        <w:rPr>
          <w:rFonts w:ascii="Times New Roman" w:hAnsi="Times New Roman"/>
          <w:sz w:val="22"/>
          <w:szCs w:val="22"/>
          <w:lang w:val="en-US"/>
        </w:rPr>
        <w:t>[17,18]</w:t>
      </w:r>
      <w:r w:rsidRPr="00516560">
        <w:rPr>
          <w:rFonts w:ascii="Times New Roman" w:hAnsi="Times New Roman"/>
          <w:sz w:val="22"/>
          <w:szCs w:val="22"/>
          <w:lang w:val="en-US"/>
        </w:rPr>
        <w:t xml:space="preserve"> and pubertal boys</w:t>
      </w:r>
      <w:r w:rsidR="00DD232C" w:rsidRPr="00516560">
        <w:rPr>
          <w:rFonts w:ascii="Times New Roman" w:hAnsi="Times New Roman"/>
          <w:sz w:val="22"/>
          <w:szCs w:val="22"/>
          <w:lang w:val="en-US"/>
        </w:rPr>
        <w:t xml:space="preserve"> [19]</w:t>
      </w:r>
      <w:r w:rsidRPr="00516560">
        <w:rPr>
          <w:rFonts w:ascii="Times New Roman" w:hAnsi="Times New Roman"/>
          <w:sz w:val="22"/>
          <w:szCs w:val="22"/>
          <w:lang w:val="en-US"/>
        </w:rPr>
        <w:t>.</w:t>
      </w:r>
      <w:r w:rsidRPr="00516560">
        <w:rPr>
          <w:rFonts w:ascii="Times New Roman" w:hAnsi="Times New Roman"/>
          <w:sz w:val="22"/>
          <w:szCs w:val="22"/>
          <w:vertAlign w:val="superscript"/>
          <w:lang w:val="en-US"/>
        </w:rPr>
        <w:t xml:space="preserve"> </w:t>
      </w:r>
      <w:r w:rsidRPr="00516560">
        <w:rPr>
          <w:rFonts w:ascii="Times New Roman" w:hAnsi="Times New Roman"/>
          <w:sz w:val="22"/>
          <w:szCs w:val="22"/>
          <w:lang w:val="en-US"/>
        </w:rPr>
        <w:t>Leydig-cell derived INSL3 may be the feedback signal from the testes that modulates the activity of osteoblasts</w:t>
      </w:r>
      <w:r w:rsidR="00DD232C" w:rsidRPr="00516560">
        <w:rPr>
          <w:rFonts w:ascii="Times New Roman" w:hAnsi="Times New Roman"/>
          <w:sz w:val="22"/>
          <w:szCs w:val="22"/>
          <w:lang w:val="en-US"/>
        </w:rPr>
        <w:t xml:space="preserve"> [20,21]</w:t>
      </w:r>
      <w:r w:rsidRPr="00516560">
        <w:rPr>
          <w:rFonts w:ascii="Times New Roman" w:hAnsi="Times New Roman"/>
          <w:sz w:val="22"/>
          <w:szCs w:val="22"/>
          <w:lang w:val="en-US"/>
        </w:rPr>
        <w:t xml:space="preserve">. However, the various physiological functions of the bone-testis axis during growth, and the influence of obesity therein, remain inadequately characterized. </w:t>
      </w:r>
    </w:p>
    <w:p w14:paraId="53AE5826"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6278970C"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We previously observed that in subjects with severe childhood-onset obesity bone strength is more likely to be compromised in men than in women</w:t>
      </w:r>
      <w:r w:rsidR="00DD232C" w:rsidRPr="00516560">
        <w:rPr>
          <w:rFonts w:ascii="Times New Roman" w:hAnsi="Times New Roman"/>
          <w:sz w:val="22"/>
          <w:szCs w:val="22"/>
          <w:lang w:val="en-US"/>
        </w:rPr>
        <w:t xml:space="preserve"> [22]</w:t>
      </w:r>
      <w:r w:rsidRPr="00516560">
        <w:rPr>
          <w:rFonts w:ascii="Times New Roman" w:hAnsi="Times New Roman"/>
          <w:sz w:val="22"/>
          <w:szCs w:val="22"/>
          <w:lang w:val="en-US"/>
        </w:rPr>
        <w:t>. This prompted us to evaluate testicular function and related skeletal features in males with severe childhood-onset obesity. We evaluated parameters reflecting metabolic state and pituitary and testicular function in relation to DXA-derived bone characteristics in a case-control cohort of young men.</w:t>
      </w:r>
    </w:p>
    <w:p w14:paraId="4747A11E"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21FCDC1C"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lastRenderedPageBreak/>
        <w:t>METHODS</w:t>
      </w:r>
    </w:p>
    <w:p w14:paraId="7C94DA56"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75890FF9" w14:textId="77777777" w:rsidR="002E2257" w:rsidRPr="00516560" w:rsidRDefault="002E2257" w:rsidP="002E2257">
      <w:pPr>
        <w:widowControl w:val="0"/>
        <w:autoSpaceDE w:val="0"/>
        <w:autoSpaceDN w:val="0"/>
        <w:adjustRightInd w:val="0"/>
        <w:spacing w:line="480" w:lineRule="auto"/>
        <w:jc w:val="both"/>
        <w:rPr>
          <w:rFonts w:ascii="Times New Roman" w:hAnsi="Times New Roman"/>
          <w:i/>
          <w:sz w:val="22"/>
          <w:szCs w:val="22"/>
          <w:lang w:val="en-US"/>
        </w:rPr>
      </w:pPr>
      <w:r w:rsidRPr="00516560">
        <w:rPr>
          <w:rFonts w:ascii="Times New Roman" w:hAnsi="Times New Roman"/>
          <w:i/>
          <w:sz w:val="22"/>
          <w:szCs w:val="22"/>
          <w:lang w:val="en-US"/>
        </w:rPr>
        <w:t>Subjects</w:t>
      </w:r>
    </w:p>
    <w:p w14:paraId="2636B1AE"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1B4B1B2F" w14:textId="0A7C5828"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 xml:space="preserve">The study was designed to assess skeletal and metabolic characteristics of severe childhood-onset obesity at young adulthood and was carried out at Children's Hospital, Helsinki University Central Hospital, Finland as previously reported </w:t>
      </w:r>
      <w:r w:rsidR="00DD232C" w:rsidRPr="00516560">
        <w:rPr>
          <w:rFonts w:ascii="Times New Roman" w:hAnsi="Times New Roman"/>
          <w:sz w:val="22"/>
          <w:szCs w:val="22"/>
          <w:lang w:val="en-US"/>
        </w:rPr>
        <w:t>[23]</w:t>
      </w:r>
      <w:r w:rsidRPr="00516560">
        <w:rPr>
          <w:rFonts w:ascii="Times New Roman" w:hAnsi="Times New Roman"/>
          <w:sz w:val="22"/>
          <w:szCs w:val="22"/>
          <w:lang w:val="en-US"/>
        </w:rPr>
        <w:t>. In the present study assessing testicular function, inclusion criteria for the patients with early-onset severe obesity were: i) males with age and sex adjusted body mass index (BMI) &gt; 35 kg/m</w:t>
      </w:r>
      <w:r w:rsidRPr="00516560">
        <w:rPr>
          <w:rFonts w:ascii="Times New Roman" w:hAnsi="Times New Roman"/>
          <w:sz w:val="22"/>
          <w:szCs w:val="22"/>
          <w:vertAlign w:val="superscript"/>
          <w:lang w:val="en-US"/>
        </w:rPr>
        <w:t>2</w:t>
      </w:r>
      <w:r w:rsidR="00DD232C" w:rsidRPr="00516560">
        <w:rPr>
          <w:rFonts w:ascii="Times New Roman" w:hAnsi="Times New Roman"/>
          <w:sz w:val="22"/>
          <w:szCs w:val="22"/>
          <w:lang w:val="en-US"/>
        </w:rPr>
        <w:t xml:space="preserve"> </w:t>
      </w:r>
      <w:r w:rsidR="001B60D4" w:rsidRPr="00516560">
        <w:rPr>
          <w:rFonts w:ascii="Times New Roman" w:hAnsi="Times New Roman"/>
          <w:sz w:val="22"/>
          <w:szCs w:val="22"/>
          <w:lang w:val="en-US"/>
        </w:rPr>
        <w:t xml:space="preserve">according to Finnish growth standards </w:t>
      </w:r>
      <w:r w:rsidR="00DD232C" w:rsidRPr="00516560">
        <w:rPr>
          <w:rFonts w:ascii="Times New Roman" w:hAnsi="Times New Roman"/>
          <w:sz w:val="22"/>
          <w:szCs w:val="22"/>
          <w:lang w:val="en-US"/>
        </w:rPr>
        <w:t>[24]</w:t>
      </w:r>
      <w:r w:rsidRPr="00516560">
        <w:rPr>
          <w:rFonts w:ascii="Times New Roman" w:hAnsi="Times New Roman"/>
          <w:sz w:val="22"/>
          <w:szCs w:val="22"/>
          <w:lang w:val="en-US"/>
        </w:rPr>
        <w:t xml:space="preserve">, ii) referral because of severe obesity to Children's Hospital, Helsinki University Hospital, during childhood, iii) living in the capital region of Helsinki at age 9 years, and iv) aged between 15 and 25 years at the time of the study. A pediatrician had </w:t>
      </w:r>
      <w:r w:rsidRPr="00516560">
        <w:rPr>
          <w:rFonts w:ascii="Times New Roman" w:hAnsi="Times New Roman"/>
          <w:sz w:val="22"/>
          <w:szCs w:val="22"/>
          <w:lang w:val="en-US"/>
        </w:rPr>
        <w:lastRenderedPageBreak/>
        <w:t>followed all patients, and endocrine and genetic disorders underlying obesity had been excluded (e.g. Prader-Willi syndrome, hypercortisolism, hypothyroidism, pseudohypoparathyreoidism). Control subjects were selected from the national population register based on their age and residential area (hospital's catchment area). Exclusion criteria for the controls were obesity (age and sex adjusted BMI &gt; 30) before the age of 10 years. Patients and controls were studied similarly. An ethical approval was obtained from the Research Ethics Committee of the Hospital District of Helsinki and Uusimaa. Informed written consent was obtained from all study participants or their guardians (subjects aged &lt;18 years).</w:t>
      </w:r>
    </w:p>
    <w:p w14:paraId="2B5E8BAE"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65214F20" w14:textId="600B4CA6"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 xml:space="preserve">Anthropometry including height and weight was collected during the study visit. Weight was measured in light clothing with Seca digital scale (www.seca.com) to the nearest 0.1 kg. Height was measured with a fast </w:t>
      </w:r>
      <w:r w:rsidRPr="00516560">
        <w:rPr>
          <w:rFonts w:ascii="Times New Roman" w:hAnsi="Times New Roman"/>
          <w:sz w:val="22"/>
          <w:szCs w:val="22"/>
          <w:lang w:val="en-US"/>
        </w:rPr>
        <w:lastRenderedPageBreak/>
        <w:t>stadiometer connected to the scale to the nearest 0.1 cm. BMI was calculated as weight divided by square height (kg/m</w:t>
      </w:r>
      <w:r w:rsidRPr="00516560">
        <w:rPr>
          <w:rFonts w:ascii="Times New Roman" w:hAnsi="Times New Roman"/>
          <w:sz w:val="22"/>
          <w:szCs w:val="22"/>
          <w:vertAlign w:val="superscript"/>
          <w:lang w:val="en-US"/>
        </w:rPr>
        <w:t>2</w:t>
      </w:r>
      <w:r w:rsidRPr="00516560">
        <w:rPr>
          <w:rFonts w:ascii="Times New Roman" w:hAnsi="Times New Roman"/>
          <w:sz w:val="22"/>
          <w:szCs w:val="22"/>
          <w:lang w:val="en-US"/>
        </w:rPr>
        <w:t xml:space="preserve">). </w:t>
      </w:r>
      <w:r w:rsidR="005C3581" w:rsidRPr="00516560">
        <w:rPr>
          <w:rFonts w:ascii="Times New Roman" w:hAnsi="Times New Roman"/>
          <w:sz w:val="22"/>
          <w:szCs w:val="22"/>
          <w:lang w:val="en-US"/>
        </w:rPr>
        <w:t>Lifestyle factors including s</w:t>
      </w:r>
      <w:r w:rsidR="00287279" w:rsidRPr="00516560">
        <w:rPr>
          <w:rFonts w:ascii="Times New Roman" w:hAnsi="Times New Roman"/>
          <w:sz w:val="22"/>
          <w:szCs w:val="22"/>
          <w:lang w:val="en-US"/>
        </w:rPr>
        <w:t xml:space="preserve">moking, alcohol use and </w:t>
      </w:r>
      <w:r w:rsidR="001E35CE" w:rsidRPr="00516560">
        <w:rPr>
          <w:rFonts w:ascii="Times New Roman" w:hAnsi="Times New Roman"/>
          <w:sz w:val="22"/>
          <w:szCs w:val="22"/>
          <w:lang w:val="en-US"/>
        </w:rPr>
        <w:t xml:space="preserve">current total </w:t>
      </w:r>
      <w:r w:rsidR="00287279" w:rsidRPr="00516560">
        <w:rPr>
          <w:rFonts w:ascii="Times New Roman" w:hAnsi="Times New Roman"/>
          <w:sz w:val="22"/>
          <w:szCs w:val="22"/>
          <w:lang w:val="en-US"/>
        </w:rPr>
        <w:t>physical activity</w:t>
      </w:r>
      <w:r w:rsidR="005C3581" w:rsidRPr="00516560">
        <w:rPr>
          <w:rFonts w:ascii="Times New Roman" w:hAnsi="Times New Roman"/>
          <w:sz w:val="22"/>
          <w:szCs w:val="22"/>
          <w:lang w:val="en-US"/>
        </w:rPr>
        <w:t>, and use of medications were evaluated with questionnaires</w:t>
      </w:r>
      <w:r w:rsidR="001E2EB1" w:rsidRPr="00516560">
        <w:rPr>
          <w:rFonts w:ascii="Times New Roman" w:hAnsi="Times New Roman"/>
          <w:sz w:val="22"/>
          <w:szCs w:val="22"/>
          <w:lang w:val="en-US"/>
        </w:rPr>
        <w:t xml:space="preserve"> as described previously [22]</w:t>
      </w:r>
      <w:r w:rsidR="005C3581" w:rsidRPr="00516560">
        <w:rPr>
          <w:rFonts w:ascii="Times New Roman" w:hAnsi="Times New Roman"/>
          <w:sz w:val="22"/>
          <w:szCs w:val="22"/>
          <w:lang w:val="en-US"/>
        </w:rPr>
        <w:t>.</w:t>
      </w:r>
      <w:r w:rsidR="00FC0D59" w:rsidRPr="00516560">
        <w:rPr>
          <w:rFonts w:ascii="Times New Roman" w:hAnsi="Times New Roman"/>
          <w:sz w:val="22"/>
          <w:szCs w:val="22"/>
          <w:lang w:val="en-US"/>
        </w:rPr>
        <w:t xml:space="preserve"> Less than 10 min of total physical activity per day was considered a threshold for a sedentary lifestyle.</w:t>
      </w:r>
      <w:r w:rsidR="005C3581" w:rsidRPr="00516560">
        <w:rPr>
          <w:rFonts w:ascii="Times New Roman" w:hAnsi="Times New Roman"/>
          <w:sz w:val="22"/>
          <w:szCs w:val="22"/>
          <w:lang w:val="en-US"/>
        </w:rPr>
        <w:t xml:space="preserve"> </w:t>
      </w:r>
    </w:p>
    <w:p w14:paraId="49E57250"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025F524A" w14:textId="77777777" w:rsidR="002E2257" w:rsidRPr="00516560" w:rsidRDefault="002E2257" w:rsidP="002E2257">
      <w:pPr>
        <w:widowControl w:val="0"/>
        <w:autoSpaceDE w:val="0"/>
        <w:autoSpaceDN w:val="0"/>
        <w:adjustRightInd w:val="0"/>
        <w:spacing w:line="480" w:lineRule="auto"/>
        <w:jc w:val="both"/>
        <w:rPr>
          <w:rFonts w:ascii="Times New Roman" w:hAnsi="Times New Roman"/>
          <w:i/>
          <w:sz w:val="22"/>
          <w:szCs w:val="22"/>
          <w:lang w:val="en-US"/>
        </w:rPr>
      </w:pPr>
      <w:r w:rsidRPr="00516560">
        <w:rPr>
          <w:rFonts w:ascii="Times New Roman" w:hAnsi="Times New Roman"/>
          <w:i/>
          <w:sz w:val="22"/>
          <w:szCs w:val="22"/>
          <w:lang w:val="en-US"/>
        </w:rPr>
        <w:t>Laboratory measurements</w:t>
      </w:r>
    </w:p>
    <w:p w14:paraId="1DE49197"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64B203E1" w14:textId="77777777" w:rsidR="002E2257" w:rsidRPr="00516560" w:rsidRDefault="002E2257" w:rsidP="002E2257">
      <w:pPr>
        <w:spacing w:line="480" w:lineRule="auto"/>
        <w:jc w:val="both"/>
        <w:rPr>
          <w:rFonts w:ascii="Times New Roman" w:eastAsia="Times New Roman" w:hAnsi="Times New Roman"/>
          <w:sz w:val="22"/>
          <w:szCs w:val="22"/>
          <w:lang w:val="en-US" w:eastAsia="fi-FI"/>
        </w:rPr>
      </w:pPr>
      <w:r w:rsidRPr="00516560">
        <w:rPr>
          <w:rFonts w:ascii="Times New Roman" w:hAnsi="Times New Roman"/>
          <w:sz w:val="22"/>
          <w:szCs w:val="22"/>
          <w:lang w:val="en-US"/>
        </w:rPr>
        <w:t xml:space="preserve">Blood samples were obtained between 8 and 10 am after an overnight fast of at least 10 hours for plasma glucose, serum insulin, estradiol, testosterone, LH, FSH, anti-müllerian hormone (AMH), SHBG, leptin, and OC. Glucose was analyzed by spectrophotometric hexokinase and glucose-6-phosphate dehydrogenase assay (Gluko-quant glucose/hexokinase, Roche </w:t>
      </w:r>
      <w:r w:rsidRPr="00516560">
        <w:rPr>
          <w:rFonts w:ascii="Times New Roman" w:hAnsi="Times New Roman"/>
          <w:sz w:val="22"/>
          <w:szCs w:val="22"/>
          <w:lang w:val="en-US"/>
        </w:rPr>
        <w:lastRenderedPageBreak/>
        <w:t xml:space="preserve">Diagnostics) with a Hitachi Modular automatic. Serum insulin was measured with time-resolved immunofluorometric assay (Perkin Elmer Life Sciences, Finland) with a detection limit of 0.5 mU per liter (3 pmol per liter) and an interassay coefficient of variation (CV) of less than 4%. Serum estradiol and testosterone were analysed on an LC-MS/MS system (API4000, AB Sciex, Concord, Canada). Interassay CVs for estradiol were 5.6% at 60 pM concentration and 5.1% at 360 pM. Interassay CVs for testosterone were 7.6% at 3.3 nM and 5.6% at 23 nM. LH and FSH were measured with electrochemiluminescence immunoassays (Elecsys 2010, Roche Diagnostics, Mannheim, Germany). The </w:t>
      </w:r>
      <w:r w:rsidRPr="00516560">
        <w:rPr>
          <w:rFonts w:ascii="Times New Roman" w:eastAsia="Times New Roman" w:hAnsi="Times New Roman"/>
          <w:iCs/>
          <w:sz w:val="22"/>
          <w:szCs w:val="22"/>
          <w:lang w:val="en-US" w:eastAsia="fi-FI"/>
        </w:rPr>
        <w:t>limit of detection (</w:t>
      </w:r>
      <w:r w:rsidRPr="00516560">
        <w:rPr>
          <w:rFonts w:ascii="Times New Roman" w:hAnsi="Times New Roman"/>
          <w:sz w:val="22"/>
          <w:szCs w:val="22"/>
          <w:lang w:val="en-US"/>
        </w:rPr>
        <w:t>LOD) was 0.1 mIU/mL for LH and &lt;0.1 mIU/mL for FSH, with inter-assay CVs across the range of measurement of &lt;6%.</w:t>
      </w:r>
      <w:r w:rsidRPr="00516560">
        <w:rPr>
          <w:rFonts w:ascii="Times New Roman" w:eastAsia="Times New Roman" w:hAnsi="Times New Roman"/>
          <w:sz w:val="22"/>
          <w:szCs w:val="22"/>
          <w:lang w:val="en-US" w:eastAsia="fi-FI"/>
        </w:rPr>
        <w:t xml:space="preserve"> </w:t>
      </w:r>
      <w:r w:rsidRPr="00516560">
        <w:rPr>
          <w:rFonts w:ascii="Times New Roman" w:eastAsia="Times New Roman" w:hAnsi="Times New Roman"/>
          <w:iCs/>
          <w:sz w:val="22"/>
          <w:szCs w:val="22"/>
          <w:lang w:val="en-US" w:eastAsia="fi-FI"/>
        </w:rPr>
        <w:t>AMH was quantitated with an ELISA assay (AMH Gen II ELISA, Beckman Coulter, Brea, CA, USA). The LOD was 0.08 µg/L. Intra-assay and inter-assay CV was &lt;6% in the range 3.8-</w:t>
      </w:r>
      <w:r w:rsidRPr="00516560">
        <w:rPr>
          <w:rFonts w:ascii="Times New Roman" w:eastAsia="Times New Roman" w:hAnsi="Times New Roman"/>
          <w:iCs/>
          <w:sz w:val="22"/>
          <w:szCs w:val="22"/>
          <w:lang w:val="en-US" w:eastAsia="fi-FI"/>
        </w:rPr>
        <w:lastRenderedPageBreak/>
        <w:t>16.5 µg/L. Total CV was &lt;8%.</w:t>
      </w:r>
      <w:r w:rsidRPr="00516560">
        <w:rPr>
          <w:rFonts w:ascii="Times New Roman" w:eastAsia="Times New Roman" w:hAnsi="Times New Roman"/>
          <w:sz w:val="22"/>
          <w:szCs w:val="22"/>
          <w:lang w:val="en-US" w:eastAsia="fi-FI"/>
        </w:rPr>
        <w:t xml:space="preserve"> </w:t>
      </w:r>
      <w:r w:rsidRPr="00516560">
        <w:rPr>
          <w:rFonts w:ascii="Times New Roman" w:eastAsia="Times New Roman" w:hAnsi="Times New Roman"/>
          <w:iCs/>
          <w:sz w:val="22"/>
          <w:szCs w:val="22"/>
          <w:lang w:val="en-US" w:eastAsia="fi-FI"/>
        </w:rPr>
        <w:t>SHBG was quantified with an automatic immunoanalyzer (Immulite 2000XPi, Siemens Healthcare Diagnostics, UK). The LOD of the SHBG assay is 0.02 nmol/L and the total CV ≤7% at SHBG concentrations 1.2-80 nmol/L.</w:t>
      </w:r>
      <w:r w:rsidRPr="00516560">
        <w:rPr>
          <w:rFonts w:ascii="Times New Roman" w:hAnsi="Times New Roman"/>
          <w:sz w:val="22"/>
          <w:szCs w:val="22"/>
          <w:lang w:val="en-US"/>
        </w:rPr>
        <w:t xml:space="preserve"> Serum leptin was determined with Human Leptin R Quantikine ELISA Kit (R&amp;D Systems, Minneapolis, USA) with intra- and interassay CVs of &lt;12%. Serum total OC was determined by two-site immunoassay protocol</w:t>
      </w:r>
      <w:r w:rsidR="00DD232C" w:rsidRPr="00516560">
        <w:rPr>
          <w:rFonts w:ascii="Times New Roman" w:hAnsi="Times New Roman"/>
          <w:sz w:val="22"/>
          <w:szCs w:val="22"/>
          <w:lang w:val="en-US"/>
        </w:rPr>
        <w:t xml:space="preserve"> [25]</w:t>
      </w:r>
      <w:r w:rsidRPr="00516560">
        <w:rPr>
          <w:rFonts w:ascii="Times New Roman" w:hAnsi="Times New Roman"/>
          <w:sz w:val="22"/>
          <w:szCs w:val="22"/>
          <w:lang w:val="en-US"/>
        </w:rPr>
        <w:t>, as described in detail previously</w:t>
      </w:r>
      <w:r w:rsidR="00DD232C" w:rsidRPr="00516560">
        <w:rPr>
          <w:rFonts w:ascii="Times New Roman" w:hAnsi="Times New Roman"/>
          <w:sz w:val="22"/>
          <w:szCs w:val="22"/>
          <w:lang w:val="en-US"/>
        </w:rPr>
        <w:t xml:space="preserve"> [26]</w:t>
      </w:r>
      <w:r w:rsidRPr="00516560">
        <w:rPr>
          <w:rFonts w:ascii="Times New Roman" w:hAnsi="Times New Roman"/>
          <w:sz w:val="22"/>
          <w:szCs w:val="22"/>
          <w:lang w:val="en-US"/>
        </w:rPr>
        <w:t xml:space="preserve">. Free testosterone level (pmol/l) was calculated with the formula </w:t>
      </w:r>
      <w:r w:rsidRPr="00516560">
        <w:rPr>
          <w:rFonts w:ascii="Times New Roman" w:hAnsi="Times New Roman"/>
          <w:i/>
          <w:sz w:val="22"/>
          <w:szCs w:val="22"/>
          <w:lang w:val="en-US"/>
        </w:rPr>
        <w:t>serum testosterone</w:t>
      </w:r>
      <w:r w:rsidRPr="00516560">
        <w:rPr>
          <w:rFonts w:ascii="Times New Roman" w:hAnsi="Times New Roman"/>
          <w:sz w:val="22"/>
          <w:szCs w:val="22"/>
          <w:lang w:val="en-US"/>
        </w:rPr>
        <w:t xml:space="preserve"> (nmol/l) x 10 x [2.28-1.38x log (</w:t>
      </w:r>
      <w:r w:rsidRPr="00516560">
        <w:rPr>
          <w:rFonts w:ascii="Times New Roman" w:hAnsi="Times New Roman"/>
          <w:i/>
          <w:sz w:val="22"/>
          <w:szCs w:val="22"/>
          <w:lang w:val="en-US"/>
        </w:rPr>
        <w:t>SHBG</w:t>
      </w:r>
      <w:r w:rsidRPr="00516560">
        <w:rPr>
          <w:rFonts w:ascii="Times New Roman" w:hAnsi="Times New Roman"/>
          <w:sz w:val="22"/>
          <w:szCs w:val="22"/>
          <w:lang w:val="en-US"/>
        </w:rPr>
        <w:t xml:space="preserve"> (nmol/l) x 0,1)]. INSL3 was measured using an established and well validated time-resolved fluorescent immunoassay</w:t>
      </w:r>
      <w:r w:rsidR="00DD232C" w:rsidRPr="00516560">
        <w:rPr>
          <w:rFonts w:ascii="Times New Roman" w:hAnsi="Times New Roman"/>
          <w:sz w:val="22"/>
          <w:szCs w:val="22"/>
          <w:lang w:val="en-US"/>
        </w:rPr>
        <w:t xml:space="preserve"> [27]</w:t>
      </w:r>
      <w:r w:rsidRPr="00516560">
        <w:rPr>
          <w:rFonts w:ascii="Times New Roman" w:hAnsi="Times New Roman"/>
          <w:sz w:val="22"/>
          <w:szCs w:val="22"/>
          <w:lang w:val="en-US"/>
        </w:rPr>
        <w:t>, modified for higher sensitivity</w:t>
      </w:r>
      <w:r w:rsidR="00DD232C" w:rsidRPr="00516560">
        <w:rPr>
          <w:rFonts w:ascii="Times New Roman" w:hAnsi="Times New Roman"/>
          <w:sz w:val="22"/>
          <w:szCs w:val="22"/>
          <w:vertAlign w:val="superscript"/>
          <w:lang w:val="en-US"/>
        </w:rPr>
        <w:t xml:space="preserve"> </w:t>
      </w:r>
      <w:r w:rsidR="00DD232C" w:rsidRPr="00516560">
        <w:rPr>
          <w:rFonts w:ascii="Times New Roman" w:hAnsi="Times New Roman"/>
          <w:sz w:val="22"/>
          <w:szCs w:val="22"/>
          <w:lang w:val="en-US"/>
        </w:rPr>
        <w:t>[28]</w:t>
      </w:r>
      <w:r w:rsidRPr="00516560">
        <w:rPr>
          <w:rFonts w:ascii="Times New Roman" w:hAnsi="Times New Roman"/>
          <w:sz w:val="22"/>
          <w:szCs w:val="22"/>
          <w:lang w:val="en-US"/>
        </w:rPr>
        <w:t xml:space="preserve">. The LOD was 10 pg/mL, with intra- and inter-plate CVs across the range of measurement of &lt;3% and &lt;10%, respectively. </w:t>
      </w:r>
    </w:p>
    <w:p w14:paraId="1C4BBE29" w14:textId="77777777" w:rsidR="002E2257" w:rsidRPr="00516560" w:rsidRDefault="002E2257" w:rsidP="002E2257">
      <w:pPr>
        <w:widowControl w:val="0"/>
        <w:autoSpaceDE w:val="0"/>
        <w:autoSpaceDN w:val="0"/>
        <w:adjustRightInd w:val="0"/>
        <w:spacing w:line="480" w:lineRule="auto"/>
        <w:jc w:val="both"/>
        <w:rPr>
          <w:rFonts w:ascii="Times New Roman" w:hAnsi="Times New Roman"/>
          <w:iCs/>
          <w:sz w:val="22"/>
          <w:szCs w:val="22"/>
          <w:lang w:val="en-US"/>
        </w:rPr>
      </w:pPr>
    </w:p>
    <w:p w14:paraId="20CAE232" w14:textId="77777777" w:rsidR="002E2257" w:rsidRPr="00516560" w:rsidRDefault="002E2257" w:rsidP="002E2257">
      <w:pPr>
        <w:widowControl w:val="0"/>
        <w:autoSpaceDE w:val="0"/>
        <w:autoSpaceDN w:val="0"/>
        <w:adjustRightInd w:val="0"/>
        <w:spacing w:line="480" w:lineRule="auto"/>
        <w:jc w:val="both"/>
        <w:rPr>
          <w:rFonts w:ascii="Times New Roman" w:hAnsi="Times New Roman"/>
          <w:i/>
          <w:sz w:val="22"/>
          <w:szCs w:val="22"/>
          <w:lang w:val="en-US"/>
        </w:rPr>
      </w:pPr>
      <w:r w:rsidRPr="00516560">
        <w:rPr>
          <w:rFonts w:ascii="Times New Roman" w:hAnsi="Times New Roman"/>
          <w:i/>
          <w:sz w:val="22"/>
          <w:szCs w:val="22"/>
          <w:lang w:val="en-US"/>
        </w:rPr>
        <w:lastRenderedPageBreak/>
        <w:t>Bone mineral density and body composition</w:t>
      </w:r>
    </w:p>
    <w:p w14:paraId="22544D97"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173160E4" w14:textId="6E92DB6E" w:rsidR="002E2257" w:rsidRPr="00516560" w:rsidRDefault="002E2257" w:rsidP="002E2257">
      <w:pPr>
        <w:widowControl w:val="0"/>
        <w:autoSpaceDE w:val="0"/>
        <w:autoSpaceDN w:val="0"/>
        <w:adjustRightInd w:val="0"/>
        <w:spacing w:line="480" w:lineRule="auto"/>
        <w:jc w:val="both"/>
        <w:rPr>
          <w:rFonts w:ascii="Times New Roman" w:hAnsi="Times New Roman"/>
          <w:i/>
          <w:iCs/>
          <w:sz w:val="22"/>
          <w:szCs w:val="22"/>
          <w:lang w:val="en-US"/>
        </w:rPr>
      </w:pPr>
      <w:r w:rsidRPr="00516560">
        <w:rPr>
          <w:rFonts w:ascii="Times New Roman" w:hAnsi="Times New Roman"/>
          <w:sz w:val="22"/>
          <w:szCs w:val="22"/>
          <w:lang w:val="en-US"/>
        </w:rPr>
        <w:t xml:space="preserve">Bone </w:t>
      </w:r>
      <w:r w:rsidR="00EF1812" w:rsidRPr="00516560">
        <w:rPr>
          <w:rFonts w:ascii="Times New Roman" w:hAnsi="Times New Roman"/>
          <w:sz w:val="22"/>
          <w:szCs w:val="22"/>
          <w:lang w:val="en-US"/>
        </w:rPr>
        <w:t>area (BA) and</w:t>
      </w:r>
      <w:r w:rsidRPr="00516560">
        <w:rPr>
          <w:rFonts w:ascii="Times New Roman" w:hAnsi="Times New Roman"/>
          <w:sz w:val="22"/>
          <w:szCs w:val="22"/>
          <w:lang w:val="en-US"/>
        </w:rPr>
        <w:t xml:space="preserve"> bone mineral density (BMD) for wh</w:t>
      </w:r>
      <w:r w:rsidR="006A2815" w:rsidRPr="00516560">
        <w:rPr>
          <w:rFonts w:ascii="Times New Roman" w:hAnsi="Times New Roman"/>
          <w:sz w:val="22"/>
          <w:szCs w:val="22"/>
          <w:lang w:val="en-US"/>
        </w:rPr>
        <w:t>ole body, lumbar spine and</w:t>
      </w:r>
      <w:r w:rsidRPr="00516560">
        <w:rPr>
          <w:rFonts w:ascii="Times New Roman" w:hAnsi="Times New Roman"/>
          <w:sz w:val="22"/>
          <w:szCs w:val="22"/>
          <w:lang w:val="en-US"/>
        </w:rPr>
        <w:t xml:space="preserve"> femoral neck, and total fat and lean mass were measured with Lunar Prodigy Advance DXA on subjects with weight &lt; 160 kg.</w:t>
      </w:r>
      <w:r w:rsidR="00EF1812" w:rsidRPr="00516560">
        <w:rPr>
          <w:rFonts w:ascii="Times New Roman" w:hAnsi="Times New Roman"/>
          <w:sz w:val="22"/>
          <w:szCs w:val="22"/>
          <w:lang w:val="en-US"/>
        </w:rPr>
        <w:t xml:space="preserve"> </w:t>
      </w:r>
      <w:r w:rsidR="00975165" w:rsidRPr="00516560">
        <w:rPr>
          <w:rFonts w:ascii="Times New Roman" w:hAnsi="Times New Roman"/>
          <w:sz w:val="22"/>
          <w:szCs w:val="22"/>
          <w:lang w:val="en-US"/>
        </w:rPr>
        <w:t xml:space="preserve">Prodigy enCORE </w:t>
      </w:r>
      <w:r w:rsidR="000B0D80" w:rsidRPr="00516560">
        <w:rPr>
          <w:rFonts w:ascii="Times New Roman" w:hAnsi="Times New Roman"/>
          <w:sz w:val="22"/>
          <w:szCs w:val="22"/>
          <w:lang w:val="en-US"/>
        </w:rPr>
        <w:t xml:space="preserve">software was used to estimate </w:t>
      </w:r>
      <w:r w:rsidR="0065645D" w:rsidRPr="00516560">
        <w:rPr>
          <w:rFonts w:ascii="Times New Roman" w:hAnsi="Times New Roman"/>
          <w:sz w:val="22"/>
          <w:szCs w:val="22"/>
          <w:lang w:val="en-US"/>
        </w:rPr>
        <w:t xml:space="preserve">relative </w:t>
      </w:r>
      <w:r w:rsidR="000B0D80" w:rsidRPr="00516560">
        <w:rPr>
          <w:rFonts w:ascii="Times New Roman" w:hAnsi="Times New Roman"/>
          <w:sz w:val="22"/>
          <w:szCs w:val="22"/>
          <w:lang w:val="en-US"/>
        </w:rPr>
        <w:t>a</w:t>
      </w:r>
      <w:r w:rsidR="00EF1812" w:rsidRPr="00516560">
        <w:rPr>
          <w:rFonts w:ascii="Times New Roman" w:hAnsi="Times New Roman"/>
          <w:sz w:val="22"/>
          <w:szCs w:val="22"/>
          <w:lang w:val="en-US"/>
        </w:rPr>
        <w:t>ndroid</w:t>
      </w:r>
      <w:r w:rsidR="000B0D80" w:rsidRPr="00516560">
        <w:rPr>
          <w:rFonts w:ascii="Times New Roman" w:hAnsi="Times New Roman"/>
          <w:sz w:val="22"/>
          <w:szCs w:val="22"/>
          <w:lang w:val="en-US"/>
        </w:rPr>
        <w:t xml:space="preserve"> and gynoid fat. The android region is the area between the ribs and the pelvis. The upper demarcation is 20% of the distance between iliac crest and neck. Lower demarcation is at the top of pelvis. The gynoid region includes hips and upper thighs. The upper demarcation is below the top of the iliac crest at a distance of 1.5 times the android height and lower demarcation is distal two times the height of android region. </w:t>
      </w:r>
      <w:r w:rsidRPr="00516560">
        <w:rPr>
          <w:rFonts w:ascii="Times New Roman" w:hAnsi="Times New Roman"/>
          <w:sz w:val="22"/>
          <w:szCs w:val="22"/>
          <w:lang w:val="en-US"/>
        </w:rPr>
        <w:t>Calibration of the measurement was performed with a spine phantom; inter-CV% for BA was 0.38%. Reducibility of DXA measurement for total body is: BMD = 0.85%</w:t>
      </w:r>
      <w:r w:rsidR="000B0D80" w:rsidRPr="00516560">
        <w:rPr>
          <w:rFonts w:ascii="Times New Roman" w:hAnsi="Times New Roman"/>
          <w:sz w:val="22"/>
          <w:szCs w:val="22"/>
          <w:lang w:val="en-US"/>
        </w:rPr>
        <w:t xml:space="preserve"> </w:t>
      </w:r>
      <w:r w:rsidRPr="00516560">
        <w:rPr>
          <w:rFonts w:ascii="Times New Roman" w:hAnsi="Times New Roman"/>
          <w:sz w:val="22"/>
          <w:szCs w:val="22"/>
          <w:lang w:val="en-US"/>
        </w:rPr>
        <w:t xml:space="preserve">and BA = </w:t>
      </w:r>
      <w:r w:rsidRPr="00516560">
        <w:rPr>
          <w:rFonts w:ascii="Times New Roman" w:hAnsi="Times New Roman"/>
          <w:sz w:val="22"/>
          <w:szCs w:val="22"/>
          <w:lang w:val="en-US"/>
        </w:rPr>
        <w:lastRenderedPageBreak/>
        <w:t>0.78%</w:t>
      </w:r>
      <w:r w:rsidR="00DD232C" w:rsidRPr="00516560">
        <w:rPr>
          <w:rFonts w:ascii="Times New Roman" w:hAnsi="Times New Roman"/>
          <w:sz w:val="22"/>
          <w:szCs w:val="22"/>
          <w:lang w:val="en-US"/>
        </w:rPr>
        <w:t xml:space="preserve"> [29]</w:t>
      </w:r>
      <w:r w:rsidRPr="00516560">
        <w:rPr>
          <w:rFonts w:eastAsia="Times New Roman"/>
          <w:lang w:val="en-US"/>
        </w:rPr>
        <w:t>.</w:t>
      </w:r>
    </w:p>
    <w:p w14:paraId="5C5EC5CC" w14:textId="77777777" w:rsidR="002E2257" w:rsidRPr="00516560" w:rsidRDefault="002E2257" w:rsidP="002E2257">
      <w:pPr>
        <w:widowControl w:val="0"/>
        <w:autoSpaceDE w:val="0"/>
        <w:autoSpaceDN w:val="0"/>
        <w:adjustRightInd w:val="0"/>
        <w:spacing w:line="480" w:lineRule="auto"/>
        <w:jc w:val="both"/>
        <w:rPr>
          <w:rFonts w:ascii="Times New Roman" w:hAnsi="Times New Roman"/>
          <w:i/>
          <w:iCs/>
          <w:sz w:val="22"/>
          <w:szCs w:val="22"/>
          <w:lang w:val="en-US"/>
        </w:rPr>
      </w:pPr>
    </w:p>
    <w:p w14:paraId="3AD6FB13" w14:textId="77777777" w:rsidR="002E2257" w:rsidRPr="00516560" w:rsidRDefault="002E2257" w:rsidP="002E2257">
      <w:pPr>
        <w:widowControl w:val="0"/>
        <w:autoSpaceDE w:val="0"/>
        <w:autoSpaceDN w:val="0"/>
        <w:adjustRightInd w:val="0"/>
        <w:spacing w:line="480" w:lineRule="auto"/>
        <w:jc w:val="both"/>
        <w:rPr>
          <w:rFonts w:ascii="Times New Roman" w:hAnsi="Times New Roman"/>
          <w:i/>
          <w:sz w:val="22"/>
          <w:szCs w:val="22"/>
          <w:lang w:val="en-US"/>
        </w:rPr>
      </w:pPr>
      <w:r w:rsidRPr="00516560">
        <w:rPr>
          <w:rFonts w:ascii="Times New Roman" w:hAnsi="Times New Roman"/>
          <w:i/>
          <w:sz w:val="22"/>
          <w:szCs w:val="22"/>
          <w:lang w:val="en-US"/>
        </w:rPr>
        <w:t>Statistics</w:t>
      </w:r>
    </w:p>
    <w:p w14:paraId="646AEB2E"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74CD3766" w14:textId="6EF002B4"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Results are reported as median (interquartile range, IQR). Differences between two groups were tested with Mann-Whitney U-test and Student’s t test.</w:t>
      </w:r>
      <w:r w:rsidR="001E35CE" w:rsidRPr="00516560">
        <w:rPr>
          <w:rFonts w:ascii="Times New Roman" w:hAnsi="Times New Roman"/>
          <w:sz w:val="22"/>
          <w:szCs w:val="22"/>
          <w:lang w:val="en-US"/>
        </w:rPr>
        <w:t xml:space="preserve"> Fischer’s exact test was applied for the categorical variables. </w:t>
      </w:r>
      <w:r w:rsidR="00F70110" w:rsidRPr="00516560">
        <w:rPr>
          <w:rFonts w:ascii="Times New Roman" w:hAnsi="Times New Roman"/>
          <w:sz w:val="22"/>
          <w:szCs w:val="22"/>
          <w:lang w:val="en-US"/>
        </w:rPr>
        <w:t xml:space="preserve">General linear model was used to test for differences in bone parameters between groups as relative fat mass or relative muscle mass as covariate. </w:t>
      </w:r>
      <w:r w:rsidRPr="00516560">
        <w:rPr>
          <w:rFonts w:ascii="Times New Roman" w:hAnsi="Times New Roman"/>
          <w:sz w:val="22"/>
          <w:szCs w:val="22"/>
          <w:lang w:val="en-US"/>
        </w:rPr>
        <w:t xml:space="preserve">We used Kendall’s rank correlation test for correlation analyses and partial correlation analysis correcting for age and BMI for normally distributed variables. Significance level was determined as P&lt;0.05. </w:t>
      </w:r>
      <w:r w:rsidR="00981357" w:rsidRPr="00516560">
        <w:rPr>
          <w:rFonts w:ascii="Times New Roman" w:hAnsi="Times New Roman"/>
          <w:sz w:val="22"/>
          <w:szCs w:val="22"/>
          <w:lang w:val="en-US"/>
        </w:rPr>
        <w:t xml:space="preserve">No statistical adjustment for multiple testing was performed. </w:t>
      </w:r>
      <w:r w:rsidRPr="00516560">
        <w:rPr>
          <w:rFonts w:ascii="Times New Roman" w:hAnsi="Times New Roman"/>
          <w:sz w:val="22"/>
          <w:szCs w:val="22"/>
          <w:lang w:val="en-US"/>
        </w:rPr>
        <w:t xml:space="preserve">All </w:t>
      </w:r>
      <w:r w:rsidR="00981357" w:rsidRPr="00516560">
        <w:rPr>
          <w:rFonts w:ascii="Times New Roman" w:hAnsi="Times New Roman"/>
          <w:sz w:val="22"/>
          <w:szCs w:val="22"/>
          <w:lang w:val="en-US"/>
        </w:rPr>
        <w:t xml:space="preserve">the </w:t>
      </w:r>
      <w:r w:rsidRPr="00516560">
        <w:rPr>
          <w:rFonts w:ascii="Times New Roman" w:hAnsi="Times New Roman"/>
          <w:sz w:val="22"/>
          <w:szCs w:val="22"/>
          <w:lang w:val="en-US"/>
        </w:rPr>
        <w:t>statistical analyses were performed with SPSS</w:t>
      </w:r>
      <w:r w:rsidR="00F70110" w:rsidRPr="00516560">
        <w:rPr>
          <w:rFonts w:ascii="Times New Roman" w:hAnsi="Times New Roman"/>
          <w:sz w:val="22"/>
          <w:szCs w:val="22"/>
          <w:lang w:val="en-US"/>
        </w:rPr>
        <w:t xml:space="preserve"> Statistical package (version 24</w:t>
      </w:r>
      <w:r w:rsidRPr="00516560">
        <w:rPr>
          <w:rFonts w:ascii="Times New Roman" w:hAnsi="Times New Roman"/>
          <w:sz w:val="22"/>
          <w:szCs w:val="22"/>
          <w:lang w:val="en-US"/>
        </w:rPr>
        <w:t>.0.0</w:t>
      </w:r>
      <w:r w:rsidR="00AC0922" w:rsidRPr="00516560">
        <w:rPr>
          <w:rFonts w:ascii="Times New Roman" w:hAnsi="Times New Roman"/>
          <w:sz w:val="22"/>
          <w:szCs w:val="22"/>
          <w:lang w:val="en-US"/>
        </w:rPr>
        <w:t>.1</w:t>
      </w:r>
      <w:r w:rsidRPr="00516560">
        <w:rPr>
          <w:rFonts w:ascii="Times New Roman" w:hAnsi="Times New Roman"/>
          <w:sz w:val="22"/>
          <w:szCs w:val="22"/>
          <w:lang w:val="en-US"/>
        </w:rPr>
        <w:t>).</w:t>
      </w:r>
    </w:p>
    <w:p w14:paraId="7FD32F46"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63C98DEF"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RESULTS</w:t>
      </w:r>
    </w:p>
    <w:p w14:paraId="4656ED41" w14:textId="77777777" w:rsidR="002E2257" w:rsidRPr="00516560" w:rsidRDefault="002E2257" w:rsidP="002E2257">
      <w:pPr>
        <w:widowControl w:val="0"/>
        <w:autoSpaceDE w:val="0"/>
        <w:autoSpaceDN w:val="0"/>
        <w:adjustRightInd w:val="0"/>
        <w:spacing w:line="480" w:lineRule="auto"/>
        <w:jc w:val="both"/>
        <w:rPr>
          <w:rFonts w:ascii="Times New Roman" w:hAnsi="Times New Roman"/>
          <w:i/>
          <w:iCs/>
          <w:sz w:val="22"/>
          <w:szCs w:val="22"/>
          <w:lang w:val="en-US"/>
        </w:rPr>
      </w:pPr>
    </w:p>
    <w:p w14:paraId="0FD8B1E1" w14:textId="77777777" w:rsidR="002E2257" w:rsidRPr="00516560" w:rsidRDefault="002E2257" w:rsidP="002E2257">
      <w:pPr>
        <w:widowControl w:val="0"/>
        <w:autoSpaceDE w:val="0"/>
        <w:autoSpaceDN w:val="0"/>
        <w:adjustRightInd w:val="0"/>
        <w:spacing w:line="480" w:lineRule="auto"/>
        <w:jc w:val="both"/>
        <w:rPr>
          <w:rFonts w:ascii="Times New Roman" w:hAnsi="Times New Roman"/>
          <w:i/>
          <w:iCs/>
          <w:sz w:val="22"/>
          <w:szCs w:val="22"/>
          <w:lang w:val="en-US"/>
        </w:rPr>
      </w:pPr>
      <w:r w:rsidRPr="00516560">
        <w:rPr>
          <w:rFonts w:ascii="Times New Roman" w:hAnsi="Times New Roman"/>
          <w:i/>
          <w:iCs/>
          <w:sz w:val="22"/>
          <w:szCs w:val="22"/>
          <w:lang w:val="en-US"/>
        </w:rPr>
        <w:t>Characteristics</w:t>
      </w:r>
    </w:p>
    <w:p w14:paraId="072CC15C"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5B0297E0" w14:textId="2806D47B"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The characteristics of the males with childhood-onset obesity and control subjects are shown in Table 1. The current median BMI was 37.4 kg/m</w:t>
      </w:r>
      <w:r w:rsidRPr="00516560">
        <w:rPr>
          <w:rFonts w:ascii="Times New Roman" w:hAnsi="Times New Roman"/>
          <w:sz w:val="22"/>
          <w:szCs w:val="22"/>
          <w:vertAlign w:val="superscript"/>
          <w:lang w:val="en-US"/>
        </w:rPr>
        <w:t>2</w:t>
      </w:r>
      <w:r w:rsidRPr="00516560">
        <w:rPr>
          <w:rFonts w:ascii="Times New Roman" w:hAnsi="Times New Roman"/>
          <w:sz w:val="22"/>
          <w:szCs w:val="22"/>
          <w:lang w:val="en-US"/>
        </w:rPr>
        <w:t xml:space="preserve"> in case subjects (n=21) and 22.9 kg/m</w:t>
      </w:r>
      <w:r w:rsidRPr="00516560">
        <w:rPr>
          <w:rFonts w:ascii="Times New Roman" w:hAnsi="Times New Roman"/>
          <w:sz w:val="22"/>
          <w:szCs w:val="22"/>
          <w:vertAlign w:val="superscript"/>
          <w:lang w:val="en-US"/>
        </w:rPr>
        <w:t>2</w:t>
      </w:r>
      <w:r w:rsidRPr="00516560">
        <w:rPr>
          <w:rFonts w:ascii="Times New Roman" w:hAnsi="Times New Roman"/>
          <w:sz w:val="22"/>
          <w:szCs w:val="22"/>
          <w:lang w:val="en-US"/>
        </w:rPr>
        <w:t xml:space="preserve"> in control subjects (n=21, P&lt;0.001). Males with childhood-onset obesity had higher fasting</w:t>
      </w:r>
      <w:r w:rsidR="00F93B33" w:rsidRPr="00516560">
        <w:rPr>
          <w:rFonts w:ascii="Times New Roman" w:hAnsi="Times New Roman"/>
          <w:sz w:val="22"/>
          <w:szCs w:val="22"/>
          <w:lang w:val="en-US"/>
        </w:rPr>
        <w:t xml:space="preserve"> serum leptin concentration and relative android, gynoid and total fat mass</w:t>
      </w:r>
      <w:r w:rsidRPr="00516560">
        <w:rPr>
          <w:rFonts w:ascii="Times New Roman" w:hAnsi="Times New Roman"/>
          <w:sz w:val="22"/>
          <w:szCs w:val="22"/>
          <w:lang w:val="en-US"/>
        </w:rPr>
        <w:t xml:space="preserve">, whereas their relative muscle mass and OC concentration were lower than in controls. Serum FSH and LH concentrations did not differ between the groups. Males with childhood-onset obesity had lower serum total testosterone and </w:t>
      </w:r>
      <w:r w:rsidRPr="00516560">
        <w:rPr>
          <w:rFonts w:ascii="Times New Roman" w:hAnsi="Times New Roman"/>
          <w:sz w:val="22"/>
          <w:szCs w:val="22"/>
          <w:lang w:val="en-US"/>
        </w:rPr>
        <w:lastRenderedPageBreak/>
        <w:t>SHBG concentrations. Moreover, the calculated free testosterone concentration and the ratio of free testosterone to LH were significantly lower in males with childhood-onset obesity than in control subjects. Serum INSL3 levels were decreased in comparison to controls, as well as serum AMH concentration. Serum estradiol concentrations did not differ between the groups, but the ratio of serum estradiol to total testosterone concentration was higher in males with childhood-onset obesity. Subjects with childhood-onse</w:t>
      </w:r>
      <w:r w:rsidR="00F93B33" w:rsidRPr="00516560">
        <w:rPr>
          <w:rFonts w:ascii="Times New Roman" w:hAnsi="Times New Roman"/>
          <w:sz w:val="22"/>
          <w:szCs w:val="22"/>
          <w:lang w:val="en-US"/>
        </w:rPr>
        <w:t>t obesity had higher BMD</w:t>
      </w:r>
      <w:r w:rsidRPr="00516560">
        <w:rPr>
          <w:rFonts w:ascii="Times New Roman" w:hAnsi="Times New Roman"/>
          <w:sz w:val="22"/>
          <w:szCs w:val="22"/>
          <w:lang w:val="en-US"/>
        </w:rPr>
        <w:t xml:space="preserve"> at all measurement sites: whole body, femoral neck and lumbar spine; BA was larger in whole body measurement</w:t>
      </w:r>
      <w:r w:rsidR="00556C2C" w:rsidRPr="00516560">
        <w:rPr>
          <w:rFonts w:ascii="Times New Roman" w:hAnsi="Times New Roman"/>
          <w:sz w:val="22"/>
          <w:szCs w:val="22"/>
          <w:lang w:val="en-US"/>
        </w:rPr>
        <w:t xml:space="preserve"> (Table 1)</w:t>
      </w:r>
      <w:r w:rsidR="00660014" w:rsidRPr="00516560">
        <w:rPr>
          <w:rFonts w:ascii="Times New Roman" w:hAnsi="Times New Roman"/>
          <w:sz w:val="22"/>
          <w:szCs w:val="22"/>
          <w:lang w:val="en-US"/>
        </w:rPr>
        <w:t xml:space="preserve">. </w:t>
      </w:r>
      <w:r w:rsidR="00692974" w:rsidRPr="00516560">
        <w:rPr>
          <w:rFonts w:ascii="Times New Roman" w:hAnsi="Times New Roman"/>
          <w:sz w:val="22"/>
          <w:szCs w:val="22"/>
          <w:lang w:val="en-US"/>
        </w:rPr>
        <w:t>When we adjusted</w:t>
      </w:r>
      <w:r w:rsidR="00556C2C" w:rsidRPr="00516560">
        <w:rPr>
          <w:rFonts w:ascii="Times New Roman" w:hAnsi="Times New Roman"/>
          <w:sz w:val="22"/>
          <w:szCs w:val="22"/>
          <w:lang w:val="en-US"/>
        </w:rPr>
        <w:t xml:space="preserve"> bone parameters fo</w:t>
      </w:r>
      <w:r w:rsidR="006A2815" w:rsidRPr="00516560">
        <w:rPr>
          <w:rFonts w:ascii="Times New Roman" w:hAnsi="Times New Roman"/>
          <w:sz w:val="22"/>
          <w:szCs w:val="22"/>
          <w:lang w:val="en-US"/>
        </w:rPr>
        <w:t xml:space="preserve">r relative fat mass or total </w:t>
      </w:r>
      <w:r w:rsidR="00692974" w:rsidRPr="00516560">
        <w:rPr>
          <w:rFonts w:ascii="Times New Roman" w:hAnsi="Times New Roman"/>
          <w:sz w:val="22"/>
          <w:szCs w:val="22"/>
          <w:lang w:val="en-US"/>
        </w:rPr>
        <w:t>muscle mass, the only statistically significant difference was observed in femoral neck BMD between groups after adjusting for total muscle mass (p = 0.043)</w:t>
      </w:r>
      <w:r w:rsidR="00556C2C" w:rsidRPr="00516560">
        <w:rPr>
          <w:rFonts w:ascii="Times New Roman" w:hAnsi="Times New Roman"/>
          <w:sz w:val="22"/>
          <w:szCs w:val="22"/>
          <w:lang w:val="en-US"/>
        </w:rPr>
        <w:t xml:space="preserve">. </w:t>
      </w:r>
      <w:r w:rsidR="00660014" w:rsidRPr="00516560">
        <w:rPr>
          <w:rFonts w:ascii="Times New Roman" w:hAnsi="Times New Roman"/>
          <w:sz w:val="22"/>
          <w:szCs w:val="22"/>
          <w:lang w:val="en-US"/>
        </w:rPr>
        <w:t>Males with childhood-onset obesity were smoking more often</w:t>
      </w:r>
      <w:r w:rsidR="00FC0D59" w:rsidRPr="00516560">
        <w:rPr>
          <w:rFonts w:ascii="Times New Roman" w:hAnsi="Times New Roman"/>
          <w:sz w:val="22"/>
          <w:szCs w:val="22"/>
          <w:lang w:val="en-US"/>
        </w:rPr>
        <w:t xml:space="preserve"> </w:t>
      </w:r>
      <w:r w:rsidR="00692974" w:rsidRPr="00516560">
        <w:rPr>
          <w:rFonts w:ascii="Times New Roman" w:hAnsi="Times New Roman"/>
          <w:sz w:val="22"/>
          <w:szCs w:val="22"/>
          <w:lang w:val="en-US"/>
        </w:rPr>
        <w:t xml:space="preserve">(32 % vs 5 %, p = 0.044) </w:t>
      </w:r>
      <w:r w:rsidR="00FC0D59" w:rsidRPr="00516560">
        <w:rPr>
          <w:rFonts w:ascii="Times New Roman" w:hAnsi="Times New Roman"/>
          <w:sz w:val="22"/>
          <w:szCs w:val="22"/>
          <w:lang w:val="en-US"/>
        </w:rPr>
        <w:t>and fourth of them had sedentary lifestyle</w:t>
      </w:r>
      <w:r w:rsidR="00692974" w:rsidRPr="00516560">
        <w:rPr>
          <w:rFonts w:ascii="Times New Roman" w:hAnsi="Times New Roman"/>
          <w:sz w:val="22"/>
          <w:szCs w:val="22"/>
          <w:lang w:val="en-US"/>
        </w:rPr>
        <w:t xml:space="preserve"> (25% </w:t>
      </w:r>
      <w:r w:rsidR="00692974" w:rsidRPr="00516560">
        <w:rPr>
          <w:rFonts w:ascii="Times New Roman" w:hAnsi="Times New Roman"/>
          <w:sz w:val="22"/>
          <w:szCs w:val="22"/>
          <w:lang w:val="en-US"/>
        </w:rPr>
        <w:lastRenderedPageBreak/>
        <w:t>vs. 5%, p = 0.093), but the difference in total physical activity did not reach statistical significance (Table 1). A</w:t>
      </w:r>
      <w:r w:rsidR="00660014" w:rsidRPr="00516560">
        <w:rPr>
          <w:rFonts w:ascii="Times New Roman" w:hAnsi="Times New Roman"/>
          <w:sz w:val="22"/>
          <w:szCs w:val="22"/>
          <w:lang w:val="en-US"/>
        </w:rPr>
        <w:t xml:space="preserve">lcohol use did not differ between </w:t>
      </w:r>
      <w:r w:rsidR="00692974" w:rsidRPr="00516560">
        <w:rPr>
          <w:rFonts w:ascii="Times New Roman" w:hAnsi="Times New Roman"/>
          <w:sz w:val="22"/>
          <w:szCs w:val="22"/>
          <w:lang w:val="en-US"/>
        </w:rPr>
        <w:t xml:space="preserve">the </w:t>
      </w:r>
      <w:r w:rsidR="00660014" w:rsidRPr="00516560">
        <w:rPr>
          <w:rFonts w:ascii="Times New Roman" w:hAnsi="Times New Roman"/>
          <w:sz w:val="22"/>
          <w:szCs w:val="22"/>
          <w:lang w:val="en-US"/>
        </w:rPr>
        <w:t xml:space="preserve">groups </w:t>
      </w:r>
      <w:r w:rsidR="00692974" w:rsidRPr="00516560">
        <w:rPr>
          <w:rFonts w:ascii="Times New Roman" w:hAnsi="Times New Roman"/>
          <w:sz w:val="22"/>
          <w:szCs w:val="22"/>
          <w:lang w:val="en-US"/>
        </w:rPr>
        <w:t>(74 % vs. 65 %, p = 0.7</w:t>
      </w:r>
      <w:r w:rsidRPr="00516560">
        <w:rPr>
          <w:rFonts w:ascii="Times New Roman" w:hAnsi="Times New Roman"/>
          <w:sz w:val="22"/>
          <w:szCs w:val="22"/>
          <w:lang w:val="en-US"/>
        </w:rPr>
        <w:t>).</w:t>
      </w:r>
    </w:p>
    <w:p w14:paraId="0D8941B9"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16ED2207" w14:textId="1325B7FC" w:rsidR="005C3581"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 xml:space="preserve">Based on the medical records, 14 males with childhood-onset obesity had reached pubertal stage of G4-5 at mean age of 15.6 yrs (range, 12.8-17.8), while age at G4 stage was not recorded on seven males. </w:t>
      </w:r>
      <w:r w:rsidR="00171A09" w:rsidRPr="00516560">
        <w:rPr>
          <w:rFonts w:ascii="Times New Roman" w:hAnsi="Times New Roman"/>
          <w:sz w:val="22"/>
          <w:szCs w:val="22"/>
          <w:lang w:val="en-US"/>
        </w:rPr>
        <w:t>A male</w:t>
      </w:r>
      <w:r w:rsidR="00A31E83" w:rsidRPr="00516560">
        <w:rPr>
          <w:rFonts w:ascii="Times New Roman" w:hAnsi="Times New Roman"/>
          <w:sz w:val="22"/>
          <w:szCs w:val="22"/>
          <w:lang w:val="en-US"/>
        </w:rPr>
        <w:t xml:space="preserve"> with childhood-onset obes</w:t>
      </w:r>
      <w:r w:rsidR="00171A09" w:rsidRPr="00516560">
        <w:rPr>
          <w:rFonts w:ascii="Times New Roman" w:hAnsi="Times New Roman"/>
          <w:sz w:val="22"/>
          <w:szCs w:val="22"/>
          <w:lang w:val="en-US"/>
        </w:rPr>
        <w:t>ity (19.5 yrs) and a</w:t>
      </w:r>
      <w:r w:rsidR="00A31E83" w:rsidRPr="00516560">
        <w:rPr>
          <w:rFonts w:ascii="Times New Roman" w:hAnsi="Times New Roman"/>
          <w:sz w:val="22"/>
          <w:szCs w:val="22"/>
          <w:lang w:val="en-US"/>
        </w:rPr>
        <w:t xml:space="preserve"> control subject (15.4 yrs) had testosterone below 10 umol/l, and FSH and LH below 2 IU/l indicating that </w:t>
      </w:r>
      <w:r w:rsidR="00171A09" w:rsidRPr="00516560">
        <w:rPr>
          <w:rFonts w:ascii="Times New Roman" w:hAnsi="Times New Roman"/>
          <w:sz w:val="22"/>
          <w:szCs w:val="22"/>
          <w:lang w:val="en-US"/>
        </w:rPr>
        <w:t xml:space="preserve">they </w:t>
      </w:r>
      <w:r w:rsidR="00A31E83" w:rsidRPr="00516560">
        <w:rPr>
          <w:rFonts w:ascii="Times New Roman" w:hAnsi="Times New Roman"/>
          <w:sz w:val="22"/>
          <w:szCs w:val="22"/>
          <w:lang w:val="en-US"/>
        </w:rPr>
        <w:t xml:space="preserve">were </w:t>
      </w:r>
      <w:r w:rsidR="00FC0D59" w:rsidRPr="00516560">
        <w:rPr>
          <w:rFonts w:ascii="Times New Roman" w:hAnsi="Times New Roman"/>
          <w:sz w:val="22"/>
          <w:szCs w:val="22"/>
          <w:lang w:val="en-US"/>
        </w:rPr>
        <w:t xml:space="preserve">still </w:t>
      </w:r>
      <w:r w:rsidR="00A31E83" w:rsidRPr="00516560">
        <w:rPr>
          <w:rFonts w:ascii="Times New Roman" w:hAnsi="Times New Roman"/>
          <w:sz w:val="22"/>
          <w:szCs w:val="22"/>
          <w:lang w:val="en-US"/>
        </w:rPr>
        <w:t>at late pubertal state.</w:t>
      </w:r>
      <w:r w:rsidR="00171A09" w:rsidRPr="00516560">
        <w:rPr>
          <w:rFonts w:ascii="Times New Roman" w:hAnsi="Times New Roman"/>
          <w:sz w:val="22"/>
          <w:szCs w:val="22"/>
          <w:lang w:val="en-US"/>
        </w:rPr>
        <w:t xml:space="preserve"> Exclusion of these two</w:t>
      </w:r>
      <w:r w:rsidR="00D3300B" w:rsidRPr="00516560">
        <w:rPr>
          <w:rFonts w:ascii="Times New Roman" w:hAnsi="Times New Roman"/>
          <w:sz w:val="22"/>
          <w:szCs w:val="22"/>
          <w:lang w:val="en-US"/>
        </w:rPr>
        <w:t xml:space="preserve"> subjects did not change the statistical significance of comparative results reported in Table 1.</w:t>
      </w:r>
      <w:r w:rsidR="00A31E83" w:rsidRPr="00516560">
        <w:rPr>
          <w:rFonts w:ascii="Times New Roman" w:hAnsi="Times New Roman"/>
          <w:sz w:val="22"/>
          <w:szCs w:val="22"/>
          <w:lang w:val="en-US"/>
        </w:rPr>
        <w:t xml:space="preserve"> </w:t>
      </w:r>
      <w:r w:rsidRPr="00516560">
        <w:rPr>
          <w:rFonts w:ascii="Times New Roman" w:hAnsi="Times New Roman"/>
          <w:sz w:val="22"/>
          <w:szCs w:val="22"/>
          <w:lang w:val="en-US"/>
        </w:rPr>
        <w:t>Age correlated positively with estradiol concentration in the control group (</w:t>
      </w:r>
      <w:r w:rsidRPr="00516560">
        <w:rPr>
          <w:rFonts w:ascii="Times New Roman" w:hAnsi="Times New Roman" w:hint="eastAsia"/>
          <w:sz w:val="22"/>
          <w:szCs w:val="22"/>
          <w:lang w:val="en-US"/>
        </w:rPr>
        <w:t>τ</w:t>
      </w:r>
      <w:r w:rsidRPr="00516560">
        <w:rPr>
          <w:rFonts w:ascii="Times New Roman" w:hAnsi="Times New Roman"/>
          <w:sz w:val="22"/>
          <w:szCs w:val="22"/>
          <w:lang w:val="en-US"/>
        </w:rPr>
        <w:t xml:space="preserve"> = 0.415, P=0.009), but no correlation between age and free testosterone or INSL3 concentrations was observed in either group (data not </w:t>
      </w:r>
      <w:r w:rsidRPr="00516560">
        <w:rPr>
          <w:rFonts w:ascii="Times New Roman" w:hAnsi="Times New Roman"/>
          <w:sz w:val="22"/>
          <w:szCs w:val="22"/>
          <w:lang w:val="en-US"/>
        </w:rPr>
        <w:lastRenderedPageBreak/>
        <w:t xml:space="preserve">shown). However, the youngest tertile of the whole cohort had significantly lower INSL3 concentration than older subjects [n=10 vs. 32; 0.89 (0.77 – 1.05) vs 1.19 (1.00 – 1.40), P=0.027]. </w:t>
      </w:r>
    </w:p>
    <w:p w14:paraId="6CFB779D"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6A239FFF" w14:textId="571EB357" w:rsidR="005C3581" w:rsidRPr="00516560" w:rsidRDefault="00ED7856"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 xml:space="preserve">Among the males with childhood-onset obesity, two had daily medication for </w:t>
      </w:r>
      <w:r w:rsidR="00F84F3F" w:rsidRPr="00516560">
        <w:rPr>
          <w:rFonts w:ascii="Times New Roman" w:hAnsi="Times New Roman"/>
          <w:sz w:val="22"/>
          <w:szCs w:val="22"/>
          <w:lang w:val="en-US"/>
        </w:rPr>
        <w:t>type 2 diabetes mellitus, two for hypertension, one for depression, and one had used sildenafil for erection difficulties.</w:t>
      </w:r>
    </w:p>
    <w:p w14:paraId="774CC496" w14:textId="77777777" w:rsidR="00F84F3F" w:rsidRPr="00516560" w:rsidRDefault="00F84F3F" w:rsidP="002E2257">
      <w:pPr>
        <w:widowControl w:val="0"/>
        <w:autoSpaceDE w:val="0"/>
        <w:autoSpaceDN w:val="0"/>
        <w:adjustRightInd w:val="0"/>
        <w:spacing w:line="480" w:lineRule="auto"/>
        <w:jc w:val="both"/>
        <w:rPr>
          <w:rFonts w:ascii="Times New Roman" w:hAnsi="Times New Roman"/>
          <w:sz w:val="22"/>
          <w:szCs w:val="22"/>
          <w:lang w:val="en-US"/>
        </w:rPr>
      </w:pPr>
    </w:p>
    <w:p w14:paraId="0628C683" w14:textId="77777777" w:rsidR="002E2257" w:rsidRPr="00516560" w:rsidRDefault="002E2257" w:rsidP="002E2257">
      <w:pPr>
        <w:widowControl w:val="0"/>
        <w:autoSpaceDE w:val="0"/>
        <w:autoSpaceDN w:val="0"/>
        <w:adjustRightInd w:val="0"/>
        <w:spacing w:line="480" w:lineRule="auto"/>
        <w:jc w:val="both"/>
        <w:rPr>
          <w:rFonts w:ascii="Times New Roman" w:hAnsi="Times New Roman"/>
          <w:i/>
          <w:sz w:val="22"/>
          <w:szCs w:val="22"/>
          <w:lang w:val="en-US"/>
        </w:rPr>
      </w:pPr>
      <w:r w:rsidRPr="00516560">
        <w:rPr>
          <w:rFonts w:ascii="Times New Roman" w:hAnsi="Times New Roman"/>
          <w:i/>
          <w:sz w:val="22"/>
          <w:szCs w:val="22"/>
          <w:lang w:val="en-US"/>
        </w:rPr>
        <w:t>Associations between BMI and hormone concentrations</w:t>
      </w:r>
    </w:p>
    <w:p w14:paraId="65544875"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6D6CAB89" w14:textId="5391CB61"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To describe correlations between body composition and circulating hormone concentrations, BMI was plotted against free testosterone, estradiol, and INSL3 concentrations in Figure 1. We found a strong inverse correlation between BMI and free testosterone (</w:t>
      </w:r>
      <w:r w:rsidRPr="00516560">
        <w:rPr>
          <w:rFonts w:ascii="Times New Roman" w:hAnsi="Times New Roman"/>
          <w:bCs/>
          <w:sz w:val="22"/>
          <w:szCs w:val="22"/>
          <w:lang w:val="en-US"/>
        </w:rPr>
        <w:t xml:space="preserve">τ = -0.414, P&lt;0.001, </w:t>
      </w:r>
      <w:r w:rsidRPr="00516560">
        <w:rPr>
          <w:rFonts w:ascii="Times New Roman" w:hAnsi="Times New Roman"/>
          <w:sz w:val="22"/>
          <w:szCs w:val="22"/>
          <w:lang w:val="en-US"/>
        </w:rPr>
        <w:t xml:space="preserve">Figure 1A). </w:t>
      </w:r>
      <w:r w:rsidRPr="00516560">
        <w:rPr>
          <w:rFonts w:ascii="Times New Roman" w:hAnsi="Times New Roman"/>
          <w:sz w:val="22"/>
          <w:szCs w:val="22"/>
          <w:lang w:val="en-US"/>
        </w:rPr>
        <w:lastRenderedPageBreak/>
        <w:t>We observed no significant correlation between BMI and estradiol concentration (τ = 0.107, P=0.3, Figure 1B), but an inverse correlation between BMI and INSL3 concentration was evident (</w:t>
      </w:r>
      <w:r w:rsidRPr="00516560">
        <w:rPr>
          <w:rFonts w:ascii="Times New Roman" w:hAnsi="Times New Roman"/>
          <w:bCs/>
          <w:sz w:val="22"/>
          <w:szCs w:val="22"/>
          <w:lang w:val="en-US"/>
        </w:rPr>
        <w:t xml:space="preserve">τ = -0.281, P=0.022, </w:t>
      </w:r>
      <w:r w:rsidRPr="00516560">
        <w:rPr>
          <w:rFonts w:ascii="Times New Roman" w:hAnsi="Times New Roman"/>
          <w:sz w:val="22"/>
          <w:szCs w:val="22"/>
          <w:lang w:val="en-US"/>
        </w:rPr>
        <w:t xml:space="preserve">Figure 1C). </w:t>
      </w:r>
      <w:r w:rsidR="00171A09" w:rsidRPr="00516560">
        <w:rPr>
          <w:rFonts w:ascii="Times New Roman" w:hAnsi="Times New Roman"/>
          <w:sz w:val="22"/>
          <w:szCs w:val="22"/>
          <w:lang w:val="en-US"/>
        </w:rPr>
        <w:t>To define the associations between fat distribution and testicular hormones, we calculated correlations between android fat, gynoid fat, free testosterone and INSL3. Android fat correlated inversely with free testosterone concentration in males with childhood-onset obesity (τ = -0.410, P=0.03), while no other statistically significant association was found (data not shown).</w:t>
      </w:r>
    </w:p>
    <w:p w14:paraId="7CFD8A59"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25B1619C"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We found no correlation between OC and free testosterone or estradiol in the group of males with severe childhood-onset obesity. Total OC concentration correlated negatively with free testosterone (</w:t>
      </w:r>
      <w:r w:rsidRPr="00516560">
        <w:rPr>
          <w:rFonts w:ascii="Times New Roman" w:hAnsi="Times New Roman"/>
          <w:bCs/>
          <w:sz w:val="22"/>
          <w:szCs w:val="22"/>
          <w:lang w:val="en-US"/>
        </w:rPr>
        <w:t xml:space="preserve">τ = -0.343, P=0.030) </w:t>
      </w:r>
      <w:r w:rsidRPr="00516560">
        <w:rPr>
          <w:rFonts w:ascii="Times New Roman" w:hAnsi="Times New Roman"/>
          <w:sz w:val="22"/>
          <w:szCs w:val="22"/>
          <w:lang w:val="en-US"/>
        </w:rPr>
        <w:t>and estradiol (</w:t>
      </w:r>
      <w:r w:rsidRPr="00516560">
        <w:rPr>
          <w:rFonts w:ascii="Times New Roman" w:hAnsi="Times New Roman"/>
          <w:bCs/>
          <w:sz w:val="22"/>
          <w:szCs w:val="22"/>
          <w:lang w:val="en-US"/>
        </w:rPr>
        <w:t xml:space="preserve">τ = -0.482, P=0.002) concentrations only </w:t>
      </w:r>
      <w:r w:rsidRPr="00516560">
        <w:rPr>
          <w:rFonts w:ascii="Times New Roman" w:hAnsi="Times New Roman"/>
          <w:sz w:val="22"/>
          <w:szCs w:val="22"/>
          <w:lang w:val="en-US"/>
        </w:rPr>
        <w:t xml:space="preserve">in the control </w:t>
      </w:r>
      <w:r w:rsidRPr="00516560">
        <w:rPr>
          <w:rFonts w:ascii="Times New Roman" w:hAnsi="Times New Roman"/>
          <w:sz w:val="22"/>
          <w:szCs w:val="22"/>
          <w:lang w:val="en-US"/>
        </w:rPr>
        <w:lastRenderedPageBreak/>
        <w:t>group. To study if these associations were concealed by BMI we adjusted for BMI: no statistically significant correlation was observed between OC and free testosterone, while correlation between OC and estradiol remained significant in the control group (r = -0.500, P=0.025).</w:t>
      </w:r>
    </w:p>
    <w:p w14:paraId="20FA5918" w14:textId="77777777" w:rsidR="002E2257" w:rsidRPr="00516560" w:rsidRDefault="002E2257" w:rsidP="002E2257">
      <w:pPr>
        <w:widowControl w:val="0"/>
        <w:autoSpaceDE w:val="0"/>
        <w:autoSpaceDN w:val="0"/>
        <w:adjustRightInd w:val="0"/>
        <w:spacing w:line="480" w:lineRule="auto"/>
        <w:jc w:val="both"/>
        <w:rPr>
          <w:rFonts w:ascii="Times New Roman" w:hAnsi="Times New Roman"/>
          <w:i/>
          <w:iCs/>
          <w:sz w:val="22"/>
          <w:szCs w:val="22"/>
          <w:lang w:val="en-US"/>
        </w:rPr>
      </w:pPr>
    </w:p>
    <w:p w14:paraId="3F38A2C5" w14:textId="77777777" w:rsidR="002E2257" w:rsidRPr="00516560" w:rsidRDefault="002E2257" w:rsidP="002E2257">
      <w:pPr>
        <w:widowControl w:val="0"/>
        <w:autoSpaceDE w:val="0"/>
        <w:autoSpaceDN w:val="0"/>
        <w:adjustRightInd w:val="0"/>
        <w:spacing w:line="480" w:lineRule="auto"/>
        <w:jc w:val="both"/>
        <w:rPr>
          <w:rFonts w:ascii="Times New Roman" w:hAnsi="Times New Roman"/>
          <w:i/>
          <w:iCs/>
          <w:sz w:val="22"/>
          <w:szCs w:val="22"/>
          <w:lang w:val="en-US"/>
        </w:rPr>
      </w:pPr>
      <w:r w:rsidRPr="00516560">
        <w:rPr>
          <w:rFonts w:ascii="Times New Roman" w:hAnsi="Times New Roman"/>
          <w:i/>
          <w:iCs/>
          <w:sz w:val="22"/>
          <w:szCs w:val="22"/>
          <w:lang w:val="en-US"/>
        </w:rPr>
        <w:t>Bone parameters in comparison to serum free T, estradiol, and INSL3</w:t>
      </w:r>
    </w:p>
    <w:p w14:paraId="7AC92A1E"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1261B6D7" w14:textId="2388C3DF"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To describe the testis-bone associations, the correlations between bone parameters and free testosterone, estradiol, and INSL3 concentrations were calculated in patient and control groups and controlled for age and BMI (Table 2). Higher free testosterone concentration</w:t>
      </w:r>
      <w:r w:rsidR="00EF1812" w:rsidRPr="00516560">
        <w:rPr>
          <w:rFonts w:ascii="Times New Roman" w:hAnsi="Times New Roman"/>
          <w:sz w:val="22"/>
          <w:szCs w:val="22"/>
          <w:lang w:val="en-US"/>
        </w:rPr>
        <w:t xml:space="preserve"> correlated with higher </w:t>
      </w:r>
      <w:r w:rsidRPr="00516560">
        <w:rPr>
          <w:rFonts w:ascii="Times New Roman" w:hAnsi="Times New Roman"/>
          <w:sz w:val="22"/>
          <w:szCs w:val="22"/>
          <w:lang w:val="en-US"/>
        </w:rPr>
        <w:t xml:space="preserve">BA at all measurement sites, and with higher muscle mass in patient group. When analyses were corrected for both age and BMI, no correlation between serum estradiol concentration and bone parameters or muscle mass </w:t>
      </w:r>
      <w:r w:rsidRPr="00516560">
        <w:rPr>
          <w:rFonts w:ascii="Times New Roman" w:hAnsi="Times New Roman"/>
          <w:sz w:val="22"/>
          <w:szCs w:val="22"/>
          <w:lang w:val="en-US"/>
        </w:rPr>
        <w:lastRenderedPageBreak/>
        <w:t>was found. Serum INSL3 concentration correlated positively with lumbar spine BMD and negatively with BA at femoral neck in males with childhood-onset obesity.</w:t>
      </w:r>
      <w:r w:rsidR="00EF1812" w:rsidRPr="00516560">
        <w:rPr>
          <w:rFonts w:ascii="Times New Roman" w:hAnsi="Times New Roman"/>
          <w:sz w:val="22"/>
          <w:szCs w:val="22"/>
          <w:lang w:val="en-US"/>
        </w:rPr>
        <w:t xml:space="preserve"> </w:t>
      </w:r>
      <w:r w:rsidR="00A0424E" w:rsidRPr="00516560">
        <w:rPr>
          <w:rFonts w:ascii="Times New Roman" w:hAnsi="Times New Roman"/>
          <w:sz w:val="22"/>
          <w:szCs w:val="22"/>
          <w:lang w:val="en-US"/>
        </w:rPr>
        <w:t>In order to investigate the effects of all the hormones and relative fat mass, we used them all (age, relative fat mass</w:t>
      </w:r>
      <w:r w:rsidR="00EF1812" w:rsidRPr="00516560">
        <w:rPr>
          <w:rFonts w:ascii="Times New Roman" w:hAnsi="Times New Roman"/>
          <w:sz w:val="22"/>
          <w:szCs w:val="22"/>
          <w:lang w:val="en-US"/>
        </w:rPr>
        <w:t>, estradiol, free testosterone, INSL3 and osteocal</w:t>
      </w:r>
      <w:r w:rsidR="00A0424E" w:rsidRPr="00516560">
        <w:rPr>
          <w:rFonts w:ascii="Times New Roman" w:hAnsi="Times New Roman"/>
          <w:sz w:val="22"/>
          <w:szCs w:val="22"/>
          <w:lang w:val="en-US"/>
        </w:rPr>
        <w:t>cin) in</w:t>
      </w:r>
      <w:r w:rsidR="00EF1812" w:rsidRPr="00516560">
        <w:rPr>
          <w:rFonts w:ascii="Times New Roman" w:hAnsi="Times New Roman"/>
          <w:sz w:val="22"/>
          <w:szCs w:val="22"/>
          <w:lang w:val="en-US"/>
        </w:rPr>
        <w:t xml:space="preserve"> linear regression m</w:t>
      </w:r>
      <w:r w:rsidR="00921B28" w:rsidRPr="00516560">
        <w:rPr>
          <w:rFonts w:ascii="Times New Roman" w:hAnsi="Times New Roman"/>
          <w:sz w:val="22"/>
          <w:szCs w:val="22"/>
          <w:lang w:val="en-US"/>
        </w:rPr>
        <w:t>odels explaining whole body</w:t>
      </w:r>
      <w:r w:rsidR="00EF1812" w:rsidRPr="00516560">
        <w:rPr>
          <w:rFonts w:ascii="Times New Roman" w:hAnsi="Times New Roman"/>
          <w:sz w:val="22"/>
          <w:szCs w:val="22"/>
          <w:lang w:val="en-US"/>
        </w:rPr>
        <w:t xml:space="preserve"> BMD</w:t>
      </w:r>
      <w:r w:rsidR="00921B28" w:rsidRPr="00516560">
        <w:rPr>
          <w:rFonts w:ascii="Times New Roman" w:hAnsi="Times New Roman"/>
          <w:sz w:val="22"/>
          <w:szCs w:val="22"/>
          <w:lang w:val="en-US"/>
        </w:rPr>
        <w:t xml:space="preserve"> or BA, lumbar spine </w:t>
      </w:r>
      <w:r w:rsidR="00EF1812" w:rsidRPr="00516560">
        <w:rPr>
          <w:rFonts w:ascii="Times New Roman" w:hAnsi="Times New Roman"/>
          <w:sz w:val="22"/>
          <w:szCs w:val="22"/>
          <w:lang w:val="en-US"/>
        </w:rPr>
        <w:t xml:space="preserve">BMD </w:t>
      </w:r>
      <w:r w:rsidR="00921B28" w:rsidRPr="00516560">
        <w:rPr>
          <w:rFonts w:ascii="Times New Roman" w:hAnsi="Times New Roman"/>
          <w:sz w:val="22"/>
          <w:szCs w:val="22"/>
          <w:lang w:val="en-US"/>
        </w:rPr>
        <w:t xml:space="preserve">or BA </w:t>
      </w:r>
      <w:r w:rsidR="00EF1812" w:rsidRPr="00516560">
        <w:rPr>
          <w:rFonts w:ascii="Times New Roman" w:hAnsi="Times New Roman"/>
          <w:sz w:val="22"/>
          <w:szCs w:val="22"/>
          <w:lang w:val="en-US"/>
        </w:rPr>
        <w:t xml:space="preserve">in the whole group. </w:t>
      </w:r>
      <w:r w:rsidR="00A0424E" w:rsidRPr="00516560">
        <w:rPr>
          <w:rFonts w:ascii="Times New Roman" w:hAnsi="Times New Roman"/>
          <w:sz w:val="22"/>
          <w:szCs w:val="22"/>
          <w:lang w:val="en-US"/>
        </w:rPr>
        <w:t>Age</w:t>
      </w:r>
      <w:r w:rsidR="00EF1812" w:rsidRPr="00516560">
        <w:rPr>
          <w:rFonts w:ascii="Times New Roman" w:hAnsi="Times New Roman"/>
          <w:sz w:val="22"/>
          <w:szCs w:val="22"/>
          <w:lang w:val="en-US"/>
        </w:rPr>
        <w:t xml:space="preserve"> </w:t>
      </w:r>
      <w:r w:rsidR="00A0424E" w:rsidRPr="00516560">
        <w:rPr>
          <w:rFonts w:ascii="Times New Roman" w:hAnsi="Times New Roman"/>
          <w:sz w:val="22"/>
          <w:szCs w:val="22"/>
          <w:lang w:val="en-US"/>
        </w:rPr>
        <w:t>[yr, coefficient (95% CI), 55 (2.7 – 108), P = 0.040</w:t>
      </w:r>
      <w:r w:rsidR="00EF1812" w:rsidRPr="00516560">
        <w:rPr>
          <w:rFonts w:ascii="Times New Roman" w:hAnsi="Times New Roman"/>
          <w:sz w:val="22"/>
          <w:szCs w:val="22"/>
          <w:lang w:val="en-US"/>
        </w:rPr>
        <w:t>]</w:t>
      </w:r>
      <w:r w:rsidR="00A0424E" w:rsidRPr="00516560">
        <w:rPr>
          <w:rFonts w:ascii="Times New Roman" w:hAnsi="Times New Roman"/>
          <w:sz w:val="22"/>
          <w:szCs w:val="22"/>
          <w:lang w:val="en-US"/>
        </w:rPr>
        <w:t xml:space="preserve"> and relative fat mass [%, 11 (1.5 – 20), P = 0.026] had significant associations with whole body BA</w:t>
      </w:r>
      <w:r w:rsidR="00EF1812" w:rsidRPr="00516560">
        <w:rPr>
          <w:rFonts w:ascii="Times New Roman" w:hAnsi="Times New Roman"/>
          <w:sz w:val="22"/>
          <w:szCs w:val="22"/>
          <w:lang w:val="en-US"/>
        </w:rPr>
        <w:t>, while all the other factors in linear regression models lost their power to explain bone parameters</w:t>
      </w:r>
      <w:r w:rsidR="00A0424E" w:rsidRPr="00516560">
        <w:rPr>
          <w:rFonts w:ascii="Times New Roman" w:hAnsi="Times New Roman"/>
          <w:sz w:val="22"/>
          <w:szCs w:val="22"/>
          <w:lang w:val="en-US"/>
        </w:rPr>
        <w:t xml:space="preserve"> (Supplemental Table 1)</w:t>
      </w:r>
      <w:r w:rsidR="00EF1812" w:rsidRPr="00516560">
        <w:rPr>
          <w:rFonts w:ascii="Times New Roman" w:hAnsi="Times New Roman"/>
          <w:sz w:val="22"/>
          <w:szCs w:val="22"/>
          <w:lang w:val="en-US"/>
        </w:rPr>
        <w:t>.</w:t>
      </w:r>
    </w:p>
    <w:p w14:paraId="49B005FC"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00E27103"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DISCUSSION</w:t>
      </w:r>
    </w:p>
    <w:p w14:paraId="0A16391D"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1199C9C8" w14:textId="26FFEC6C"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 xml:space="preserve">Adiposity and altered energy metabolism may have profound effects on </w:t>
      </w:r>
      <w:r w:rsidRPr="00516560">
        <w:rPr>
          <w:rFonts w:ascii="Times New Roman" w:hAnsi="Times New Roman"/>
          <w:sz w:val="22"/>
          <w:szCs w:val="22"/>
          <w:lang w:val="en-US"/>
        </w:rPr>
        <w:lastRenderedPageBreak/>
        <w:t xml:space="preserve">pubertal development in boys with childhood-onset obesity. Our key finding demonstrates that severe obesity before the onset of puberty manifests with lower circulating free testosterone levels in late puberty or at early adulthood. Lower circulating INSL3 concentration and lower ratio of testosterone to LH may indicate disrupted Leydig cell function in the males with childhood-onset obesity as compared with age-matched control subjects. In males with childhood-onset obesity, free testosterone concentration </w:t>
      </w:r>
      <w:r w:rsidR="00175823" w:rsidRPr="00516560">
        <w:rPr>
          <w:rFonts w:ascii="Times New Roman" w:hAnsi="Times New Roman"/>
          <w:sz w:val="22"/>
          <w:szCs w:val="22"/>
          <w:lang w:val="en-US"/>
        </w:rPr>
        <w:t xml:space="preserve">correlated positively with </w:t>
      </w:r>
      <w:r w:rsidRPr="00516560">
        <w:rPr>
          <w:rFonts w:ascii="Times New Roman" w:hAnsi="Times New Roman"/>
          <w:sz w:val="22"/>
          <w:szCs w:val="22"/>
          <w:lang w:val="en-US"/>
        </w:rPr>
        <w:t xml:space="preserve">BA at all measurement sites, and INSL3 concentration positively with BMD at lumbar spine. </w:t>
      </w:r>
    </w:p>
    <w:p w14:paraId="53DEBE22"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2330F096"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 xml:space="preserve">Our case-control cohort represented a unique group of young adult men who had developed severe childhood-onset onset obesity before the onset of puberty, and the control group was selected from the same population, </w:t>
      </w:r>
      <w:r w:rsidRPr="00516560">
        <w:rPr>
          <w:rFonts w:ascii="Times New Roman" w:hAnsi="Times New Roman"/>
          <w:sz w:val="22"/>
          <w:szCs w:val="22"/>
          <w:lang w:val="en-US"/>
        </w:rPr>
        <w:lastRenderedPageBreak/>
        <w:t>excluding subjects who had been obese before puberty. In line with previous studies</w:t>
      </w:r>
      <w:r w:rsidR="00DD232C" w:rsidRPr="00516560">
        <w:rPr>
          <w:rFonts w:ascii="Times New Roman" w:hAnsi="Times New Roman"/>
          <w:sz w:val="22"/>
          <w:szCs w:val="22"/>
          <w:lang w:val="en-US"/>
        </w:rPr>
        <w:t xml:space="preserve"> [6,30]</w:t>
      </w:r>
      <w:r w:rsidRPr="00516560">
        <w:rPr>
          <w:rFonts w:ascii="Times New Roman" w:hAnsi="Times New Roman"/>
          <w:sz w:val="22"/>
          <w:szCs w:val="22"/>
          <w:lang w:val="en-US"/>
        </w:rPr>
        <w:t xml:space="preserve">, we saw lower total testosterone and free testosterone concentrations in males with childhood-onset obesity. Free testosterone concentration correlated inversely with current BMI. We observed a higher ratio of estradiol to total testosterone in males with childhood-onset obesity, suggesting increased aromatization to estradiol. However, serum estradiol concentrations were similar between males with childhood-onset obesity and control subjects. This may suggest that reduced testosterone concentration may provide less substrate for aromatization to estradiol in the adipose tissue. In line with our results, a previous study on obese males with 14-20 yrs of age demonstrated lower total and free testosterone concentrations, while no difference was observed in LH and FSH levels in comparison to healthy control subjects. The study showed lower total and </w:t>
      </w:r>
      <w:r w:rsidRPr="00516560">
        <w:rPr>
          <w:rFonts w:ascii="Times New Roman" w:hAnsi="Times New Roman"/>
          <w:sz w:val="22"/>
          <w:szCs w:val="22"/>
          <w:lang w:val="en-US"/>
        </w:rPr>
        <w:lastRenderedPageBreak/>
        <w:t>free estradiol concentrations in males with subnormal testosterone concentration, which indicates that lower testosterone concentration is not secondary to an increase in estradiol concentration</w:t>
      </w:r>
      <w:r w:rsidR="00DD232C" w:rsidRPr="00516560">
        <w:rPr>
          <w:rFonts w:ascii="Times New Roman" w:hAnsi="Times New Roman"/>
          <w:sz w:val="22"/>
          <w:szCs w:val="22"/>
          <w:lang w:val="en-US"/>
        </w:rPr>
        <w:t xml:space="preserve"> [7]</w:t>
      </w:r>
      <w:r w:rsidRPr="00516560">
        <w:rPr>
          <w:rFonts w:ascii="Times New Roman" w:hAnsi="Times New Roman"/>
          <w:sz w:val="22"/>
          <w:szCs w:val="22"/>
          <w:lang w:val="en-US"/>
        </w:rPr>
        <w:t>.</w:t>
      </w:r>
    </w:p>
    <w:p w14:paraId="278A7E90"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7B9CCAB3" w14:textId="77777777" w:rsidR="0057342F"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 xml:space="preserve">We observed lower free testosterone and INSL3 concentrations in addition to lower T/LH ratio suggesting Leydig cell impairment in males with childhood-onset obesity when compared with controls. Lower INSL3 concentration in males with childhood-onset obesity and the inverse correlation between BMI and INSL3 are in line with previous studies showing significantly lower INSL3 concentration in addition to an inverse correlation between INSL3 and BMI Z-score and leptin concentrations already during puberty </w:t>
      </w:r>
      <w:r w:rsidR="00DD232C" w:rsidRPr="00516560">
        <w:rPr>
          <w:rFonts w:ascii="Times New Roman" w:hAnsi="Times New Roman"/>
          <w:sz w:val="22"/>
          <w:szCs w:val="22"/>
          <w:lang w:val="en-US"/>
        </w:rPr>
        <w:t>[6]</w:t>
      </w:r>
      <w:r w:rsidRPr="00516560">
        <w:rPr>
          <w:rFonts w:ascii="Times New Roman" w:hAnsi="Times New Roman"/>
          <w:sz w:val="22"/>
          <w:szCs w:val="22"/>
          <w:lang w:val="en-US"/>
        </w:rPr>
        <w:t xml:space="preserve"> and in a cross-sectional study on 31 healthy obese men aged 22-49 years </w:t>
      </w:r>
      <w:r w:rsidR="00DD232C" w:rsidRPr="00516560">
        <w:rPr>
          <w:rFonts w:ascii="Times New Roman" w:hAnsi="Times New Roman"/>
          <w:sz w:val="22"/>
          <w:szCs w:val="22"/>
          <w:lang w:val="en-US"/>
        </w:rPr>
        <w:t>[30]</w:t>
      </w:r>
      <w:r w:rsidRPr="00516560">
        <w:rPr>
          <w:rFonts w:ascii="Times New Roman" w:hAnsi="Times New Roman"/>
          <w:sz w:val="22"/>
          <w:szCs w:val="22"/>
          <w:lang w:val="en-US"/>
        </w:rPr>
        <w:t xml:space="preserve">. </w:t>
      </w:r>
      <w:r w:rsidR="000D0BD4" w:rsidRPr="00516560">
        <w:rPr>
          <w:rFonts w:ascii="Times New Roman" w:hAnsi="Times New Roman"/>
          <w:sz w:val="22"/>
          <w:szCs w:val="22"/>
          <w:lang w:val="en-US"/>
        </w:rPr>
        <w:t xml:space="preserve"> </w:t>
      </w:r>
      <w:r w:rsidR="0081797A" w:rsidRPr="00516560">
        <w:rPr>
          <w:rFonts w:ascii="Times New Roman" w:hAnsi="Times New Roman"/>
          <w:sz w:val="22"/>
          <w:szCs w:val="22"/>
          <w:lang w:val="en-US"/>
        </w:rPr>
        <w:t>The differences in</w:t>
      </w:r>
      <w:r w:rsidR="000D0BD4" w:rsidRPr="00516560">
        <w:rPr>
          <w:rFonts w:ascii="Times New Roman" w:hAnsi="Times New Roman"/>
          <w:sz w:val="22"/>
          <w:szCs w:val="22"/>
          <w:lang w:val="en-US"/>
        </w:rPr>
        <w:t xml:space="preserve"> INSL3 ma</w:t>
      </w:r>
      <w:r w:rsidR="005277CD" w:rsidRPr="00516560">
        <w:rPr>
          <w:rFonts w:ascii="Times New Roman" w:hAnsi="Times New Roman"/>
          <w:sz w:val="22"/>
          <w:szCs w:val="22"/>
          <w:lang w:val="en-US"/>
        </w:rPr>
        <w:t>y also reflect</w:t>
      </w:r>
      <w:r w:rsidR="004B1B99" w:rsidRPr="00516560">
        <w:rPr>
          <w:rFonts w:ascii="Times New Roman" w:hAnsi="Times New Roman"/>
          <w:sz w:val="22"/>
          <w:szCs w:val="22"/>
          <w:lang w:val="en-US"/>
        </w:rPr>
        <w:t xml:space="preserve"> functional </w:t>
      </w:r>
      <w:r w:rsidR="0081797A" w:rsidRPr="00516560">
        <w:rPr>
          <w:rFonts w:ascii="Times New Roman" w:hAnsi="Times New Roman"/>
          <w:sz w:val="22"/>
          <w:szCs w:val="22"/>
          <w:lang w:val="en-US"/>
        </w:rPr>
        <w:t xml:space="preserve">changes in pulsatile secretion of LH </w:t>
      </w:r>
      <w:r w:rsidR="004B1B99" w:rsidRPr="00516560">
        <w:rPr>
          <w:rFonts w:ascii="Times New Roman" w:hAnsi="Times New Roman"/>
          <w:sz w:val="22"/>
          <w:szCs w:val="22"/>
          <w:lang w:val="en-US"/>
        </w:rPr>
        <w:t>as suggested</w:t>
      </w:r>
      <w:r w:rsidR="0081797A" w:rsidRPr="00516560">
        <w:rPr>
          <w:rFonts w:ascii="Times New Roman" w:hAnsi="Times New Roman"/>
          <w:sz w:val="22"/>
          <w:szCs w:val="22"/>
          <w:lang w:val="en-US"/>
        </w:rPr>
        <w:t xml:space="preserve"> in males</w:t>
      </w:r>
      <w:r w:rsidR="000D0BD4" w:rsidRPr="00516560">
        <w:rPr>
          <w:rFonts w:ascii="Times New Roman" w:hAnsi="Times New Roman"/>
          <w:sz w:val="22"/>
          <w:szCs w:val="22"/>
          <w:lang w:val="en-US"/>
        </w:rPr>
        <w:t xml:space="preserve"> </w:t>
      </w:r>
      <w:r w:rsidR="005277CD" w:rsidRPr="00516560">
        <w:rPr>
          <w:rFonts w:ascii="Times New Roman" w:hAnsi="Times New Roman"/>
          <w:sz w:val="22"/>
          <w:szCs w:val="22"/>
          <w:lang w:val="en-US"/>
        </w:rPr>
        <w:t>with Prader-</w:t>
      </w:r>
      <w:r w:rsidR="005277CD" w:rsidRPr="00516560">
        <w:rPr>
          <w:rFonts w:ascii="Times New Roman" w:hAnsi="Times New Roman"/>
          <w:sz w:val="22"/>
          <w:szCs w:val="22"/>
          <w:lang w:val="en-US"/>
        </w:rPr>
        <w:lastRenderedPageBreak/>
        <w:t>Willi syndrome. Adolescents with Prader-Willi syndrome and severe obesity may have low LH and INSL3 concentrations, but adult men with P</w:t>
      </w:r>
      <w:r w:rsidR="00D327D4" w:rsidRPr="00516560">
        <w:rPr>
          <w:rFonts w:ascii="Times New Roman" w:hAnsi="Times New Roman"/>
          <w:sz w:val="22"/>
          <w:szCs w:val="22"/>
          <w:lang w:val="en-US"/>
        </w:rPr>
        <w:t>r</w:t>
      </w:r>
      <w:r w:rsidR="005277CD" w:rsidRPr="00516560">
        <w:rPr>
          <w:rFonts w:ascii="Times New Roman" w:hAnsi="Times New Roman"/>
          <w:sz w:val="22"/>
          <w:szCs w:val="22"/>
          <w:lang w:val="en-US"/>
        </w:rPr>
        <w:t xml:space="preserve">ader-Willi syndrome </w:t>
      </w:r>
      <w:r w:rsidR="0081797A" w:rsidRPr="00516560">
        <w:rPr>
          <w:rFonts w:ascii="Times New Roman" w:hAnsi="Times New Roman"/>
          <w:sz w:val="22"/>
          <w:szCs w:val="22"/>
          <w:lang w:val="en-US"/>
        </w:rPr>
        <w:t xml:space="preserve">have </w:t>
      </w:r>
      <w:r w:rsidR="005277CD" w:rsidRPr="00516560">
        <w:rPr>
          <w:rFonts w:ascii="Times New Roman" w:hAnsi="Times New Roman"/>
          <w:sz w:val="22"/>
          <w:szCs w:val="22"/>
          <w:lang w:val="en-US"/>
        </w:rPr>
        <w:t>normal INSL3 concentrations despite low testosterone [Hirsch, JCEM].</w:t>
      </w:r>
      <w:r w:rsidR="000D0BD4" w:rsidRPr="00516560">
        <w:rPr>
          <w:rFonts w:ascii="Times New Roman" w:hAnsi="Times New Roman"/>
          <w:sz w:val="22"/>
          <w:szCs w:val="22"/>
          <w:lang w:val="en-US"/>
        </w:rPr>
        <w:t xml:space="preserve"> </w:t>
      </w:r>
      <w:r w:rsidRPr="00516560">
        <w:rPr>
          <w:rFonts w:ascii="Times New Roman" w:hAnsi="Times New Roman"/>
          <w:sz w:val="22"/>
          <w:szCs w:val="22"/>
          <w:lang w:val="en-US"/>
        </w:rPr>
        <w:t xml:space="preserve">In addition, AMH was lower in cases when compared to controls. Similar inverse correlation between BMI and AMH has been shown previously in a cohort of 166 men aged 22-61 years that included 38 severely obese men with BMI ≥ 35 </w:t>
      </w:r>
      <w:r w:rsidR="008F2E1B" w:rsidRPr="00516560">
        <w:rPr>
          <w:rFonts w:ascii="Times New Roman" w:hAnsi="Times New Roman"/>
          <w:sz w:val="22"/>
          <w:szCs w:val="22"/>
          <w:lang w:val="en-US"/>
        </w:rPr>
        <w:t>[31]</w:t>
      </w:r>
      <w:r w:rsidRPr="00516560">
        <w:rPr>
          <w:rFonts w:ascii="Times New Roman" w:hAnsi="Times New Roman"/>
          <w:sz w:val="22"/>
          <w:szCs w:val="22"/>
          <w:lang w:val="en-US"/>
        </w:rPr>
        <w:t xml:space="preserve">. </w:t>
      </w:r>
    </w:p>
    <w:p w14:paraId="661935D1" w14:textId="77777777" w:rsidR="0057342F" w:rsidRPr="00516560" w:rsidRDefault="0057342F" w:rsidP="002E2257">
      <w:pPr>
        <w:widowControl w:val="0"/>
        <w:autoSpaceDE w:val="0"/>
        <w:autoSpaceDN w:val="0"/>
        <w:adjustRightInd w:val="0"/>
        <w:spacing w:line="480" w:lineRule="auto"/>
        <w:jc w:val="both"/>
        <w:rPr>
          <w:rFonts w:ascii="Times New Roman" w:hAnsi="Times New Roman"/>
          <w:sz w:val="22"/>
          <w:szCs w:val="22"/>
          <w:lang w:val="en-US"/>
        </w:rPr>
      </w:pPr>
    </w:p>
    <w:p w14:paraId="635F19A5" w14:textId="4DBC8938" w:rsidR="002E2257" w:rsidRPr="00516560" w:rsidRDefault="00AB6069"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Leptin</w:t>
      </w:r>
      <w:r w:rsidR="0057342F" w:rsidRPr="00516560">
        <w:rPr>
          <w:rFonts w:ascii="Times New Roman" w:hAnsi="Times New Roman"/>
          <w:sz w:val="22"/>
          <w:szCs w:val="22"/>
          <w:lang w:val="en-US"/>
        </w:rPr>
        <w:t xml:space="preserve">, inflammatory cytokines or osteocalcin may be </w:t>
      </w:r>
      <w:r w:rsidRPr="00516560">
        <w:rPr>
          <w:rFonts w:ascii="Times New Roman" w:hAnsi="Times New Roman"/>
          <w:sz w:val="22"/>
          <w:szCs w:val="22"/>
          <w:lang w:val="en-US"/>
        </w:rPr>
        <w:t>factor</w:t>
      </w:r>
      <w:r w:rsidR="0057342F" w:rsidRPr="00516560">
        <w:rPr>
          <w:rFonts w:ascii="Times New Roman" w:hAnsi="Times New Roman"/>
          <w:sz w:val="22"/>
          <w:szCs w:val="22"/>
          <w:lang w:val="en-US"/>
        </w:rPr>
        <w:t>s</w:t>
      </w:r>
      <w:r w:rsidRPr="00516560">
        <w:rPr>
          <w:rFonts w:ascii="Times New Roman" w:hAnsi="Times New Roman"/>
          <w:sz w:val="22"/>
          <w:szCs w:val="22"/>
          <w:lang w:val="en-US"/>
        </w:rPr>
        <w:t xml:space="preserve"> connecting severe obesity with decreased testost</w:t>
      </w:r>
      <w:r w:rsidR="00DE36FD" w:rsidRPr="00516560">
        <w:rPr>
          <w:rFonts w:ascii="Times New Roman" w:hAnsi="Times New Roman"/>
          <w:sz w:val="22"/>
          <w:szCs w:val="22"/>
          <w:lang w:val="en-US"/>
        </w:rPr>
        <w:t xml:space="preserve">erone production. A </w:t>
      </w:r>
      <w:r w:rsidRPr="00516560">
        <w:rPr>
          <w:rFonts w:ascii="Times New Roman" w:hAnsi="Times New Roman"/>
          <w:sz w:val="22"/>
          <w:szCs w:val="22"/>
          <w:lang w:val="en-US"/>
        </w:rPr>
        <w:t>study on mouse testicular cell line has shown that high leptin level decreases cAMP-dependent activation steroidogenic enzymes Star and Cyp11a1 [Landry D Mol cell bio</w:t>
      </w:r>
      <w:r w:rsidR="00DE36FD" w:rsidRPr="00516560">
        <w:rPr>
          <w:rFonts w:ascii="Times New Roman" w:hAnsi="Times New Roman"/>
          <w:sz w:val="22"/>
          <w:szCs w:val="22"/>
          <w:lang w:val="en-US"/>
        </w:rPr>
        <w:t>chem 2017].</w:t>
      </w:r>
      <w:r w:rsidR="00C40801" w:rsidRPr="00516560">
        <w:rPr>
          <w:rFonts w:ascii="Times New Roman" w:hAnsi="Times New Roman"/>
          <w:sz w:val="22"/>
          <w:szCs w:val="22"/>
          <w:lang w:val="en-US"/>
        </w:rPr>
        <w:t xml:space="preserve"> </w:t>
      </w:r>
      <w:r w:rsidR="00DF390A" w:rsidRPr="00516560">
        <w:rPr>
          <w:rFonts w:ascii="Times New Roman" w:hAnsi="Times New Roman"/>
          <w:sz w:val="22"/>
          <w:szCs w:val="22"/>
          <w:lang w:val="en-US"/>
        </w:rPr>
        <w:t xml:space="preserve">Severe obesity results to low-grade inflammation. Interleukin 6 has been shown to inhibit the differentiation of rat stem </w:t>
      </w:r>
      <w:r w:rsidR="00DF390A" w:rsidRPr="00516560">
        <w:rPr>
          <w:rFonts w:ascii="Times New Roman" w:hAnsi="Times New Roman"/>
          <w:sz w:val="22"/>
          <w:szCs w:val="22"/>
          <w:lang w:val="en-US"/>
        </w:rPr>
        <w:lastRenderedPageBreak/>
        <w:t>Leydig cells leading to down-regulation of steroidogenic enzymes and lower serum testosterone levels [Wang Y Mol Cell Endocrinol 2017]</w:t>
      </w:r>
      <w:r w:rsidR="00C40801" w:rsidRPr="00516560">
        <w:rPr>
          <w:rFonts w:ascii="Times New Roman" w:hAnsi="Times New Roman"/>
          <w:sz w:val="22"/>
          <w:szCs w:val="22"/>
          <w:lang w:val="en-US"/>
        </w:rPr>
        <w:t xml:space="preserve">. </w:t>
      </w:r>
      <w:r w:rsidR="002E2257" w:rsidRPr="00516560">
        <w:rPr>
          <w:rFonts w:ascii="Times New Roman" w:hAnsi="Times New Roman"/>
          <w:sz w:val="22"/>
          <w:szCs w:val="22"/>
          <w:lang w:val="en-US"/>
        </w:rPr>
        <w:t xml:space="preserve">Previous studies have suggested that osteoblast-derived OC may stimulate testosterone production </w:t>
      </w:r>
      <w:r w:rsidR="008F2E1B" w:rsidRPr="00516560">
        <w:rPr>
          <w:rFonts w:ascii="Times New Roman" w:hAnsi="Times New Roman"/>
          <w:sz w:val="22"/>
          <w:szCs w:val="22"/>
          <w:lang w:val="en-US"/>
        </w:rPr>
        <w:t>[16]</w:t>
      </w:r>
      <w:r w:rsidR="002E2257" w:rsidRPr="00516560">
        <w:rPr>
          <w:rFonts w:ascii="Times New Roman" w:hAnsi="Times New Roman"/>
          <w:sz w:val="22"/>
          <w:szCs w:val="22"/>
          <w:lang w:val="en-US"/>
        </w:rPr>
        <w:t>. Serum OC concentrations were lower in males with childhood-onset obesity than in controls, but did not correlate with serum testosterone concentrations in the</w:t>
      </w:r>
      <w:r w:rsidR="008F2E1B" w:rsidRPr="00516560">
        <w:rPr>
          <w:rFonts w:ascii="Times New Roman" w:hAnsi="Times New Roman"/>
          <w:sz w:val="22"/>
          <w:szCs w:val="22"/>
          <w:lang w:val="en-US"/>
        </w:rPr>
        <w:t xml:space="preserve"> </w:t>
      </w:r>
      <w:r w:rsidR="002E2257" w:rsidRPr="00516560">
        <w:rPr>
          <w:rFonts w:ascii="Times New Roman" w:hAnsi="Times New Roman"/>
          <w:sz w:val="22"/>
          <w:szCs w:val="22"/>
          <w:lang w:val="en-US"/>
        </w:rPr>
        <w:t xml:space="preserve">males with childhood-onset obesity. In previous studies, OC concentration has been shown to correlate with testosterone concentration </w:t>
      </w:r>
      <w:r w:rsidR="008F2E1B" w:rsidRPr="00516560">
        <w:rPr>
          <w:rFonts w:ascii="Times New Roman" w:hAnsi="Times New Roman"/>
          <w:sz w:val="22"/>
          <w:szCs w:val="22"/>
          <w:lang w:val="en-US"/>
        </w:rPr>
        <w:t>[17-19]</w:t>
      </w:r>
      <w:r w:rsidR="002E2257" w:rsidRPr="00516560">
        <w:rPr>
          <w:rFonts w:ascii="Times New Roman" w:hAnsi="Times New Roman"/>
          <w:sz w:val="22"/>
          <w:szCs w:val="22"/>
          <w:lang w:val="en-US"/>
        </w:rPr>
        <w:t xml:space="preserve">, but the results are inconsistent </w:t>
      </w:r>
      <w:r w:rsidR="008F2E1B" w:rsidRPr="00516560">
        <w:rPr>
          <w:rFonts w:ascii="Times New Roman" w:hAnsi="Times New Roman"/>
          <w:sz w:val="22"/>
          <w:szCs w:val="22"/>
          <w:lang w:val="en-US"/>
        </w:rPr>
        <w:t>[32]</w:t>
      </w:r>
      <w:r w:rsidR="002E2257" w:rsidRPr="00516560">
        <w:rPr>
          <w:rFonts w:ascii="Times New Roman" w:hAnsi="Times New Roman"/>
          <w:sz w:val="22"/>
          <w:szCs w:val="22"/>
          <w:lang w:val="en-US"/>
        </w:rPr>
        <w:t xml:space="preserve">. Lower OC concentrations in cases may merely reflect suppressed bone turnover in the obesity </w:t>
      </w:r>
      <w:r w:rsidR="008F2E1B" w:rsidRPr="00516560">
        <w:rPr>
          <w:rFonts w:ascii="Times New Roman" w:hAnsi="Times New Roman"/>
          <w:sz w:val="22"/>
          <w:szCs w:val="22"/>
          <w:lang w:val="en-US"/>
        </w:rPr>
        <w:t>[23]</w:t>
      </w:r>
      <w:r w:rsidR="002E2257" w:rsidRPr="00516560">
        <w:rPr>
          <w:rFonts w:ascii="Times New Roman" w:hAnsi="Times New Roman"/>
          <w:sz w:val="22"/>
          <w:szCs w:val="22"/>
          <w:lang w:val="en-US"/>
        </w:rPr>
        <w:t xml:space="preserve">. </w:t>
      </w:r>
    </w:p>
    <w:p w14:paraId="0ACA38A8"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0AEC404E" w14:textId="02C31624"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Lower testosterone concentration may have effects on bone structure and strength. Higher BMD in our males with childhood-onset obesity may re</w:t>
      </w:r>
      <w:r w:rsidRPr="00516560">
        <w:rPr>
          <w:rFonts w:ascii="Times New Roman" w:hAnsi="Times New Roman"/>
          <w:sz w:val="22"/>
          <w:szCs w:val="22"/>
          <w:lang w:val="en-US"/>
        </w:rPr>
        <w:lastRenderedPageBreak/>
        <w:t>flect increased mechanical loading of bones due to overweight</w:t>
      </w:r>
      <w:r w:rsidR="00BF22B4" w:rsidRPr="00516560">
        <w:rPr>
          <w:rFonts w:ascii="Times New Roman" w:hAnsi="Times New Roman"/>
          <w:sz w:val="22"/>
          <w:szCs w:val="22"/>
          <w:lang w:val="en-US"/>
        </w:rPr>
        <w:t>, as the differences in bone parameters lost their significance when controlled for fat or muscle mass</w:t>
      </w:r>
      <w:r w:rsidRPr="00516560">
        <w:rPr>
          <w:rFonts w:ascii="Times New Roman" w:hAnsi="Times New Roman"/>
          <w:sz w:val="22"/>
          <w:szCs w:val="22"/>
          <w:lang w:val="en-US"/>
        </w:rPr>
        <w:t>. To exclude such effects of increased mass, we adjusted analyses between hormones and bone parameters for both age and BMI. In males with childhood-onset obesity, lower free testosterone conc</w:t>
      </w:r>
      <w:r w:rsidR="00AB6069" w:rsidRPr="00516560">
        <w:rPr>
          <w:rFonts w:ascii="Times New Roman" w:hAnsi="Times New Roman"/>
          <w:sz w:val="22"/>
          <w:szCs w:val="22"/>
          <w:lang w:val="en-US"/>
        </w:rPr>
        <w:t>entration correlated with smaller</w:t>
      </w:r>
      <w:r w:rsidRPr="00516560">
        <w:rPr>
          <w:rFonts w:ascii="Times New Roman" w:hAnsi="Times New Roman"/>
          <w:sz w:val="22"/>
          <w:szCs w:val="22"/>
          <w:lang w:val="en-US"/>
        </w:rPr>
        <w:t xml:space="preserve"> BA at all measurements sites. A 3-year longitudinal study on boys with overweight and obesity showed that boys who gained BMI extensively during pubertal development increased their bone mineral characteristics less than those with lower BMI increase </w:t>
      </w:r>
      <w:r w:rsidR="008F2E1B" w:rsidRPr="00516560">
        <w:rPr>
          <w:rFonts w:ascii="Times New Roman" w:hAnsi="Times New Roman"/>
          <w:sz w:val="22"/>
          <w:szCs w:val="22"/>
          <w:lang w:val="en-US"/>
        </w:rPr>
        <w:t>[14]</w:t>
      </w:r>
      <w:r w:rsidRPr="00516560">
        <w:rPr>
          <w:rFonts w:ascii="Times New Roman" w:hAnsi="Times New Roman"/>
          <w:sz w:val="22"/>
          <w:szCs w:val="22"/>
          <w:lang w:val="en-US"/>
        </w:rPr>
        <w:t xml:space="preserve">. Considering the confounding results of previous studies on obesity and bone, fat mass may confer advantages to the developing bone, but when fat mass accumulation reaches excessive levels, unfavorable metabolic changes may impede skeletal development </w:t>
      </w:r>
      <w:r w:rsidR="008F2E1B" w:rsidRPr="00516560">
        <w:rPr>
          <w:rFonts w:ascii="Times New Roman" w:hAnsi="Times New Roman"/>
          <w:sz w:val="22"/>
          <w:szCs w:val="22"/>
          <w:lang w:val="en-US"/>
        </w:rPr>
        <w:t>[13]</w:t>
      </w:r>
      <w:r w:rsidRPr="00516560">
        <w:rPr>
          <w:rFonts w:ascii="Times New Roman" w:hAnsi="Times New Roman"/>
          <w:sz w:val="22"/>
          <w:szCs w:val="22"/>
          <w:lang w:val="en-US"/>
        </w:rPr>
        <w:t xml:space="preserve">. </w:t>
      </w:r>
    </w:p>
    <w:p w14:paraId="246B9773"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4E9DE993" w14:textId="1FF6CCD6"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lastRenderedPageBreak/>
        <w:t xml:space="preserve">One of the indirect mediators between obesity and bone may be INSL3. Bone is a target site for INSL3. We found a positive correlation between INSL3 and lumbar spine BMD in the subjects with childhood-onset obesity. Another study showed that young men with inactivating mutations of the INSL3 receptor have reduced bone mass and are at risk for osteoporosis despite normal testosterone concentrations </w:t>
      </w:r>
      <w:r w:rsidR="008F2E1B" w:rsidRPr="00516560">
        <w:rPr>
          <w:rFonts w:ascii="Times New Roman" w:hAnsi="Times New Roman"/>
          <w:sz w:val="22"/>
          <w:szCs w:val="22"/>
          <w:lang w:val="en-US"/>
        </w:rPr>
        <w:t>[20]</w:t>
      </w:r>
      <w:r w:rsidRPr="00516560">
        <w:rPr>
          <w:rFonts w:ascii="Times New Roman" w:hAnsi="Times New Roman"/>
          <w:sz w:val="22"/>
          <w:szCs w:val="22"/>
          <w:lang w:val="en-US"/>
        </w:rPr>
        <w:t xml:space="preserve">. A study on human osteoblasts has demonstrated that INSL3 signaling is involved in bone metabolism by stimulating transcription of genes related to osteoblast maturation and signaling between osteoblasts and osteoclasts </w:t>
      </w:r>
      <w:r w:rsidR="008F2E1B" w:rsidRPr="00516560">
        <w:rPr>
          <w:rFonts w:ascii="Times New Roman" w:hAnsi="Times New Roman"/>
          <w:sz w:val="22"/>
          <w:szCs w:val="22"/>
          <w:lang w:val="en-US"/>
        </w:rPr>
        <w:t>[21]</w:t>
      </w:r>
      <w:r w:rsidRPr="00516560">
        <w:rPr>
          <w:rFonts w:ascii="Times New Roman" w:hAnsi="Times New Roman"/>
          <w:sz w:val="22"/>
          <w:szCs w:val="22"/>
          <w:lang w:val="en-US"/>
        </w:rPr>
        <w:t>.</w:t>
      </w:r>
      <w:r w:rsidRPr="00516560">
        <w:rPr>
          <w:rFonts w:ascii="Times New Roman" w:hAnsi="Times New Roman"/>
          <w:sz w:val="22"/>
          <w:szCs w:val="22"/>
          <w:vertAlign w:val="superscript"/>
          <w:lang w:val="en-US"/>
        </w:rPr>
        <w:t xml:space="preserve"> </w:t>
      </w:r>
      <w:r w:rsidRPr="00516560">
        <w:rPr>
          <w:rFonts w:ascii="Times New Roman" w:hAnsi="Times New Roman"/>
          <w:sz w:val="22"/>
          <w:szCs w:val="22"/>
          <w:lang w:val="en-US"/>
        </w:rPr>
        <w:t xml:space="preserve">We did not find any statistically significant association between estradiol concentration and bone parameters in either group when we corrected the analyses for both age and BMI. Previous studies have shown positive associations between estradiol and bone mineral acquisition during puberty </w:t>
      </w:r>
      <w:r w:rsidR="0055770C" w:rsidRPr="00516560">
        <w:rPr>
          <w:rFonts w:ascii="Times New Roman" w:hAnsi="Times New Roman"/>
          <w:sz w:val="22"/>
          <w:szCs w:val="22"/>
          <w:lang w:val="en-US"/>
        </w:rPr>
        <w:t>[33,34</w:t>
      </w:r>
      <w:r w:rsidR="008F2E1B" w:rsidRPr="00516560">
        <w:rPr>
          <w:rFonts w:ascii="Times New Roman" w:hAnsi="Times New Roman"/>
          <w:sz w:val="22"/>
          <w:szCs w:val="22"/>
          <w:lang w:val="en-US"/>
        </w:rPr>
        <w:t>]</w:t>
      </w:r>
      <w:r w:rsidRPr="00516560">
        <w:rPr>
          <w:rFonts w:ascii="Times New Roman" w:hAnsi="Times New Roman"/>
          <w:sz w:val="22"/>
          <w:szCs w:val="22"/>
          <w:lang w:val="en-US"/>
        </w:rPr>
        <w:t xml:space="preserve">, but our relatively small group consisted of males at late puberty or early adulthood. </w:t>
      </w:r>
      <w:r w:rsidR="00175823" w:rsidRPr="00516560">
        <w:rPr>
          <w:rFonts w:ascii="Times New Roman" w:hAnsi="Times New Roman"/>
          <w:sz w:val="22"/>
          <w:szCs w:val="22"/>
          <w:lang w:val="en-US"/>
        </w:rPr>
        <w:lastRenderedPageBreak/>
        <w:t xml:space="preserve">When we </w:t>
      </w:r>
      <w:r w:rsidR="009E4EF4" w:rsidRPr="00516560">
        <w:rPr>
          <w:rFonts w:ascii="Times New Roman" w:hAnsi="Times New Roman"/>
          <w:sz w:val="22"/>
          <w:szCs w:val="22"/>
          <w:lang w:val="en-US"/>
        </w:rPr>
        <w:t xml:space="preserve">analyzed </w:t>
      </w:r>
      <w:r w:rsidR="00175823" w:rsidRPr="00516560">
        <w:rPr>
          <w:rFonts w:ascii="Times New Roman" w:hAnsi="Times New Roman"/>
          <w:sz w:val="22"/>
          <w:szCs w:val="22"/>
          <w:lang w:val="en-US"/>
        </w:rPr>
        <w:t xml:space="preserve">all hormonal parameters together </w:t>
      </w:r>
      <w:r w:rsidR="00921B28" w:rsidRPr="00516560">
        <w:rPr>
          <w:rFonts w:ascii="Times New Roman" w:hAnsi="Times New Roman"/>
          <w:sz w:val="22"/>
          <w:szCs w:val="22"/>
          <w:lang w:val="en-US"/>
        </w:rPr>
        <w:t xml:space="preserve">in linear regression models </w:t>
      </w:r>
      <w:r w:rsidR="00175823" w:rsidRPr="00516560">
        <w:rPr>
          <w:rFonts w:ascii="Times New Roman" w:hAnsi="Times New Roman"/>
          <w:sz w:val="22"/>
          <w:szCs w:val="22"/>
          <w:lang w:val="en-US"/>
        </w:rPr>
        <w:t>explaining bone characteristics, only age</w:t>
      </w:r>
      <w:r w:rsidR="00921B28" w:rsidRPr="00516560">
        <w:rPr>
          <w:rFonts w:ascii="Times New Roman" w:hAnsi="Times New Roman"/>
          <w:sz w:val="22"/>
          <w:szCs w:val="22"/>
          <w:lang w:val="en-US"/>
        </w:rPr>
        <w:t xml:space="preserve"> and relative fat mass</w:t>
      </w:r>
      <w:r w:rsidR="00175823" w:rsidRPr="00516560">
        <w:rPr>
          <w:rFonts w:ascii="Times New Roman" w:hAnsi="Times New Roman"/>
          <w:sz w:val="22"/>
          <w:szCs w:val="22"/>
          <w:lang w:val="en-US"/>
        </w:rPr>
        <w:t xml:space="preserve"> associated with whole body BA. This may reflect the small sample size of the cohort, undefined confounders or unsuitability of linear regression model in this cohort with extreme phenotypes.</w:t>
      </w:r>
    </w:p>
    <w:p w14:paraId="1B167B3B"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48823D35" w14:textId="33D3A395"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A very small sample size may explain some of the contradictory results in relation to previous studies.</w:t>
      </w:r>
      <w:r w:rsidR="00BF22B4" w:rsidRPr="00516560">
        <w:rPr>
          <w:rFonts w:ascii="Times New Roman" w:hAnsi="Times New Roman"/>
          <w:sz w:val="22"/>
          <w:szCs w:val="22"/>
          <w:lang w:val="en-US"/>
        </w:rPr>
        <w:t xml:space="preserve"> </w:t>
      </w:r>
      <w:r w:rsidR="00A92033" w:rsidRPr="00516560">
        <w:rPr>
          <w:rFonts w:ascii="Times New Roman" w:hAnsi="Times New Roman"/>
          <w:sz w:val="22"/>
          <w:szCs w:val="22"/>
          <w:lang w:val="en-US"/>
        </w:rPr>
        <w:t xml:space="preserve">The small sample size did not allow </w:t>
      </w:r>
      <w:r w:rsidR="00921B28" w:rsidRPr="00516560">
        <w:rPr>
          <w:rFonts w:ascii="Times New Roman" w:hAnsi="Times New Roman"/>
          <w:sz w:val="22"/>
          <w:szCs w:val="22"/>
          <w:lang w:val="en-US"/>
        </w:rPr>
        <w:t xml:space="preserve">us </w:t>
      </w:r>
      <w:r w:rsidR="00A92033" w:rsidRPr="00516560">
        <w:rPr>
          <w:rFonts w:ascii="Times New Roman" w:hAnsi="Times New Roman"/>
          <w:sz w:val="22"/>
          <w:szCs w:val="22"/>
          <w:lang w:val="en-US"/>
        </w:rPr>
        <w:t xml:space="preserve">to make subgroup analyses concerning smoking and sedentary lifestyle, although it is well known that many physical factors including poor balance and muscle tone may impact fracture risk. </w:t>
      </w:r>
      <w:r w:rsidRPr="00516560">
        <w:rPr>
          <w:rFonts w:ascii="Times New Roman" w:hAnsi="Times New Roman"/>
          <w:sz w:val="22"/>
          <w:szCs w:val="22"/>
          <w:lang w:val="en-US"/>
        </w:rPr>
        <w:t xml:space="preserve">The issue of timing of puberty was not under the scope of this study and we did not have data concerning testicular size, which limits the interpretation of the results. On the other hand, the results emphasize the importance of follow-up of boys with obesity </w:t>
      </w:r>
      <w:r w:rsidRPr="00516560">
        <w:rPr>
          <w:rFonts w:ascii="Times New Roman" w:hAnsi="Times New Roman"/>
          <w:sz w:val="22"/>
          <w:szCs w:val="22"/>
          <w:lang w:val="en-US"/>
        </w:rPr>
        <w:lastRenderedPageBreak/>
        <w:t>through puberty long enough and underline the importance of evaluating gonadal function in males with severe obesity. Prospective studies on pubertal development in boys with severe childhood-onset obesity are urgently needed.</w:t>
      </w:r>
    </w:p>
    <w:p w14:paraId="4772EBA0"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1EC63D02" w14:textId="33BF4A79"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In conclusion, our results suggest that there may be alterations in the coordinated regulation of testicular function and bone mass in males with childhood-onset obesity. Severe obesity before the onset of puberty manifested with lower circulating free testosterone concentrations at age of early adulthood. Lower circulating INSL3 concentration and lower ratio of testosterone to LH suggested disrupted Leydig cell function. The severity of current obesity correlated inversely with free testosterone concentration, which in turn co</w:t>
      </w:r>
      <w:r w:rsidR="00D327D4" w:rsidRPr="00516560">
        <w:rPr>
          <w:rFonts w:ascii="Times New Roman" w:hAnsi="Times New Roman"/>
          <w:sz w:val="22"/>
          <w:szCs w:val="22"/>
          <w:lang w:val="en-US"/>
        </w:rPr>
        <w:t>rrelated positively with</w:t>
      </w:r>
      <w:r w:rsidRPr="00516560">
        <w:rPr>
          <w:rFonts w:ascii="Times New Roman" w:hAnsi="Times New Roman"/>
          <w:sz w:val="22"/>
          <w:szCs w:val="22"/>
          <w:lang w:val="en-US"/>
        </w:rPr>
        <w:t xml:space="preserve"> BA in males with childhood-onset obesity. </w:t>
      </w:r>
    </w:p>
    <w:p w14:paraId="361F2E13"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65375928"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br w:type="page"/>
      </w:r>
      <w:r w:rsidRPr="00516560">
        <w:rPr>
          <w:rFonts w:ascii="Times New Roman" w:hAnsi="Times New Roman"/>
          <w:sz w:val="22"/>
          <w:szCs w:val="22"/>
          <w:lang w:val="en-US"/>
        </w:rPr>
        <w:lastRenderedPageBreak/>
        <w:t>CONFLICTS OF INTEREST</w:t>
      </w:r>
    </w:p>
    <w:p w14:paraId="17642D99" w14:textId="77777777" w:rsidR="002E2257" w:rsidRPr="00516560" w:rsidRDefault="002E2257" w:rsidP="002E2257">
      <w:pPr>
        <w:widowControl w:val="0"/>
        <w:autoSpaceDE w:val="0"/>
        <w:autoSpaceDN w:val="0"/>
        <w:adjustRightInd w:val="0"/>
        <w:spacing w:line="480" w:lineRule="auto"/>
        <w:jc w:val="both"/>
        <w:rPr>
          <w:rFonts w:ascii="Times New Roman" w:hAnsi="Times New Roman"/>
          <w:color w:val="000000"/>
          <w:sz w:val="22"/>
          <w:szCs w:val="22"/>
          <w:lang w:val="en-US"/>
        </w:rPr>
      </w:pPr>
    </w:p>
    <w:p w14:paraId="793606CB"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color w:val="000000"/>
          <w:sz w:val="22"/>
          <w:szCs w:val="22"/>
          <w:lang w:val="en-US"/>
        </w:rPr>
        <w:t>Dr. Laakso has nothing to disclose. Dr. Viljakainen reports grants from The Academy of Finland, during the conduct of the study. Dr. Lipsanen-Nyman reports grants from The Finnish foundation for Pediatric research, grants from The Sigrid Juselius Foundation, grants from Helsinki University Hospital Reseaech Funds, during the conduct of the study. Dr. Turpeinen has nothing to disclose. Dr. Ivaska has nothing to disclose. Dr. Anand-Ivell has nothing to disclose. Dr. Ivell has nothing to disclose. Dr. Mäkitie reports grants from Grants as indicated in the manuscript, during the conduct of the study; personal fees from Alexion, personal fees from Kyowa Kirin, outside the submitted work.</w:t>
      </w:r>
    </w:p>
    <w:p w14:paraId="28AF8D23"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71C64710"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AUTHOR CONTRIBUTIONS</w:t>
      </w:r>
    </w:p>
    <w:p w14:paraId="5EA1185D"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p>
    <w:p w14:paraId="653082D2"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All authors are responsible for reported research. Saila Laakso wrote the first draft of the manuscript. Ursula Turpeinen performed the steroid analyses. Kaisa K Ivaska performed the osteocalcin analyses. Ravinder Anand-Ivell and Richard Ivell were responsible for the INSL3 measurements. All authors have participated in the concept and design; analysis and interpretation of data; drafting and revising of the manuscript, and they have approved the manuscript as submitted.</w:t>
      </w:r>
    </w:p>
    <w:p w14:paraId="1117A6BB" w14:textId="77777777" w:rsidR="002E2257" w:rsidRPr="00516560" w:rsidRDefault="002E2257" w:rsidP="002E2257">
      <w:pPr>
        <w:widowControl w:val="0"/>
        <w:autoSpaceDE w:val="0"/>
        <w:autoSpaceDN w:val="0"/>
        <w:adjustRightInd w:val="0"/>
        <w:spacing w:line="480" w:lineRule="auto"/>
        <w:jc w:val="both"/>
        <w:rPr>
          <w:sz w:val="22"/>
          <w:szCs w:val="22"/>
          <w:lang w:val="en-US"/>
        </w:rPr>
      </w:pPr>
    </w:p>
    <w:p w14:paraId="536411C0" w14:textId="77777777" w:rsidR="002E2257" w:rsidRPr="00516560" w:rsidRDefault="002E2257" w:rsidP="002E2257">
      <w:pPr>
        <w:widowControl w:val="0"/>
        <w:autoSpaceDE w:val="0"/>
        <w:autoSpaceDN w:val="0"/>
        <w:adjustRightInd w:val="0"/>
        <w:spacing w:line="480" w:lineRule="auto"/>
        <w:jc w:val="both"/>
        <w:rPr>
          <w:sz w:val="22"/>
          <w:szCs w:val="22"/>
          <w:lang w:val="en-US"/>
        </w:rPr>
      </w:pPr>
      <w:r w:rsidRPr="00516560">
        <w:rPr>
          <w:sz w:val="22"/>
          <w:szCs w:val="22"/>
          <w:lang w:val="en-US"/>
        </w:rPr>
        <w:t>FUNDING</w:t>
      </w:r>
    </w:p>
    <w:p w14:paraId="4109C6F8" w14:textId="77777777" w:rsidR="002E2257" w:rsidRPr="00516560" w:rsidRDefault="002E2257" w:rsidP="002E2257">
      <w:pPr>
        <w:widowControl w:val="0"/>
        <w:autoSpaceDE w:val="0"/>
        <w:autoSpaceDN w:val="0"/>
        <w:adjustRightInd w:val="0"/>
        <w:spacing w:line="480" w:lineRule="auto"/>
        <w:jc w:val="both"/>
        <w:rPr>
          <w:sz w:val="22"/>
          <w:szCs w:val="22"/>
          <w:lang w:val="en-US"/>
        </w:rPr>
      </w:pPr>
    </w:p>
    <w:p w14:paraId="2F22F83A" w14:textId="77777777" w:rsidR="002E2257" w:rsidRPr="00516560"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rFonts w:ascii="Times New Roman" w:hAnsi="Times New Roman"/>
          <w:sz w:val="22"/>
          <w:szCs w:val="22"/>
          <w:lang w:val="en-US"/>
        </w:rPr>
        <w:t xml:space="preserve">This work was supported by the Sigrid Juselius Foundation, The Finnish Medical Foundation, The Finnish Foundation for Pediatric Research, the Academy of Finland, the Folkhälsan Research Foundation, and the Helsinki </w:t>
      </w:r>
      <w:r w:rsidRPr="00516560">
        <w:rPr>
          <w:rFonts w:ascii="Times New Roman" w:hAnsi="Times New Roman"/>
          <w:sz w:val="22"/>
          <w:szCs w:val="22"/>
          <w:lang w:val="en-US"/>
        </w:rPr>
        <w:lastRenderedPageBreak/>
        <w:t>University Hospital Research Funds.</w:t>
      </w:r>
    </w:p>
    <w:p w14:paraId="004DB359" w14:textId="4260CAAB" w:rsidR="002E2257" w:rsidRPr="00516560" w:rsidRDefault="002E2257" w:rsidP="006219AE">
      <w:pPr>
        <w:widowControl w:val="0"/>
        <w:autoSpaceDE w:val="0"/>
        <w:autoSpaceDN w:val="0"/>
        <w:adjustRightInd w:val="0"/>
        <w:spacing w:line="480" w:lineRule="auto"/>
        <w:jc w:val="both"/>
        <w:rPr>
          <w:rFonts w:ascii="Times New Roman" w:hAnsi="Times New Roman"/>
          <w:sz w:val="22"/>
          <w:szCs w:val="22"/>
          <w:lang w:val="en-US"/>
        </w:rPr>
      </w:pPr>
      <w:r w:rsidRPr="00516560">
        <w:rPr>
          <w:sz w:val="22"/>
          <w:szCs w:val="22"/>
          <w:lang w:val="en-US"/>
        </w:rPr>
        <w:br w:type="page"/>
      </w:r>
      <w:r w:rsidRPr="00516560">
        <w:rPr>
          <w:rFonts w:ascii="Times New Roman" w:hAnsi="Times New Roman"/>
          <w:sz w:val="22"/>
          <w:szCs w:val="22"/>
          <w:lang w:val="en-US"/>
        </w:rPr>
        <w:lastRenderedPageBreak/>
        <w:t>REFERENCES</w:t>
      </w:r>
    </w:p>
    <w:p w14:paraId="3FE5FE60" w14:textId="77777777" w:rsidR="002E2257" w:rsidRPr="00516560" w:rsidRDefault="002E2257" w:rsidP="002E2257">
      <w:pPr>
        <w:pStyle w:val="NormalWeb"/>
        <w:spacing w:line="480" w:lineRule="auto"/>
        <w:jc w:val="both"/>
        <w:rPr>
          <w:sz w:val="22"/>
          <w:lang w:val="en-US"/>
        </w:rPr>
      </w:pPr>
      <w:r w:rsidRPr="00516560">
        <w:rPr>
          <w:sz w:val="22"/>
          <w:szCs w:val="22"/>
          <w:lang w:val="en-US"/>
        </w:rPr>
        <w:fldChar w:fldCharType="begin"/>
      </w:r>
      <w:r w:rsidRPr="00516560">
        <w:rPr>
          <w:sz w:val="22"/>
          <w:szCs w:val="22"/>
          <w:lang w:val="en-US"/>
        </w:rPr>
        <w:instrText>ADDIN RW.BIB</w:instrText>
      </w:r>
      <w:r w:rsidRPr="00516560">
        <w:rPr>
          <w:sz w:val="22"/>
          <w:szCs w:val="22"/>
          <w:lang w:val="en-US"/>
        </w:rPr>
        <w:fldChar w:fldCharType="separate"/>
      </w:r>
      <w:r w:rsidRPr="00516560">
        <w:rPr>
          <w:sz w:val="22"/>
          <w:lang w:val="en-US"/>
        </w:rPr>
        <w:t>(1) Martos-</w:t>
      </w:r>
      <w:r w:rsidR="008F2E1B" w:rsidRPr="00516560">
        <w:rPr>
          <w:sz w:val="22"/>
          <w:lang w:val="en-US"/>
        </w:rPr>
        <w:t>Moreno GA, Chowen JA, Argente J:</w:t>
      </w:r>
      <w:r w:rsidRPr="00516560">
        <w:rPr>
          <w:sz w:val="22"/>
          <w:lang w:val="en-US"/>
        </w:rPr>
        <w:t xml:space="preserve"> Metabolic signals in human puberty: effects of over and undernutrition</w:t>
      </w:r>
      <w:r w:rsidRPr="00516560">
        <w:rPr>
          <w:iCs/>
          <w:sz w:val="22"/>
          <w:lang w:val="en-US"/>
        </w:rPr>
        <w:t>. Mol Cell Endocrinol 2010</w:t>
      </w:r>
      <w:r w:rsidR="008F2E1B" w:rsidRPr="00516560">
        <w:rPr>
          <w:bCs/>
          <w:sz w:val="22"/>
          <w:lang w:val="en-US"/>
        </w:rPr>
        <w:t>;</w:t>
      </w:r>
      <w:r w:rsidRPr="00516560">
        <w:rPr>
          <w:bCs/>
          <w:sz w:val="22"/>
          <w:lang w:val="en-US"/>
        </w:rPr>
        <w:t>324</w:t>
      </w:r>
      <w:r w:rsidRPr="00516560">
        <w:rPr>
          <w:sz w:val="22"/>
          <w:lang w:val="en-US"/>
        </w:rPr>
        <w:t>:70-81.</w:t>
      </w:r>
    </w:p>
    <w:p w14:paraId="755C86AF" w14:textId="3A1E88A7" w:rsidR="002E2257" w:rsidRPr="00516560" w:rsidRDefault="002E2257" w:rsidP="002E2257">
      <w:pPr>
        <w:pStyle w:val="NormalWeb"/>
        <w:spacing w:line="480" w:lineRule="auto"/>
        <w:jc w:val="both"/>
        <w:rPr>
          <w:sz w:val="22"/>
          <w:lang w:val="en-US"/>
        </w:rPr>
      </w:pPr>
      <w:r w:rsidRPr="00516560">
        <w:rPr>
          <w:sz w:val="22"/>
          <w:lang w:val="en-US"/>
        </w:rPr>
        <w:t xml:space="preserve">(2) De Leonibus C, Marcovecchio ML, Chiavaroli V, de </w:t>
      </w:r>
      <w:r w:rsidR="00784ECB" w:rsidRPr="00516560">
        <w:rPr>
          <w:sz w:val="22"/>
          <w:lang w:val="en-US"/>
        </w:rPr>
        <w:t>Giorgis T, Chiarelli F, Mohn, A:</w:t>
      </w:r>
      <w:r w:rsidRPr="00516560">
        <w:rPr>
          <w:sz w:val="22"/>
          <w:lang w:val="en-US"/>
        </w:rPr>
        <w:t xml:space="preserve"> Timing of puberty and physical growth in obese children: a longitudinal study in boys and girls</w:t>
      </w:r>
      <w:r w:rsidRPr="00516560">
        <w:rPr>
          <w:iCs/>
          <w:sz w:val="22"/>
          <w:lang w:val="en-US"/>
        </w:rPr>
        <w:t>. Pediatr Obes 2014</w:t>
      </w:r>
      <w:r w:rsidR="00784ECB" w:rsidRPr="00516560">
        <w:rPr>
          <w:bCs/>
          <w:sz w:val="22"/>
          <w:lang w:val="en-US"/>
        </w:rPr>
        <w:t>;</w:t>
      </w:r>
      <w:r w:rsidRPr="00516560">
        <w:rPr>
          <w:bCs/>
          <w:sz w:val="22"/>
          <w:lang w:val="en-US"/>
        </w:rPr>
        <w:t>9</w:t>
      </w:r>
      <w:r w:rsidRPr="00516560">
        <w:rPr>
          <w:sz w:val="22"/>
          <w:lang w:val="en-US"/>
        </w:rPr>
        <w:t>:292-299.</w:t>
      </w:r>
    </w:p>
    <w:p w14:paraId="79A7DFAE" w14:textId="569DD78D" w:rsidR="002E2257" w:rsidRPr="00516560" w:rsidRDefault="002E2257" w:rsidP="002E2257">
      <w:pPr>
        <w:pStyle w:val="NormalWeb"/>
        <w:spacing w:line="480" w:lineRule="auto"/>
        <w:jc w:val="both"/>
        <w:rPr>
          <w:sz w:val="22"/>
          <w:lang w:val="en-US"/>
        </w:rPr>
      </w:pPr>
      <w:r w:rsidRPr="00516560">
        <w:rPr>
          <w:sz w:val="22"/>
          <w:lang w:val="en-US"/>
        </w:rPr>
        <w:t>(3) Crocker MK, Stern EA, Sedaka NM, Shoma</w:t>
      </w:r>
      <w:r w:rsidR="000C131B" w:rsidRPr="00516560">
        <w:rPr>
          <w:sz w:val="22"/>
          <w:lang w:val="en-US"/>
        </w:rPr>
        <w:t>ker LB, Brady SM, Ali AH, Shawker TH, Hubbard VS, Yanovski JA</w:t>
      </w:r>
      <w:r w:rsidR="00C42FFE" w:rsidRPr="00516560">
        <w:rPr>
          <w:sz w:val="22"/>
          <w:lang w:val="en-US"/>
        </w:rPr>
        <w:t>:</w:t>
      </w:r>
      <w:r w:rsidRPr="00516560">
        <w:rPr>
          <w:sz w:val="22"/>
          <w:lang w:val="en-US"/>
        </w:rPr>
        <w:t xml:space="preserve"> Sexual dimorphisms in the associations of BMI and body fat with indices of pubertal development in girls and boys</w:t>
      </w:r>
      <w:r w:rsidRPr="00516560">
        <w:rPr>
          <w:iCs/>
          <w:sz w:val="22"/>
          <w:lang w:val="en-US"/>
        </w:rPr>
        <w:t xml:space="preserve">. J Clin Endocrinol Metab </w:t>
      </w:r>
      <w:r w:rsidR="00C42FFE" w:rsidRPr="00516560">
        <w:rPr>
          <w:bCs/>
          <w:sz w:val="22"/>
          <w:lang w:val="en-US"/>
        </w:rPr>
        <w:t>2014:</w:t>
      </w:r>
      <w:r w:rsidRPr="00516560">
        <w:rPr>
          <w:bCs/>
          <w:sz w:val="22"/>
          <w:lang w:val="en-US"/>
        </w:rPr>
        <w:t>99</w:t>
      </w:r>
      <w:r w:rsidRPr="00516560">
        <w:rPr>
          <w:sz w:val="22"/>
          <w:lang w:val="en-US"/>
        </w:rPr>
        <w:t>:E1519-</w:t>
      </w:r>
      <w:r w:rsidR="00C42FFE" w:rsidRPr="00516560">
        <w:rPr>
          <w:sz w:val="22"/>
          <w:lang w:val="en-US"/>
        </w:rPr>
        <w:t>15</w:t>
      </w:r>
      <w:r w:rsidRPr="00516560">
        <w:rPr>
          <w:sz w:val="22"/>
          <w:lang w:val="en-US"/>
        </w:rPr>
        <w:t>29.</w:t>
      </w:r>
    </w:p>
    <w:p w14:paraId="383D1D02" w14:textId="7CAF0756" w:rsidR="002E2257" w:rsidRPr="00516560" w:rsidRDefault="002E2257" w:rsidP="002E2257">
      <w:pPr>
        <w:pStyle w:val="NormalWeb"/>
        <w:spacing w:line="480" w:lineRule="auto"/>
        <w:jc w:val="both"/>
        <w:rPr>
          <w:sz w:val="22"/>
          <w:lang w:val="en-US"/>
        </w:rPr>
      </w:pPr>
      <w:r w:rsidRPr="00516560">
        <w:rPr>
          <w:sz w:val="22"/>
          <w:lang w:val="en-US"/>
        </w:rPr>
        <w:lastRenderedPageBreak/>
        <w:t>(4) Vandewalle S, Taes Y, Fiers T, Van Helvoirt M</w:t>
      </w:r>
      <w:r w:rsidR="00373C23" w:rsidRPr="00516560">
        <w:rPr>
          <w:sz w:val="22"/>
          <w:lang w:val="en-US"/>
        </w:rPr>
        <w:t>, Debode P, Herregods N, Ernst C, Van Caenegem E, Roggen I, Verhelle F, De Schepper J, Kaufman JM</w:t>
      </w:r>
      <w:r w:rsidR="00C42FFE" w:rsidRPr="00516560">
        <w:rPr>
          <w:sz w:val="22"/>
          <w:lang w:val="en-US"/>
        </w:rPr>
        <w:t xml:space="preserve">: </w:t>
      </w:r>
      <w:r w:rsidRPr="00516560">
        <w:rPr>
          <w:sz w:val="22"/>
          <w:lang w:val="en-US"/>
        </w:rPr>
        <w:t>Sex steroids in relation to sexual and skeletal maturation in obese male adolescents</w:t>
      </w:r>
      <w:r w:rsidRPr="00516560">
        <w:rPr>
          <w:iCs/>
          <w:sz w:val="22"/>
          <w:lang w:val="en-US"/>
        </w:rPr>
        <w:t xml:space="preserve">. J Clin Endocrinol Metab </w:t>
      </w:r>
      <w:r w:rsidRPr="00516560">
        <w:rPr>
          <w:bCs/>
          <w:sz w:val="22"/>
          <w:lang w:val="en-US"/>
        </w:rPr>
        <w:t>2014;99</w:t>
      </w:r>
      <w:r w:rsidRPr="00516560">
        <w:rPr>
          <w:sz w:val="22"/>
          <w:lang w:val="en-US"/>
        </w:rPr>
        <w:t>:2977-2985.</w:t>
      </w:r>
    </w:p>
    <w:p w14:paraId="1B8EA6E0" w14:textId="6339AB60" w:rsidR="002E2257" w:rsidRPr="00516560" w:rsidRDefault="002E2257" w:rsidP="002E2257">
      <w:pPr>
        <w:pStyle w:val="NormalWeb"/>
        <w:spacing w:line="480" w:lineRule="auto"/>
        <w:jc w:val="both"/>
        <w:rPr>
          <w:sz w:val="22"/>
          <w:lang w:val="en-US"/>
        </w:rPr>
      </w:pPr>
      <w:r w:rsidRPr="00516560">
        <w:rPr>
          <w:sz w:val="22"/>
          <w:lang w:val="en-US"/>
        </w:rPr>
        <w:t xml:space="preserve">(5) Denzer C, Weibel A, Muche R, Karges B, Sorgo </w:t>
      </w:r>
      <w:r w:rsidR="00C42FFE" w:rsidRPr="00516560">
        <w:rPr>
          <w:sz w:val="22"/>
          <w:lang w:val="en-US"/>
        </w:rPr>
        <w:t>W, Wabitsch M:</w:t>
      </w:r>
      <w:r w:rsidRPr="00516560">
        <w:rPr>
          <w:sz w:val="22"/>
          <w:lang w:val="en-US"/>
        </w:rPr>
        <w:t xml:space="preserve"> Pubertal development in obese children and adolescents</w:t>
      </w:r>
      <w:r w:rsidRPr="00516560">
        <w:rPr>
          <w:iCs/>
          <w:sz w:val="22"/>
          <w:lang w:val="en-US"/>
        </w:rPr>
        <w:t>. Int J Obes (Lond)</w:t>
      </w:r>
      <w:r w:rsidR="00C42FFE" w:rsidRPr="00516560">
        <w:rPr>
          <w:bCs/>
          <w:sz w:val="22"/>
          <w:lang w:val="en-US"/>
        </w:rPr>
        <w:t xml:space="preserve"> 2007;</w:t>
      </w:r>
      <w:r w:rsidRPr="00516560">
        <w:rPr>
          <w:bCs/>
          <w:sz w:val="22"/>
          <w:lang w:val="en-US"/>
        </w:rPr>
        <w:t>31</w:t>
      </w:r>
      <w:r w:rsidRPr="00516560">
        <w:rPr>
          <w:sz w:val="22"/>
          <w:lang w:val="en-US"/>
        </w:rPr>
        <w:t>:1509-1519.</w:t>
      </w:r>
    </w:p>
    <w:p w14:paraId="4AA4AE59" w14:textId="1E5C64CB" w:rsidR="002E2257" w:rsidRPr="00516560" w:rsidRDefault="002E2257" w:rsidP="002E2257">
      <w:pPr>
        <w:pStyle w:val="NormalWeb"/>
        <w:spacing w:line="480" w:lineRule="auto"/>
        <w:jc w:val="both"/>
        <w:rPr>
          <w:sz w:val="22"/>
          <w:lang w:val="en-US"/>
        </w:rPr>
      </w:pPr>
      <w:r w:rsidRPr="00516560">
        <w:rPr>
          <w:sz w:val="22"/>
          <w:lang w:val="en-US"/>
        </w:rPr>
        <w:t>(6) Taneli F, Ersoy B, Ozhan B, Ca</w:t>
      </w:r>
      <w:r w:rsidR="00373C23" w:rsidRPr="00516560">
        <w:rPr>
          <w:sz w:val="22"/>
          <w:lang w:val="en-US"/>
        </w:rPr>
        <w:t>lkan M, Yilmaz O, Dinc G, Taneli C</w:t>
      </w:r>
      <w:r w:rsidR="00C42FFE" w:rsidRPr="00516560">
        <w:rPr>
          <w:sz w:val="22"/>
          <w:lang w:val="en-US"/>
        </w:rPr>
        <w:t>:</w:t>
      </w:r>
      <w:r w:rsidRPr="00516560">
        <w:rPr>
          <w:sz w:val="22"/>
          <w:lang w:val="en-US"/>
        </w:rPr>
        <w:t xml:space="preserve"> The effect of obesity on testicular function by insulin-like factor 3, inhibin B, and leptin concentrations in obese adolescents according to pubertal stages</w:t>
      </w:r>
      <w:r w:rsidRPr="00516560">
        <w:rPr>
          <w:iCs/>
          <w:sz w:val="22"/>
          <w:lang w:val="en-US"/>
        </w:rPr>
        <w:t>. Clin Biochem 2010;</w:t>
      </w:r>
      <w:r w:rsidRPr="00516560">
        <w:rPr>
          <w:bCs/>
          <w:sz w:val="22"/>
          <w:lang w:val="en-US"/>
        </w:rPr>
        <w:t>43</w:t>
      </w:r>
      <w:r w:rsidRPr="00516560">
        <w:rPr>
          <w:sz w:val="22"/>
          <w:lang w:val="en-US"/>
        </w:rPr>
        <w:t>:1236-1240.</w:t>
      </w:r>
    </w:p>
    <w:p w14:paraId="2AC17768" w14:textId="40711AC8" w:rsidR="002E2257" w:rsidRPr="00516560" w:rsidRDefault="002E2257" w:rsidP="002E2257">
      <w:pPr>
        <w:pStyle w:val="NormalWeb"/>
        <w:spacing w:line="480" w:lineRule="auto"/>
        <w:jc w:val="both"/>
        <w:rPr>
          <w:sz w:val="22"/>
          <w:lang w:val="en-US"/>
        </w:rPr>
      </w:pPr>
      <w:r w:rsidRPr="00516560">
        <w:rPr>
          <w:sz w:val="22"/>
          <w:lang w:val="en-US"/>
        </w:rPr>
        <w:lastRenderedPageBreak/>
        <w:t xml:space="preserve">(7) Mogri M, Dhindsa S, </w:t>
      </w:r>
      <w:r w:rsidR="00C42FFE" w:rsidRPr="00516560">
        <w:rPr>
          <w:sz w:val="22"/>
          <w:lang w:val="en-US"/>
        </w:rPr>
        <w:t>Quattrin T, Ghanim H, Dandona P:</w:t>
      </w:r>
      <w:r w:rsidRPr="00516560">
        <w:rPr>
          <w:sz w:val="22"/>
          <w:lang w:val="en-US"/>
        </w:rPr>
        <w:t xml:space="preserve"> Testosterone concentrations in young pubertal and post-pubertal obese males</w:t>
      </w:r>
      <w:r w:rsidRPr="00516560">
        <w:rPr>
          <w:iCs/>
          <w:sz w:val="22"/>
          <w:lang w:val="en-US"/>
        </w:rPr>
        <w:t>. Clin Endocrinol (Oxf) 2013;</w:t>
      </w:r>
      <w:r w:rsidRPr="00516560">
        <w:rPr>
          <w:bCs/>
          <w:sz w:val="22"/>
          <w:lang w:val="en-US"/>
        </w:rPr>
        <w:t>78</w:t>
      </w:r>
      <w:r w:rsidRPr="00516560">
        <w:rPr>
          <w:sz w:val="22"/>
          <w:lang w:val="en-US"/>
        </w:rPr>
        <w:t>:593-599.</w:t>
      </w:r>
    </w:p>
    <w:p w14:paraId="5B0E99E9" w14:textId="6CBF1E5B" w:rsidR="002E2257" w:rsidRPr="00516560" w:rsidRDefault="002E2257" w:rsidP="002E2257">
      <w:pPr>
        <w:pStyle w:val="NormalWeb"/>
        <w:spacing w:line="480" w:lineRule="auto"/>
        <w:jc w:val="both"/>
        <w:rPr>
          <w:sz w:val="22"/>
          <w:lang w:val="en-US"/>
        </w:rPr>
      </w:pPr>
      <w:r w:rsidRPr="00516560">
        <w:rPr>
          <w:sz w:val="22"/>
          <w:lang w:val="en-US"/>
        </w:rPr>
        <w:t xml:space="preserve">(8) Pinkney J, Streeter A, Hosking J, </w:t>
      </w:r>
      <w:r w:rsidR="00C42FFE" w:rsidRPr="00516560">
        <w:rPr>
          <w:sz w:val="22"/>
          <w:lang w:val="en-US"/>
        </w:rPr>
        <w:t>Mohammod M, Jeffery A, Wilkin T:</w:t>
      </w:r>
      <w:r w:rsidRPr="00516560">
        <w:rPr>
          <w:sz w:val="22"/>
          <w:lang w:val="en-US"/>
        </w:rPr>
        <w:t xml:space="preserve"> Adiposity, chronic inflammation, and the prepubertal decline of sex hormone binding globulin in children: evidence for associations with the timing of puberty (Earlybird 58)</w:t>
      </w:r>
      <w:r w:rsidRPr="00516560">
        <w:rPr>
          <w:iCs/>
          <w:sz w:val="22"/>
          <w:lang w:val="en-US"/>
        </w:rPr>
        <w:t>. J Clin Endocrinol Metab 2014;</w:t>
      </w:r>
      <w:r w:rsidRPr="00516560">
        <w:rPr>
          <w:bCs/>
          <w:sz w:val="22"/>
          <w:lang w:val="en-US"/>
        </w:rPr>
        <w:t>99</w:t>
      </w:r>
      <w:r w:rsidRPr="00516560">
        <w:rPr>
          <w:sz w:val="22"/>
          <w:lang w:val="en-US"/>
        </w:rPr>
        <w:t>:3224-3232.</w:t>
      </w:r>
    </w:p>
    <w:p w14:paraId="5A336446" w14:textId="1EB3A29A" w:rsidR="002E2257" w:rsidRPr="00516560" w:rsidRDefault="002E2257" w:rsidP="002E2257">
      <w:pPr>
        <w:pStyle w:val="NormalWeb"/>
        <w:spacing w:line="480" w:lineRule="auto"/>
        <w:jc w:val="both"/>
        <w:rPr>
          <w:sz w:val="22"/>
          <w:lang w:val="en-US"/>
        </w:rPr>
      </w:pPr>
      <w:r w:rsidRPr="00516560">
        <w:rPr>
          <w:sz w:val="22"/>
          <w:lang w:val="en-US"/>
        </w:rPr>
        <w:t>(9) Lee HS, Pa</w:t>
      </w:r>
      <w:r w:rsidR="00C42FFE" w:rsidRPr="00516560">
        <w:rPr>
          <w:sz w:val="22"/>
          <w:lang w:val="en-US"/>
        </w:rPr>
        <w:t xml:space="preserve">rk HK, Ko JH, Kim YJ, Hwang JS: </w:t>
      </w:r>
      <w:r w:rsidRPr="00516560">
        <w:rPr>
          <w:sz w:val="22"/>
          <w:lang w:val="en-US"/>
        </w:rPr>
        <w:t>Impact of body mass index on luteinizing hormone secretion in gonadotropin-releasing hormone stimulation tests of boys experiencing precocious puberty</w:t>
      </w:r>
      <w:r w:rsidRPr="00516560">
        <w:rPr>
          <w:iCs/>
          <w:sz w:val="22"/>
          <w:lang w:val="en-US"/>
        </w:rPr>
        <w:t>. Neuroendocrinology</w:t>
      </w:r>
      <w:r w:rsidRPr="00516560">
        <w:rPr>
          <w:bCs/>
          <w:sz w:val="22"/>
          <w:lang w:val="en-US"/>
        </w:rPr>
        <w:t xml:space="preserve"> </w:t>
      </w:r>
      <w:r w:rsidR="00C42FFE" w:rsidRPr="00516560">
        <w:rPr>
          <w:bCs/>
          <w:sz w:val="22"/>
          <w:lang w:val="en-US"/>
        </w:rPr>
        <w:t>2013;</w:t>
      </w:r>
      <w:r w:rsidRPr="00516560">
        <w:rPr>
          <w:bCs/>
          <w:sz w:val="22"/>
          <w:lang w:val="en-US"/>
        </w:rPr>
        <w:t>97</w:t>
      </w:r>
      <w:r w:rsidRPr="00516560">
        <w:rPr>
          <w:sz w:val="22"/>
          <w:lang w:val="en-US"/>
        </w:rPr>
        <w:t>:225-231.</w:t>
      </w:r>
    </w:p>
    <w:p w14:paraId="009AA91A" w14:textId="3B85E90D" w:rsidR="002E2257" w:rsidRPr="00516560" w:rsidRDefault="00C42FFE" w:rsidP="002E2257">
      <w:pPr>
        <w:pStyle w:val="NormalWeb"/>
        <w:spacing w:line="480" w:lineRule="auto"/>
        <w:jc w:val="both"/>
        <w:rPr>
          <w:sz w:val="22"/>
          <w:lang w:val="en-US"/>
        </w:rPr>
      </w:pPr>
      <w:r w:rsidRPr="00516560">
        <w:rPr>
          <w:sz w:val="22"/>
          <w:lang w:val="en-US"/>
        </w:rPr>
        <w:t>(10) Mah PM, Wittert GA:</w:t>
      </w:r>
      <w:r w:rsidR="002E2257" w:rsidRPr="00516560">
        <w:rPr>
          <w:sz w:val="22"/>
          <w:lang w:val="en-US"/>
        </w:rPr>
        <w:t xml:space="preserve"> Obesity and testicular function</w:t>
      </w:r>
      <w:r w:rsidR="002E2257" w:rsidRPr="00516560">
        <w:rPr>
          <w:iCs/>
          <w:sz w:val="22"/>
          <w:lang w:val="en-US"/>
        </w:rPr>
        <w:t>. Mol Cell Endocrinol 2010;</w:t>
      </w:r>
      <w:r w:rsidR="002E2257" w:rsidRPr="00516560">
        <w:rPr>
          <w:bCs/>
          <w:sz w:val="22"/>
          <w:lang w:val="en-US"/>
        </w:rPr>
        <w:t>316</w:t>
      </w:r>
      <w:r w:rsidR="002E2257" w:rsidRPr="00516560">
        <w:rPr>
          <w:sz w:val="22"/>
          <w:lang w:val="en-US"/>
        </w:rPr>
        <w:t>:180-186.</w:t>
      </w:r>
    </w:p>
    <w:p w14:paraId="4855EB7D" w14:textId="3646F927" w:rsidR="002E2257" w:rsidRPr="00516560" w:rsidRDefault="002E2257" w:rsidP="002E2257">
      <w:pPr>
        <w:pStyle w:val="NormalWeb"/>
        <w:spacing w:line="480" w:lineRule="auto"/>
        <w:jc w:val="both"/>
        <w:rPr>
          <w:sz w:val="22"/>
          <w:lang w:val="en-US"/>
        </w:rPr>
      </w:pPr>
      <w:r w:rsidRPr="00516560">
        <w:rPr>
          <w:sz w:val="22"/>
          <w:lang w:val="en-US"/>
        </w:rPr>
        <w:lastRenderedPageBreak/>
        <w:t>(11) Vandewal</w:t>
      </w:r>
      <w:r w:rsidR="00C42FFE" w:rsidRPr="00516560">
        <w:rPr>
          <w:sz w:val="22"/>
          <w:lang w:val="en-US"/>
        </w:rPr>
        <w:t>le S, De Schepper J, Kaufman JM:</w:t>
      </w:r>
      <w:r w:rsidRPr="00516560">
        <w:rPr>
          <w:sz w:val="22"/>
          <w:lang w:val="en-US"/>
        </w:rPr>
        <w:t xml:space="preserve"> Androgens and obesity in male adolescents</w:t>
      </w:r>
      <w:r w:rsidRPr="00516560">
        <w:rPr>
          <w:iCs/>
          <w:sz w:val="22"/>
          <w:lang w:val="en-US"/>
        </w:rPr>
        <w:t xml:space="preserve">. Curr Opin Endocrinol Diabetes Obes </w:t>
      </w:r>
      <w:r w:rsidR="00C42FFE" w:rsidRPr="00516560">
        <w:rPr>
          <w:iCs/>
          <w:sz w:val="22"/>
          <w:lang w:val="en-US"/>
        </w:rPr>
        <w:t>2015;</w:t>
      </w:r>
      <w:r w:rsidRPr="00516560">
        <w:rPr>
          <w:bCs/>
          <w:sz w:val="22"/>
          <w:lang w:val="en-US"/>
        </w:rPr>
        <w:t>22</w:t>
      </w:r>
      <w:r w:rsidRPr="00516560">
        <w:rPr>
          <w:sz w:val="22"/>
          <w:lang w:val="en-US"/>
        </w:rPr>
        <w:t>:230-237.</w:t>
      </w:r>
    </w:p>
    <w:p w14:paraId="2337F839" w14:textId="667A65D2" w:rsidR="002E2257" w:rsidRPr="00516560" w:rsidRDefault="00C42FFE" w:rsidP="002E2257">
      <w:pPr>
        <w:pStyle w:val="NormalWeb"/>
        <w:spacing w:line="480" w:lineRule="auto"/>
        <w:jc w:val="both"/>
        <w:rPr>
          <w:sz w:val="22"/>
          <w:lang w:val="en-US"/>
        </w:rPr>
      </w:pPr>
      <w:r w:rsidRPr="00516560">
        <w:rPr>
          <w:sz w:val="22"/>
          <w:lang w:val="en-US"/>
        </w:rPr>
        <w:t>(12) He Q, Karlberg J:</w:t>
      </w:r>
      <w:r w:rsidR="002E2257" w:rsidRPr="00516560">
        <w:rPr>
          <w:sz w:val="22"/>
          <w:lang w:val="en-US"/>
        </w:rPr>
        <w:t xml:space="preserve"> Bmi in childhood and its association with height gain, timing of puberty, and final height</w:t>
      </w:r>
      <w:r w:rsidR="002E2257" w:rsidRPr="00516560">
        <w:rPr>
          <w:iCs/>
          <w:sz w:val="22"/>
          <w:lang w:val="en-US"/>
        </w:rPr>
        <w:t>. Pediatr Res 2001;</w:t>
      </w:r>
      <w:r w:rsidR="002E2257" w:rsidRPr="00516560">
        <w:rPr>
          <w:bCs/>
          <w:sz w:val="22"/>
          <w:lang w:val="en-US"/>
        </w:rPr>
        <w:t>49</w:t>
      </w:r>
      <w:r w:rsidRPr="00516560">
        <w:rPr>
          <w:sz w:val="22"/>
          <w:lang w:val="en-US"/>
        </w:rPr>
        <w:t>:</w:t>
      </w:r>
      <w:r w:rsidR="002E2257" w:rsidRPr="00516560">
        <w:rPr>
          <w:sz w:val="22"/>
          <w:lang w:val="en-US"/>
        </w:rPr>
        <w:t>244-251.</w:t>
      </w:r>
    </w:p>
    <w:p w14:paraId="353A7188" w14:textId="166AF3C8" w:rsidR="002E2257" w:rsidRPr="00516560" w:rsidRDefault="00C42FFE" w:rsidP="002E2257">
      <w:pPr>
        <w:pStyle w:val="NormalWeb"/>
        <w:spacing w:line="480" w:lineRule="auto"/>
        <w:jc w:val="both"/>
        <w:rPr>
          <w:sz w:val="22"/>
          <w:lang w:val="en-US"/>
        </w:rPr>
      </w:pPr>
      <w:r w:rsidRPr="00516560">
        <w:rPr>
          <w:sz w:val="22"/>
          <w:lang w:val="en-US"/>
        </w:rPr>
        <w:t>(13) Farr JN, Dimitri P:</w:t>
      </w:r>
      <w:r w:rsidR="002E2257" w:rsidRPr="00516560">
        <w:rPr>
          <w:sz w:val="22"/>
          <w:lang w:val="en-US"/>
        </w:rPr>
        <w:t xml:space="preserve"> The impact of fat and obesity on bone microarchitecture and strength in children</w:t>
      </w:r>
      <w:r w:rsidR="002E2257" w:rsidRPr="00516560">
        <w:rPr>
          <w:iCs/>
          <w:sz w:val="22"/>
          <w:lang w:val="en-US"/>
        </w:rPr>
        <w:t>. Calcif Tissue Int 2017;</w:t>
      </w:r>
      <w:r w:rsidR="002E2257" w:rsidRPr="00516560">
        <w:rPr>
          <w:bCs/>
          <w:sz w:val="22"/>
          <w:lang w:val="en-US"/>
        </w:rPr>
        <w:t>100</w:t>
      </w:r>
      <w:r w:rsidR="002E2257" w:rsidRPr="00516560">
        <w:rPr>
          <w:sz w:val="22"/>
          <w:lang w:val="en-US"/>
        </w:rPr>
        <w:t>:500-513.</w:t>
      </w:r>
    </w:p>
    <w:p w14:paraId="1E224B8B" w14:textId="0E6F0B5E" w:rsidR="002E2257" w:rsidRPr="00516560" w:rsidRDefault="002E2257" w:rsidP="002E2257">
      <w:pPr>
        <w:pStyle w:val="NormalWeb"/>
        <w:spacing w:line="480" w:lineRule="auto"/>
        <w:jc w:val="both"/>
        <w:rPr>
          <w:sz w:val="22"/>
          <w:lang w:val="en-US"/>
        </w:rPr>
      </w:pPr>
      <w:r w:rsidRPr="00516560">
        <w:rPr>
          <w:sz w:val="22"/>
          <w:lang w:val="en-US"/>
        </w:rPr>
        <w:t>(14) Mengel E, Tillmann V, Remmel L,</w:t>
      </w:r>
      <w:r w:rsidR="00C42FFE" w:rsidRPr="00516560">
        <w:rPr>
          <w:sz w:val="22"/>
          <w:lang w:val="en-US"/>
        </w:rPr>
        <w:t xml:space="preserve"> K</w:t>
      </w:r>
      <w:r w:rsidR="008433FC" w:rsidRPr="00516560">
        <w:rPr>
          <w:sz w:val="22"/>
          <w:lang w:val="en-US"/>
        </w:rPr>
        <w:t>ool P, Purge P, Latt E, Jurimae J</w:t>
      </w:r>
      <w:r w:rsidR="00C42FFE" w:rsidRPr="00516560">
        <w:rPr>
          <w:sz w:val="22"/>
          <w:lang w:val="en-US"/>
        </w:rPr>
        <w:t>:</w:t>
      </w:r>
      <w:r w:rsidRPr="00516560">
        <w:rPr>
          <w:sz w:val="22"/>
          <w:lang w:val="en-US"/>
        </w:rPr>
        <w:t xml:space="preserve"> Extensive BMI gain in puberty is associated with lower increments in bone mineral density in Estonian boys with overweight and obesity: A 3-Year Longitudinal Study</w:t>
      </w:r>
      <w:r w:rsidRPr="00516560">
        <w:rPr>
          <w:iCs/>
          <w:sz w:val="22"/>
          <w:lang w:val="en-US"/>
        </w:rPr>
        <w:t>. Calcif Tissue Int 2017;</w:t>
      </w:r>
      <w:r w:rsidRPr="00516560">
        <w:rPr>
          <w:bCs/>
          <w:sz w:val="22"/>
          <w:lang w:val="en-US"/>
        </w:rPr>
        <w:t>101</w:t>
      </w:r>
      <w:r w:rsidRPr="00516560">
        <w:rPr>
          <w:sz w:val="22"/>
          <w:lang w:val="en-US"/>
        </w:rPr>
        <w:t>:174-181.</w:t>
      </w:r>
    </w:p>
    <w:p w14:paraId="24B8E4DF" w14:textId="04094BB6" w:rsidR="002E2257" w:rsidRPr="00516560" w:rsidRDefault="002E2257" w:rsidP="002E2257">
      <w:pPr>
        <w:pStyle w:val="NormalWeb"/>
        <w:spacing w:line="480" w:lineRule="auto"/>
        <w:jc w:val="both"/>
        <w:rPr>
          <w:sz w:val="22"/>
          <w:lang w:val="en-US"/>
        </w:rPr>
      </w:pPr>
      <w:r w:rsidRPr="00516560">
        <w:rPr>
          <w:sz w:val="22"/>
          <w:lang w:val="en-US"/>
        </w:rPr>
        <w:t>(15) Dimitri P</w:t>
      </w:r>
      <w:r w:rsidR="00C42FFE" w:rsidRPr="00516560">
        <w:rPr>
          <w:sz w:val="22"/>
          <w:lang w:val="en-US"/>
        </w:rPr>
        <w:t>, Bishop N, Walsh JS, Eastell R:</w:t>
      </w:r>
      <w:r w:rsidRPr="00516560">
        <w:rPr>
          <w:sz w:val="22"/>
          <w:lang w:val="en-US"/>
        </w:rPr>
        <w:t xml:space="preserve"> Obesity is a risk factor for fracture in children but is protective against fracture in adults: a paradox</w:t>
      </w:r>
      <w:r w:rsidRPr="00516560">
        <w:rPr>
          <w:iCs/>
          <w:sz w:val="22"/>
          <w:lang w:val="en-US"/>
        </w:rPr>
        <w:t>. Bone</w:t>
      </w:r>
      <w:r w:rsidRPr="00516560">
        <w:rPr>
          <w:bCs/>
          <w:sz w:val="22"/>
          <w:lang w:val="en-US"/>
        </w:rPr>
        <w:t xml:space="preserve"> 2012;50</w:t>
      </w:r>
      <w:r w:rsidRPr="00516560">
        <w:rPr>
          <w:sz w:val="22"/>
          <w:lang w:val="en-US"/>
        </w:rPr>
        <w:t>:457-466.</w:t>
      </w:r>
    </w:p>
    <w:p w14:paraId="6430FC87" w14:textId="750CCA36" w:rsidR="002E2257" w:rsidRPr="00516560" w:rsidRDefault="002E2257" w:rsidP="002E2257">
      <w:pPr>
        <w:pStyle w:val="NormalWeb"/>
        <w:spacing w:line="480" w:lineRule="auto"/>
        <w:jc w:val="both"/>
        <w:rPr>
          <w:sz w:val="22"/>
          <w:lang w:val="en-US"/>
        </w:rPr>
      </w:pPr>
      <w:r w:rsidRPr="00516560">
        <w:rPr>
          <w:sz w:val="22"/>
          <w:lang w:val="en-US"/>
        </w:rPr>
        <w:lastRenderedPageBreak/>
        <w:t>(16) Oury F, Ferron M, Huizhen W, Confa</w:t>
      </w:r>
      <w:r w:rsidR="008433FC" w:rsidRPr="00516560">
        <w:rPr>
          <w:sz w:val="22"/>
          <w:lang w:val="en-US"/>
        </w:rPr>
        <w:t>vreux C, Xu L, Lacombe J, Srinivas P, Chamouni A, Lugani F, Lejeune H, Kumar TR, Plotton I, Karsenty G</w:t>
      </w:r>
      <w:r w:rsidR="00C42FFE" w:rsidRPr="00516560">
        <w:rPr>
          <w:sz w:val="22"/>
          <w:lang w:val="en-US"/>
        </w:rPr>
        <w:t>:</w:t>
      </w:r>
      <w:r w:rsidRPr="00516560">
        <w:rPr>
          <w:sz w:val="22"/>
          <w:lang w:val="en-US"/>
        </w:rPr>
        <w:t xml:space="preserve"> Osteocalcin regulates murine and human fertility through a pancreas-bone-testis axis</w:t>
      </w:r>
      <w:r w:rsidRPr="00516560">
        <w:rPr>
          <w:iCs/>
          <w:sz w:val="22"/>
          <w:lang w:val="en-US"/>
        </w:rPr>
        <w:t>. J Clin Invest 2013;</w:t>
      </w:r>
      <w:r w:rsidRPr="00516560">
        <w:rPr>
          <w:bCs/>
          <w:sz w:val="22"/>
          <w:lang w:val="en-US"/>
        </w:rPr>
        <w:t>123</w:t>
      </w:r>
      <w:r w:rsidRPr="00516560">
        <w:rPr>
          <w:sz w:val="22"/>
          <w:lang w:val="en-US"/>
        </w:rPr>
        <w:t>:2421-2433.</w:t>
      </w:r>
    </w:p>
    <w:p w14:paraId="4654A5C1" w14:textId="08485794" w:rsidR="002E2257" w:rsidRPr="00516560" w:rsidRDefault="002E2257" w:rsidP="002E2257">
      <w:pPr>
        <w:pStyle w:val="NormalWeb"/>
        <w:spacing w:line="480" w:lineRule="auto"/>
        <w:jc w:val="both"/>
        <w:rPr>
          <w:sz w:val="22"/>
          <w:lang w:val="en-US"/>
        </w:rPr>
      </w:pPr>
      <w:r w:rsidRPr="00516560">
        <w:rPr>
          <w:sz w:val="22"/>
          <w:lang w:val="en-US"/>
        </w:rPr>
        <w:t>(17) Välimäki VV, Alfthan H, Ivaska KK, Löyttyniemi E, P</w:t>
      </w:r>
      <w:r w:rsidR="008433FC" w:rsidRPr="00516560">
        <w:rPr>
          <w:sz w:val="22"/>
          <w:lang w:val="en-US"/>
        </w:rPr>
        <w:t>ettersson K, Stenman UH, Välimäki MJ</w:t>
      </w:r>
      <w:r w:rsidR="00C42FFE" w:rsidRPr="00516560">
        <w:rPr>
          <w:sz w:val="22"/>
          <w:lang w:val="en-US"/>
        </w:rPr>
        <w:t>:</w:t>
      </w:r>
      <w:r w:rsidRPr="00516560">
        <w:rPr>
          <w:sz w:val="22"/>
          <w:lang w:val="en-US"/>
        </w:rPr>
        <w:t xml:space="preserve"> Serum estradiol, testosterone, and sex hormone-binding globulin as regulators of peak bone mass and bone turnover rate in young Finnish men</w:t>
      </w:r>
      <w:r w:rsidRPr="00516560">
        <w:rPr>
          <w:iCs/>
          <w:sz w:val="22"/>
          <w:lang w:val="en-US"/>
        </w:rPr>
        <w:t>. J Clin Endocrinol Metab 2004;</w:t>
      </w:r>
      <w:r w:rsidRPr="00516560">
        <w:rPr>
          <w:bCs/>
          <w:sz w:val="22"/>
          <w:lang w:val="en-US"/>
        </w:rPr>
        <w:t>89</w:t>
      </w:r>
      <w:r w:rsidR="00C42FFE" w:rsidRPr="00516560">
        <w:rPr>
          <w:sz w:val="22"/>
          <w:lang w:val="en-US"/>
        </w:rPr>
        <w:t>:</w:t>
      </w:r>
      <w:r w:rsidRPr="00516560">
        <w:rPr>
          <w:sz w:val="22"/>
          <w:lang w:val="en-US"/>
        </w:rPr>
        <w:t>3785-3789.</w:t>
      </w:r>
    </w:p>
    <w:p w14:paraId="3867A75E" w14:textId="78F24861" w:rsidR="002E2257" w:rsidRPr="00516560" w:rsidRDefault="002E2257" w:rsidP="002E2257">
      <w:pPr>
        <w:pStyle w:val="NormalWeb"/>
        <w:spacing w:line="480" w:lineRule="auto"/>
        <w:jc w:val="both"/>
        <w:rPr>
          <w:sz w:val="22"/>
          <w:lang w:val="en-US"/>
        </w:rPr>
      </w:pPr>
      <w:r w:rsidRPr="00516560">
        <w:rPr>
          <w:sz w:val="22"/>
          <w:lang w:val="en-US"/>
        </w:rPr>
        <w:t>(18) Hannemann A, Breer S, Wallaschofski H, Nauck M, Ba</w:t>
      </w:r>
      <w:r w:rsidR="008433FC" w:rsidRPr="00516560">
        <w:rPr>
          <w:sz w:val="22"/>
          <w:lang w:val="en-US"/>
        </w:rPr>
        <w:t>umeister SE, Barvencik F, Amling M, Schinke T, Haring R, Keller J</w:t>
      </w:r>
      <w:r w:rsidR="00C42FFE" w:rsidRPr="00516560">
        <w:rPr>
          <w:sz w:val="22"/>
          <w:lang w:val="en-US"/>
        </w:rPr>
        <w:t>:</w:t>
      </w:r>
      <w:r w:rsidRPr="00516560">
        <w:rPr>
          <w:sz w:val="22"/>
          <w:lang w:val="en-US"/>
        </w:rPr>
        <w:t xml:space="preserve"> Osteocalcin is associated with testosterone in the general population and selected patients with bone disorders</w:t>
      </w:r>
      <w:r w:rsidRPr="00516560">
        <w:rPr>
          <w:iCs/>
          <w:sz w:val="22"/>
          <w:lang w:val="en-US"/>
        </w:rPr>
        <w:t>. Andrology</w:t>
      </w:r>
      <w:r w:rsidRPr="00516560">
        <w:rPr>
          <w:bCs/>
          <w:sz w:val="22"/>
          <w:lang w:val="en-US"/>
        </w:rPr>
        <w:t xml:space="preserve"> </w:t>
      </w:r>
      <w:r w:rsidR="00C42FFE" w:rsidRPr="00516560">
        <w:rPr>
          <w:bCs/>
          <w:sz w:val="22"/>
          <w:lang w:val="en-US"/>
        </w:rPr>
        <w:t>2013;</w:t>
      </w:r>
      <w:r w:rsidRPr="00516560">
        <w:rPr>
          <w:bCs/>
          <w:sz w:val="22"/>
          <w:lang w:val="en-US"/>
        </w:rPr>
        <w:t>1</w:t>
      </w:r>
      <w:r w:rsidRPr="00516560">
        <w:rPr>
          <w:sz w:val="22"/>
          <w:lang w:val="en-US"/>
        </w:rPr>
        <w:t>:469-474.</w:t>
      </w:r>
    </w:p>
    <w:p w14:paraId="7B8C9B35" w14:textId="64B17ECE" w:rsidR="002E2257" w:rsidRPr="00516560" w:rsidRDefault="002E2257" w:rsidP="002E2257">
      <w:pPr>
        <w:pStyle w:val="NormalWeb"/>
        <w:spacing w:line="480" w:lineRule="auto"/>
        <w:jc w:val="both"/>
        <w:rPr>
          <w:sz w:val="22"/>
          <w:lang w:val="en-US"/>
        </w:rPr>
      </w:pPr>
      <w:r w:rsidRPr="00516560">
        <w:rPr>
          <w:sz w:val="22"/>
          <w:lang w:val="en-US"/>
        </w:rPr>
        <w:lastRenderedPageBreak/>
        <w:t>(19) Kirmani S, Atkinson EJ, Melton LJ 3rd, Riggs BL, Amin S, Kho</w:t>
      </w:r>
      <w:r w:rsidR="00C42FFE" w:rsidRPr="00516560">
        <w:rPr>
          <w:sz w:val="22"/>
          <w:lang w:val="en-US"/>
        </w:rPr>
        <w:t>sla S:</w:t>
      </w:r>
      <w:r w:rsidRPr="00516560">
        <w:rPr>
          <w:sz w:val="22"/>
          <w:lang w:val="en-US"/>
        </w:rPr>
        <w:t xml:space="preserve"> Relationship of testosterone and osteocalcin levels during growth</w:t>
      </w:r>
      <w:r w:rsidRPr="00516560">
        <w:rPr>
          <w:iCs/>
          <w:sz w:val="22"/>
          <w:lang w:val="en-US"/>
        </w:rPr>
        <w:t>. J Bone Miner Res 2011;</w:t>
      </w:r>
      <w:r w:rsidRPr="00516560">
        <w:rPr>
          <w:bCs/>
          <w:sz w:val="22"/>
          <w:lang w:val="en-US"/>
        </w:rPr>
        <w:t>26</w:t>
      </w:r>
      <w:r w:rsidRPr="00516560">
        <w:rPr>
          <w:sz w:val="22"/>
          <w:lang w:val="en-US"/>
        </w:rPr>
        <w:t>:2212-2216.</w:t>
      </w:r>
    </w:p>
    <w:p w14:paraId="5C2B4D31" w14:textId="15532AC5" w:rsidR="002E2257" w:rsidRPr="00516560" w:rsidRDefault="002E2257" w:rsidP="002E2257">
      <w:pPr>
        <w:pStyle w:val="NormalWeb"/>
        <w:spacing w:line="480" w:lineRule="auto"/>
        <w:jc w:val="both"/>
        <w:rPr>
          <w:sz w:val="22"/>
          <w:lang w:val="en-US"/>
        </w:rPr>
      </w:pPr>
      <w:r w:rsidRPr="00516560">
        <w:rPr>
          <w:sz w:val="22"/>
          <w:lang w:val="en-US"/>
        </w:rPr>
        <w:t>(20) Ferlin A, Pepe A, Gianesello L, Garol</w:t>
      </w:r>
      <w:r w:rsidR="008433FC" w:rsidRPr="00516560">
        <w:rPr>
          <w:sz w:val="22"/>
          <w:lang w:val="en-US"/>
        </w:rPr>
        <w:t>la A, Feng S, Giannini S, Zaccolo M, Facciolli A, Morello R, Agoulnik AI, Foresta C</w:t>
      </w:r>
      <w:r w:rsidR="00C42FFE" w:rsidRPr="00516560">
        <w:rPr>
          <w:sz w:val="22"/>
          <w:lang w:val="en-US"/>
        </w:rPr>
        <w:t>:</w:t>
      </w:r>
      <w:r w:rsidRPr="00516560">
        <w:rPr>
          <w:sz w:val="22"/>
          <w:lang w:val="en-US"/>
        </w:rPr>
        <w:t xml:space="preserve"> Mutations in the insulin-like factor 3 receptor are associated with osteoporosis</w:t>
      </w:r>
      <w:r w:rsidRPr="00516560">
        <w:rPr>
          <w:iCs/>
          <w:sz w:val="22"/>
          <w:lang w:val="en-US"/>
        </w:rPr>
        <w:t>. J Bone Miner Res 2008;</w:t>
      </w:r>
      <w:r w:rsidRPr="00516560">
        <w:rPr>
          <w:bCs/>
          <w:sz w:val="22"/>
          <w:lang w:val="en-US"/>
        </w:rPr>
        <w:t>23</w:t>
      </w:r>
      <w:r w:rsidRPr="00516560">
        <w:rPr>
          <w:sz w:val="22"/>
          <w:lang w:val="en-US"/>
        </w:rPr>
        <w:t>:683-693.</w:t>
      </w:r>
    </w:p>
    <w:p w14:paraId="043D4445" w14:textId="34F5E343" w:rsidR="002E2257" w:rsidRPr="00516560" w:rsidRDefault="002E2257" w:rsidP="002E2257">
      <w:pPr>
        <w:pStyle w:val="NormalWeb"/>
        <w:spacing w:line="480" w:lineRule="auto"/>
        <w:jc w:val="both"/>
        <w:rPr>
          <w:sz w:val="22"/>
          <w:lang w:val="en-US"/>
        </w:rPr>
      </w:pPr>
      <w:r w:rsidRPr="00516560">
        <w:rPr>
          <w:sz w:val="22"/>
          <w:lang w:val="en-US"/>
        </w:rPr>
        <w:t>(21) Ferlin A, Perilli L, Gianesel</w:t>
      </w:r>
      <w:r w:rsidR="000C131B" w:rsidRPr="00516560">
        <w:rPr>
          <w:sz w:val="22"/>
          <w:lang w:val="en-US"/>
        </w:rPr>
        <w:t>lo L, Taglialavoro G, Foresta C:</w:t>
      </w:r>
      <w:r w:rsidRPr="00516560">
        <w:rPr>
          <w:sz w:val="22"/>
          <w:lang w:val="en-US"/>
        </w:rPr>
        <w:t xml:space="preserve"> Profiling insulin like factor 3 (INSL3) signaling in human osteoblasts</w:t>
      </w:r>
      <w:r w:rsidRPr="00516560">
        <w:rPr>
          <w:iCs/>
          <w:sz w:val="22"/>
          <w:lang w:val="en-US"/>
        </w:rPr>
        <w:t>. PLoS One</w:t>
      </w:r>
      <w:r w:rsidRPr="00516560">
        <w:rPr>
          <w:bCs/>
          <w:sz w:val="22"/>
          <w:lang w:val="en-US"/>
        </w:rPr>
        <w:t xml:space="preserve"> </w:t>
      </w:r>
      <w:r w:rsidR="000C131B" w:rsidRPr="00516560">
        <w:rPr>
          <w:bCs/>
          <w:sz w:val="22"/>
          <w:lang w:val="en-US"/>
        </w:rPr>
        <w:t>2011;</w:t>
      </w:r>
      <w:r w:rsidRPr="00516560">
        <w:rPr>
          <w:bCs/>
          <w:sz w:val="22"/>
          <w:lang w:val="en-US"/>
        </w:rPr>
        <w:t>6</w:t>
      </w:r>
      <w:r w:rsidRPr="00516560">
        <w:rPr>
          <w:sz w:val="22"/>
          <w:lang w:val="en-US"/>
        </w:rPr>
        <w:t>:e29733.</w:t>
      </w:r>
    </w:p>
    <w:p w14:paraId="3D70BB05" w14:textId="48577F61" w:rsidR="002E2257" w:rsidRPr="00516560" w:rsidRDefault="002E2257" w:rsidP="002E2257">
      <w:pPr>
        <w:pStyle w:val="NormalWeb"/>
        <w:spacing w:line="480" w:lineRule="auto"/>
        <w:jc w:val="both"/>
        <w:rPr>
          <w:sz w:val="22"/>
          <w:lang w:val="en-US"/>
        </w:rPr>
      </w:pPr>
      <w:r w:rsidRPr="00516560">
        <w:rPr>
          <w:sz w:val="22"/>
          <w:lang w:val="en-US"/>
        </w:rPr>
        <w:t>(22) Viljakainen HT, Valta H, Lipsanen-Nyman M, Saukkonen T,</w:t>
      </w:r>
      <w:r w:rsidR="009C397E" w:rsidRPr="00516560">
        <w:rPr>
          <w:sz w:val="22"/>
          <w:lang w:val="en-US"/>
        </w:rPr>
        <w:t xml:space="preserve"> Kajantie E, Andersson S, Mäkitie O</w:t>
      </w:r>
      <w:r w:rsidR="000C131B" w:rsidRPr="00516560">
        <w:rPr>
          <w:sz w:val="22"/>
          <w:lang w:val="en-US"/>
        </w:rPr>
        <w:t>:</w:t>
      </w:r>
      <w:r w:rsidRPr="00516560">
        <w:rPr>
          <w:sz w:val="22"/>
          <w:lang w:val="en-US"/>
        </w:rPr>
        <w:t xml:space="preserve"> Bone characteristics and their determinants in </w:t>
      </w:r>
      <w:r w:rsidRPr="00516560">
        <w:rPr>
          <w:sz w:val="22"/>
          <w:lang w:val="en-US"/>
        </w:rPr>
        <w:lastRenderedPageBreak/>
        <w:t>adolescents and young adults with early-onset severe obesity</w:t>
      </w:r>
      <w:r w:rsidRPr="00516560">
        <w:rPr>
          <w:iCs/>
          <w:sz w:val="22"/>
          <w:lang w:val="en-US"/>
        </w:rPr>
        <w:t xml:space="preserve">. </w:t>
      </w:r>
      <w:r w:rsidR="000C131B" w:rsidRPr="00516560">
        <w:rPr>
          <w:iCs/>
          <w:sz w:val="22"/>
          <w:lang w:val="en-US"/>
        </w:rPr>
        <w:t>Calcif Tissue Int 2015;</w:t>
      </w:r>
      <w:r w:rsidRPr="00516560">
        <w:rPr>
          <w:bCs/>
          <w:sz w:val="22"/>
          <w:lang w:val="en-US"/>
        </w:rPr>
        <w:t>97</w:t>
      </w:r>
      <w:r w:rsidRPr="00516560">
        <w:rPr>
          <w:sz w:val="22"/>
          <w:lang w:val="en-US"/>
        </w:rPr>
        <w:t>:364-375.</w:t>
      </w:r>
    </w:p>
    <w:p w14:paraId="28C3923F" w14:textId="297B5257" w:rsidR="002E2257" w:rsidRPr="00516560" w:rsidRDefault="002E2257" w:rsidP="002E2257">
      <w:pPr>
        <w:pStyle w:val="NormalWeb"/>
        <w:spacing w:line="480" w:lineRule="auto"/>
        <w:jc w:val="both"/>
        <w:rPr>
          <w:sz w:val="22"/>
          <w:lang w:val="en-US"/>
        </w:rPr>
      </w:pPr>
      <w:r w:rsidRPr="00516560">
        <w:rPr>
          <w:sz w:val="22"/>
          <w:lang w:val="en-US"/>
        </w:rPr>
        <w:t>(23) Viljakainen H, Ivaska KK, Paldanius P, Lipsanen-Nyman M, Sau</w:t>
      </w:r>
      <w:r w:rsidR="009C397E" w:rsidRPr="00516560">
        <w:rPr>
          <w:sz w:val="22"/>
          <w:lang w:val="en-US"/>
        </w:rPr>
        <w:t>kkonen T, Pietiläinen KH, Andersson S, Laitinen K, Mäkitie O</w:t>
      </w:r>
      <w:r w:rsidR="000C131B" w:rsidRPr="00516560">
        <w:rPr>
          <w:sz w:val="22"/>
          <w:lang w:val="en-US"/>
        </w:rPr>
        <w:t>:</w:t>
      </w:r>
      <w:r w:rsidRPr="00516560">
        <w:rPr>
          <w:sz w:val="22"/>
          <w:lang w:val="en-US"/>
        </w:rPr>
        <w:t xml:space="preserve"> Suppressed bone turnover in obesity: a link to energy metabolism? A case-control study</w:t>
      </w:r>
      <w:r w:rsidR="000C131B" w:rsidRPr="00516560">
        <w:rPr>
          <w:iCs/>
          <w:sz w:val="22"/>
          <w:lang w:val="en-US"/>
        </w:rPr>
        <w:t>. J Clin Endocrinol Metab 2014;</w:t>
      </w:r>
      <w:r w:rsidRPr="00516560">
        <w:rPr>
          <w:bCs/>
          <w:sz w:val="22"/>
          <w:lang w:val="en-US"/>
        </w:rPr>
        <w:t>99</w:t>
      </w:r>
      <w:r w:rsidRPr="00516560">
        <w:rPr>
          <w:sz w:val="22"/>
          <w:lang w:val="en-US"/>
        </w:rPr>
        <w:t>:2155-2163.</w:t>
      </w:r>
    </w:p>
    <w:p w14:paraId="71CE5626" w14:textId="7BBD403C" w:rsidR="002E2257" w:rsidRPr="00516560" w:rsidRDefault="002E2257" w:rsidP="002E2257">
      <w:pPr>
        <w:pStyle w:val="NormalWeb"/>
        <w:spacing w:line="480" w:lineRule="auto"/>
        <w:jc w:val="both"/>
        <w:rPr>
          <w:sz w:val="22"/>
          <w:lang w:val="en-US"/>
        </w:rPr>
      </w:pPr>
      <w:r w:rsidRPr="00516560">
        <w:rPr>
          <w:sz w:val="22"/>
          <w:lang w:val="en-US"/>
        </w:rPr>
        <w:t>(24) Saari A, Sankilampi U, Hannila ML, K</w:t>
      </w:r>
      <w:r w:rsidR="000C131B" w:rsidRPr="00516560">
        <w:rPr>
          <w:sz w:val="22"/>
          <w:lang w:val="en-US"/>
        </w:rPr>
        <w:t>iviniemi V, Kesseli K, Dunkel L:</w:t>
      </w:r>
      <w:r w:rsidRPr="00516560">
        <w:rPr>
          <w:sz w:val="22"/>
          <w:lang w:val="en-US"/>
        </w:rPr>
        <w:t xml:space="preserve"> New Finnish growth references for children and adolescents aged 0 to 20 years: Length/height-for-age, weight-for-length/height, and body mass index-for-age</w:t>
      </w:r>
      <w:r w:rsidR="000C131B" w:rsidRPr="00516560">
        <w:rPr>
          <w:iCs/>
          <w:sz w:val="22"/>
          <w:lang w:val="en-US"/>
        </w:rPr>
        <w:t>. Ann Med 2011;</w:t>
      </w:r>
      <w:r w:rsidRPr="00516560">
        <w:rPr>
          <w:bCs/>
          <w:sz w:val="22"/>
          <w:lang w:val="en-US"/>
        </w:rPr>
        <w:t>43</w:t>
      </w:r>
      <w:r w:rsidRPr="00516560">
        <w:rPr>
          <w:sz w:val="22"/>
          <w:lang w:val="en-US"/>
        </w:rPr>
        <w:t>:235-248.</w:t>
      </w:r>
    </w:p>
    <w:p w14:paraId="13CBD2CA" w14:textId="116A7B94" w:rsidR="002E2257" w:rsidRPr="00516560" w:rsidRDefault="002E2257" w:rsidP="002E2257">
      <w:pPr>
        <w:pStyle w:val="NormalWeb"/>
        <w:spacing w:line="480" w:lineRule="auto"/>
        <w:jc w:val="both"/>
        <w:rPr>
          <w:sz w:val="22"/>
          <w:lang w:val="en-US"/>
        </w:rPr>
      </w:pPr>
      <w:r w:rsidRPr="00516560">
        <w:rPr>
          <w:sz w:val="22"/>
          <w:lang w:val="en-US"/>
        </w:rPr>
        <w:lastRenderedPageBreak/>
        <w:t>(25) Käkönen SM, Hellman J, Karp M, Laaksonen P</w:t>
      </w:r>
      <w:r w:rsidR="009C397E" w:rsidRPr="00516560">
        <w:rPr>
          <w:sz w:val="22"/>
          <w:lang w:val="en-US"/>
        </w:rPr>
        <w:t>, Obrant KJ, Väänänen HK, Lövgren T, Pettersson K</w:t>
      </w:r>
      <w:r w:rsidR="000C131B" w:rsidRPr="00516560">
        <w:rPr>
          <w:sz w:val="22"/>
          <w:lang w:val="en-US"/>
        </w:rPr>
        <w:t>:</w:t>
      </w:r>
      <w:r w:rsidRPr="00516560">
        <w:rPr>
          <w:sz w:val="22"/>
          <w:lang w:val="en-US"/>
        </w:rPr>
        <w:t xml:space="preserve">  Development and evaluation of three immunofluorometric assays that measure different forms of osteocalcin in serum</w:t>
      </w:r>
      <w:r w:rsidRPr="00516560">
        <w:rPr>
          <w:iCs/>
          <w:sz w:val="22"/>
          <w:lang w:val="en-US"/>
        </w:rPr>
        <w:t xml:space="preserve">. Clin </w:t>
      </w:r>
      <w:r w:rsidR="000C131B" w:rsidRPr="00516560">
        <w:rPr>
          <w:iCs/>
          <w:sz w:val="22"/>
          <w:lang w:val="en-US"/>
        </w:rPr>
        <w:t>Chem 2000;</w:t>
      </w:r>
      <w:r w:rsidRPr="00516560">
        <w:rPr>
          <w:bCs/>
          <w:sz w:val="22"/>
          <w:lang w:val="en-US"/>
        </w:rPr>
        <w:t>46</w:t>
      </w:r>
      <w:r w:rsidR="000C131B" w:rsidRPr="00516560">
        <w:rPr>
          <w:sz w:val="22"/>
          <w:lang w:val="en-US"/>
        </w:rPr>
        <w:t>:</w:t>
      </w:r>
      <w:r w:rsidRPr="00516560">
        <w:rPr>
          <w:sz w:val="22"/>
          <w:lang w:val="en-US"/>
        </w:rPr>
        <w:t>332-337.</w:t>
      </w:r>
    </w:p>
    <w:p w14:paraId="0D6240EA" w14:textId="34E7514C" w:rsidR="002E2257" w:rsidRPr="00516560" w:rsidRDefault="002E2257" w:rsidP="002E2257">
      <w:pPr>
        <w:pStyle w:val="NormalWeb"/>
        <w:spacing w:line="480" w:lineRule="auto"/>
        <w:jc w:val="both"/>
        <w:rPr>
          <w:sz w:val="22"/>
          <w:lang w:val="en-US"/>
        </w:rPr>
      </w:pPr>
      <w:r w:rsidRPr="00516560">
        <w:rPr>
          <w:sz w:val="22"/>
          <w:lang w:val="en-US"/>
        </w:rPr>
        <w:t>(26) Paldanius PM, Ivaska KK, Hovi P, Andersson S,</w:t>
      </w:r>
      <w:r w:rsidR="009C397E" w:rsidRPr="00516560">
        <w:rPr>
          <w:sz w:val="22"/>
          <w:lang w:val="en-US"/>
        </w:rPr>
        <w:t xml:space="preserve"> Väänänen HK, Kajantie E, Mäkitie O</w:t>
      </w:r>
      <w:r w:rsidR="000C131B" w:rsidRPr="00516560">
        <w:rPr>
          <w:sz w:val="22"/>
          <w:lang w:val="en-US"/>
        </w:rPr>
        <w:t>:</w:t>
      </w:r>
      <w:r w:rsidRPr="00516560">
        <w:rPr>
          <w:sz w:val="22"/>
          <w:lang w:val="en-US"/>
        </w:rPr>
        <w:t xml:space="preserve"> The effect of oral glucose tolerance test on serum osteocalcin and bone turnover markers in young adults</w:t>
      </w:r>
      <w:r w:rsidR="000C131B" w:rsidRPr="00516560">
        <w:rPr>
          <w:iCs/>
          <w:sz w:val="22"/>
          <w:lang w:val="en-US"/>
        </w:rPr>
        <w:t>. Calcif Tissue Int 2012;</w:t>
      </w:r>
      <w:r w:rsidRPr="00516560">
        <w:rPr>
          <w:bCs/>
          <w:sz w:val="22"/>
          <w:lang w:val="en-US"/>
        </w:rPr>
        <w:t>90</w:t>
      </w:r>
      <w:r w:rsidR="000C131B" w:rsidRPr="00516560">
        <w:rPr>
          <w:sz w:val="22"/>
          <w:lang w:val="en-US"/>
        </w:rPr>
        <w:t>:</w:t>
      </w:r>
      <w:r w:rsidRPr="00516560">
        <w:rPr>
          <w:sz w:val="22"/>
          <w:lang w:val="en-US"/>
        </w:rPr>
        <w:t>90-95.</w:t>
      </w:r>
    </w:p>
    <w:p w14:paraId="0D6106F6" w14:textId="35C50011" w:rsidR="002E2257" w:rsidRPr="00516560" w:rsidRDefault="002E2257" w:rsidP="002E2257">
      <w:pPr>
        <w:pStyle w:val="NormalWeb"/>
        <w:spacing w:line="480" w:lineRule="auto"/>
        <w:jc w:val="both"/>
        <w:rPr>
          <w:sz w:val="22"/>
          <w:lang w:val="en-US"/>
        </w:rPr>
      </w:pPr>
      <w:r w:rsidRPr="00516560">
        <w:rPr>
          <w:sz w:val="22"/>
          <w:lang w:val="en-US"/>
        </w:rPr>
        <w:t>(27) Anand-Ivell R, Wohlgemuth J, Haren MT, Hope PJ, H</w:t>
      </w:r>
      <w:r w:rsidR="009C397E" w:rsidRPr="00516560">
        <w:rPr>
          <w:sz w:val="22"/>
          <w:lang w:val="en-US"/>
        </w:rPr>
        <w:t>atzinikolas G, Wittert G, Ivell R</w:t>
      </w:r>
      <w:r w:rsidR="000C131B" w:rsidRPr="00516560">
        <w:rPr>
          <w:sz w:val="22"/>
          <w:lang w:val="en-US"/>
        </w:rPr>
        <w:t>:</w:t>
      </w:r>
      <w:r w:rsidRPr="00516560">
        <w:rPr>
          <w:sz w:val="22"/>
          <w:lang w:val="en-US"/>
        </w:rPr>
        <w:t xml:space="preserve">  Peripheral INSL3 concentrations decline with age in a large population of Australian men</w:t>
      </w:r>
      <w:r w:rsidRPr="00516560">
        <w:rPr>
          <w:iCs/>
          <w:sz w:val="22"/>
          <w:lang w:val="en-US"/>
        </w:rPr>
        <w:t xml:space="preserve">. </w:t>
      </w:r>
      <w:r w:rsidR="000C131B" w:rsidRPr="00516560">
        <w:rPr>
          <w:iCs/>
          <w:sz w:val="22"/>
          <w:lang w:val="en-US"/>
        </w:rPr>
        <w:t>Int J Androl 2006;</w:t>
      </w:r>
      <w:r w:rsidRPr="00516560">
        <w:rPr>
          <w:bCs/>
          <w:sz w:val="22"/>
          <w:lang w:val="en-US"/>
        </w:rPr>
        <w:t>29</w:t>
      </w:r>
      <w:r w:rsidRPr="00516560">
        <w:rPr>
          <w:sz w:val="22"/>
          <w:lang w:val="en-US"/>
        </w:rPr>
        <w:t>:618-626.</w:t>
      </w:r>
    </w:p>
    <w:p w14:paraId="5E54B673" w14:textId="61009E6D" w:rsidR="002E2257" w:rsidRPr="00516560" w:rsidRDefault="002E2257" w:rsidP="002E2257">
      <w:pPr>
        <w:pStyle w:val="NormalWeb"/>
        <w:spacing w:line="480" w:lineRule="auto"/>
        <w:jc w:val="both"/>
        <w:rPr>
          <w:sz w:val="22"/>
          <w:lang w:val="en-US"/>
        </w:rPr>
      </w:pPr>
      <w:r w:rsidRPr="00516560">
        <w:rPr>
          <w:sz w:val="22"/>
          <w:lang w:val="en-US"/>
        </w:rPr>
        <w:lastRenderedPageBreak/>
        <w:t>(28) Anand-Ivell R, Tremellen K, Dai Y, Heng K, Yoshid</w:t>
      </w:r>
      <w:r w:rsidR="000C131B" w:rsidRPr="00516560">
        <w:rPr>
          <w:sz w:val="22"/>
          <w:lang w:val="en-US"/>
        </w:rPr>
        <w:t>a M</w:t>
      </w:r>
      <w:r w:rsidR="009C397E" w:rsidRPr="00516560">
        <w:rPr>
          <w:sz w:val="22"/>
          <w:lang w:val="en-US"/>
        </w:rPr>
        <w:t>, Knight PG, Hale GE, Ivell R</w:t>
      </w:r>
      <w:r w:rsidR="000C131B" w:rsidRPr="00516560">
        <w:rPr>
          <w:sz w:val="22"/>
          <w:lang w:val="en-US"/>
        </w:rPr>
        <w:t>:</w:t>
      </w:r>
      <w:r w:rsidRPr="00516560">
        <w:rPr>
          <w:sz w:val="22"/>
          <w:lang w:val="en-US"/>
        </w:rPr>
        <w:t xml:space="preserve"> Circulating insulin-like factor 3 (INSL3) in healthy and infertile women</w:t>
      </w:r>
      <w:r w:rsidR="000C131B" w:rsidRPr="00516560">
        <w:rPr>
          <w:iCs/>
          <w:sz w:val="22"/>
          <w:lang w:val="en-US"/>
        </w:rPr>
        <w:t>. Hum Reprod 2013;</w:t>
      </w:r>
      <w:r w:rsidRPr="00516560">
        <w:rPr>
          <w:bCs/>
          <w:sz w:val="22"/>
          <w:lang w:val="en-US"/>
        </w:rPr>
        <w:t>28</w:t>
      </w:r>
      <w:r w:rsidRPr="00516560">
        <w:rPr>
          <w:sz w:val="22"/>
          <w:lang w:val="en-US"/>
        </w:rPr>
        <w:t>:3093-3102.</w:t>
      </w:r>
    </w:p>
    <w:p w14:paraId="72E8449F" w14:textId="38E089E9" w:rsidR="002E2257" w:rsidRPr="00516560" w:rsidRDefault="002E2257" w:rsidP="002E2257">
      <w:pPr>
        <w:pStyle w:val="NormalWeb"/>
        <w:spacing w:line="480" w:lineRule="auto"/>
        <w:jc w:val="both"/>
        <w:rPr>
          <w:sz w:val="22"/>
          <w:lang w:val="en-US"/>
        </w:rPr>
      </w:pPr>
      <w:r w:rsidRPr="00516560">
        <w:rPr>
          <w:sz w:val="22"/>
          <w:lang w:val="en-US"/>
        </w:rPr>
        <w:t>(29)</w:t>
      </w:r>
      <w:r w:rsidR="000C131B" w:rsidRPr="00516560">
        <w:rPr>
          <w:sz w:val="22"/>
          <w:lang w:val="en-US"/>
        </w:rPr>
        <w:t xml:space="preserve"> Hind K, Oldroyd B, Truscott JG:</w:t>
      </w:r>
      <w:r w:rsidRPr="00516560">
        <w:rPr>
          <w:sz w:val="22"/>
          <w:lang w:val="en-US"/>
        </w:rPr>
        <w:t xml:space="preserve"> In vivo precision of the GE Lunar iDXA densitometer for the measurement of total-body, lumbar spine, and femoral bone mineral density in adults</w:t>
      </w:r>
      <w:r w:rsidR="000C131B" w:rsidRPr="00516560">
        <w:rPr>
          <w:iCs/>
          <w:sz w:val="22"/>
          <w:lang w:val="en-US"/>
        </w:rPr>
        <w:t>. J Clin Densitom 2010;</w:t>
      </w:r>
      <w:r w:rsidRPr="00516560">
        <w:rPr>
          <w:bCs/>
          <w:sz w:val="22"/>
          <w:lang w:val="en-US"/>
        </w:rPr>
        <w:t>13</w:t>
      </w:r>
      <w:r w:rsidR="000C131B" w:rsidRPr="00516560">
        <w:rPr>
          <w:sz w:val="22"/>
          <w:lang w:val="en-US"/>
        </w:rPr>
        <w:t>:</w:t>
      </w:r>
      <w:r w:rsidRPr="00516560">
        <w:rPr>
          <w:sz w:val="22"/>
          <w:lang w:val="en-US"/>
        </w:rPr>
        <w:t>413-417.</w:t>
      </w:r>
    </w:p>
    <w:p w14:paraId="539D88B6" w14:textId="5B2CE4C5" w:rsidR="002E2257" w:rsidRPr="00516560" w:rsidRDefault="002E2257" w:rsidP="002E2257">
      <w:pPr>
        <w:pStyle w:val="NormalWeb"/>
        <w:spacing w:line="480" w:lineRule="auto"/>
        <w:jc w:val="both"/>
        <w:rPr>
          <w:sz w:val="22"/>
          <w:lang w:val="en-US"/>
        </w:rPr>
      </w:pPr>
      <w:r w:rsidRPr="00516560">
        <w:rPr>
          <w:sz w:val="22"/>
          <w:lang w:val="en-US"/>
        </w:rPr>
        <w:t>(30) Foresta C, Di Mambro A, Pagano C</w:t>
      </w:r>
      <w:r w:rsidR="000C131B" w:rsidRPr="00516560">
        <w:rPr>
          <w:sz w:val="22"/>
          <w:lang w:val="en-US"/>
        </w:rPr>
        <w:t>, Garolla A, Vettor R, Ferlin A:</w:t>
      </w:r>
      <w:r w:rsidRPr="00516560">
        <w:rPr>
          <w:sz w:val="22"/>
          <w:lang w:val="en-US"/>
        </w:rPr>
        <w:t xml:space="preserve"> Insulin-like factor 3 as a marker of testicular function in obese men</w:t>
      </w:r>
      <w:r w:rsidRPr="00516560">
        <w:rPr>
          <w:iCs/>
          <w:sz w:val="22"/>
          <w:lang w:val="en-US"/>
        </w:rPr>
        <w:t>. Clin Endocrinol (Oxf)</w:t>
      </w:r>
      <w:r w:rsidRPr="00516560">
        <w:rPr>
          <w:bCs/>
          <w:sz w:val="22"/>
          <w:lang w:val="en-US"/>
        </w:rPr>
        <w:t xml:space="preserve"> 200</w:t>
      </w:r>
      <w:r w:rsidR="000C131B" w:rsidRPr="00516560">
        <w:rPr>
          <w:bCs/>
          <w:sz w:val="22"/>
          <w:lang w:val="en-US"/>
        </w:rPr>
        <w:t>9;</w:t>
      </w:r>
      <w:r w:rsidRPr="00516560">
        <w:rPr>
          <w:bCs/>
          <w:sz w:val="22"/>
          <w:lang w:val="en-US"/>
        </w:rPr>
        <w:t>71</w:t>
      </w:r>
      <w:r w:rsidR="000C131B" w:rsidRPr="00516560">
        <w:rPr>
          <w:sz w:val="22"/>
          <w:lang w:val="en-US"/>
        </w:rPr>
        <w:t>:</w:t>
      </w:r>
      <w:r w:rsidRPr="00516560">
        <w:rPr>
          <w:sz w:val="22"/>
          <w:lang w:val="en-US"/>
        </w:rPr>
        <w:t>722-726.</w:t>
      </w:r>
    </w:p>
    <w:p w14:paraId="5D929F2F" w14:textId="7010B5E8" w:rsidR="002E2257" w:rsidRPr="00516560" w:rsidRDefault="002E2257" w:rsidP="002E2257">
      <w:pPr>
        <w:pStyle w:val="NormalWeb"/>
        <w:spacing w:line="480" w:lineRule="auto"/>
        <w:jc w:val="both"/>
        <w:rPr>
          <w:sz w:val="22"/>
          <w:lang w:val="en-US"/>
        </w:rPr>
      </w:pPr>
      <w:r w:rsidRPr="00516560">
        <w:rPr>
          <w:sz w:val="22"/>
          <w:lang w:val="en-US"/>
        </w:rPr>
        <w:t>(31) Andersen JM, Herning H, Aschim EL, Hjelmesae</w:t>
      </w:r>
      <w:r w:rsidR="009C397E" w:rsidRPr="00516560">
        <w:rPr>
          <w:sz w:val="22"/>
          <w:lang w:val="en-US"/>
        </w:rPr>
        <w:t>th J, Mala T, Hanevik HI, Bungum M, Haugen TB, Witczak O</w:t>
      </w:r>
      <w:r w:rsidR="000C131B" w:rsidRPr="00516560">
        <w:rPr>
          <w:sz w:val="22"/>
          <w:lang w:val="en-US"/>
        </w:rPr>
        <w:t>:</w:t>
      </w:r>
      <w:r w:rsidRPr="00516560">
        <w:rPr>
          <w:sz w:val="22"/>
          <w:lang w:val="en-US"/>
        </w:rPr>
        <w:t xml:space="preserve"> Body mass index is associated with impaired semen characteristics and reduced levels of anti-müllerian hormone across a wide weight range</w:t>
      </w:r>
      <w:r w:rsidRPr="00516560">
        <w:rPr>
          <w:iCs/>
          <w:sz w:val="22"/>
          <w:lang w:val="en-US"/>
        </w:rPr>
        <w:t>. PLoS One</w:t>
      </w:r>
      <w:r w:rsidRPr="00516560">
        <w:rPr>
          <w:bCs/>
          <w:sz w:val="22"/>
          <w:lang w:val="en-US"/>
        </w:rPr>
        <w:t xml:space="preserve"> 2015;10</w:t>
      </w:r>
      <w:r w:rsidR="000C131B" w:rsidRPr="00516560">
        <w:rPr>
          <w:sz w:val="22"/>
          <w:lang w:val="en-US"/>
        </w:rPr>
        <w:t>:</w:t>
      </w:r>
      <w:r w:rsidRPr="00516560">
        <w:rPr>
          <w:sz w:val="22"/>
          <w:lang w:val="en-US"/>
        </w:rPr>
        <w:t>e0130210.</w:t>
      </w:r>
    </w:p>
    <w:p w14:paraId="3E506758" w14:textId="10955FF9" w:rsidR="002E2257" w:rsidRPr="00516560" w:rsidRDefault="002E2257" w:rsidP="002E2257">
      <w:pPr>
        <w:pStyle w:val="NormalWeb"/>
        <w:spacing w:line="480" w:lineRule="auto"/>
        <w:jc w:val="both"/>
        <w:rPr>
          <w:sz w:val="22"/>
          <w:lang w:val="en-US"/>
        </w:rPr>
      </w:pPr>
      <w:r w:rsidRPr="00516560">
        <w:rPr>
          <w:sz w:val="22"/>
          <w:lang w:val="en-US"/>
        </w:rPr>
        <w:lastRenderedPageBreak/>
        <w:t>(32) Schwetz V, Gumpold R, Graupp M, Hacker N, Sc</w:t>
      </w:r>
      <w:r w:rsidR="006219AE" w:rsidRPr="00516560">
        <w:rPr>
          <w:sz w:val="22"/>
          <w:lang w:val="en-US"/>
        </w:rPr>
        <w:t>hweighofer N, Trummer O, Pieber TR, Ballon M, Lerchbaum E, Obermayer-Pietsch B</w:t>
      </w:r>
      <w:r w:rsidR="000C131B" w:rsidRPr="00516560">
        <w:rPr>
          <w:sz w:val="22"/>
          <w:lang w:val="en-US"/>
        </w:rPr>
        <w:t>:</w:t>
      </w:r>
      <w:r w:rsidRPr="00516560">
        <w:rPr>
          <w:sz w:val="22"/>
          <w:lang w:val="en-US"/>
        </w:rPr>
        <w:t xml:space="preserve"> Osteocalcin is not a strong determinant of serum testosterone and sperm count in men from infertile couples</w:t>
      </w:r>
      <w:r w:rsidRPr="00516560">
        <w:rPr>
          <w:iCs/>
          <w:sz w:val="22"/>
          <w:lang w:val="en-US"/>
        </w:rPr>
        <w:t>. Andrology</w:t>
      </w:r>
      <w:r w:rsidRPr="00516560">
        <w:rPr>
          <w:bCs/>
          <w:sz w:val="22"/>
          <w:lang w:val="en-US"/>
        </w:rPr>
        <w:t xml:space="preserve"> 2013;1</w:t>
      </w:r>
      <w:r w:rsidRPr="00516560">
        <w:rPr>
          <w:sz w:val="22"/>
          <w:lang w:val="en-US"/>
        </w:rPr>
        <w:t>:590-594.</w:t>
      </w:r>
    </w:p>
    <w:p w14:paraId="2D996A3F" w14:textId="17BF3EE9" w:rsidR="002E2257" w:rsidRPr="00516560" w:rsidRDefault="0055770C" w:rsidP="002E2257">
      <w:pPr>
        <w:pStyle w:val="NormalWeb"/>
        <w:spacing w:line="480" w:lineRule="auto"/>
        <w:jc w:val="both"/>
        <w:rPr>
          <w:sz w:val="22"/>
          <w:lang w:val="en-US"/>
        </w:rPr>
      </w:pPr>
      <w:r w:rsidRPr="00516560">
        <w:rPr>
          <w:sz w:val="22"/>
          <w:lang w:val="en-US"/>
        </w:rPr>
        <w:t>(33</w:t>
      </w:r>
      <w:r w:rsidR="002E2257" w:rsidRPr="00516560">
        <w:rPr>
          <w:sz w:val="22"/>
          <w:lang w:val="en-US"/>
        </w:rPr>
        <w:t>) Yilmaz D, Ersoy B, Bilgin</w:t>
      </w:r>
      <w:r w:rsidR="000C131B" w:rsidRPr="00516560">
        <w:rPr>
          <w:sz w:val="22"/>
          <w:lang w:val="en-US"/>
        </w:rPr>
        <w:t xml:space="preserve"> E, Gumuser G, Onur E, Pinar ED:</w:t>
      </w:r>
      <w:r w:rsidR="002E2257" w:rsidRPr="00516560">
        <w:rPr>
          <w:sz w:val="22"/>
          <w:lang w:val="en-US"/>
        </w:rPr>
        <w:t xml:space="preserve"> Bone mineral density in girls and boys at different pubertal stages: relation with gonadal steroids, bone formation markers, and growth parameters</w:t>
      </w:r>
      <w:r w:rsidR="002E2257" w:rsidRPr="00516560">
        <w:rPr>
          <w:iCs/>
          <w:sz w:val="22"/>
          <w:lang w:val="en-US"/>
        </w:rPr>
        <w:t xml:space="preserve">. </w:t>
      </w:r>
      <w:r w:rsidR="000C131B" w:rsidRPr="00516560">
        <w:rPr>
          <w:iCs/>
          <w:sz w:val="22"/>
          <w:lang w:val="en-US"/>
        </w:rPr>
        <w:t>J Bone Miner Metab 2005;</w:t>
      </w:r>
      <w:r w:rsidR="002E2257" w:rsidRPr="00516560">
        <w:rPr>
          <w:bCs/>
          <w:sz w:val="22"/>
          <w:lang w:val="en-US"/>
        </w:rPr>
        <w:t>23</w:t>
      </w:r>
      <w:r w:rsidR="002E2257" w:rsidRPr="00516560">
        <w:rPr>
          <w:sz w:val="22"/>
          <w:lang w:val="en-US"/>
        </w:rPr>
        <w:t>:476-482.</w:t>
      </w:r>
    </w:p>
    <w:p w14:paraId="718DAD1A" w14:textId="26ED31D9" w:rsidR="002E2257" w:rsidRPr="00516560" w:rsidRDefault="0055770C" w:rsidP="002E2257">
      <w:pPr>
        <w:pStyle w:val="NormalWeb"/>
        <w:spacing w:line="480" w:lineRule="auto"/>
        <w:jc w:val="both"/>
        <w:rPr>
          <w:sz w:val="22"/>
          <w:lang w:val="en-US"/>
        </w:rPr>
      </w:pPr>
      <w:r w:rsidRPr="00516560">
        <w:rPr>
          <w:sz w:val="22"/>
          <w:lang w:val="en-US"/>
        </w:rPr>
        <w:t>(34</w:t>
      </w:r>
      <w:r w:rsidR="002E2257" w:rsidRPr="00516560">
        <w:rPr>
          <w:sz w:val="22"/>
          <w:lang w:val="en-US"/>
        </w:rPr>
        <w:t>) Vandewalle S, Taes Y, Van Helvoirt M, Debode</w:t>
      </w:r>
      <w:r w:rsidR="006219AE" w:rsidRPr="00516560">
        <w:rPr>
          <w:sz w:val="22"/>
          <w:lang w:val="en-US"/>
        </w:rPr>
        <w:t xml:space="preserve"> P, Herregods N, Ernst C, Roef G, Van Caenegem E, Roggen I, Verhelle F, Kaufman JM, De Schepper J</w:t>
      </w:r>
      <w:r w:rsidR="000C131B" w:rsidRPr="00516560">
        <w:rPr>
          <w:sz w:val="22"/>
          <w:lang w:val="en-US"/>
        </w:rPr>
        <w:t>:</w:t>
      </w:r>
      <w:r w:rsidR="002E2257" w:rsidRPr="00516560">
        <w:rPr>
          <w:sz w:val="22"/>
          <w:lang w:val="en-US"/>
        </w:rPr>
        <w:t xml:space="preserve"> Bone size and bone strength are increased in obese male adolescents</w:t>
      </w:r>
      <w:r w:rsidR="000C131B" w:rsidRPr="00516560">
        <w:rPr>
          <w:iCs/>
          <w:sz w:val="22"/>
          <w:lang w:val="en-US"/>
        </w:rPr>
        <w:t>. J Clin Endocrinol Metab 2013;</w:t>
      </w:r>
      <w:r w:rsidR="002E2257" w:rsidRPr="00516560">
        <w:rPr>
          <w:bCs/>
          <w:sz w:val="22"/>
          <w:lang w:val="en-US"/>
        </w:rPr>
        <w:t>98</w:t>
      </w:r>
      <w:r w:rsidR="002E2257" w:rsidRPr="00516560">
        <w:rPr>
          <w:sz w:val="22"/>
          <w:lang w:val="en-US"/>
        </w:rPr>
        <w:t>:3019-3028.</w:t>
      </w:r>
    </w:p>
    <w:p w14:paraId="6336C3D1" w14:textId="77777777" w:rsidR="002E2257" w:rsidRPr="00516560" w:rsidRDefault="002E2257" w:rsidP="002E2257">
      <w:pPr>
        <w:spacing w:line="480" w:lineRule="auto"/>
        <w:jc w:val="both"/>
        <w:rPr>
          <w:sz w:val="22"/>
          <w:szCs w:val="22"/>
          <w:lang w:val="en-US"/>
        </w:rPr>
      </w:pPr>
      <w:r w:rsidRPr="00516560">
        <w:rPr>
          <w:rFonts w:eastAsia="Times New Roman"/>
          <w:sz w:val="22"/>
          <w:lang w:val="en-US"/>
        </w:rPr>
        <w:t> </w:t>
      </w:r>
      <w:r w:rsidRPr="00516560">
        <w:rPr>
          <w:sz w:val="22"/>
          <w:szCs w:val="22"/>
          <w:lang w:val="en-US"/>
        </w:rPr>
        <w:fldChar w:fldCharType="end"/>
      </w:r>
    </w:p>
    <w:p w14:paraId="47030F0E" w14:textId="77777777" w:rsidR="002E2257" w:rsidRPr="00516560" w:rsidRDefault="002E2257" w:rsidP="002E2257">
      <w:pPr>
        <w:pStyle w:val="NormalWeb"/>
        <w:spacing w:line="360" w:lineRule="auto"/>
        <w:jc w:val="both"/>
        <w:rPr>
          <w:sz w:val="22"/>
          <w:szCs w:val="22"/>
          <w:lang w:val="en-US"/>
        </w:rPr>
      </w:pPr>
      <w:r w:rsidRPr="00516560">
        <w:rPr>
          <w:sz w:val="22"/>
          <w:szCs w:val="22"/>
          <w:lang w:val="en-US"/>
        </w:rPr>
        <w:br w:type="page"/>
      </w:r>
      <w:r w:rsidRPr="00516560">
        <w:rPr>
          <w:sz w:val="22"/>
          <w:szCs w:val="22"/>
          <w:lang w:val="en-US"/>
        </w:rPr>
        <w:lastRenderedPageBreak/>
        <w:t>Table 1 Characteristics, metabolic state and pituitary-testes axis in the case-control cohort of males with severe childhood-onset obesity and healthy age-matched controls.</w:t>
      </w:r>
    </w:p>
    <w:tbl>
      <w:tblPr>
        <w:tblW w:w="0" w:type="auto"/>
        <w:tblBorders>
          <w:top w:val="nil"/>
          <w:left w:val="nil"/>
          <w:right w:val="nil"/>
        </w:tblBorders>
        <w:tblLayout w:type="fixed"/>
        <w:tblLook w:val="0000" w:firstRow="0" w:lastRow="0" w:firstColumn="0" w:lastColumn="0" w:noHBand="0" w:noVBand="0"/>
      </w:tblPr>
      <w:tblGrid>
        <w:gridCol w:w="3085"/>
        <w:gridCol w:w="2492"/>
        <w:gridCol w:w="2493"/>
        <w:gridCol w:w="1257"/>
        <w:gridCol w:w="9"/>
      </w:tblGrid>
      <w:tr w:rsidR="002E2257" w:rsidRPr="00516560" w14:paraId="6EEC1888" w14:textId="77777777" w:rsidTr="00C10640">
        <w:trPr>
          <w:trHeight w:val="710"/>
        </w:trPr>
        <w:tc>
          <w:tcPr>
            <w:tcW w:w="3085" w:type="dxa"/>
            <w:tcBorders>
              <w:top w:val="single" w:sz="4" w:space="0" w:color="auto"/>
              <w:left w:val="single" w:sz="8" w:space="0" w:color="BFBFBF"/>
              <w:bottom w:val="single" w:sz="4" w:space="0" w:color="auto"/>
              <w:right w:val="single" w:sz="8" w:space="0" w:color="BFBFBF"/>
            </w:tcBorders>
            <w:tcMar>
              <w:top w:w="100" w:type="nil"/>
              <w:right w:w="100" w:type="nil"/>
            </w:tcMar>
            <w:vAlign w:val="center"/>
          </w:tcPr>
          <w:p w14:paraId="5B6555AA"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Characteristic</w:t>
            </w:r>
          </w:p>
          <w:p w14:paraId="599442D5" w14:textId="3CA60189"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Median (IQR)</w:t>
            </w:r>
          </w:p>
        </w:tc>
        <w:tc>
          <w:tcPr>
            <w:tcW w:w="2492" w:type="dxa"/>
            <w:tcBorders>
              <w:top w:val="single" w:sz="4" w:space="0" w:color="auto"/>
              <w:left w:val="single" w:sz="8" w:space="0" w:color="BFBFBF"/>
              <w:bottom w:val="single" w:sz="4" w:space="0" w:color="auto"/>
              <w:right w:val="single" w:sz="8" w:space="0" w:color="BFBFBF"/>
            </w:tcBorders>
            <w:tcMar>
              <w:top w:w="100" w:type="nil"/>
              <w:right w:w="100" w:type="nil"/>
            </w:tcMar>
            <w:vAlign w:val="center"/>
          </w:tcPr>
          <w:p w14:paraId="27D4CAAF"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Cases</w:t>
            </w:r>
          </w:p>
          <w:p w14:paraId="2970653B"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N=21</w:t>
            </w:r>
          </w:p>
        </w:tc>
        <w:tc>
          <w:tcPr>
            <w:tcW w:w="2493" w:type="dxa"/>
            <w:tcBorders>
              <w:top w:val="single" w:sz="4" w:space="0" w:color="auto"/>
              <w:left w:val="single" w:sz="8" w:space="0" w:color="BFBFBF"/>
              <w:bottom w:val="single" w:sz="4" w:space="0" w:color="auto"/>
              <w:right w:val="single" w:sz="8" w:space="0" w:color="BFBFBF"/>
            </w:tcBorders>
            <w:tcMar>
              <w:top w:w="100" w:type="nil"/>
              <w:right w:w="100" w:type="nil"/>
            </w:tcMar>
            <w:vAlign w:val="center"/>
          </w:tcPr>
          <w:p w14:paraId="57E8511D"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Controls</w:t>
            </w:r>
          </w:p>
          <w:p w14:paraId="067CA6B9"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N=21</w:t>
            </w:r>
          </w:p>
        </w:tc>
        <w:tc>
          <w:tcPr>
            <w:tcW w:w="1266" w:type="dxa"/>
            <w:gridSpan w:val="2"/>
            <w:tcBorders>
              <w:top w:val="single" w:sz="4" w:space="0" w:color="auto"/>
              <w:left w:val="single" w:sz="8" w:space="0" w:color="BFBFBF"/>
              <w:bottom w:val="single" w:sz="4" w:space="0" w:color="auto"/>
              <w:right w:val="single" w:sz="8" w:space="0" w:color="BFBFBF"/>
            </w:tcBorders>
            <w:tcMar>
              <w:top w:w="100" w:type="nil"/>
              <w:right w:w="100" w:type="nil"/>
            </w:tcMar>
            <w:vAlign w:val="center"/>
          </w:tcPr>
          <w:p w14:paraId="7714AADF"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P-value</w:t>
            </w:r>
          </w:p>
        </w:tc>
      </w:tr>
      <w:tr w:rsidR="002E2257" w:rsidRPr="00516560" w14:paraId="1B8BA436" w14:textId="77777777" w:rsidTr="00C10640">
        <w:tblPrEx>
          <w:tblBorders>
            <w:top w:val="none" w:sz="0" w:space="0" w:color="auto"/>
          </w:tblBorders>
        </w:tblPrEx>
        <w:trPr>
          <w:trHeight w:val="355"/>
        </w:trPr>
        <w:tc>
          <w:tcPr>
            <w:tcW w:w="3085" w:type="dxa"/>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72760C6B"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Age (yrs)</w:t>
            </w:r>
          </w:p>
        </w:tc>
        <w:tc>
          <w:tcPr>
            <w:tcW w:w="2492" w:type="dxa"/>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35C75E2E"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18.5 (16.8 – 19.6)</w:t>
            </w:r>
          </w:p>
        </w:tc>
        <w:tc>
          <w:tcPr>
            <w:tcW w:w="2493" w:type="dxa"/>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3C74E78C"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18.4 (16.8 – 19.4)</w:t>
            </w:r>
          </w:p>
        </w:tc>
        <w:tc>
          <w:tcPr>
            <w:tcW w:w="1266" w:type="dxa"/>
            <w:gridSpan w:val="2"/>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6BE3C1B8"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0.8</w:t>
            </w:r>
          </w:p>
        </w:tc>
      </w:tr>
      <w:tr w:rsidR="002E2257" w:rsidRPr="00516560" w14:paraId="7EA24C43" w14:textId="77777777" w:rsidTr="00C10640">
        <w:tblPrEx>
          <w:tblBorders>
            <w:top w:val="none" w:sz="0" w:space="0" w:color="auto"/>
          </w:tblBorders>
        </w:tblPrEx>
        <w:trPr>
          <w:trHeight w:val="370"/>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5727628A"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Height (cm)</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1CFC2772"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183 (174 – 186)</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1081F5B1"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183 (179 – 186)</w:t>
            </w:r>
          </w:p>
        </w:tc>
        <w:tc>
          <w:tcPr>
            <w:tcW w:w="1266"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64BB4065"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0.4</w:t>
            </w:r>
          </w:p>
        </w:tc>
      </w:tr>
      <w:tr w:rsidR="002E2257" w:rsidRPr="00516560" w14:paraId="4E54C143" w14:textId="77777777" w:rsidTr="00810BA7">
        <w:tblPrEx>
          <w:tblBorders>
            <w:top w:val="none" w:sz="0" w:space="0" w:color="auto"/>
          </w:tblBorders>
        </w:tblPrEx>
        <w:trPr>
          <w:trHeight w:val="355"/>
        </w:trPr>
        <w:tc>
          <w:tcPr>
            <w:tcW w:w="3085"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3354A3EC"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BMI (kg/m</w:t>
            </w:r>
            <w:r w:rsidRPr="00516560">
              <w:rPr>
                <w:rFonts w:ascii="Times New Roman" w:hAnsi="Times New Roman"/>
                <w:sz w:val="20"/>
                <w:szCs w:val="20"/>
                <w:vertAlign w:val="superscript"/>
                <w:lang w:val="en-US"/>
              </w:rPr>
              <w:t>2</w:t>
            </w:r>
            <w:r w:rsidRPr="00516560">
              <w:rPr>
                <w:rFonts w:ascii="Times New Roman" w:hAnsi="Times New Roman"/>
                <w:sz w:val="20"/>
                <w:szCs w:val="20"/>
                <w:lang w:val="en-US"/>
              </w:rPr>
              <w:t>)</w:t>
            </w:r>
          </w:p>
        </w:tc>
        <w:tc>
          <w:tcPr>
            <w:tcW w:w="2492"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512158B2"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37.4 (33.6 – 42.9)</w:t>
            </w:r>
          </w:p>
        </w:tc>
        <w:tc>
          <w:tcPr>
            <w:tcW w:w="2493"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075474D7"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22.9 (20.5 – 24.8)</w:t>
            </w:r>
          </w:p>
        </w:tc>
        <w:tc>
          <w:tcPr>
            <w:tcW w:w="1266" w:type="dxa"/>
            <w:gridSpan w:val="2"/>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4E131D38" w14:textId="77777777" w:rsidR="002E2257" w:rsidRPr="00516560" w:rsidRDefault="002E2257" w:rsidP="00DD232C">
            <w:pPr>
              <w:widowControl w:val="0"/>
              <w:autoSpaceDE w:val="0"/>
              <w:autoSpaceDN w:val="0"/>
              <w:adjustRightInd w:val="0"/>
              <w:spacing w:line="360" w:lineRule="auto"/>
              <w:jc w:val="both"/>
              <w:rPr>
                <w:rFonts w:ascii="Times New Roman" w:hAnsi="Times New Roman"/>
                <w:b/>
                <w:bCs/>
                <w:sz w:val="20"/>
                <w:szCs w:val="20"/>
                <w:lang w:val="en-US"/>
              </w:rPr>
            </w:pPr>
            <w:r w:rsidRPr="00516560">
              <w:rPr>
                <w:rFonts w:ascii="Times New Roman" w:hAnsi="Times New Roman"/>
                <w:b/>
                <w:bCs/>
                <w:sz w:val="20"/>
                <w:szCs w:val="20"/>
                <w:lang w:val="en-US"/>
              </w:rPr>
              <w:t>&lt;0.001</w:t>
            </w:r>
          </w:p>
        </w:tc>
      </w:tr>
      <w:tr w:rsidR="002E2257" w:rsidRPr="00516560" w14:paraId="1D8519DB" w14:textId="77777777" w:rsidTr="00810BA7">
        <w:tblPrEx>
          <w:tblBorders>
            <w:top w:val="none" w:sz="0" w:space="0" w:color="auto"/>
          </w:tblBorders>
        </w:tblPrEx>
        <w:trPr>
          <w:trHeight w:val="355"/>
        </w:trPr>
        <w:tc>
          <w:tcPr>
            <w:tcW w:w="3085" w:type="dxa"/>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248711F7"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Leptin (ng/mL)</w:t>
            </w:r>
          </w:p>
        </w:tc>
        <w:tc>
          <w:tcPr>
            <w:tcW w:w="2492" w:type="dxa"/>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6CC8F669"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27.7 (20.8 – 45.3)</w:t>
            </w:r>
          </w:p>
        </w:tc>
        <w:tc>
          <w:tcPr>
            <w:tcW w:w="2493" w:type="dxa"/>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74A2177F"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2.8 (1.2 – 3.9)</w:t>
            </w:r>
          </w:p>
        </w:tc>
        <w:tc>
          <w:tcPr>
            <w:tcW w:w="1266" w:type="dxa"/>
            <w:gridSpan w:val="2"/>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096C5EFF" w14:textId="77777777" w:rsidR="002E2257" w:rsidRPr="00516560" w:rsidRDefault="002E2257" w:rsidP="00DD232C">
            <w:pPr>
              <w:widowControl w:val="0"/>
              <w:autoSpaceDE w:val="0"/>
              <w:autoSpaceDN w:val="0"/>
              <w:adjustRightInd w:val="0"/>
              <w:spacing w:line="360" w:lineRule="auto"/>
              <w:jc w:val="both"/>
              <w:rPr>
                <w:rFonts w:ascii="Times New Roman" w:hAnsi="Times New Roman"/>
                <w:b/>
                <w:bCs/>
                <w:sz w:val="20"/>
                <w:szCs w:val="20"/>
                <w:lang w:val="en-US"/>
              </w:rPr>
            </w:pPr>
            <w:r w:rsidRPr="00516560">
              <w:rPr>
                <w:rFonts w:ascii="Times New Roman" w:hAnsi="Times New Roman"/>
                <w:b/>
                <w:bCs/>
                <w:sz w:val="20"/>
                <w:szCs w:val="20"/>
                <w:lang w:val="en-US"/>
              </w:rPr>
              <w:t>&lt;0.001</w:t>
            </w:r>
          </w:p>
        </w:tc>
      </w:tr>
      <w:tr w:rsidR="002E2257" w:rsidRPr="00516560" w14:paraId="7E19F0BB" w14:textId="77777777" w:rsidTr="00C10640">
        <w:tblPrEx>
          <w:tblBorders>
            <w:top w:val="none" w:sz="0" w:space="0" w:color="auto"/>
          </w:tblBorders>
        </w:tblPrEx>
        <w:trPr>
          <w:trHeight w:val="355"/>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2683BF29"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Osteocalcin (ng/mL)</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274942DD"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15.7 (11.5 – 19.7)</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096F040"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23.4 (16.7 – 26.5)</w:t>
            </w:r>
          </w:p>
        </w:tc>
        <w:tc>
          <w:tcPr>
            <w:tcW w:w="1266"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798BAA87" w14:textId="77777777" w:rsidR="002E2257" w:rsidRPr="00516560" w:rsidRDefault="002E2257" w:rsidP="00DD232C">
            <w:pPr>
              <w:widowControl w:val="0"/>
              <w:autoSpaceDE w:val="0"/>
              <w:autoSpaceDN w:val="0"/>
              <w:adjustRightInd w:val="0"/>
              <w:spacing w:line="360" w:lineRule="auto"/>
              <w:jc w:val="both"/>
              <w:rPr>
                <w:rFonts w:ascii="Times New Roman" w:hAnsi="Times New Roman"/>
                <w:b/>
                <w:bCs/>
                <w:sz w:val="20"/>
                <w:szCs w:val="20"/>
                <w:lang w:val="en-US"/>
              </w:rPr>
            </w:pPr>
            <w:r w:rsidRPr="00516560">
              <w:rPr>
                <w:rFonts w:ascii="Times New Roman" w:hAnsi="Times New Roman"/>
                <w:b/>
                <w:bCs/>
                <w:sz w:val="20"/>
                <w:szCs w:val="20"/>
                <w:lang w:val="en-US"/>
              </w:rPr>
              <w:t>0.001</w:t>
            </w:r>
          </w:p>
        </w:tc>
      </w:tr>
      <w:tr w:rsidR="002E2257" w:rsidRPr="00516560" w14:paraId="19CE5729" w14:textId="77777777" w:rsidTr="00C10640">
        <w:tblPrEx>
          <w:tblBorders>
            <w:top w:val="none" w:sz="0" w:space="0" w:color="auto"/>
          </w:tblBorders>
        </w:tblPrEx>
        <w:trPr>
          <w:trHeight w:val="355"/>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4352128"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FSH (IU/L)</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545D2AC"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3.1 (1.9 – 3.4)</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22AFF3D7"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3.6 (2.1 – 5.3)</w:t>
            </w:r>
          </w:p>
        </w:tc>
        <w:tc>
          <w:tcPr>
            <w:tcW w:w="1266"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532A5366"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0.4</w:t>
            </w:r>
          </w:p>
        </w:tc>
      </w:tr>
      <w:tr w:rsidR="002E2257" w:rsidRPr="00516560" w14:paraId="2CF4CC73" w14:textId="77777777" w:rsidTr="00C10640">
        <w:tblPrEx>
          <w:tblBorders>
            <w:top w:val="none" w:sz="0" w:space="0" w:color="auto"/>
          </w:tblBorders>
        </w:tblPrEx>
        <w:trPr>
          <w:trHeight w:val="370"/>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1BF270FA"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LH (IU/L)</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3EE4D953"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4.9 (4.0 – 5.9)</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6C7208F6"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4.2 (3.6 – 6.0)</w:t>
            </w:r>
          </w:p>
        </w:tc>
        <w:tc>
          <w:tcPr>
            <w:tcW w:w="1266"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6DCEADF7"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0.4</w:t>
            </w:r>
          </w:p>
        </w:tc>
      </w:tr>
      <w:tr w:rsidR="002E2257" w:rsidRPr="00516560" w14:paraId="767D5A37" w14:textId="77777777" w:rsidTr="00C10640">
        <w:tblPrEx>
          <w:tblBorders>
            <w:top w:val="none" w:sz="0" w:space="0" w:color="auto"/>
          </w:tblBorders>
        </w:tblPrEx>
        <w:trPr>
          <w:trHeight w:val="355"/>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6542B06"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Testosterone (nM)</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26035774"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12.3 (10.1 - 16.5)</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693EC18C"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19.4 (13.8 – 22.1)</w:t>
            </w:r>
          </w:p>
        </w:tc>
        <w:tc>
          <w:tcPr>
            <w:tcW w:w="1266"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279411D8" w14:textId="77777777" w:rsidR="002E2257" w:rsidRPr="00516560" w:rsidRDefault="002E2257" w:rsidP="00DD232C">
            <w:pPr>
              <w:widowControl w:val="0"/>
              <w:autoSpaceDE w:val="0"/>
              <w:autoSpaceDN w:val="0"/>
              <w:adjustRightInd w:val="0"/>
              <w:spacing w:line="360" w:lineRule="auto"/>
              <w:jc w:val="both"/>
              <w:rPr>
                <w:rFonts w:ascii="Times New Roman" w:hAnsi="Times New Roman"/>
                <w:b/>
                <w:bCs/>
                <w:sz w:val="20"/>
                <w:szCs w:val="20"/>
                <w:lang w:val="en-US"/>
              </w:rPr>
            </w:pPr>
            <w:r w:rsidRPr="00516560">
              <w:rPr>
                <w:rFonts w:ascii="Times New Roman" w:hAnsi="Times New Roman"/>
                <w:b/>
                <w:bCs/>
                <w:sz w:val="20"/>
                <w:szCs w:val="20"/>
                <w:lang w:val="en-US"/>
              </w:rPr>
              <w:t>0.002</w:t>
            </w:r>
          </w:p>
        </w:tc>
      </w:tr>
      <w:tr w:rsidR="002E2257" w:rsidRPr="00516560" w14:paraId="3C04B565" w14:textId="77777777" w:rsidTr="00C10640">
        <w:tblPrEx>
          <w:tblBorders>
            <w:top w:val="none" w:sz="0" w:space="0" w:color="auto"/>
          </w:tblBorders>
        </w:tblPrEx>
        <w:trPr>
          <w:trHeight w:val="355"/>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1FAEC83"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SHBG (nM)</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5250333B"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20.0 (12.8 – 25.0)</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69CA4FDF"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30.0 (21.0 – 41.0)</w:t>
            </w:r>
          </w:p>
        </w:tc>
        <w:tc>
          <w:tcPr>
            <w:tcW w:w="1266"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11671E5E" w14:textId="77777777" w:rsidR="002E2257" w:rsidRPr="00516560" w:rsidRDefault="002E2257" w:rsidP="00DD232C">
            <w:pPr>
              <w:widowControl w:val="0"/>
              <w:autoSpaceDE w:val="0"/>
              <w:autoSpaceDN w:val="0"/>
              <w:adjustRightInd w:val="0"/>
              <w:spacing w:line="360" w:lineRule="auto"/>
              <w:jc w:val="both"/>
              <w:rPr>
                <w:rFonts w:ascii="Times New Roman" w:hAnsi="Times New Roman"/>
                <w:b/>
                <w:bCs/>
                <w:sz w:val="20"/>
                <w:szCs w:val="20"/>
                <w:lang w:val="en-US"/>
              </w:rPr>
            </w:pPr>
            <w:r w:rsidRPr="00516560">
              <w:rPr>
                <w:rFonts w:ascii="Times New Roman" w:hAnsi="Times New Roman"/>
                <w:b/>
                <w:bCs/>
                <w:sz w:val="20"/>
                <w:szCs w:val="20"/>
                <w:lang w:val="en-US"/>
              </w:rPr>
              <w:t>0.010</w:t>
            </w:r>
          </w:p>
        </w:tc>
      </w:tr>
      <w:tr w:rsidR="002E2257" w:rsidRPr="00516560" w14:paraId="242E2BED" w14:textId="77777777" w:rsidTr="00C10640">
        <w:tblPrEx>
          <w:tblBorders>
            <w:top w:val="none" w:sz="0" w:space="0" w:color="auto"/>
          </w:tblBorders>
        </w:tblPrEx>
        <w:trPr>
          <w:trHeight w:val="370"/>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1BAFB4D7"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Free testosterone (pM)</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3EB96B15"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244 (194 – 332)</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6A4DC956"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403 (293 – 463)</w:t>
            </w:r>
          </w:p>
        </w:tc>
        <w:tc>
          <w:tcPr>
            <w:tcW w:w="1266"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531D7BC" w14:textId="77777777" w:rsidR="002E2257" w:rsidRPr="00516560" w:rsidRDefault="002E2257" w:rsidP="00DD232C">
            <w:pPr>
              <w:widowControl w:val="0"/>
              <w:autoSpaceDE w:val="0"/>
              <w:autoSpaceDN w:val="0"/>
              <w:adjustRightInd w:val="0"/>
              <w:spacing w:line="360" w:lineRule="auto"/>
              <w:jc w:val="both"/>
              <w:rPr>
                <w:rFonts w:ascii="Times New Roman" w:hAnsi="Times New Roman"/>
                <w:b/>
                <w:bCs/>
                <w:sz w:val="20"/>
                <w:szCs w:val="20"/>
                <w:lang w:val="en-US"/>
              </w:rPr>
            </w:pPr>
            <w:r w:rsidRPr="00516560">
              <w:rPr>
                <w:rFonts w:ascii="Times New Roman" w:hAnsi="Times New Roman"/>
                <w:b/>
                <w:bCs/>
                <w:sz w:val="20"/>
                <w:szCs w:val="20"/>
                <w:lang w:val="en-US"/>
              </w:rPr>
              <w:t>0.002</w:t>
            </w:r>
          </w:p>
        </w:tc>
      </w:tr>
      <w:tr w:rsidR="002E2257" w:rsidRPr="00516560" w14:paraId="5EB5F8EF" w14:textId="77777777" w:rsidTr="00C10640">
        <w:tblPrEx>
          <w:tblBorders>
            <w:top w:val="none" w:sz="0" w:space="0" w:color="auto"/>
          </w:tblBorders>
        </w:tblPrEx>
        <w:trPr>
          <w:trHeight w:val="355"/>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1A57FAC4"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rPr>
            </w:pPr>
            <w:r w:rsidRPr="00516560">
              <w:rPr>
                <w:rFonts w:ascii="Times New Roman" w:hAnsi="Times New Roman"/>
                <w:sz w:val="20"/>
                <w:szCs w:val="20"/>
              </w:rPr>
              <w:t>Ratio testosterone/LH (nM/IU)</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3C3BF89C"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2.81 (1.96 – 3.98)</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63BD567B"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4.10 (3.03 – 5.83)</w:t>
            </w:r>
          </w:p>
        </w:tc>
        <w:tc>
          <w:tcPr>
            <w:tcW w:w="1266"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71AB9668" w14:textId="77777777" w:rsidR="002E2257" w:rsidRPr="00516560" w:rsidRDefault="002E2257" w:rsidP="00DD232C">
            <w:pPr>
              <w:widowControl w:val="0"/>
              <w:autoSpaceDE w:val="0"/>
              <w:autoSpaceDN w:val="0"/>
              <w:adjustRightInd w:val="0"/>
              <w:spacing w:line="360" w:lineRule="auto"/>
              <w:jc w:val="both"/>
              <w:rPr>
                <w:rFonts w:ascii="Times New Roman" w:hAnsi="Times New Roman"/>
                <w:b/>
                <w:bCs/>
                <w:sz w:val="20"/>
                <w:szCs w:val="20"/>
                <w:lang w:val="en-US"/>
              </w:rPr>
            </w:pPr>
            <w:r w:rsidRPr="00516560">
              <w:rPr>
                <w:rFonts w:ascii="Times New Roman" w:hAnsi="Times New Roman"/>
                <w:b/>
                <w:bCs/>
                <w:sz w:val="20"/>
                <w:szCs w:val="20"/>
                <w:lang w:val="en-US"/>
              </w:rPr>
              <w:t>0.008</w:t>
            </w:r>
          </w:p>
        </w:tc>
      </w:tr>
      <w:tr w:rsidR="002E2257" w:rsidRPr="00516560" w14:paraId="48F1BAC3" w14:textId="77777777" w:rsidTr="00C10640">
        <w:tblPrEx>
          <w:tblBorders>
            <w:top w:val="none" w:sz="0" w:space="0" w:color="auto"/>
          </w:tblBorders>
        </w:tblPrEx>
        <w:trPr>
          <w:trHeight w:val="355"/>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061BCB0F"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INSL3 (ng/mL)</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7349B6F1"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1.02 (0.82 – 1.23)</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6DFC3A1A"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1.22 (1.01 – 1.46)</w:t>
            </w:r>
          </w:p>
        </w:tc>
        <w:tc>
          <w:tcPr>
            <w:tcW w:w="1266"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004DEFB6" w14:textId="77777777" w:rsidR="002E2257" w:rsidRPr="00516560" w:rsidRDefault="002E2257" w:rsidP="00DD232C">
            <w:pPr>
              <w:widowControl w:val="0"/>
              <w:autoSpaceDE w:val="0"/>
              <w:autoSpaceDN w:val="0"/>
              <w:adjustRightInd w:val="0"/>
              <w:spacing w:line="360" w:lineRule="auto"/>
              <w:jc w:val="both"/>
              <w:rPr>
                <w:rFonts w:ascii="Times New Roman" w:hAnsi="Times New Roman"/>
                <w:b/>
                <w:bCs/>
                <w:sz w:val="20"/>
                <w:szCs w:val="20"/>
                <w:lang w:val="en-US"/>
              </w:rPr>
            </w:pPr>
            <w:r w:rsidRPr="00516560">
              <w:rPr>
                <w:rFonts w:ascii="Times New Roman" w:hAnsi="Times New Roman"/>
                <w:b/>
                <w:bCs/>
                <w:sz w:val="20"/>
                <w:szCs w:val="20"/>
                <w:lang w:val="en-US"/>
              </w:rPr>
              <w:t>0.045</w:t>
            </w:r>
          </w:p>
        </w:tc>
      </w:tr>
      <w:tr w:rsidR="002E2257" w:rsidRPr="00516560" w14:paraId="37365AD0" w14:textId="77777777" w:rsidTr="00C10640">
        <w:tblPrEx>
          <w:tblBorders>
            <w:top w:val="none" w:sz="0" w:space="0" w:color="auto"/>
          </w:tblBorders>
        </w:tblPrEx>
        <w:trPr>
          <w:trHeight w:val="370"/>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7C9693AB"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AMH (µg/L)</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37AC04A0"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6.5 (5.0 – 11.7)</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5D3A518E"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10.1 (7.9 – 14.0)</w:t>
            </w:r>
          </w:p>
        </w:tc>
        <w:tc>
          <w:tcPr>
            <w:tcW w:w="1266"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21578FDA" w14:textId="77777777" w:rsidR="002E2257" w:rsidRPr="00516560" w:rsidRDefault="002E2257" w:rsidP="00DD232C">
            <w:pPr>
              <w:widowControl w:val="0"/>
              <w:autoSpaceDE w:val="0"/>
              <w:autoSpaceDN w:val="0"/>
              <w:adjustRightInd w:val="0"/>
              <w:spacing w:line="360" w:lineRule="auto"/>
              <w:jc w:val="both"/>
              <w:rPr>
                <w:rFonts w:ascii="Times New Roman" w:hAnsi="Times New Roman"/>
                <w:b/>
                <w:bCs/>
                <w:sz w:val="20"/>
                <w:szCs w:val="20"/>
                <w:lang w:val="en-US"/>
              </w:rPr>
            </w:pPr>
            <w:r w:rsidRPr="00516560">
              <w:rPr>
                <w:rFonts w:ascii="Times New Roman" w:hAnsi="Times New Roman"/>
                <w:b/>
                <w:bCs/>
                <w:sz w:val="20"/>
                <w:szCs w:val="20"/>
                <w:lang w:val="en-US"/>
              </w:rPr>
              <w:t>0.047</w:t>
            </w:r>
          </w:p>
        </w:tc>
      </w:tr>
      <w:tr w:rsidR="002E2257" w:rsidRPr="00516560" w14:paraId="0E43C3D4" w14:textId="77777777" w:rsidTr="00C10640">
        <w:tblPrEx>
          <w:tblBorders>
            <w:top w:val="none" w:sz="0" w:space="0" w:color="auto"/>
          </w:tblBorders>
        </w:tblPrEx>
        <w:trPr>
          <w:trHeight w:val="355"/>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3B46B561"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Estradiol (pM)</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22A91F95"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107 (96 – 124)</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D2D6CB2"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118 (85 – 148)</w:t>
            </w:r>
          </w:p>
        </w:tc>
        <w:tc>
          <w:tcPr>
            <w:tcW w:w="1266"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62AFD323"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0.4</w:t>
            </w:r>
          </w:p>
        </w:tc>
      </w:tr>
      <w:tr w:rsidR="002E2257" w:rsidRPr="00516560" w14:paraId="32097922" w14:textId="77777777" w:rsidTr="00C10640">
        <w:tblPrEx>
          <w:tblBorders>
            <w:top w:val="none" w:sz="0" w:space="0" w:color="auto"/>
          </w:tblBorders>
        </w:tblPrEx>
        <w:trPr>
          <w:trHeight w:val="355"/>
        </w:trPr>
        <w:tc>
          <w:tcPr>
            <w:tcW w:w="3085"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58BC54E3"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Ratio estradiol/testosterone</w:t>
            </w:r>
          </w:p>
        </w:tc>
        <w:tc>
          <w:tcPr>
            <w:tcW w:w="2492"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4C115D22"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8.6 (6.0 – 14.6)</w:t>
            </w:r>
          </w:p>
        </w:tc>
        <w:tc>
          <w:tcPr>
            <w:tcW w:w="2493"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512EC4EE" w14:textId="77777777" w:rsidR="002E2257" w:rsidRPr="00516560" w:rsidRDefault="002E2257" w:rsidP="00DD232C">
            <w:pPr>
              <w:widowControl w:val="0"/>
              <w:autoSpaceDE w:val="0"/>
              <w:autoSpaceDN w:val="0"/>
              <w:adjustRightInd w:val="0"/>
              <w:spacing w:line="360" w:lineRule="auto"/>
              <w:jc w:val="both"/>
              <w:rPr>
                <w:rFonts w:ascii="Times New Roman" w:hAnsi="Times New Roman"/>
                <w:sz w:val="20"/>
                <w:szCs w:val="20"/>
                <w:lang w:val="en-US"/>
              </w:rPr>
            </w:pPr>
            <w:r w:rsidRPr="00516560">
              <w:rPr>
                <w:rFonts w:ascii="Times New Roman" w:hAnsi="Times New Roman"/>
                <w:sz w:val="20"/>
                <w:szCs w:val="20"/>
                <w:lang w:val="en-US"/>
              </w:rPr>
              <w:t>6.7 (4.8 – 7.3)</w:t>
            </w:r>
          </w:p>
        </w:tc>
        <w:tc>
          <w:tcPr>
            <w:tcW w:w="1266" w:type="dxa"/>
            <w:gridSpan w:val="2"/>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0A45C7AA" w14:textId="77777777" w:rsidR="002E2257" w:rsidRPr="00516560" w:rsidRDefault="002E2257" w:rsidP="00DD232C">
            <w:pPr>
              <w:widowControl w:val="0"/>
              <w:autoSpaceDE w:val="0"/>
              <w:autoSpaceDN w:val="0"/>
              <w:adjustRightInd w:val="0"/>
              <w:spacing w:line="360" w:lineRule="auto"/>
              <w:jc w:val="both"/>
              <w:rPr>
                <w:rFonts w:ascii="Times New Roman" w:hAnsi="Times New Roman"/>
                <w:b/>
                <w:sz w:val="20"/>
                <w:szCs w:val="20"/>
                <w:lang w:val="en-US"/>
              </w:rPr>
            </w:pPr>
            <w:r w:rsidRPr="00516560">
              <w:rPr>
                <w:rFonts w:ascii="Times New Roman" w:hAnsi="Times New Roman"/>
                <w:b/>
                <w:sz w:val="20"/>
                <w:szCs w:val="20"/>
                <w:lang w:val="en-US"/>
              </w:rPr>
              <w:t>0.008</w:t>
            </w:r>
          </w:p>
        </w:tc>
      </w:tr>
      <w:tr w:rsidR="002E2257" w:rsidRPr="00516560" w14:paraId="00FB0BBA" w14:textId="77777777" w:rsidTr="00C10640">
        <w:tblPrEx>
          <w:tblBorders>
            <w:top w:val="none" w:sz="0" w:space="0" w:color="auto"/>
          </w:tblBorders>
        </w:tblPrEx>
        <w:trPr>
          <w:trHeight w:val="355"/>
        </w:trPr>
        <w:tc>
          <w:tcPr>
            <w:tcW w:w="3085" w:type="dxa"/>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4C9587F5"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Whole body BA (cm</w:t>
            </w:r>
            <w:r w:rsidRPr="00516560">
              <w:rPr>
                <w:rFonts w:ascii="Times New Roman" w:hAnsi="Times New Roman"/>
                <w:sz w:val="20"/>
                <w:szCs w:val="20"/>
                <w:vertAlign w:val="superscript"/>
                <w:lang w:val="en-US"/>
              </w:rPr>
              <w:t>2</w:t>
            </w:r>
            <w:r w:rsidRPr="00516560">
              <w:rPr>
                <w:rFonts w:ascii="Times New Roman" w:hAnsi="Times New Roman"/>
                <w:sz w:val="20"/>
                <w:szCs w:val="20"/>
                <w:lang w:val="en-US"/>
              </w:rPr>
              <w:t>)*</w:t>
            </w:r>
          </w:p>
        </w:tc>
        <w:tc>
          <w:tcPr>
            <w:tcW w:w="2492" w:type="dxa"/>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1F8DA97B"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2750 (2610 – 2890)</w:t>
            </w:r>
          </w:p>
        </w:tc>
        <w:tc>
          <w:tcPr>
            <w:tcW w:w="2493" w:type="dxa"/>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18ABA79B"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2590 (2490 – 2680)</w:t>
            </w:r>
          </w:p>
        </w:tc>
        <w:tc>
          <w:tcPr>
            <w:tcW w:w="1266" w:type="dxa"/>
            <w:gridSpan w:val="2"/>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0C49A992" w14:textId="77777777" w:rsidR="002E2257" w:rsidRPr="00516560" w:rsidRDefault="002E2257" w:rsidP="00DD232C">
            <w:pPr>
              <w:widowControl w:val="0"/>
              <w:autoSpaceDE w:val="0"/>
              <w:autoSpaceDN w:val="0"/>
              <w:adjustRightInd w:val="0"/>
              <w:spacing w:line="360" w:lineRule="auto"/>
              <w:rPr>
                <w:rFonts w:ascii="Times New Roman" w:hAnsi="Times New Roman"/>
                <w:b/>
                <w:sz w:val="20"/>
                <w:szCs w:val="20"/>
                <w:lang w:val="en-US"/>
              </w:rPr>
            </w:pPr>
            <w:r w:rsidRPr="00516560">
              <w:rPr>
                <w:rFonts w:ascii="Times New Roman" w:hAnsi="Times New Roman"/>
                <w:b/>
                <w:sz w:val="20"/>
                <w:szCs w:val="20"/>
                <w:lang w:val="en-US"/>
              </w:rPr>
              <w:t>0.047</w:t>
            </w:r>
          </w:p>
        </w:tc>
      </w:tr>
      <w:tr w:rsidR="002E2257" w:rsidRPr="00516560" w14:paraId="51D0AFBE" w14:textId="77777777" w:rsidTr="00C10640">
        <w:tblPrEx>
          <w:tblBorders>
            <w:top w:val="none" w:sz="0" w:space="0" w:color="auto"/>
          </w:tblBorders>
        </w:tblPrEx>
        <w:trPr>
          <w:trHeight w:val="355"/>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39FD8F33"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Whole body BMD (g/cm</w:t>
            </w:r>
            <w:r w:rsidRPr="00516560">
              <w:rPr>
                <w:rFonts w:ascii="Times New Roman" w:hAnsi="Times New Roman"/>
                <w:sz w:val="20"/>
                <w:szCs w:val="20"/>
                <w:vertAlign w:val="superscript"/>
                <w:lang w:val="en-US"/>
              </w:rPr>
              <w:t>2</w:t>
            </w:r>
            <w:r w:rsidRPr="00516560">
              <w:rPr>
                <w:rFonts w:ascii="Times New Roman" w:hAnsi="Times New Roman"/>
                <w:sz w:val="20"/>
                <w:szCs w:val="20"/>
                <w:lang w:val="en-US"/>
              </w:rPr>
              <w:t>)*</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F6B6CF2"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1.27 (1.22 – 1.31)</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673F67EA"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1.19 (1.13 – 1.24)</w:t>
            </w:r>
          </w:p>
        </w:tc>
        <w:tc>
          <w:tcPr>
            <w:tcW w:w="1266"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06825A59" w14:textId="77777777" w:rsidR="002E2257" w:rsidRPr="00516560" w:rsidRDefault="002E2257" w:rsidP="00DD232C">
            <w:pPr>
              <w:widowControl w:val="0"/>
              <w:autoSpaceDE w:val="0"/>
              <w:autoSpaceDN w:val="0"/>
              <w:adjustRightInd w:val="0"/>
              <w:spacing w:line="360" w:lineRule="auto"/>
              <w:rPr>
                <w:rFonts w:ascii="Times New Roman" w:hAnsi="Times New Roman"/>
                <w:b/>
                <w:bCs/>
                <w:sz w:val="20"/>
                <w:szCs w:val="20"/>
                <w:lang w:val="en-US"/>
              </w:rPr>
            </w:pPr>
            <w:r w:rsidRPr="00516560">
              <w:rPr>
                <w:rFonts w:ascii="Times New Roman" w:hAnsi="Times New Roman"/>
                <w:b/>
                <w:bCs/>
                <w:sz w:val="20"/>
                <w:szCs w:val="20"/>
                <w:lang w:val="en-US"/>
              </w:rPr>
              <w:t>0.026</w:t>
            </w:r>
          </w:p>
        </w:tc>
      </w:tr>
      <w:tr w:rsidR="002E2257" w:rsidRPr="00516560" w14:paraId="259DD8D0" w14:textId="77777777" w:rsidTr="00C10640">
        <w:tblPrEx>
          <w:tblBorders>
            <w:top w:val="none" w:sz="0" w:space="0" w:color="auto"/>
          </w:tblBorders>
        </w:tblPrEx>
        <w:trPr>
          <w:trHeight w:val="355"/>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E95005B"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Lumbar spine BA (cm</w:t>
            </w:r>
            <w:r w:rsidRPr="00516560">
              <w:rPr>
                <w:rFonts w:ascii="Times New Roman" w:hAnsi="Times New Roman"/>
                <w:sz w:val="20"/>
                <w:szCs w:val="20"/>
                <w:vertAlign w:val="superscript"/>
                <w:lang w:val="en-US"/>
              </w:rPr>
              <w:t>2</w:t>
            </w:r>
            <w:r w:rsidRPr="00516560">
              <w:rPr>
                <w:rFonts w:ascii="Times New Roman" w:hAnsi="Times New Roman"/>
                <w:sz w:val="20"/>
                <w:szCs w:val="20"/>
                <w:lang w:val="en-US"/>
              </w:rPr>
              <w:t>)*</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53B6FDC"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64.8 (61.3 – 68.4)</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143F2BBB"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61.6 (58.5 – 64.7)</w:t>
            </w:r>
          </w:p>
        </w:tc>
        <w:tc>
          <w:tcPr>
            <w:tcW w:w="1266"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567D727C"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0.2</w:t>
            </w:r>
          </w:p>
        </w:tc>
      </w:tr>
      <w:tr w:rsidR="002E2257" w:rsidRPr="00516560" w14:paraId="60A83040" w14:textId="77777777" w:rsidTr="00C10640">
        <w:tblPrEx>
          <w:tblBorders>
            <w:top w:val="none" w:sz="0" w:space="0" w:color="auto"/>
          </w:tblBorders>
        </w:tblPrEx>
        <w:trPr>
          <w:trHeight w:val="355"/>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33936E44"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Lumbar spine BMD (g/cm</w:t>
            </w:r>
            <w:r w:rsidRPr="00516560">
              <w:rPr>
                <w:rFonts w:ascii="Times New Roman" w:hAnsi="Times New Roman"/>
                <w:sz w:val="20"/>
                <w:szCs w:val="20"/>
                <w:vertAlign w:val="superscript"/>
                <w:lang w:val="en-US"/>
              </w:rPr>
              <w:t>2</w:t>
            </w:r>
            <w:r w:rsidRPr="00516560">
              <w:rPr>
                <w:rFonts w:ascii="Times New Roman" w:hAnsi="Times New Roman"/>
                <w:sz w:val="20"/>
                <w:szCs w:val="20"/>
                <w:lang w:val="en-US"/>
              </w:rPr>
              <w:t>)*</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39FA0437"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1.26 (1.18 – 1.34)</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7807FD5" w14:textId="77777777" w:rsidR="002E2257" w:rsidRPr="00516560" w:rsidRDefault="002E2257"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1.13 (1.05 – 1.21)</w:t>
            </w:r>
          </w:p>
        </w:tc>
        <w:tc>
          <w:tcPr>
            <w:tcW w:w="1266"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27B4DDA8" w14:textId="77777777" w:rsidR="002E2257" w:rsidRPr="00516560" w:rsidRDefault="002E2257" w:rsidP="00DD232C">
            <w:pPr>
              <w:widowControl w:val="0"/>
              <w:autoSpaceDE w:val="0"/>
              <w:autoSpaceDN w:val="0"/>
              <w:adjustRightInd w:val="0"/>
              <w:spacing w:line="360" w:lineRule="auto"/>
              <w:rPr>
                <w:rFonts w:ascii="Times New Roman" w:hAnsi="Times New Roman"/>
                <w:b/>
                <w:bCs/>
                <w:sz w:val="20"/>
                <w:szCs w:val="20"/>
                <w:lang w:val="en-US"/>
              </w:rPr>
            </w:pPr>
            <w:r w:rsidRPr="00516560">
              <w:rPr>
                <w:rFonts w:ascii="Times New Roman" w:hAnsi="Times New Roman"/>
                <w:b/>
                <w:bCs/>
                <w:sz w:val="20"/>
                <w:szCs w:val="20"/>
                <w:lang w:val="en-US"/>
              </w:rPr>
              <w:t>0.029</w:t>
            </w:r>
          </w:p>
        </w:tc>
      </w:tr>
      <w:tr w:rsidR="00752F34" w:rsidRPr="00516560" w14:paraId="3DD5FEA3" w14:textId="77777777" w:rsidTr="00C10640">
        <w:trPr>
          <w:gridAfter w:val="1"/>
          <w:wAfter w:w="9" w:type="dxa"/>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04C80AB2" w14:textId="77777777" w:rsidR="00752F34" w:rsidRPr="00516560" w:rsidRDefault="00752F34" w:rsidP="00921B28">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lastRenderedPageBreak/>
              <w:t>Femoral neck BA (cm</w:t>
            </w:r>
            <w:r w:rsidRPr="00516560">
              <w:rPr>
                <w:rFonts w:ascii="Times New Roman" w:hAnsi="Times New Roman"/>
                <w:sz w:val="20"/>
                <w:szCs w:val="20"/>
                <w:vertAlign w:val="superscript"/>
                <w:lang w:val="en-US"/>
              </w:rPr>
              <w:t>2</w:t>
            </w:r>
            <w:r w:rsidRPr="00516560">
              <w:rPr>
                <w:rFonts w:ascii="Times New Roman" w:hAnsi="Times New Roman"/>
                <w:sz w:val="20"/>
                <w:szCs w:val="20"/>
                <w:lang w:val="en-US"/>
              </w:rPr>
              <w:t>)*</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094F0B23" w14:textId="77777777" w:rsidR="00752F34" w:rsidRPr="00516560" w:rsidRDefault="00752F34" w:rsidP="00921B28">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5.48 (5.29 – 5.67)</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386AE13B" w14:textId="77777777" w:rsidR="00752F34" w:rsidRPr="00516560" w:rsidRDefault="00752F34" w:rsidP="00921B28">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5.58 (5.41 – 5.75)</w:t>
            </w:r>
          </w:p>
        </w:tc>
        <w:tc>
          <w:tcPr>
            <w:tcW w:w="1257"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774F7204" w14:textId="77777777" w:rsidR="00752F34" w:rsidRPr="00516560" w:rsidRDefault="00752F34" w:rsidP="00921B28">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0.4</w:t>
            </w:r>
          </w:p>
        </w:tc>
      </w:tr>
      <w:tr w:rsidR="002E2257" w:rsidRPr="00516560" w14:paraId="03D55FF1" w14:textId="77777777" w:rsidTr="00C10640">
        <w:tblPrEx>
          <w:tblBorders>
            <w:top w:val="none" w:sz="0" w:space="0" w:color="auto"/>
          </w:tblBorders>
        </w:tblPrEx>
        <w:trPr>
          <w:trHeight w:val="370"/>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2F4FE643" w14:textId="1D931F76" w:rsidR="002E2257" w:rsidRPr="00516560" w:rsidRDefault="00752F34"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Femoral neck BMD (g/cm</w:t>
            </w:r>
            <w:r w:rsidRPr="00516560">
              <w:rPr>
                <w:rFonts w:ascii="Times New Roman" w:hAnsi="Times New Roman"/>
                <w:sz w:val="20"/>
                <w:szCs w:val="20"/>
                <w:vertAlign w:val="superscript"/>
                <w:lang w:val="en-US"/>
              </w:rPr>
              <w:t>2</w:t>
            </w:r>
            <w:r w:rsidR="002E2257" w:rsidRPr="00516560">
              <w:rPr>
                <w:rFonts w:ascii="Times New Roman" w:hAnsi="Times New Roman"/>
                <w:sz w:val="20"/>
                <w:szCs w:val="20"/>
                <w:lang w:val="en-US"/>
              </w:rPr>
              <w:t>)*</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2741581B" w14:textId="38C34FA8" w:rsidR="002E2257" w:rsidRPr="00516560" w:rsidRDefault="00752F34"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1.23 (1.15 – 1.31)</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10DDCD64" w14:textId="08787562" w:rsidR="002E2257" w:rsidRPr="00516560" w:rsidRDefault="00752F34"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1.06 (0.98 – 1.14)</w:t>
            </w:r>
          </w:p>
        </w:tc>
        <w:tc>
          <w:tcPr>
            <w:tcW w:w="1266"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281D370B" w14:textId="65CBF7E0" w:rsidR="002E2257" w:rsidRPr="00516560" w:rsidRDefault="00752F34" w:rsidP="00DD232C">
            <w:pPr>
              <w:widowControl w:val="0"/>
              <w:autoSpaceDE w:val="0"/>
              <w:autoSpaceDN w:val="0"/>
              <w:adjustRightInd w:val="0"/>
              <w:spacing w:line="360" w:lineRule="auto"/>
              <w:rPr>
                <w:rFonts w:ascii="Times New Roman" w:hAnsi="Times New Roman"/>
                <w:b/>
                <w:bCs/>
                <w:sz w:val="20"/>
                <w:szCs w:val="20"/>
                <w:lang w:val="en-US"/>
              </w:rPr>
            </w:pPr>
            <w:r w:rsidRPr="00516560">
              <w:rPr>
                <w:rFonts w:ascii="Times New Roman" w:hAnsi="Times New Roman"/>
                <w:b/>
                <w:bCs/>
                <w:sz w:val="20"/>
                <w:szCs w:val="20"/>
                <w:lang w:val="en-US"/>
              </w:rPr>
              <w:t>0.005</w:t>
            </w:r>
          </w:p>
        </w:tc>
      </w:tr>
      <w:tr w:rsidR="00A70FB7" w:rsidRPr="00516560" w14:paraId="226DEE96" w14:textId="77777777" w:rsidTr="00C10640">
        <w:trPr>
          <w:gridAfter w:val="1"/>
          <w:wAfter w:w="9" w:type="dxa"/>
        </w:trPr>
        <w:tc>
          <w:tcPr>
            <w:tcW w:w="308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68B720DD" w14:textId="5475551B" w:rsidR="00A70FB7" w:rsidRPr="00516560" w:rsidRDefault="0016211E"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Muscle</w:t>
            </w:r>
            <w:r w:rsidR="00A70FB7" w:rsidRPr="00516560">
              <w:rPr>
                <w:rFonts w:ascii="Times New Roman" w:hAnsi="Times New Roman"/>
                <w:sz w:val="20"/>
                <w:szCs w:val="20"/>
                <w:lang w:val="en-US"/>
              </w:rPr>
              <w:t xml:space="preserve"> mass</w:t>
            </w:r>
            <w:r w:rsidR="007C766F" w:rsidRPr="00516560">
              <w:rPr>
                <w:rFonts w:ascii="Times New Roman" w:hAnsi="Times New Roman"/>
                <w:sz w:val="20"/>
                <w:szCs w:val="20"/>
                <w:lang w:val="en-US"/>
              </w:rPr>
              <w:t xml:space="preserve"> (%)</w:t>
            </w:r>
            <w:r w:rsidR="00C10640" w:rsidRPr="00516560">
              <w:rPr>
                <w:rFonts w:ascii="Times New Roman" w:hAnsi="Times New Roman"/>
                <w:sz w:val="20"/>
                <w:szCs w:val="20"/>
                <w:lang w:val="en-US"/>
              </w:rPr>
              <w:t>*</w:t>
            </w:r>
          </w:p>
        </w:tc>
        <w:tc>
          <w:tcPr>
            <w:tcW w:w="2492"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5474A1DD" w14:textId="10687E6F" w:rsidR="00A70FB7" w:rsidRPr="00516560" w:rsidRDefault="00D55B52"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53.0 (49.2 – 56.8</w:t>
            </w:r>
            <w:r w:rsidR="007C766F" w:rsidRPr="00516560">
              <w:rPr>
                <w:rFonts w:ascii="Times New Roman" w:hAnsi="Times New Roman"/>
                <w:sz w:val="20"/>
                <w:szCs w:val="20"/>
                <w:lang w:val="en-US"/>
              </w:rPr>
              <w:t>)</w:t>
            </w:r>
          </w:p>
        </w:tc>
        <w:tc>
          <w:tcPr>
            <w:tcW w:w="249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1972847D" w14:textId="2CEE8F10" w:rsidR="00A70FB7" w:rsidRPr="00516560" w:rsidRDefault="00D55B52"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76.8 (72.7 – 80.8</w:t>
            </w:r>
            <w:r w:rsidR="007C766F" w:rsidRPr="00516560">
              <w:rPr>
                <w:rFonts w:ascii="Times New Roman" w:hAnsi="Times New Roman"/>
                <w:sz w:val="20"/>
                <w:szCs w:val="20"/>
                <w:lang w:val="en-US"/>
              </w:rPr>
              <w:t>)</w:t>
            </w:r>
          </w:p>
        </w:tc>
        <w:tc>
          <w:tcPr>
            <w:tcW w:w="1257"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595163C9" w14:textId="00994536" w:rsidR="00A70FB7" w:rsidRPr="00516560" w:rsidRDefault="007C766F" w:rsidP="00DD232C">
            <w:pPr>
              <w:widowControl w:val="0"/>
              <w:autoSpaceDE w:val="0"/>
              <w:autoSpaceDN w:val="0"/>
              <w:adjustRightInd w:val="0"/>
              <w:spacing w:line="360" w:lineRule="auto"/>
              <w:rPr>
                <w:rFonts w:ascii="Times New Roman" w:hAnsi="Times New Roman"/>
                <w:b/>
                <w:sz w:val="20"/>
                <w:szCs w:val="20"/>
                <w:lang w:val="en-US"/>
              </w:rPr>
            </w:pPr>
            <w:r w:rsidRPr="00516560">
              <w:rPr>
                <w:rFonts w:ascii="Times New Roman" w:hAnsi="Times New Roman"/>
                <w:b/>
                <w:sz w:val="20"/>
                <w:szCs w:val="20"/>
                <w:lang w:val="en-US"/>
              </w:rPr>
              <w:t>&lt;0.001</w:t>
            </w:r>
          </w:p>
        </w:tc>
      </w:tr>
      <w:tr w:rsidR="00A70FB7" w:rsidRPr="00516560" w14:paraId="5C0835DC" w14:textId="77777777" w:rsidTr="00C10640">
        <w:trPr>
          <w:gridAfter w:val="1"/>
          <w:wAfter w:w="9" w:type="dxa"/>
        </w:trPr>
        <w:tc>
          <w:tcPr>
            <w:tcW w:w="3085"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081BA92A" w14:textId="7585D8E0" w:rsidR="00A70FB7" w:rsidRPr="00516560" w:rsidRDefault="0016211E"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Fat</w:t>
            </w:r>
            <w:r w:rsidR="00A70FB7" w:rsidRPr="00516560">
              <w:rPr>
                <w:rFonts w:ascii="Times New Roman" w:hAnsi="Times New Roman"/>
                <w:sz w:val="20"/>
                <w:szCs w:val="20"/>
                <w:lang w:val="en-US"/>
              </w:rPr>
              <w:t xml:space="preserve"> mass</w:t>
            </w:r>
            <w:r w:rsidR="007C766F" w:rsidRPr="00516560">
              <w:rPr>
                <w:rFonts w:ascii="Times New Roman" w:hAnsi="Times New Roman"/>
                <w:sz w:val="20"/>
                <w:szCs w:val="20"/>
                <w:lang w:val="en-US"/>
              </w:rPr>
              <w:t xml:space="preserve"> (%)</w:t>
            </w:r>
            <w:r w:rsidR="00D55B52" w:rsidRPr="00516560">
              <w:rPr>
                <w:rFonts w:ascii="Times New Roman" w:hAnsi="Times New Roman"/>
                <w:sz w:val="20"/>
                <w:szCs w:val="20"/>
                <w:lang w:val="en-US"/>
              </w:rPr>
              <w:t>*</w:t>
            </w:r>
          </w:p>
        </w:tc>
        <w:tc>
          <w:tcPr>
            <w:tcW w:w="2492"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28357426" w14:textId="4FAB310E" w:rsidR="00A70FB7" w:rsidRPr="00516560" w:rsidRDefault="00D55B52"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42.7 (39.3 – 46.0</w:t>
            </w:r>
            <w:r w:rsidR="00E6128A" w:rsidRPr="00516560">
              <w:rPr>
                <w:rFonts w:ascii="Times New Roman" w:hAnsi="Times New Roman"/>
                <w:sz w:val="20"/>
                <w:szCs w:val="20"/>
                <w:lang w:val="en-US"/>
              </w:rPr>
              <w:t>)</w:t>
            </w:r>
          </w:p>
        </w:tc>
        <w:tc>
          <w:tcPr>
            <w:tcW w:w="2493"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25B58FA4" w14:textId="21D320E0" w:rsidR="00A70FB7" w:rsidRPr="00516560" w:rsidRDefault="00D55B52"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19.7 (15.5 – 23.9</w:t>
            </w:r>
            <w:r w:rsidR="00E6128A" w:rsidRPr="00516560">
              <w:rPr>
                <w:rFonts w:ascii="Times New Roman" w:hAnsi="Times New Roman"/>
                <w:sz w:val="20"/>
                <w:szCs w:val="20"/>
                <w:lang w:val="en-US"/>
              </w:rPr>
              <w:t>)</w:t>
            </w:r>
          </w:p>
        </w:tc>
        <w:tc>
          <w:tcPr>
            <w:tcW w:w="1257"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415459DC" w14:textId="469398AF" w:rsidR="00A70FB7" w:rsidRPr="00516560" w:rsidRDefault="00E6128A" w:rsidP="00DD232C">
            <w:pPr>
              <w:widowControl w:val="0"/>
              <w:autoSpaceDE w:val="0"/>
              <w:autoSpaceDN w:val="0"/>
              <w:adjustRightInd w:val="0"/>
              <w:spacing w:line="360" w:lineRule="auto"/>
              <w:rPr>
                <w:rFonts w:ascii="Times New Roman" w:hAnsi="Times New Roman"/>
                <w:b/>
                <w:sz w:val="20"/>
                <w:szCs w:val="20"/>
                <w:lang w:val="en-US"/>
              </w:rPr>
            </w:pPr>
            <w:r w:rsidRPr="00516560">
              <w:rPr>
                <w:rFonts w:ascii="Times New Roman" w:hAnsi="Times New Roman"/>
                <w:b/>
                <w:sz w:val="20"/>
                <w:szCs w:val="20"/>
                <w:lang w:val="en-US"/>
              </w:rPr>
              <w:t>&lt;0.001</w:t>
            </w:r>
          </w:p>
        </w:tc>
      </w:tr>
      <w:tr w:rsidR="00BD05C9" w:rsidRPr="00516560" w14:paraId="634759C9" w14:textId="77777777" w:rsidTr="00C10640">
        <w:trPr>
          <w:gridAfter w:val="1"/>
          <w:wAfter w:w="9" w:type="dxa"/>
        </w:trPr>
        <w:tc>
          <w:tcPr>
            <w:tcW w:w="3085"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46428FC7" w14:textId="434C67A2" w:rsidR="00BD05C9" w:rsidRPr="00516560" w:rsidRDefault="00BD05C9"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Android fat (%)</w:t>
            </w:r>
          </w:p>
        </w:tc>
        <w:tc>
          <w:tcPr>
            <w:tcW w:w="2492"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02929791" w14:textId="1DBB36DF" w:rsidR="00BD05C9" w:rsidRPr="00516560" w:rsidRDefault="00BD05C9"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53.4 (47.2 – 56.7)</w:t>
            </w:r>
          </w:p>
        </w:tc>
        <w:tc>
          <w:tcPr>
            <w:tcW w:w="2493"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4CCD5A16" w14:textId="4BFB230E" w:rsidR="00BD05C9" w:rsidRPr="00516560" w:rsidRDefault="00BD05C9"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23.4 (13.6 – 26.7)</w:t>
            </w:r>
          </w:p>
        </w:tc>
        <w:tc>
          <w:tcPr>
            <w:tcW w:w="1257"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7D05D19C" w14:textId="7694CA3D" w:rsidR="00BD05C9" w:rsidRPr="00516560" w:rsidRDefault="00BD05C9" w:rsidP="00DD232C">
            <w:pPr>
              <w:widowControl w:val="0"/>
              <w:autoSpaceDE w:val="0"/>
              <w:autoSpaceDN w:val="0"/>
              <w:adjustRightInd w:val="0"/>
              <w:spacing w:line="360" w:lineRule="auto"/>
              <w:rPr>
                <w:rFonts w:ascii="Times New Roman" w:hAnsi="Times New Roman"/>
                <w:b/>
                <w:sz w:val="20"/>
                <w:szCs w:val="20"/>
                <w:lang w:val="en-US"/>
              </w:rPr>
            </w:pPr>
            <w:r w:rsidRPr="00516560">
              <w:rPr>
                <w:rFonts w:ascii="Times New Roman" w:hAnsi="Times New Roman"/>
                <w:b/>
                <w:sz w:val="20"/>
                <w:szCs w:val="20"/>
                <w:lang w:val="en-US"/>
              </w:rPr>
              <w:t>&lt;0.001</w:t>
            </w:r>
          </w:p>
        </w:tc>
      </w:tr>
      <w:tr w:rsidR="00BD05C9" w:rsidRPr="00516560" w14:paraId="711DA0AE" w14:textId="77777777" w:rsidTr="00692974">
        <w:trPr>
          <w:gridAfter w:val="1"/>
          <w:wAfter w:w="9" w:type="dxa"/>
        </w:trPr>
        <w:tc>
          <w:tcPr>
            <w:tcW w:w="3085"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2B4A1CC1" w14:textId="6530961B" w:rsidR="00BD05C9" w:rsidRPr="00516560" w:rsidRDefault="00BD05C9"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Gynoid fat (%)</w:t>
            </w:r>
          </w:p>
        </w:tc>
        <w:tc>
          <w:tcPr>
            <w:tcW w:w="2492"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553DEA4F" w14:textId="793F7725" w:rsidR="00BD05C9" w:rsidRPr="00516560" w:rsidRDefault="00BD05C9"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45.9 (39.2 – 50.2)</w:t>
            </w:r>
          </w:p>
        </w:tc>
        <w:tc>
          <w:tcPr>
            <w:tcW w:w="2493"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4352BC81" w14:textId="44D95DD5" w:rsidR="00BD05C9" w:rsidRPr="00516560" w:rsidRDefault="00BD05C9"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23.6 (19.6 – 28.3)</w:t>
            </w:r>
          </w:p>
        </w:tc>
        <w:tc>
          <w:tcPr>
            <w:tcW w:w="1257"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5816789A" w14:textId="451F817E" w:rsidR="00BD05C9" w:rsidRPr="00516560" w:rsidRDefault="00BD05C9" w:rsidP="00DD232C">
            <w:pPr>
              <w:widowControl w:val="0"/>
              <w:autoSpaceDE w:val="0"/>
              <w:autoSpaceDN w:val="0"/>
              <w:adjustRightInd w:val="0"/>
              <w:spacing w:line="360" w:lineRule="auto"/>
              <w:rPr>
                <w:rFonts w:ascii="Times New Roman" w:hAnsi="Times New Roman"/>
                <w:b/>
                <w:sz w:val="20"/>
                <w:szCs w:val="20"/>
                <w:lang w:val="en-US"/>
              </w:rPr>
            </w:pPr>
            <w:r w:rsidRPr="00516560">
              <w:rPr>
                <w:rFonts w:ascii="Times New Roman" w:hAnsi="Times New Roman"/>
                <w:b/>
                <w:sz w:val="20"/>
                <w:szCs w:val="20"/>
                <w:lang w:val="en-US"/>
              </w:rPr>
              <w:t>&lt;0.001</w:t>
            </w:r>
          </w:p>
        </w:tc>
      </w:tr>
      <w:tr w:rsidR="00FC0D59" w:rsidRPr="00516560" w14:paraId="76A2BCF0" w14:textId="77777777" w:rsidTr="00692974">
        <w:trPr>
          <w:gridAfter w:val="1"/>
          <w:wAfter w:w="9" w:type="dxa"/>
        </w:trPr>
        <w:tc>
          <w:tcPr>
            <w:tcW w:w="3085" w:type="dxa"/>
            <w:tcBorders>
              <w:top w:val="single" w:sz="4" w:space="0" w:color="auto"/>
              <w:left w:val="single" w:sz="8" w:space="0" w:color="BFBFBF"/>
              <w:bottom w:val="single" w:sz="4" w:space="0" w:color="auto"/>
              <w:right w:val="single" w:sz="8" w:space="0" w:color="BFBFBF"/>
            </w:tcBorders>
            <w:tcMar>
              <w:top w:w="100" w:type="nil"/>
              <w:right w:w="100" w:type="nil"/>
            </w:tcMar>
            <w:vAlign w:val="center"/>
          </w:tcPr>
          <w:p w14:paraId="40D15DB9" w14:textId="4E2CD024" w:rsidR="00FC0D59" w:rsidRPr="00516560" w:rsidRDefault="00FC0D59"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Physical activity (min/day)</w:t>
            </w:r>
          </w:p>
        </w:tc>
        <w:tc>
          <w:tcPr>
            <w:tcW w:w="2492" w:type="dxa"/>
            <w:tcBorders>
              <w:top w:val="single" w:sz="4" w:space="0" w:color="auto"/>
              <w:left w:val="single" w:sz="8" w:space="0" w:color="BFBFBF"/>
              <w:bottom w:val="single" w:sz="4" w:space="0" w:color="auto"/>
              <w:right w:val="single" w:sz="8" w:space="0" w:color="BFBFBF"/>
            </w:tcBorders>
            <w:tcMar>
              <w:top w:w="100" w:type="nil"/>
              <w:right w:w="100" w:type="nil"/>
            </w:tcMar>
            <w:vAlign w:val="center"/>
          </w:tcPr>
          <w:p w14:paraId="3B0569C2" w14:textId="057A93A3" w:rsidR="00FC0D59" w:rsidRPr="00516560" w:rsidRDefault="00FC0D59"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34.0 (9.1 – 49.9)</w:t>
            </w:r>
          </w:p>
        </w:tc>
        <w:tc>
          <w:tcPr>
            <w:tcW w:w="2493" w:type="dxa"/>
            <w:tcBorders>
              <w:top w:val="single" w:sz="4" w:space="0" w:color="auto"/>
              <w:left w:val="single" w:sz="8" w:space="0" w:color="BFBFBF"/>
              <w:bottom w:val="single" w:sz="4" w:space="0" w:color="auto"/>
              <w:right w:val="single" w:sz="8" w:space="0" w:color="BFBFBF"/>
            </w:tcBorders>
            <w:tcMar>
              <w:top w:w="100" w:type="nil"/>
              <w:right w:w="100" w:type="nil"/>
            </w:tcMar>
            <w:vAlign w:val="center"/>
          </w:tcPr>
          <w:p w14:paraId="59B7125D" w14:textId="744BE47D" w:rsidR="00FC0D59" w:rsidRPr="00516560" w:rsidRDefault="00FC0D59"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55.8 (29.4 – 81.5)</w:t>
            </w:r>
          </w:p>
        </w:tc>
        <w:tc>
          <w:tcPr>
            <w:tcW w:w="1257" w:type="dxa"/>
            <w:tcBorders>
              <w:top w:val="single" w:sz="4" w:space="0" w:color="auto"/>
              <w:left w:val="single" w:sz="8" w:space="0" w:color="BFBFBF"/>
              <w:bottom w:val="single" w:sz="4" w:space="0" w:color="auto"/>
              <w:right w:val="single" w:sz="8" w:space="0" w:color="BFBFBF"/>
            </w:tcBorders>
            <w:tcMar>
              <w:top w:w="100" w:type="nil"/>
              <w:right w:w="100" w:type="nil"/>
            </w:tcMar>
            <w:vAlign w:val="center"/>
          </w:tcPr>
          <w:p w14:paraId="5F486049" w14:textId="1E898B1E" w:rsidR="00FC0D59" w:rsidRPr="00516560" w:rsidRDefault="00FC0D59" w:rsidP="00DD232C">
            <w:pPr>
              <w:widowControl w:val="0"/>
              <w:autoSpaceDE w:val="0"/>
              <w:autoSpaceDN w:val="0"/>
              <w:adjustRightInd w:val="0"/>
              <w:spacing w:line="360" w:lineRule="auto"/>
              <w:rPr>
                <w:rFonts w:ascii="Times New Roman" w:hAnsi="Times New Roman"/>
                <w:sz w:val="20"/>
                <w:szCs w:val="20"/>
                <w:lang w:val="en-US"/>
              </w:rPr>
            </w:pPr>
            <w:r w:rsidRPr="00516560">
              <w:rPr>
                <w:rFonts w:ascii="Times New Roman" w:hAnsi="Times New Roman"/>
                <w:sz w:val="20"/>
                <w:szCs w:val="20"/>
                <w:lang w:val="en-US"/>
              </w:rPr>
              <w:t>0.098</w:t>
            </w:r>
          </w:p>
        </w:tc>
      </w:tr>
    </w:tbl>
    <w:p w14:paraId="69ACAFD8" w14:textId="03F2874C" w:rsidR="002E2257" w:rsidRPr="00516560" w:rsidRDefault="002E2257" w:rsidP="002E2257">
      <w:pPr>
        <w:spacing w:line="360" w:lineRule="auto"/>
        <w:jc w:val="both"/>
        <w:rPr>
          <w:lang w:val="en-US"/>
        </w:rPr>
      </w:pPr>
      <w:r w:rsidRPr="00516560">
        <w:rPr>
          <w:rFonts w:ascii="Times New Roman" w:hAnsi="Times New Roman"/>
          <w:sz w:val="20"/>
          <w:szCs w:val="20"/>
          <w:lang w:val="en-US"/>
        </w:rPr>
        <w:t>IQR, inter-quartile range; BMI, body-mass index; FSH, follicle stimulating hormone; LH, luteinizing hormone; SHBG, sex hormone-binding globulin; INSL3, insulin-like 3; AMH, anti-müllerian</w:t>
      </w:r>
      <w:r w:rsidR="00752F34" w:rsidRPr="00516560">
        <w:rPr>
          <w:rFonts w:ascii="Times New Roman" w:hAnsi="Times New Roman"/>
          <w:sz w:val="20"/>
          <w:szCs w:val="20"/>
          <w:lang w:val="en-US"/>
        </w:rPr>
        <w:t xml:space="preserve"> hormone</w:t>
      </w:r>
      <w:r w:rsidRPr="00516560">
        <w:rPr>
          <w:rFonts w:ascii="Times New Roman" w:hAnsi="Times New Roman"/>
          <w:sz w:val="20"/>
          <w:szCs w:val="20"/>
          <w:lang w:val="en-US"/>
        </w:rPr>
        <w:t>; BA, bone area; BMD, bone mineral density. *, mean (95% confidence interval), n, cases vs. controls, 18 vs. 21</w:t>
      </w:r>
      <w:r w:rsidRPr="00516560">
        <w:rPr>
          <w:sz w:val="20"/>
          <w:szCs w:val="20"/>
          <w:lang w:val="en-US"/>
        </w:rPr>
        <w:t>.</w:t>
      </w:r>
      <w:r w:rsidRPr="00516560">
        <w:rPr>
          <w:rFonts w:ascii="Times New Roman" w:hAnsi="Times New Roman"/>
          <w:sz w:val="20"/>
          <w:szCs w:val="20"/>
          <w:lang w:val="en-US"/>
        </w:rPr>
        <w:br w:type="page"/>
      </w:r>
      <w:r w:rsidRPr="00516560">
        <w:rPr>
          <w:rFonts w:ascii="Times New Roman" w:hAnsi="Times New Roman"/>
          <w:sz w:val="22"/>
          <w:szCs w:val="22"/>
          <w:lang w:val="en-US"/>
        </w:rPr>
        <w:lastRenderedPageBreak/>
        <w:t>Table 2 Correlations between bone parameters and serum free testosterone, estradiol, and INSL3 concentrations controlled for age and BMI in the case-control cohort of males with severe childhood-onset obesity and healthy age-matched controls. For each given correlation, the upper values indicate correlation coefficients and lower values represent p values. Correlations with statistical significance (p &lt; 0.05) are indicated in bold.</w:t>
      </w:r>
    </w:p>
    <w:tbl>
      <w:tblPr>
        <w:tblW w:w="8748" w:type="dxa"/>
        <w:tblBorders>
          <w:top w:val="nil"/>
          <w:left w:val="nil"/>
          <w:right w:val="nil"/>
        </w:tblBorders>
        <w:tblLayout w:type="fixed"/>
        <w:tblLook w:val="0000" w:firstRow="0" w:lastRow="0" w:firstColumn="0" w:lastColumn="0" w:noHBand="0" w:noVBand="0"/>
      </w:tblPr>
      <w:tblGrid>
        <w:gridCol w:w="1408"/>
        <w:gridCol w:w="1223"/>
        <w:gridCol w:w="1187"/>
        <w:gridCol w:w="1275"/>
        <w:gridCol w:w="1276"/>
        <w:gridCol w:w="1144"/>
        <w:gridCol w:w="11"/>
        <w:gridCol w:w="1224"/>
      </w:tblGrid>
      <w:tr w:rsidR="002E2257" w:rsidRPr="00516560" w14:paraId="3AD76241" w14:textId="77777777" w:rsidTr="00DD232C">
        <w:tc>
          <w:tcPr>
            <w:tcW w:w="8748" w:type="dxa"/>
            <w:gridSpan w:val="8"/>
            <w:tcBorders>
              <w:top w:val="single" w:sz="4" w:space="0" w:color="auto"/>
              <w:left w:val="single" w:sz="8" w:space="0" w:color="BFBFBF"/>
              <w:bottom w:val="single" w:sz="4" w:space="0" w:color="auto"/>
              <w:right w:val="single" w:sz="8" w:space="0" w:color="BFBFBF"/>
            </w:tcBorders>
            <w:tcMar>
              <w:top w:w="100" w:type="nil"/>
              <w:right w:w="100" w:type="nil"/>
            </w:tcMar>
            <w:vAlign w:val="center"/>
          </w:tcPr>
          <w:p w14:paraId="20E2E0D0" w14:textId="77777777" w:rsidR="002E2257" w:rsidRPr="00516560" w:rsidRDefault="002E2257" w:rsidP="00DD232C">
            <w:pPr>
              <w:widowControl w:val="0"/>
              <w:autoSpaceDE w:val="0"/>
              <w:autoSpaceDN w:val="0"/>
              <w:adjustRightInd w:val="0"/>
              <w:spacing w:line="276" w:lineRule="auto"/>
              <w:rPr>
                <w:rFonts w:ascii="Times New Roman" w:hAnsi="Times New Roman"/>
                <w:b/>
                <w:bCs/>
                <w:sz w:val="22"/>
                <w:szCs w:val="22"/>
                <w:lang w:val="en-US"/>
              </w:rPr>
            </w:pPr>
            <w:r w:rsidRPr="00516560">
              <w:rPr>
                <w:rFonts w:ascii="Times New Roman" w:hAnsi="Times New Roman"/>
                <w:b/>
                <w:bCs/>
                <w:sz w:val="22"/>
                <w:szCs w:val="22"/>
                <w:lang w:val="en-US"/>
              </w:rPr>
              <w:t>Partial correlations controlled for age and BMI</w:t>
            </w:r>
          </w:p>
        </w:tc>
      </w:tr>
      <w:tr w:rsidR="002E2257" w:rsidRPr="00516560" w14:paraId="0E74C075" w14:textId="77777777" w:rsidTr="00364FE5">
        <w:tblPrEx>
          <w:tblBorders>
            <w:top w:val="none" w:sz="0" w:space="0" w:color="auto"/>
          </w:tblBorders>
        </w:tblPrEx>
        <w:tc>
          <w:tcPr>
            <w:tcW w:w="1408" w:type="dxa"/>
            <w:tcBorders>
              <w:top w:val="single" w:sz="4" w:space="0" w:color="auto"/>
              <w:left w:val="single" w:sz="8" w:space="0" w:color="BFBFBF"/>
              <w:bottom w:val="nil"/>
              <w:right w:val="single" w:sz="8" w:space="0" w:color="BFBFBF"/>
            </w:tcBorders>
            <w:tcMar>
              <w:top w:w="100" w:type="nil"/>
              <w:right w:w="100" w:type="nil"/>
            </w:tcMar>
            <w:vAlign w:val="center"/>
          </w:tcPr>
          <w:p w14:paraId="73E13785" w14:textId="77777777" w:rsidR="002E2257" w:rsidRPr="00516560" w:rsidRDefault="002E2257" w:rsidP="00DD232C">
            <w:pPr>
              <w:widowControl w:val="0"/>
              <w:tabs>
                <w:tab w:val="center" w:pos="4819"/>
                <w:tab w:val="right" w:pos="9638"/>
              </w:tabs>
              <w:autoSpaceDE w:val="0"/>
              <w:autoSpaceDN w:val="0"/>
              <w:adjustRightInd w:val="0"/>
              <w:spacing w:line="276" w:lineRule="auto"/>
              <w:rPr>
                <w:rFonts w:ascii="Times New Roman" w:hAnsi="Times New Roman"/>
                <w:b/>
                <w:bCs/>
                <w:sz w:val="22"/>
                <w:szCs w:val="22"/>
                <w:lang w:val="en-US"/>
              </w:rPr>
            </w:pPr>
          </w:p>
        </w:tc>
        <w:tc>
          <w:tcPr>
            <w:tcW w:w="2410" w:type="dxa"/>
            <w:gridSpan w:val="2"/>
            <w:tcBorders>
              <w:top w:val="single" w:sz="4" w:space="0" w:color="auto"/>
              <w:left w:val="single" w:sz="8" w:space="0" w:color="BFBFBF"/>
              <w:bottom w:val="nil"/>
              <w:right w:val="single" w:sz="8" w:space="0" w:color="BFBFBF"/>
            </w:tcBorders>
            <w:tcMar>
              <w:top w:w="100" w:type="nil"/>
              <w:right w:w="100" w:type="nil"/>
            </w:tcMar>
            <w:vAlign w:val="center"/>
          </w:tcPr>
          <w:p w14:paraId="221BD657" w14:textId="77777777" w:rsidR="002E2257" w:rsidRPr="00516560" w:rsidRDefault="002E2257" w:rsidP="00DD232C">
            <w:pPr>
              <w:widowControl w:val="0"/>
              <w:autoSpaceDE w:val="0"/>
              <w:autoSpaceDN w:val="0"/>
              <w:adjustRightInd w:val="0"/>
              <w:spacing w:line="276" w:lineRule="auto"/>
              <w:rPr>
                <w:rFonts w:ascii="Times New Roman" w:hAnsi="Times New Roman"/>
                <w:b/>
                <w:sz w:val="22"/>
                <w:szCs w:val="22"/>
                <w:lang w:val="en-US"/>
              </w:rPr>
            </w:pPr>
            <w:r w:rsidRPr="00516560">
              <w:rPr>
                <w:rFonts w:ascii="Times New Roman" w:hAnsi="Times New Roman"/>
                <w:b/>
                <w:sz w:val="22"/>
                <w:szCs w:val="22"/>
                <w:lang w:val="en-US"/>
              </w:rPr>
              <w:t xml:space="preserve">Free testosterone </w:t>
            </w:r>
          </w:p>
        </w:tc>
        <w:tc>
          <w:tcPr>
            <w:tcW w:w="1275" w:type="dxa"/>
            <w:tcBorders>
              <w:top w:val="single" w:sz="4" w:space="0" w:color="auto"/>
              <w:left w:val="single" w:sz="8" w:space="0" w:color="BFBFBF"/>
              <w:bottom w:val="nil"/>
              <w:right w:val="single" w:sz="8" w:space="0" w:color="BFBFBF"/>
            </w:tcBorders>
            <w:tcMar>
              <w:top w:w="100" w:type="nil"/>
              <w:right w:w="100" w:type="nil"/>
            </w:tcMar>
            <w:vAlign w:val="center"/>
          </w:tcPr>
          <w:p w14:paraId="20FA862C" w14:textId="77777777" w:rsidR="002E2257" w:rsidRPr="00516560" w:rsidRDefault="002E2257" w:rsidP="00DD232C">
            <w:pPr>
              <w:widowControl w:val="0"/>
              <w:autoSpaceDE w:val="0"/>
              <w:autoSpaceDN w:val="0"/>
              <w:adjustRightInd w:val="0"/>
              <w:spacing w:line="276" w:lineRule="auto"/>
              <w:rPr>
                <w:rFonts w:ascii="Times New Roman" w:hAnsi="Times New Roman"/>
                <w:b/>
                <w:sz w:val="22"/>
                <w:szCs w:val="22"/>
                <w:lang w:val="en-US"/>
              </w:rPr>
            </w:pPr>
            <w:r w:rsidRPr="00516560">
              <w:rPr>
                <w:rFonts w:ascii="Times New Roman" w:hAnsi="Times New Roman"/>
                <w:b/>
                <w:sz w:val="22"/>
                <w:szCs w:val="22"/>
                <w:lang w:val="en-US"/>
              </w:rPr>
              <w:t>Estradiol</w:t>
            </w:r>
          </w:p>
        </w:tc>
        <w:tc>
          <w:tcPr>
            <w:tcW w:w="1276" w:type="dxa"/>
            <w:tcBorders>
              <w:top w:val="single" w:sz="4" w:space="0" w:color="auto"/>
              <w:left w:val="single" w:sz="8" w:space="0" w:color="BFBFBF"/>
              <w:bottom w:val="nil"/>
              <w:right w:val="single" w:sz="8" w:space="0" w:color="BFBFBF"/>
            </w:tcBorders>
            <w:tcMar>
              <w:top w:w="100" w:type="nil"/>
              <w:right w:w="100" w:type="nil"/>
            </w:tcMar>
            <w:vAlign w:val="center"/>
          </w:tcPr>
          <w:p w14:paraId="45FA1329" w14:textId="77777777" w:rsidR="002E2257" w:rsidRPr="00516560" w:rsidRDefault="002E2257" w:rsidP="00DD232C">
            <w:pPr>
              <w:widowControl w:val="0"/>
              <w:tabs>
                <w:tab w:val="center" w:pos="4819"/>
                <w:tab w:val="right" w:pos="9638"/>
              </w:tabs>
              <w:autoSpaceDE w:val="0"/>
              <w:autoSpaceDN w:val="0"/>
              <w:adjustRightInd w:val="0"/>
              <w:spacing w:line="276" w:lineRule="auto"/>
              <w:rPr>
                <w:rFonts w:ascii="Times New Roman" w:hAnsi="Times New Roman"/>
                <w:b/>
                <w:sz w:val="22"/>
                <w:szCs w:val="22"/>
                <w:lang w:val="en-US"/>
              </w:rPr>
            </w:pPr>
          </w:p>
        </w:tc>
        <w:tc>
          <w:tcPr>
            <w:tcW w:w="1144" w:type="dxa"/>
            <w:tcBorders>
              <w:top w:val="single" w:sz="4" w:space="0" w:color="auto"/>
              <w:left w:val="single" w:sz="8" w:space="0" w:color="BFBFBF"/>
              <w:bottom w:val="nil"/>
              <w:right w:val="single" w:sz="8" w:space="0" w:color="BFBFBF"/>
            </w:tcBorders>
            <w:tcMar>
              <w:top w:w="100" w:type="nil"/>
              <w:right w:w="100" w:type="nil"/>
            </w:tcMar>
            <w:vAlign w:val="center"/>
          </w:tcPr>
          <w:p w14:paraId="25BDE92F" w14:textId="77777777" w:rsidR="002E2257" w:rsidRPr="00516560" w:rsidRDefault="002E2257" w:rsidP="00DD232C">
            <w:pPr>
              <w:widowControl w:val="0"/>
              <w:autoSpaceDE w:val="0"/>
              <w:autoSpaceDN w:val="0"/>
              <w:adjustRightInd w:val="0"/>
              <w:spacing w:line="276" w:lineRule="auto"/>
              <w:rPr>
                <w:rFonts w:ascii="Times New Roman" w:hAnsi="Times New Roman"/>
                <w:b/>
                <w:sz w:val="22"/>
                <w:szCs w:val="22"/>
                <w:lang w:val="en-US"/>
              </w:rPr>
            </w:pPr>
            <w:r w:rsidRPr="00516560">
              <w:rPr>
                <w:rFonts w:ascii="Times New Roman" w:hAnsi="Times New Roman"/>
                <w:b/>
                <w:sz w:val="22"/>
                <w:szCs w:val="22"/>
                <w:lang w:val="en-US"/>
              </w:rPr>
              <w:t xml:space="preserve">INSL3     </w:t>
            </w:r>
          </w:p>
        </w:tc>
        <w:tc>
          <w:tcPr>
            <w:tcW w:w="1235" w:type="dxa"/>
            <w:gridSpan w:val="2"/>
            <w:tcBorders>
              <w:top w:val="single" w:sz="4" w:space="0" w:color="auto"/>
              <w:left w:val="single" w:sz="8" w:space="0" w:color="BFBFBF"/>
              <w:bottom w:val="nil"/>
              <w:right w:val="single" w:sz="8" w:space="0" w:color="BFBFBF"/>
            </w:tcBorders>
            <w:tcMar>
              <w:top w:w="100" w:type="nil"/>
              <w:right w:w="100" w:type="nil"/>
            </w:tcMar>
            <w:vAlign w:val="center"/>
          </w:tcPr>
          <w:p w14:paraId="01A76906" w14:textId="77777777" w:rsidR="002E2257" w:rsidRPr="00516560" w:rsidRDefault="002E2257" w:rsidP="00DD232C">
            <w:pPr>
              <w:widowControl w:val="0"/>
              <w:tabs>
                <w:tab w:val="center" w:pos="4819"/>
                <w:tab w:val="right" w:pos="9638"/>
              </w:tabs>
              <w:autoSpaceDE w:val="0"/>
              <w:autoSpaceDN w:val="0"/>
              <w:adjustRightInd w:val="0"/>
              <w:spacing w:line="276" w:lineRule="auto"/>
              <w:rPr>
                <w:rFonts w:ascii="Times New Roman" w:hAnsi="Times New Roman"/>
                <w:sz w:val="22"/>
                <w:szCs w:val="22"/>
                <w:lang w:val="en-US"/>
              </w:rPr>
            </w:pPr>
          </w:p>
        </w:tc>
      </w:tr>
      <w:tr w:rsidR="002E2257" w:rsidRPr="00516560" w14:paraId="1FD9665D" w14:textId="77777777" w:rsidTr="00364FE5">
        <w:tblPrEx>
          <w:tblBorders>
            <w:top w:val="none" w:sz="0" w:space="0" w:color="auto"/>
          </w:tblBorders>
        </w:tblPrEx>
        <w:tc>
          <w:tcPr>
            <w:tcW w:w="1408" w:type="dxa"/>
            <w:tcBorders>
              <w:top w:val="nil"/>
              <w:left w:val="single" w:sz="8" w:space="0" w:color="BFBFBF"/>
              <w:bottom w:val="single" w:sz="4" w:space="0" w:color="auto"/>
              <w:right w:val="single" w:sz="8" w:space="0" w:color="BFBFBF"/>
            </w:tcBorders>
            <w:tcMar>
              <w:top w:w="100" w:type="nil"/>
              <w:right w:w="100" w:type="nil"/>
            </w:tcMar>
            <w:vAlign w:val="center"/>
          </w:tcPr>
          <w:p w14:paraId="3008019A" w14:textId="77777777" w:rsidR="002E2257" w:rsidRPr="00516560" w:rsidRDefault="002E2257" w:rsidP="00DD232C">
            <w:pPr>
              <w:widowControl w:val="0"/>
              <w:tabs>
                <w:tab w:val="center" w:pos="4819"/>
                <w:tab w:val="right" w:pos="9638"/>
              </w:tabs>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Correlation coefficient</w:t>
            </w:r>
          </w:p>
          <w:p w14:paraId="3E323FA8" w14:textId="77777777" w:rsidR="002E2257" w:rsidRPr="00516560" w:rsidRDefault="002E2257" w:rsidP="00DD232C">
            <w:pPr>
              <w:widowControl w:val="0"/>
              <w:tabs>
                <w:tab w:val="center" w:pos="4819"/>
                <w:tab w:val="right" w:pos="9638"/>
              </w:tabs>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P-value</w:t>
            </w:r>
          </w:p>
        </w:tc>
        <w:tc>
          <w:tcPr>
            <w:tcW w:w="1223" w:type="dxa"/>
            <w:tcBorders>
              <w:top w:val="nil"/>
              <w:left w:val="single" w:sz="8" w:space="0" w:color="BFBFBF"/>
              <w:bottom w:val="single" w:sz="4" w:space="0" w:color="auto"/>
              <w:right w:val="single" w:sz="8" w:space="0" w:color="BFBFBF"/>
            </w:tcBorders>
            <w:tcMar>
              <w:top w:w="100" w:type="nil"/>
              <w:right w:w="100" w:type="nil"/>
            </w:tcMar>
            <w:vAlign w:val="center"/>
          </w:tcPr>
          <w:p w14:paraId="28C0F5E6"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Cases</w:t>
            </w:r>
          </w:p>
        </w:tc>
        <w:tc>
          <w:tcPr>
            <w:tcW w:w="1187" w:type="dxa"/>
            <w:tcBorders>
              <w:top w:val="nil"/>
              <w:left w:val="single" w:sz="8" w:space="0" w:color="BFBFBF"/>
              <w:bottom w:val="single" w:sz="4" w:space="0" w:color="auto"/>
              <w:right w:val="single" w:sz="8" w:space="0" w:color="BFBFBF"/>
            </w:tcBorders>
            <w:tcMar>
              <w:top w:w="100" w:type="nil"/>
              <w:right w:w="100" w:type="nil"/>
            </w:tcMar>
            <w:vAlign w:val="center"/>
          </w:tcPr>
          <w:p w14:paraId="0DA63CE5"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Controls</w:t>
            </w:r>
          </w:p>
        </w:tc>
        <w:tc>
          <w:tcPr>
            <w:tcW w:w="1275" w:type="dxa"/>
            <w:tcBorders>
              <w:top w:val="nil"/>
              <w:left w:val="single" w:sz="8" w:space="0" w:color="BFBFBF"/>
              <w:bottom w:val="single" w:sz="4" w:space="0" w:color="auto"/>
              <w:right w:val="single" w:sz="8" w:space="0" w:color="BFBFBF"/>
            </w:tcBorders>
            <w:tcMar>
              <w:top w:w="100" w:type="nil"/>
              <w:right w:w="100" w:type="nil"/>
            </w:tcMar>
            <w:vAlign w:val="center"/>
          </w:tcPr>
          <w:p w14:paraId="3D7AC37B"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Cases</w:t>
            </w:r>
          </w:p>
        </w:tc>
        <w:tc>
          <w:tcPr>
            <w:tcW w:w="1276" w:type="dxa"/>
            <w:tcBorders>
              <w:top w:val="nil"/>
              <w:left w:val="single" w:sz="8" w:space="0" w:color="BFBFBF"/>
              <w:bottom w:val="single" w:sz="4" w:space="0" w:color="auto"/>
              <w:right w:val="single" w:sz="8" w:space="0" w:color="BFBFBF"/>
            </w:tcBorders>
            <w:tcMar>
              <w:top w:w="100" w:type="nil"/>
              <w:right w:w="100" w:type="nil"/>
            </w:tcMar>
            <w:vAlign w:val="center"/>
          </w:tcPr>
          <w:p w14:paraId="29AA188E"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Controls</w:t>
            </w:r>
          </w:p>
        </w:tc>
        <w:tc>
          <w:tcPr>
            <w:tcW w:w="1155" w:type="dxa"/>
            <w:gridSpan w:val="2"/>
            <w:tcBorders>
              <w:top w:val="nil"/>
              <w:left w:val="single" w:sz="8" w:space="0" w:color="BFBFBF"/>
              <w:bottom w:val="single" w:sz="4" w:space="0" w:color="auto"/>
              <w:right w:val="single" w:sz="8" w:space="0" w:color="BFBFBF"/>
            </w:tcBorders>
            <w:tcMar>
              <w:top w:w="100" w:type="nil"/>
              <w:right w:w="100" w:type="nil"/>
            </w:tcMar>
            <w:vAlign w:val="center"/>
          </w:tcPr>
          <w:p w14:paraId="7D7CD560"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Cases</w:t>
            </w:r>
          </w:p>
        </w:tc>
        <w:tc>
          <w:tcPr>
            <w:tcW w:w="1224" w:type="dxa"/>
            <w:tcBorders>
              <w:top w:val="nil"/>
              <w:left w:val="single" w:sz="8" w:space="0" w:color="BFBFBF"/>
              <w:bottom w:val="single" w:sz="4" w:space="0" w:color="auto"/>
              <w:right w:val="single" w:sz="8" w:space="0" w:color="BFBFBF"/>
            </w:tcBorders>
            <w:tcMar>
              <w:top w:w="100" w:type="nil"/>
              <w:right w:w="100" w:type="nil"/>
            </w:tcMar>
            <w:vAlign w:val="center"/>
          </w:tcPr>
          <w:p w14:paraId="3912C341"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Controls</w:t>
            </w:r>
          </w:p>
        </w:tc>
      </w:tr>
      <w:tr w:rsidR="002E2257" w:rsidRPr="00516560" w14:paraId="052BA07E" w14:textId="77777777" w:rsidTr="00364FE5">
        <w:tblPrEx>
          <w:tblBorders>
            <w:top w:val="none" w:sz="0" w:space="0" w:color="auto"/>
          </w:tblBorders>
        </w:tblPrEx>
        <w:tc>
          <w:tcPr>
            <w:tcW w:w="1408" w:type="dxa"/>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020C01C8"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WB BA (cm</w:t>
            </w:r>
            <w:r w:rsidRPr="00516560">
              <w:rPr>
                <w:rFonts w:ascii="Times New Roman" w:hAnsi="Times New Roman"/>
                <w:sz w:val="22"/>
                <w:szCs w:val="22"/>
                <w:vertAlign w:val="superscript"/>
                <w:lang w:val="en-US"/>
              </w:rPr>
              <w:t>2</w:t>
            </w:r>
            <w:r w:rsidRPr="00516560">
              <w:rPr>
                <w:rFonts w:ascii="Times New Roman" w:hAnsi="Times New Roman"/>
                <w:sz w:val="22"/>
                <w:szCs w:val="22"/>
                <w:lang w:val="en-US"/>
              </w:rPr>
              <w:t>)</w:t>
            </w:r>
          </w:p>
        </w:tc>
        <w:tc>
          <w:tcPr>
            <w:tcW w:w="1223" w:type="dxa"/>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21ACF940" w14:textId="77777777" w:rsidR="002E2257" w:rsidRPr="00516560" w:rsidRDefault="002E2257" w:rsidP="00DD232C">
            <w:pPr>
              <w:widowControl w:val="0"/>
              <w:autoSpaceDE w:val="0"/>
              <w:autoSpaceDN w:val="0"/>
              <w:adjustRightInd w:val="0"/>
              <w:spacing w:line="276" w:lineRule="auto"/>
              <w:rPr>
                <w:rFonts w:ascii="Times New Roman" w:hAnsi="Times New Roman"/>
                <w:b/>
                <w:bCs/>
                <w:sz w:val="22"/>
                <w:szCs w:val="22"/>
                <w:lang w:val="en-US"/>
              </w:rPr>
            </w:pPr>
            <w:r w:rsidRPr="00516560">
              <w:rPr>
                <w:rFonts w:ascii="Times New Roman" w:hAnsi="Times New Roman"/>
                <w:b/>
                <w:bCs/>
                <w:sz w:val="22"/>
                <w:szCs w:val="22"/>
                <w:lang w:val="en-US"/>
              </w:rPr>
              <w:t>0.738</w:t>
            </w:r>
          </w:p>
          <w:p w14:paraId="03E2CA72" w14:textId="77777777" w:rsidR="002E2257" w:rsidRPr="00516560" w:rsidRDefault="002E2257" w:rsidP="00DD232C">
            <w:pPr>
              <w:widowControl w:val="0"/>
              <w:autoSpaceDE w:val="0"/>
              <w:autoSpaceDN w:val="0"/>
              <w:adjustRightInd w:val="0"/>
              <w:spacing w:line="276" w:lineRule="auto"/>
              <w:rPr>
                <w:rFonts w:ascii="Times New Roman" w:hAnsi="Times New Roman"/>
                <w:b/>
                <w:bCs/>
                <w:sz w:val="22"/>
                <w:szCs w:val="22"/>
                <w:lang w:val="en-US"/>
              </w:rPr>
            </w:pPr>
            <w:r w:rsidRPr="00516560">
              <w:rPr>
                <w:rFonts w:ascii="Times New Roman" w:hAnsi="Times New Roman"/>
                <w:b/>
                <w:bCs/>
                <w:sz w:val="22"/>
                <w:szCs w:val="22"/>
                <w:lang w:val="en-US"/>
              </w:rPr>
              <w:t>0.004</w:t>
            </w:r>
          </w:p>
        </w:tc>
        <w:tc>
          <w:tcPr>
            <w:tcW w:w="1187" w:type="dxa"/>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2E7D38C1"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0.003</w:t>
            </w:r>
          </w:p>
          <w:p w14:paraId="14F70694"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&gt;0.9</w:t>
            </w:r>
          </w:p>
        </w:tc>
        <w:tc>
          <w:tcPr>
            <w:tcW w:w="1275" w:type="dxa"/>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63C413A9"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0.281</w:t>
            </w:r>
          </w:p>
          <w:p w14:paraId="74332790"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0.4</w:t>
            </w:r>
          </w:p>
        </w:tc>
        <w:tc>
          <w:tcPr>
            <w:tcW w:w="1276" w:type="dxa"/>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6981B21A"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-0.106</w:t>
            </w:r>
          </w:p>
          <w:p w14:paraId="2F9A73C7"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0.7</w:t>
            </w:r>
          </w:p>
        </w:tc>
        <w:tc>
          <w:tcPr>
            <w:tcW w:w="1155" w:type="dxa"/>
            <w:gridSpan w:val="2"/>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53585516"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-0.078</w:t>
            </w:r>
          </w:p>
          <w:p w14:paraId="7EC504E1"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0.8</w:t>
            </w:r>
          </w:p>
        </w:tc>
        <w:tc>
          <w:tcPr>
            <w:tcW w:w="1224" w:type="dxa"/>
            <w:tcBorders>
              <w:top w:val="single" w:sz="4" w:space="0" w:color="auto"/>
              <w:left w:val="single" w:sz="8" w:space="0" w:color="BFBFBF"/>
              <w:bottom w:val="single" w:sz="8" w:space="0" w:color="BFBFBF"/>
              <w:right w:val="single" w:sz="8" w:space="0" w:color="BFBFBF"/>
            </w:tcBorders>
            <w:tcMar>
              <w:top w:w="100" w:type="nil"/>
              <w:right w:w="100" w:type="nil"/>
            </w:tcMar>
            <w:vAlign w:val="center"/>
          </w:tcPr>
          <w:p w14:paraId="67592E69"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-0.133</w:t>
            </w:r>
          </w:p>
          <w:p w14:paraId="635669F4"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0.7</w:t>
            </w:r>
          </w:p>
        </w:tc>
      </w:tr>
      <w:tr w:rsidR="002E2257" w:rsidRPr="00516560" w14:paraId="7EE9EA47" w14:textId="77777777" w:rsidTr="00DD232C">
        <w:tblPrEx>
          <w:tblBorders>
            <w:top w:val="none" w:sz="0" w:space="0" w:color="auto"/>
          </w:tblBorders>
        </w:tblPrEx>
        <w:tc>
          <w:tcPr>
            <w:tcW w:w="1408"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75B8B5FF"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WB BMD (g/cm</w:t>
            </w:r>
            <w:r w:rsidRPr="00516560">
              <w:rPr>
                <w:rFonts w:ascii="Times New Roman" w:hAnsi="Times New Roman"/>
                <w:sz w:val="22"/>
                <w:szCs w:val="22"/>
                <w:vertAlign w:val="superscript"/>
                <w:lang w:val="en-US"/>
              </w:rPr>
              <w:t>2</w:t>
            </w:r>
            <w:r w:rsidRPr="00516560">
              <w:rPr>
                <w:rFonts w:ascii="Times New Roman" w:hAnsi="Times New Roman"/>
                <w:sz w:val="22"/>
                <w:szCs w:val="22"/>
                <w:lang w:val="en-US"/>
              </w:rPr>
              <w:t>)</w:t>
            </w:r>
          </w:p>
        </w:tc>
        <w:tc>
          <w:tcPr>
            <w:tcW w:w="122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A2AE8A1"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0.248</w:t>
            </w:r>
          </w:p>
          <w:p w14:paraId="6B2B3F07"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0.4</w:t>
            </w:r>
          </w:p>
        </w:tc>
        <w:tc>
          <w:tcPr>
            <w:tcW w:w="1187"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751DE7E0"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0.372</w:t>
            </w:r>
          </w:p>
          <w:p w14:paraId="175571CA"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0.1</w:t>
            </w:r>
          </w:p>
        </w:tc>
        <w:tc>
          <w:tcPr>
            <w:tcW w:w="127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3FB1E23"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0.229</w:t>
            </w:r>
          </w:p>
          <w:p w14:paraId="13BFF0B2"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0.5</w:t>
            </w:r>
          </w:p>
        </w:tc>
        <w:tc>
          <w:tcPr>
            <w:tcW w:w="1276"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581972F"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0.443</w:t>
            </w:r>
          </w:p>
          <w:p w14:paraId="1791BA99"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0.058</w:t>
            </w:r>
          </w:p>
        </w:tc>
        <w:tc>
          <w:tcPr>
            <w:tcW w:w="1155"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CB02EDD"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0.533</w:t>
            </w:r>
          </w:p>
          <w:p w14:paraId="1E029F5E"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0.074</w:t>
            </w:r>
          </w:p>
        </w:tc>
        <w:tc>
          <w:tcPr>
            <w:tcW w:w="1224"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65A88CC6"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-0.075</w:t>
            </w:r>
          </w:p>
          <w:p w14:paraId="0E2D678B"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0.8</w:t>
            </w:r>
          </w:p>
        </w:tc>
      </w:tr>
      <w:tr w:rsidR="002E2257" w:rsidRPr="00516560" w14:paraId="06BC38AC" w14:textId="77777777" w:rsidTr="00DD232C">
        <w:tblPrEx>
          <w:tblBorders>
            <w:top w:val="none" w:sz="0" w:space="0" w:color="auto"/>
          </w:tblBorders>
        </w:tblPrEx>
        <w:tc>
          <w:tcPr>
            <w:tcW w:w="1408"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5BD25531"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 xml:space="preserve">LS BA </w:t>
            </w:r>
          </w:p>
          <w:p w14:paraId="2F1B29A5"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(cm</w:t>
            </w:r>
            <w:r w:rsidRPr="00516560">
              <w:rPr>
                <w:rFonts w:ascii="Times New Roman" w:hAnsi="Times New Roman"/>
                <w:sz w:val="22"/>
                <w:szCs w:val="22"/>
                <w:vertAlign w:val="superscript"/>
                <w:lang w:val="en-US"/>
              </w:rPr>
              <w:t>2</w:t>
            </w:r>
            <w:r w:rsidRPr="00516560">
              <w:rPr>
                <w:rFonts w:ascii="Times New Roman" w:hAnsi="Times New Roman"/>
                <w:sz w:val="22"/>
                <w:szCs w:val="22"/>
                <w:lang w:val="en-US"/>
              </w:rPr>
              <w:t>)</w:t>
            </w:r>
          </w:p>
        </w:tc>
        <w:tc>
          <w:tcPr>
            <w:tcW w:w="122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019678C" w14:textId="77777777" w:rsidR="002E2257" w:rsidRPr="00516560" w:rsidRDefault="002E2257" w:rsidP="00DD232C">
            <w:pPr>
              <w:widowControl w:val="0"/>
              <w:autoSpaceDE w:val="0"/>
              <w:autoSpaceDN w:val="0"/>
              <w:adjustRightInd w:val="0"/>
              <w:spacing w:line="276" w:lineRule="auto"/>
              <w:rPr>
                <w:rFonts w:ascii="Times New Roman" w:hAnsi="Times New Roman"/>
                <w:b/>
                <w:bCs/>
                <w:sz w:val="22"/>
                <w:szCs w:val="22"/>
                <w:lang w:val="en-US"/>
              </w:rPr>
            </w:pPr>
            <w:r w:rsidRPr="00516560">
              <w:rPr>
                <w:rFonts w:ascii="Times New Roman" w:hAnsi="Times New Roman"/>
                <w:b/>
                <w:bCs/>
                <w:sz w:val="22"/>
                <w:szCs w:val="22"/>
                <w:lang w:val="en-US"/>
              </w:rPr>
              <w:t>0.669</w:t>
            </w:r>
          </w:p>
          <w:p w14:paraId="29A64013" w14:textId="77777777" w:rsidR="002E2257" w:rsidRPr="00516560" w:rsidRDefault="002E2257" w:rsidP="00DD232C">
            <w:pPr>
              <w:widowControl w:val="0"/>
              <w:autoSpaceDE w:val="0"/>
              <w:autoSpaceDN w:val="0"/>
              <w:adjustRightInd w:val="0"/>
              <w:spacing w:line="276" w:lineRule="auto"/>
              <w:rPr>
                <w:rFonts w:ascii="Times New Roman" w:hAnsi="Times New Roman"/>
                <w:b/>
                <w:bCs/>
                <w:sz w:val="22"/>
                <w:szCs w:val="22"/>
                <w:lang w:val="en-US"/>
              </w:rPr>
            </w:pPr>
            <w:r w:rsidRPr="00516560">
              <w:rPr>
                <w:rFonts w:ascii="Times New Roman" w:hAnsi="Times New Roman"/>
                <w:b/>
                <w:bCs/>
                <w:sz w:val="22"/>
                <w:szCs w:val="22"/>
                <w:lang w:val="en-US"/>
              </w:rPr>
              <w:t>0.012</w:t>
            </w:r>
          </w:p>
        </w:tc>
        <w:tc>
          <w:tcPr>
            <w:tcW w:w="1187"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69F4E70D"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0.089</w:t>
            </w:r>
          </w:p>
          <w:p w14:paraId="7350C8DE"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0.7</w:t>
            </w:r>
          </w:p>
        </w:tc>
        <w:tc>
          <w:tcPr>
            <w:tcW w:w="127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7D36E31B"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0.247</w:t>
            </w:r>
          </w:p>
          <w:p w14:paraId="3DB389C1"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0.4</w:t>
            </w:r>
          </w:p>
        </w:tc>
        <w:tc>
          <w:tcPr>
            <w:tcW w:w="1276"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2BB89033"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0.166</w:t>
            </w:r>
          </w:p>
          <w:p w14:paraId="6280BB42"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0.5</w:t>
            </w:r>
          </w:p>
        </w:tc>
        <w:tc>
          <w:tcPr>
            <w:tcW w:w="1155"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7F9CBECB"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-0.106</w:t>
            </w:r>
          </w:p>
          <w:p w14:paraId="3B50808F"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0.7</w:t>
            </w:r>
          </w:p>
        </w:tc>
        <w:tc>
          <w:tcPr>
            <w:tcW w:w="1224"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1A60CFE2"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-0.260</w:t>
            </w:r>
          </w:p>
          <w:p w14:paraId="0F13D417"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0.4</w:t>
            </w:r>
          </w:p>
        </w:tc>
      </w:tr>
      <w:tr w:rsidR="002E2257" w:rsidRPr="00516560" w14:paraId="3F584E8C" w14:textId="77777777" w:rsidTr="00DD232C">
        <w:tblPrEx>
          <w:tblBorders>
            <w:top w:val="none" w:sz="0" w:space="0" w:color="auto"/>
          </w:tblBorders>
        </w:tblPrEx>
        <w:tc>
          <w:tcPr>
            <w:tcW w:w="1408"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7DD6C871"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LS BMD (g/cm</w:t>
            </w:r>
            <w:r w:rsidRPr="00516560">
              <w:rPr>
                <w:rFonts w:ascii="Times New Roman" w:hAnsi="Times New Roman"/>
                <w:sz w:val="22"/>
                <w:szCs w:val="22"/>
                <w:vertAlign w:val="superscript"/>
                <w:lang w:val="en-US"/>
              </w:rPr>
              <w:t>2</w:t>
            </w:r>
            <w:r w:rsidRPr="00516560">
              <w:rPr>
                <w:rFonts w:ascii="Times New Roman" w:hAnsi="Times New Roman"/>
                <w:sz w:val="22"/>
                <w:szCs w:val="22"/>
                <w:lang w:val="en-US"/>
              </w:rPr>
              <w:t>)</w:t>
            </w:r>
          </w:p>
        </w:tc>
        <w:tc>
          <w:tcPr>
            <w:tcW w:w="122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33D48C77"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0.305</w:t>
            </w:r>
          </w:p>
          <w:p w14:paraId="7C1D7CFB"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0.3</w:t>
            </w:r>
          </w:p>
        </w:tc>
        <w:tc>
          <w:tcPr>
            <w:tcW w:w="1187"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12509B87"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0.318</w:t>
            </w:r>
          </w:p>
          <w:p w14:paraId="396B44B6"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0.2</w:t>
            </w:r>
          </w:p>
        </w:tc>
        <w:tc>
          <w:tcPr>
            <w:tcW w:w="127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6337DC92"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0.195</w:t>
            </w:r>
          </w:p>
          <w:p w14:paraId="7115C0CD"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0.5</w:t>
            </w:r>
          </w:p>
        </w:tc>
        <w:tc>
          <w:tcPr>
            <w:tcW w:w="1276"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6A926AA9"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0.366</w:t>
            </w:r>
          </w:p>
          <w:p w14:paraId="0E12CEB5"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0.1</w:t>
            </w:r>
          </w:p>
        </w:tc>
        <w:tc>
          <w:tcPr>
            <w:tcW w:w="1155"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0290AC28" w14:textId="77777777" w:rsidR="002E2257" w:rsidRPr="00516560" w:rsidRDefault="002E2257" w:rsidP="00DD232C">
            <w:pPr>
              <w:widowControl w:val="0"/>
              <w:autoSpaceDE w:val="0"/>
              <w:autoSpaceDN w:val="0"/>
              <w:adjustRightInd w:val="0"/>
              <w:spacing w:line="276" w:lineRule="auto"/>
              <w:rPr>
                <w:rFonts w:ascii="Times New Roman" w:hAnsi="Times New Roman"/>
                <w:b/>
                <w:bCs/>
                <w:sz w:val="22"/>
                <w:szCs w:val="22"/>
                <w:lang w:val="en-US"/>
              </w:rPr>
            </w:pPr>
            <w:r w:rsidRPr="00516560">
              <w:rPr>
                <w:rFonts w:ascii="Times New Roman" w:hAnsi="Times New Roman"/>
                <w:b/>
                <w:bCs/>
                <w:sz w:val="22"/>
                <w:szCs w:val="22"/>
                <w:lang w:val="en-US"/>
              </w:rPr>
              <w:t>0.634</w:t>
            </w:r>
          </w:p>
          <w:p w14:paraId="03292911" w14:textId="77777777" w:rsidR="002E2257" w:rsidRPr="00516560" w:rsidRDefault="002E2257" w:rsidP="00DD232C">
            <w:pPr>
              <w:widowControl w:val="0"/>
              <w:autoSpaceDE w:val="0"/>
              <w:autoSpaceDN w:val="0"/>
              <w:adjustRightInd w:val="0"/>
              <w:spacing w:line="276" w:lineRule="auto"/>
              <w:rPr>
                <w:rFonts w:ascii="Times New Roman" w:hAnsi="Times New Roman"/>
                <w:b/>
                <w:bCs/>
                <w:sz w:val="22"/>
                <w:szCs w:val="22"/>
                <w:lang w:val="en-US"/>
              </w:rPr>
            </w:pPr>
            <w:r w:rsidRPr="00516560">
              <w:rPr>
                <w:rFonts w:ascii="Times New Roman" w:hAnsi="Times New Roman"/>
                <w:b/>
                <w:bCs/>
                <w:sz w:val="22"/>
                <w:szCs w:val="22"/>
                <w:lang w:val="en-US"/>
              </w:rPr>
              <w:t>0.027</w:t>
            </w:r>
          </w:p>
        </w:tc>
        <w:tc>
          <w:tcPr>
            <w:tcW w:w="1224"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5D191CEF"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-0.389</w:t>
            </w:r>
          </w:p>
          <w:p w14:paraId="2777F0A9"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0.2</w:t>
            </w:r>
          </w:p>
        </w:tc>
      </w:tr>
      <w:tr w:rsidR="002E2257" w:rsidRPr="00516560" w14:paraId="12516A21" w14:textId="77777777" w:rsidTr="00DD232C">
        <w:tblPrEx>
          <w:tblBorders>
            <w:top w:val="none" w:sz="0" w:space="0" w:color="auto"/>
          </w:tblBorders>
        </w:tblPrEx>
        <w:tc>
          <w:tcPr>
            <w:tcW w:w="1408"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3BFB95C2"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 xml:space="preserve">FN BA </w:t>
            </w:r>
          </w:p>
          <w:p w14:paraId="3DAD073F"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(cm</w:t>
            </w:r>
            <w:r w:rsidRPr="00516560">
              <w:rPr>
                <w:rFonts w:ascii="Times New Roman" w:hAnsi="Times New Roman"/>
                <w:sz w:val="22"/>
                <w:szCs w:val="22"/>
                <w:vertAlign w:val="superscript"/>
                <w:lang w:val="en-US"/>
              </w:rPr>
              <w:t>2</w:t>
            </w:r>
            <w:r w:rsidRPr="00516560">
              <w:rPr>
                <w:rFonts w:ascii="Times New Roman" w:hAnsi="Times New Roman"/>
                <w:sz w:val="22"/>
                <w:szCs w:val="22"/>
                <w:lang w:val="en-US"/>
              </w:rPr>
              <w:t>)</w:t>
            </w:r>
          </w:p>
        </w:tc>
        <w:tc>
          <w:tcPr>
            <w:tcW w:w="122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31FBD893" w14:textId="77777777" w:rsidR="002E2257" w:rsidRPr="00516560" w:rsidRDefault="002E2257" w:rsidP="00DD232C">
            <w:pPr>
              <w:widowControl w:val="0"/>
              <w:autoSpaceDE w:val="0"/>
              <w:autoSpaceDN w:val="0"/>
              <w:adjustRightInd w:val="0"/>
              <w:spacing w:line="276" w:lineRule="auto"/>
              <w:rPr>
                <w:rFonts w:ascii="Times New Roman" w:hAnsi="Times New Roman"/>
                <w:b/>
                <w:bCs/>
                <w:sz w:val="22"/>
                <w:szCs w:val="22"/>
                <w:lang w:val="en-US"/>
              </w:rPr>
            </w:pPr>
            <w:r w:rsidRPr="00516560">
              <w:rPr>
                <w:rFonts w:ascii="Times New Roman" w:hAnsi="Times New Roman"/>
                <w:b/>
                <w:bCs/>
                <w:sz w:val="22"/>
                <w:szCs w:val="22"/>
                <w:lang w:val="en-US"/>
              </w:rPr>
              <w:t>0.799</w:t>
            </w:r>
          </w:p>
          <w:p w14:paraId="25B04D54" w14:textId="77777777" w:rsidR="002E2257" w:rsidRPr="00516560" w:rsidRDefault="002E2257" w:rsidP="00DD232C">
            <w:pPr>
              <w:widowControl w:val="0"/>
              <w:autoSpaceDE w:val="0"/>
              <w:autoSpaceDN w:val="0"/>
              <w:adjustRightInd w:val="0"/>
              <w:spacing w:line="276" w:lineRule="auto"/>
              <w:rPr>
                <w:rFonts w:ascii="Times New Roman" w:hAnsi="Times New Roman"/>
                <w:b/>
                <w:bCs/>
                <w:sz w:val="22"/>
                <w:szCs w:val="22"/>
                <w:lang w:val="en-US"/>
              </w:rPr>
            </w:pPr>
            <w:r w:rsidRPr="00516560">
              <w:rPr>
                <w:rFonts w:ascii="Times New Roman" w:hAnsi="Times New Roman"/>
                <w:b/>
                <w:bCs/>
                <w:sz w:val="22"/>
                <w:szCs w:val="22"/>
                <w:lang w:val="en-US"/>
              </w:rPr>
              <w:t>0.001</w:t>
            </w:r>
          </w:p>
        </w:tc>
        <w:tc>
          <w:tcPr>
            <w:tcW w:w="1187"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779365C1"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-0.166</w:t>
            </w:r>
          </w:p>
          <w:p w14:paraId="6CB39FF0"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0.5</w:t>
            </w:r>
          </w:p>
        </w:tc>
        <w:tc>
          <w:tcPr>
            <w:tcW w:w="127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420B99B9"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0.181</w:t>
            </w:r>
          </w:p>
          <w:p w14:paraId="52151876"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0.6</w:t>
            </w:r>
          </w:p>
        </w:tc>
        <w:tc>
          <w:tcPr>
            <w:tcW w:w="1276"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0E5840EF"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0.065</w:t>
            </w:r>
          </w:p>
          <w:p w14:paraId="6ABFD109"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0.8</w:t>
            </w:r>
          </w:p>
        </w:tc>
        <w:tc>
          <w:tcPr>
            <w:tcW w:w="1155"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5BC339A8" w14:textId="77777777" w:rsidR="002E2257" w:rsidRPr="00516560" w:rsidRDefault="002E2257" w:rsidP="00DD232C">
            <w:pPr>
              <w:widowControl w:val="0"/>
              <w:autoSpaceDE w:val="0"/>
              <w:autoSpaceDN w:val="0"/>
              <w:adjustRightInd w:val="0"/>
              <w:spacing w:line="276" w:lineRule="auto"/>
              <w:rPr>
                <w:rFonts w:ascii="Times New Roman" w:hAnsi="Times New Roman"/>
                <w:b/>
                <w:bCs/>
                <w:sz w:val="22"/>
                <w:szCs w:val="22"/>
                <w:lang w:val="en-US"/>
              </w:rPr>
            </w:pPr>
            <w:r w:rsidRPr="00516560">
              <w:rPr>
                <w:rFonts w:ascii="Times New Roman" w:hAnsi="Times New Roman"/>
                <w:b/>
                <w:bCs/>
                <w:sz w:val="22"/>
                <w:szCs w:val="22"/>
                <w:lang w:val="en-US"/>
              </w:rPr>
              <w:t>-0.625</w:t>
            </w:r>
          </w:p>
          <w:p w14:paraId="6B87D7BE" w14:textId="77777777" w:rsidR="002E2257" w:rsidRPr="00516560" w:rsidRDefault="002E2257" w:rsidP="00DD232C">
            <w:pPr>
              <w:widowControl w:val="0"/>
              <w:autoSpaceDE w:val="0"/>
              <w:autoSpaceDN w:val="0"/>
              <w:adjustRightInd w:val="0"/>
              <w:spacing w:line="276" w:lineRule="auto"/>
              <w:rPr>
                <w:rFonts w:ascii="Times New Roman" w:hAnsi="Times New Roman"/>
                <w:b/>
                <w:bCs/>
                <w:sz w:val="22"/>
                <w:szCs w:val="22"/>
                <w:lang w:val="en-US"/>
              </w:rPr>
            </w:pPr>
            <w:r w:rsidRPr="00516560">
              <w:rPr>
                <w:rFonts w:ascii="Times New Roman" w:hAnsi="Times New Roman"/>
                <w:b/>
                <w:bCs/>
                <w:sz w:val="22"/>
                <w:szCs w:val="22"/>
                <w:lang w:val="en-US"/>
              </w:rPr>
              <w:t>0.030</w:t>
            </w:r>
          </w:p>
        </w:tc>
        <w:tc>
          <w:tcPr>
            <w:tcW w:w="1224"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556C7B93"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-0.114</w:t>
            </w:r>
          </w:p>
          <w:p w14:paraId="3DCD9171"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0.7</w:t>
            </w:r>
          </w:p>
        </w:tc>
      </w:tr>
      <w:tr w:rsidR="002E2257" w:rsidRPr="00516560" w14:paraId="0EBF6B12" w14:textId="77777777" w:rsidTr="00364FE5">
        <w:tblPrEx>
          <w:tblBorders>
            <w:top w:val="none" w:sz="0" w:space="0" w:color="auto"/>
          </w:tblBorders>
        </w:tblPrEx>
        <w:tc>
          <w:tcPr>
            <w:tcW w:w="1408"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586131CE"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FN BMD (g/cm</w:t>
            </w:r>
            <w:r w:rsidRPr="00516560">
              <w:rPr>
                <w:rFonts w:ascii="Times New Roman" w:hAnsi="Times New Roman"/>
                <w:sz w:val="22"/>
                <w:szCs w:val="22"/>
                <w:vertAlign w:val="superscript"/>
                <w:lang w:val="en-US"/>
              </w:rPr>
              <w:t>2</w:t>
            </w:r>
            <w:r w:rsidRPr="00516560">
              <w:rPr>
                <w:rFonts w:ascii="Times New Roman" w:hAnsi="Times New Roman"/>
                <w:sz w:val="22"/>
                <w:szCs w:val="22"/>
                <w:lang w:val="en-US"/>
              </w:rPr>
              <w:t>)</w:t>
            </w:r>
          </w:p>
        </w:tc>
        <w:tc>
          <w:tcPr>
            <w:tcW w:w="1223"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23C0800F"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0.268</w:t>
            </w:r>
          </w:p>
          <w:p w14:paraId="2AFD7938"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0.4</w:t>
            </w:r>
          </w:p>
        </w:tc>
        <w:tc>
          <w:tcPr>
            <w:tcW w:w="1187"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592034E8"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0.401</w:t>
            </w:r>
          </w:p>
          <w:p w14:paraId="439A80C6"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0.089</w:t>
            </w:r>
          </w:p>
        </w:tc>
        <w:tc>
          <w:tcPr>
            <w:tcW w:w="1275"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194AF344"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&lt;0.001</w:t>
            </w:r>
          </w:p>
          <w:p w14:paraId="6B63282E"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&gt;0.9</w:t>
            </w:r>
          </w:p>
        </w:tc>
        <w:tc>
          <w:tcPr>
            <w:tcW w:w="1276"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56095A8E"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0.396</w:t>
            </w:r>
          </w:p>
          <w:p w14:paraId="3FE3DE84"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0.093</w:t>
            </w:r>
          </w:p>
        </w:tc>
        <w:tc>
          <w:tcPr>
            <w:tcW w:w="1155" w:type="dxa"/>
            <w:gridSpan w:val="2"/>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23DC3B22"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0.418</w:t>
            </w:r>
          </w:p>
          <w:p w14:paraId="52D53E46"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0.2</w:t>
            </w:r>
          </w:p>
        </w:tc>
        <w:tc>
          <w:tcPr>
            <w:tcW w:w="1224" w:type="dxa"/>
            <w:tcBorders>
              <w:top w:val="single" w:sz="8" w:space="0" w:color="BFBFBF"/>
              <w:left w:val="single" w:sz="8" w:space="0" w:color="BFBFBF"/>
              <w:bottom w:val="single" w:sz="8" w:space="0" w:color="BFBFBF"/>
              <w:right w:val="single" w:sz="8" w:space="0" w:color="BFBFBF"/>
            </w:tcBorders>
            <w:tcMar>
              <w:top w:w="100" w:type="nil"/>
              <w:right w:w="100" w:type="nil"/>
            </w:tcMar>
            <w:vAlign w:val="center"/>
          </w:tcPr>
          <w:p w14:paraId="59C2E2BD"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-0.171</w:t>
            </w:r>
          </w:p>
          <w:p w14:paraId="2481484D"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0.6</w:t>
            </w:r>
          </w:p>
        </w:tc>
      </w:tr>
      <w:tr w:rsidR="002E2257" w:rsidRPr="00516560" w14:paraId="30672B1E" w14:textId="77777777" w:rsidTr="00364FE5">
        <w:tblPrEx>
          <w:tblBorders>
            <w:top w:val="none" w:sz="0" w:space="0" w:color="auto"/>
          </w:tblBorders>
        </w:tblPrEx>
        <w:tc>
          <w:tcPr>
            <w:tcW w:w="1408"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607B54C0"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Muscle mass (g)</w:t>
            </w:r>
          </w:p>
        </w:tc>
        <w:tc>
          <w:tcPr>
            <w:tcW w:w="1223"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766F20F7" w14:textId="77777777" w:rsidR="002E2257" w:rsidRPr="00516560" w:rsidRDefault="002E2257" w:rsidP="00DD232C">
            <w:pPr>
              <w:widowControl w:val="0"/>
              <w:autoSpaceDE w:val="0"/>
              <w:autoSpaceDN w:val="0"/>
              <w:adjustRightInd w:val="0"/>
              <w:spacing w:line="276" w:lineRule="auto"/>
              <w:rPr>
                <w:rFonts w:ascii="Times New Roman" w:hAnsi="Times New Roman"/>
                <w:b/>
                <w:bCs/>
                <w:sz w:val="22"/>
                <w:szCs w:val="22"/>
                <w:lang w:val="en-US"/>
              </w:rPr>
            </w:pPr>
            <w:r w:rsidRPr="00516560">
              <w:rPr>
                <w:rFonts w:ascii="Times New Roman" w:hAnsi="Times New Roman"/>
                <w:b/>
                <w:bCs/>
                <w:sz w:val="22"/>
                <w:szCs w:val="22"/>
                <w:lang w:val="en-US"/>
              </w:rPr>
              <w:t>0.798</w:t>
            </w:r>
          </w:p>
          <w:p w14:paraId="20508E0E" w14:textId="77777777" w:rsidR="002E2257" w:rsidRPr="00516560" w:rsidRDefault="002E2257" w:rsidP="00DD232C">
            <w:pPr>
              <w:widowControl w:val="0"/>
              <w:autoSpaceDE w:val="0"/>
              <w:autoSpaceDN w:val="0"/>
              <w:adjustRightInd w:val="0"/>
              <w:spacing w:line="276" w:lineRule="auto"/>
              <w:rPr>
                <w:rFonts w:ascii="Times New Roman" w:hAnsi="Times New Roman"/>
                <w:b/>
                <w:bCs/>
                <w:sz w:val="22"/>
                <w:szCs w:val="22"/>
                <w:lang w:val="en-US"/>
              </w:rPr>
            </w:pPr>
            <w:r w:rsidRPr="00516560">
              <w:rPr>
                <w:rFonts w:ascii="Times New Roman" w:hAnsi="Times New Roman"/>
                <w:b/>
                <w:bCs/>
                <w:sz w:val="22"/>
                <w:szCs w:val="22"/>
                <w:lang w:val="en-US"/>
              </w:rPr>
              <w:t>0.001</w:t>
            </w:r>
          </w:p>
        </w:tc>
        <w:tc>
          <w:tcPr>
            <w:tcW w:w="1187"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4D667F55"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0.310</w:t>
            </w:r>
          </w:p>
          <w:p w14:paraId="702FCE52"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0.2</w:t>
            </w:r>
          </w:p>
        </w:tc>
        <w:tc>
          <w:tcPr>
            <w:tcW w:w="1275"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750B15F3"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0.221</w:t>
            </w:r>
          </w:p>
          <w:p w14:paraId="4555F65A"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0.5</w:t>
            </w:r>
          </w:p>
        </w:tc>
        <w:tc>
          <w:tcPr>
            <w:tcW w:w="1276"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0DD8A3E7"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0.395</w:t>
            </w:r>
          </w:p>
          <w:p w14:paraId="4B149A27"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0.094</w:t>
            </w:r>
          </w:p>
        </w:tc>
        <w:tc>
          <w:tcPr>
            <w:tcW w:w="1155" w:type="dxa"/>
            <w:gridSpan w:val="2"/>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706A9DB6"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-0.145</w:t>
            </w:r>
          </w:p>
          <w:p w14:paraId="45313D43"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0.7</w:t>
            </w:r>
          </w:p>
        </w:tc>
        <w:tc>
          <w:tcPr>
            <w:tcW w:w="1224" w:type="dxa"/>
            <w:tcBorders>
              <w:top w:val="single" w:sz="8" w:space="0" w:color="BFBFBF"/>
              <w:left w:val="single" w:sz="8" w:space="0" w:color="BFBFBF"/>
              <w:bottom w:val="single" w:sz="4" w:space="0" w:color="auto"/>
              <w:right w:val="single" w:sz="8" w:space="0" w:color="BFBFBF"/>
            </w:tcBorders>
            <w:tcMar>
              <w:top w:w="100" w:type="nil"/>
              <w:right w:w="100" w:type="nil"/>
            </w:tcMar>
            <w:vAlign w:val="center"/>
          </w:tcPr>
          <w:p w14:paraId="0D080DC8"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0.142</w:t>
            </w:r>
          </w:p>
          <w:p w14:paraId="09056E5A" w14:textId="77777777" w:rsidR="002E2257" w:rsidRPr="00516560" w:rsidRDefault="002E2257" w:rsidP="00DD232C">
            <w:pPr>
              <w:widowControl w:val="0"/>
              <w:autoSpaceDE w:val="0"/>
              <w:autoSpaceDN w:val="0"/>
              <w:adjustRightInd w:val="0"/>
              <w:spacing w:line="276" w:lineRule="auto"/>
              <w:rPr>
                <w:rFonts w:ascii="Times New Roman" w:hAnsi="Times New Roman"/>
                <w:sz w:val="22"/>
                <w:szCs w:val="22"/>
                <w:lang w:val="en-US"/>
              </w:rPr>
            </w:pPr>
            <w:r w:rsidRPr="00516560">
              <w:rPr>
                <w:rFonts w:ascii="Times New Roman" w:hAnsi="Times New Roman"/>
                <w:sz w:val="22"/>
                <w:szCs w:val="22"/>
                <w:lang w:val="en-US"/>
              </w:rPr>
              <w:t>0.6</w:t>
            </w:r>
          </w:p>
        </w:tc>
      </w:tr>
    </w:tbl>
    <w:p w14:paraId="347E1526" w14:textId="38A1AFAC" w:rsidR="002E2257" w:rsidRPr="00516560" w:rsidRDefault="002E2257" w:rsidP="002E2257">
      <w:pPr>
        <w:spacing w:line="360" w:lineRule="auto"/>
        <w:rPr>
          <w:rFonts w:ascii="Times New Roman" w:hAnsi="Times New Roman"/>
          <w:sz w:val="22"/>
          <w:szCs w:val="22"/>
          <w:lang w:val="en-US"/>
        </w:rPr>
      </w:pPr>
      <w:r w:rsidRPr="00516560">
        <w:rPr>
          <w:rFonts w:ascii="Times New Roman" w:hAnsi="Times New Roman"/>
          <w:sz w:val="22"/>
          <w:szCs w:val="22"/>
          <w:lang w:val="en-US"/>
        </w:rPr>
        <w:lastRenderedPageBreak/>
        <w:t>WB, whole body; BA, bone area; BMD, bone mineral density; LS, lumbar spine; FN femoral neck.</w:t>
      </w:r>
    </w:p>
    <w:p w14:paraId="63FE16B0" w14:textId="77777777" w:rsidR="002E2257" w:rsidRPr="003944F6" w:rsidRDefault="002E2257" w:rsidP="002E2257">
      <w:pPr>
        <w:widowControl w:val="0"/>
        <w:autoSpaceDE w:val="0"/>
        <w:autoSpaceDN w:val="0"/>
        <w:adjustRightInd w:val="0"/>
        <w:spacing w:line="480" w:lineRule="auto"/>
        <w:jc w:val="both"/>
        <w:rPr>
          <w:rFonts w:ascii="Times New Roman" w:hAnsi="Times New Roman"/>
          <w:sz w:val="22"/>
          <w:szCs w:val="22"/>
          <w:lang w:val="en-US"/>
        </w:rPr>
      </w:pPr>
      <w:r w:rsidRPr="00516560">
        <w:rPr>
          <w:sz w:val="22"/>
          <w:szCs w:val="22"/>
          <w:lang w:val="en-US"/>
        </w:rPr>
        <w:br w:type="page"/>
      </w:r>
      <w:r w:rsidRPr="00516560">
        <w:rPr>
          <w:rFonts w:ascii="Times New Roman" w:hAnsi="Times New Roman"/>
          <w:sz w:val="22"/>
          <w:szCs w:val="22"/>
          <w:lang w:val="en-US"/>
        </w:rPr>
        <w:lastRenderedPageBreak/>
        <w:t xml:space="preserve">Figure 1 Correlations between BMI and free testosterone, estradiol and INSL3 concentrations in the case-control cohort of males with severe childhood-onset obesity and healthy age-matched controls. Cases are indicated with closed circles and controls with open circles. A: BMI and free testosterone concentration; cases, </w:t>
      </w:r>
      <w:r w:rsidRPr="00516560">
        <w:rPr>
          <w:rFonts w:ascii="Times New Roman" w:hAnsi="Times New Roman"/>
          <w:bCs/>
          <w:sz w:val="22"/>
          <w:szCs w:val="22"/>
          <w:lang w:val="en-US"/>
        </w:rPr>
        <w:t>τ = -0.516, P=0.003</w:t>
      </w:r>
      <w:r w:rsidRPr="00516560">
        <w:rPr>
          <w:rFonts w:ascii="Times New Roman" w:hAnsi="Times New Roman"/>
          <w:sz w:val="22"/>
          <w:szCs w:val="22"/>
          <w:lang w:val="en-US"/>
        </w:rPr>
        <w:t xml:space="preserve">; controls, τ = 0.019, P=0.9; </w:t>
      </w:r>
      <w:r w:rsidRPr="00516560">
        <w:rPr>
          <w:rFonts w:ascii="Times New Roman" w:hAnsi="Times New Roman"/>
          <w:bCs/>
          <w:sz w:val="22"/>
          <w:szCs w:val="22"/>
          <w:lang w:val="en-US"/>
        </w:rPr>
        <w:t>all, τ = -0.414, P&lt;0.001</w:t>
      </w:r>
      <w:r w:rsidRPr="00516560">
        <w:rPr>
          <w:rFonts w:ascii="Times New Roman" w:hAnsi="Times New Roman"/>
          <w:sz w:val="22"/>
          <w:szCs w:val="22"/>
          <w:lang w:val="en-US"/>
        </w:rPr>
        <w:t>. B:</w:t>
      </w:r>
      <w:r w:rsidRPr="00516560">
        <w:rPr>
          <w:rFonts w:ascii="Times New Roman" w:hAnsi="Times New Roman"/>
          <w:bCs/>
          <w:sz w:val="22"/>
          <w:szCs w:val="22"/>
          <w:lang w:val="en-US"/>
        </w:rPr>
        <w:t xml:space="preserve"> BMI and serum estradiol concentration; cases, τ = 0.388, P=0.025; controls, τ = 0.320, P=0.043</w:t>
      </w:r>
      <w:r w:rsidRPr="00516560">
        <w:rPr>
          <w:rFonts w:ascii="Times New Roman" w:hAnsi="Times New Roman"/>
          <w:sz w:val="22"/>
          <w:szCs w:val="22"/>
          <w:lang w:val="en-US"/>
        </w:rPr>
        <w:t xml:space="preserve">; all, τ = 0.107, P=0.3. C: BMI and serum INSL3 concentration; cases, τ = -0.229, P=0.2; controls, τ = -0.133, P=0.5; </w:t>
      </w:r>
      <w:r w:rsidRPr="00516560">
        <w:rPr>
          <w:rFonts w:ascii="Times New Roman" w:hAnsi="Times New Roman"/>
          <w:bCs/>
          <w:sz w:val="22"/>
          <w:szCs w:val="22"/>
          <w:lang w:val="en-US"/>
        </w:rPr>
        <w:t>all, τ = -0.281, P=0.022.</w:t>
      </w:r>
    </w:p>
    <w:p w14:paraId="25B94D82" w14:textId="77777777" w:rsidR="0012390C" w:rsidRPr="00A70FB7" w:rsidRDefault="0012390C">
      <w:pPr>
        <w:rPr>
          <w:lang w:val="en-US"/>
        </w:rPr>
      </w:pPr>
    </w:p>
    <w:sectPr w:rsidR="0012390C" w:rsidRPr="00A70FB7" w:rsidSect="00DD232C">
      <w:footerReference w:type="default" r:id="rId8"/>
      <w:pgSz w:w="12240" w:h="15840"/>
      <w:pgMar w:top="1440" w:right="1440" w:bottom="1440" w:left="1440" w:header="720" w:footer="720" w:gutter="0"/>
      <w:cols w:space="720"/>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B6B3A9" w14:textId="77777777" w:rsidR="00B86B5C" w:rsidRDefault="00B86B5C">
      <w:r>
        <w:separator/>
      </w:r>
    </w:p>
  </w:endnote>
  <w:endnote w:type="continuationSeparator" w:id="0">
    <w:p w14:paraId="6F91419F" w14:textId="77777777" w:rsidR="00B86B5C" w:rsidRDefault="00B86B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Times New Roman"/>
    <w:charset w:val="00"/>
    <w:family w:val="auto"/>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9A0D6E" w14:textId="77777777" w:rsidR="009E4EF4" w:rsidRDefault="009E4EF4">
    <w:pPr>
      <w:pStyle w:val="Footer"/>
      <w:jc w:val="center"/>
    </w:pPr>
    <w:r>
      <w:fldChar w:fldCharType="begin"/>
    </w:r>
    <w:r>
      <w:instrText xml:space="preserve"> PAGE   \* MERGEFORMAT </w:instrText>
    </w:r>
    <w:r>
      <w:fldChar w:fldCharType="separate"/>
    </w:r>
    <w:r w:rsidR="00CD3720">
      <w:rPr>
        <w:noProof/>
      </w:rPr>
      <w:t>1</w:t>
    </w:r>
    <w:r>
      <w:rPr>
        <w:noProof/>
      </w:rPr>
      <w:fldChar w:fldCharType="end"/>
    </w:r>
  </w:p>
  <w:p w14:paraId="050211F3" w14:textId="77777777" w:rsidR="009E4EF4" w:rsidRDefault="009E4EF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834135" w14:textId="77777777" w:rsidR="00B86B5C" w:rsidRDefault="00B86B5C">
      <w:r>
        <w:separator/>
      </w:r>
    </w:p>
  </w:footnote>
  <w:footnote w:type="continuationSeparator" w:id="0">
    <w:p w14:paraId="247193DF" w14:textId="77777777" w:rsidR="00B86B5C" w:rsidRDefault="00B86B5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8EFCCF4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44EC54FC"/>
    <w:multiLevelType w:val="hybridMultilevel"/>
    <w:tmpl w:val="2D0A5F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CFA2019"/>
    <w:multiLevelType w:val="hybridMultilevel"/>
    <w:tmpl w:val="2AC074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E967D9C"/>
    <w:multiLevelType w:val="hybridMultilevel"/>
    <w:tmpl w:val="150832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D4E6178"/>
    <w:multiLevelType w:val="hybridMultilevel"/>
    <w:tmpl w:val="EC2E2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2257"/>
    <w:rsid w:val="000B0D80"/>
    <w:rsid w:val="000C131B"/>
    <w:rsid w:val="000D0BD4"/>
    <w:rsid w:val="0011460C"/>
    <w:rsid w:val="0012390C"/>
    <w:rsid w:val="0016211E"/>
    <w:rsid w:val="00171A09"/>
    <w:rsid w:val="00175823"/>
    <w:rsid w:val="00193251"/>
    <w:rsid w:val="001B60D4"/>
    <w:rsid w:val="001E2EB1"/>
    <w:rsid w:val="001E35CE"/>
    <w:rsid w:val="00287279"/>
    <w:rsid w:val="002E2257"/>
    <w:rsid w:val="00364FE5"/>
    <w:rsid w:val="00373C23"/>
    <w:rsid w:val="00374D50"/>
    <w:rsid w:val="004B1B99"/>
    <w:rsid w:val="00516560"/>
    <w:rsid w:val="005277CD"/>
    <w:rsid w:val="005477C9"/>
    <w:rsid w:val="00556C2C"/>
    <w:rsid w:val="0055770C"/>
    <w:rsid w:val="0057342F"/>
    <w:rsid w:val="00575FDD"/>
    <w:rsid w:val="005B4C90"/>
    <w:rsid w:val="005C3581"/>
    <w:rsid w:val="006219AE"/>
    <w:rsid w:val="00624D4B"/>
    <w:rsid w:val="00632097"/>
    <w:rsid w:val="0065645D"/>
    <w:rsid w:val="00660014"/>
    <w:rsid w:val="00692974"/>
    <w:rsid w:val="006A2815"/>
    <w:rsid w:val="006F2A31"/>
    <w:rsid w:val="006F75A7"/>
    <w:rsid w:val="00703E67"/>
    <w:rsid w:val="00746A4F"/>
    <w:rsid w:val="00752F34"/>
    <w:rsid w:val="00784ECB"/>
    <w:rsid w:val="007C766F"/>
    <w:rsid w:val="00810BA7"/>
    <w:rsid w:val="0081797A"/>
    <w:rsid w:val="008433FC"/>
    <w:rsid w:val="00876B3D"/>
    <w:rsid w:val="00883D0A"/>
    <w:rsid w:val="008F0868"/>
    <w:rsid w:val="008F2E1B"/>
    <w:rsid w:val="00921B28"/>
    <w:rsid w:val="00975165"/>
    <w:rsid w:val="00981357"/>
    <w:rsid w:val="0099255E"/>
    <w:rsid w:val="009C397E"/>
    <w:rsid w:val="009E4EF4"/>
    <w:rsid w:val="00A0424E"/>
    <w:rsid w:val="00A31E83"/>
    <w:rsid w:val="00A41097"/>
    <w:rsid w:val="00A70FB7"/>
    <w:rsid w:val="00A92033"/>
    <w:rsid w:val="00AB6069"/>
    <w:rsid w:val="00AC0922"/>
    <w:rsid w:val="00B32F93"/>
    <w:rsid w:val="00B42E32"/>
    <w:rsid w:val="00B47D71"/>
    <w:rsid w:val="00B57FE0"/>
    <w:rsid w:val="00B81CEF"/>
    <w:rsid w:val="00B86B5C"/>
    <w:rsid w:val="00B9515B"/>
    <w:rsid w:val="00BA11FC"/>
    <w:rsid w:val="00BC25E0"/>
    <w:rsid w:val="00BD05C9"/>
    <w:rsid w:val="00BF22B4"/>
    <w:rsid w:val="00BF42F2"/>
    <w:rsid w:val="00C10640"/>
    <w:rsid w:val="00C40801"/>
    <w:rsid w:val="00C42FFE"/>
    <w:rsid w:val="00CD3720"/>
    <w:rsid w:val="00D327D4"/>
    <w:rsid w:val="00D3300B"/>
    <w:rsid w:val="00D55B52"/>
    <w:rsid w:val="00D92100"/>
    <w:rsid w:val="00DD232C"/>
    <w:rsid w:val="00DE36A2"/>
    <w:rsid w:val="00DE36FD"/>
    <w:rsid w:val="00DF390A"/>
    <w:rsid w:val="00E324ED"/>
    <w:rsid w:val="00E6128A"/>
    <w:rsid w:val="00EC0FB5"/>
    <w:rsid w:val="00ED66B1"/>
    <w:rsid w:val="00ED7856"/>
    <w:rsid w:val="00EF1812"/>
    <w:rsid w:val="00F27B0C"/>
    <w:rsid w:val="00F70110"/>
    <w:rsid w:val="00F84F3F"/>
    <w:rsid w:val="00F93B33"/>
    <w:rsid w:val="00FB1C3E"/>
    <w:rsid w:val="00FC0D59"/>
    <w:rsid w:val="00FC4519"/>
    <w:rsid w:val="00FE7C1A"/>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5977BFB"/>
  <w14:defaultImageDpi w14:val="300"/>
  <w15:docId w15:val="{F78641D0-9CEC-4C35-BFD4-25A61486F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fi-F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2257"/>
    <w:rPr>
      <w:rFonts w:ascii="Cambria" w:eastAsia="MS Mincho" w:hAnsi="Cambria"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9515B"/>
    <w:rPr>
      <w:rFonts w:ascii="Lucida Grande" w:hAnsi="Lucida Grande"/>
      <w:sz w:val="18"/>
      <w:szCs w:val="18"/>
    </w:rPr>
  </w:style>
  <w:style w:type="character" w:customStyle="1" w:styleId="BalloonTextChar">
    <w:name w:val="Balloon Text Char"/>
    <w:basedOn w:val="DefaultParagraphFont"/>
    <w:link w:val="BalloonText"/>
    <w:uiPriority w:val="99"/>
    <w:semiHidden/>
    <w:rsid w:val="00B9515B"/>
    <w:rPr>
      <w:rFonts w:ascii="Lucida Grande" w:hAnsi="Lucida Grande"/>
      <w:sz w:val="18"/>
      <w:szCs w:val="18"/>
    </w:rPr>
  </w:style>
  <w:style w:type="character" w:styleId="CommentReference">
    <w:name w:val="annotation reference"/>
    <w:uiPriority w:val="99"/>
    <w:semiHidden/>
    <w:unhideWhenUsed/>
    <w:rsid w:val="002E2257"/>
    <w:rPr>
      <w:sz w:val="18"/>
      <w:szCs w:val="18"/>
    </w:rPr>
  </w:style>
  <w:style w:type="paragraph" w:styleId="CommentText">
    <w:name w:val="annotation text"/>
    <w:basedOn w:val="Normal"/>
    <w:link w:val="CommentTextChar"/>
    <w:uiPriority w:val="99"/>
    <w:semiHidden/>
    <w:unhideWhenUsed/>
    <w:rsid w:val="002E2257"/>
  </w:style>
  <w:style w:type="character" w:customStyle="1" w:styleId="CommentTextChar">
    <w:name w:val="Comment Text Char"/>
    <w:basedOn w:val="DefaultParagraphFont"/>
    <w:link w:val="CommentText"/>
    <w:uiPriority w:val="99"/>
    <w:semiHidden/>
    <w:rsid w:val="002E2257"/>
    <w:rPr>
      <w:rFonts w:ascii="Cambria" w:eastAsia="MS Mincho" w:hAnsi="Cambria" w:cs="Times New Roman"/>
    </w:rPr>
  </w:style>
  <w:style w:type="paragraph" w:styleId="CommentSubject">
    <w:name w:val="annotation subject"/>
    <w:basedOn w:val="CommentText"/>
    <w:next w:val="CommentText"/>
    <w:link w:val="CommentSubjectChar"/>
    <w:uiPriority w:val="99"/>
    <w:semiHidden/>
    <w:unhideWhenUsed/>
    <w:rsid w:val="002E2257"/>
    <w:rPr>
      <w:b/>
      <w:bCs/>
      <w:sz w:val="20"/>
      <w:szCs w:val="20"/>
    </w:rPr>
  </w:style>
  <w:style w:type="character" w:customStyle="1" w:styleId="CommentSubjectChar">
    <w:name w:val="Comment Subject Char"/>
    <w:basedOn w:val="CommentTextChar"/>
    <w:link w:val="CommentSubject"/>
    <w:uiPriority w:val="99"/>
    <w:semiHidden/>
    <w:rsid w:val="002E2257"/>
    <w:rPr>
      <w:rFonts w:ascii="Cambria" w:eastAsia="MS Mincho" w:hAnsi="Cambria" w:cs="Times New Roman"/>
      <w:b/>
      <w:bCs/>
      <w:sz w:val="20"/>
      <w:szCs w:val="20"/>
    </w:rPr>
  </w:style>
  <w:style w:type="paragraph" w:styleId="NormalWeb">
    <w:name w:val="Normal (Web)"/>
    <w:basedOn w:val="Normal"/>
    <w:uiPriority w:val="99"/>
    <w:unhideWhenUsed/>
    <w:rsid w:val="002E2257"/>
    <w:pPr>
      <w:spacing w:before="100" w:beforeAutospacing="1" w:after="100" w:afterAutospacing="1"/>
    </w:pPr>
    <w:rPr>
      <w:rFonts w:ascii="Times New Roman" w:hAnsi="Times New Roman"/>
      <w:lang w:eastAsia="fi-FI"/>
    </w:rPr>
  </w:style>
  <w:style w:type="paragraph" w:styleId="Header">
    <w:name w:val="header"/>
    <w:basedOn w:val="Normal"/>
    <w:link w:val="HeaderChar"/>
    <w:uiPriority w:val="99"/>
    <w:unhideWhenUsed/>
    <w:rsid w:val="002E2257"/>
    <w:pPr>
      <w:tabs>
        <w:tab w:val="center" w:pos="4819"/>
        <w:tab w:val="right" w:pos="9638"/>
      </w:tabs>
    </w:pPr>
  </w:style>
  <w:style w:type="character" w:customStyle="1" w:styleId="HeaderChar">
    <w:name w:val="Header Char"/>
    <w:basedOn w:val="DefaultParagraphFont"/>
    <w:link w:val="Header"/>
    <w:uiPriority w:val="99"/>
    <w:rsid w:val="002E2257"/>
    <w:rPr>
      <w:rFonts w:ascii="Cambria" w:eastAsia="MS Mincho" w:hAnsi="Cambria" w:cs="Times New Roman"/>
    </w:rPr>
  </w:style>
  <w:style w:type="paragraph" w:styleId="Footer">
    <w:name w:val="footer"/>
    <w:basedOn w:val="Normal"/>
    <w:link w:val="FooterChar"/>
    <w:uiPriority w:val="99"/>
    <w:unhideWhenUsed/>
    <w:rsid w:val="002E2257"/>
    <w:pPr>
      <w:tabs>
        <w:tab w:val="center" w:pos="4819"/>
        <w:tab w:val="right" w:pos="9638"/>
      </w:tabs>
    </w:pPr>
  </w:style>
  <w:style w:type="character" w:customStyle="1" w:styleId="FooterChar">
    <w:name w:val="Footer Char"/>
    <w:basedOn w:val="DefaultParagraphFont"/>
    <w:link w:val="Footer"/>
    <w:uiPriority w:val="99"/>
    <w:rsid w:val="002E2257"/>
    <w:rPr>
      <w:rFonts w:ascii="Cambria" w:eastAsia="MS Mincho" w:hAnsi="Cambria" w:cs="Times New Roman"/>
    </w:rPr>
  </w:style>
  <w:style w:type="character" w:styleId="LineNumber">
    <w:name w:val="line number"/>
    <w:basedOn w:val="DefaultParagraphFont"/>
    <w:uiPriority w:val="99"/>
    <w:semiHidden/>
    <w:unhideWhenUsed/>
    <w:rsid w:val="002E22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479756-D951-4EFA-95B2-0C77B65F90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4182</Words>
  <Characters>33878</Characters>
  <Application>Microsoft Office Word</Application>
  <DocSecurity>0</DocSecurity>
  <Lines>282</Lines>
  <Paragraphs>75</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37985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Saila Laakso</dc:creator>
  <cp:keywords/>
  <dc:description/>
  <cp:lastModifiedBy>Kimmo Niukko</cp:lastModifiedBy>
  <cp:revision>2</cp:revision>
  <dcterms:created xsi:type="dcterms:W3CDTF">2018-08-07T09:17:00Z</dcterms:created>
  <dcterms:modified xsi:type="dcterms:W3CDTF">2018-08-07T09:17:00Z</dcterms:modified>
</cp:coreProperties>
</file>