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EAE16E" w14:textId="77777777" w:rsidR="00FB0303" w:rsidRPr="00B0148D" w:rsidRDefault="00FB0303">
      <w:pPr>
        <w:rPr>
          <w:b/>
        </w:rPr>
      </w:pPr>
      <w:bookmarkStart w:id="0" w:name="_GoBack"/>
      <w:r w:rsidRPr="00B0148D">
        <w:rPr>
          <w:b/>
        </w:rPr>
        <w:t>Title</w:t>
      </w:r>
    </w:p>
    <w:p w14:paraId="5C4D021F" w14:textId="6CE20527" w:rsidR="00C5137E" w:rsidRPr="00B0148D" w:rsidRDefault="00C5137E">
      <w:r w:rsidRPr="00B0148D">
        <w:t xml:space="preserve">How young people in Finland respond to information about </w:t>
      </w:r>
      <w:r w:rsidR="000D3BAB" w:rsidRPr="00B0148D">
        <w:t>the</w:t>
      </w:r>
      <w:r w:rsidRPr="00B0148D">
        <w:t xml:space="preserve"> </w:t>
      </w:r>
      <w:r w:rsidR="000D3BAB" w:rsidRPr="00B0148D">
        <w:t xml:space="preserve">origin of food </w:t>
      </w:r>
      <w:r w:rsidRPr="00B0148D">
        <w:t>product</w:t>
      </w:r>
      <w:r w:rsidR="000D3BAB" w:rsidRPr="00B0148D">
        <w:t>s</w:t>
      </w:r>
      <w:r w:rsidRPr="00B0148D">
        <w:t>: The role of value orientations</w:t>
      </w:r>
      <w:r w:rsidR="00CB5AF9" w:rsidRPr="00B0148D">
        <w:t xml:space="preserve"> and product type</w:t>
      </w:r>
    </w:p>
    <w:p w14:paraId="3596848A" w14:textId="11575307" w:rsidR="00FB0303" w:rsidRPr="00B0148D" w:rsidRDefault="00FB0303">
      <w:pPr>
        <w:rPr>
          <w:b/>
        </w:rPr>
      </w:pPr>
      <w:r w:rsidRPr="00B0148D">
        <w:rPr>
          <w:b/>
        </w:rPr>
        <w:t>Author names and affiliations</w:t>
      </w:r>
    </w:p>
    <w:p w14:paraId="75D3E513" w14:textId="77777777" w:rsidR="00FB0303" w:rsidRPr="00B0148D" w:rsidRDefault="00FB0303" w:rsidP="00FB0303">
      <w:pPr>
        <w:spacing w:after="0" w:line="480" w:lineRule="auto"/>
        <w:rPr>
          <w:rFonts w:cs="Times New Roman"/>
        </w:rPr>
      </w:pPr>
      <w:r w:rsidRPr="00B0148D">
        <w:rPr>
          <w:rFonts w:cs="Times New Roman"/>
        </w:rPr>
        <w:t>Tommi, Kumpulainen</w:t>
      </w:r>
      <w:r w:rsidRPr="00B0148D">
        <w:rPr>
          <w:rFonts w:cs="Times New Roman"/>
          <w:vertAlign w:val="superscript"/>
        </w:rPr>
        <w:t>a,</w:t>
      </w:r>
      <w:r w:rsidRPr="00B0148D">
        <w:rPr>
          <w:rFonts w:cs="Times New Roman"/>
        </w:rPr>
        <w:t xml:space="preserve"> Annukka, Vainio</w:t>
      </w:r>
      <w:r w:rsidRPr="00B0148D">
        <w:rPr>
          <w:rFonts w:cs="Times New Roman"/>
          <w:vertAlign w:val="superscript"/>
        </w:rPr>
        <w:t>b</w:t>
      </w:r>
      <w:r w:rsidRPr="00B0148D">
        <w:rPr>
          <w:rFonts w:cs="Times New Roman"/>
        </w:rPr>
        <w:t>, Mari, Sandell</w:t>
      </w:r>
      <w:r w:rsidRPr="00B0148D">
        <w:rPr>
          <w:rFonts w:cs="Times New Roman"/>
          <w:vertAlign w:val="superscript"/>
        </w:rPr>
        <w:t>c</w:t>
      </w:r>
      <w:r w:rsidRPr="00B0148D">
        <w:rPr>
          <w:rFonts w:cs="Times New Roman"/>
        </w:rPr>
        <w:t>, Anu, Hopia</w:t>
      </w:r>
      <w:r w:rsidRPr="00B0148D">
        <w:rPr>
          <w:rFonts w:cs="Times New Roman"/>
          <w:vertAlign w:val="superscript"/>
        </w:rPr>
        <w:t>a</w:t>
      </w:r>
    </w:p>
    <w:p w14:paraId="5D07F499" w14:textId="1522EE5E" w:rsidR="00FB0303" w:rsidRPr="00B0148D" w:rsidRDefault="00FB0303" w:rsidP="00FB0303">
      <w:pPr>
        <w:spacing w:after="0" w:line="480" w:lineRule="auto"/>
        <w:rPr>
          <w:rFonts w:cs="Times New Roman"/>
        </w:rPr>
      </w:pPr>
      <w:r w:rsidRPr="00B0148D">
        <w:rPr>
          <w:rFonts w:cs="Times New Roman"/>
          <w:vertAlign w:val="superscript"/>
        </w:rPr>
        <w:t>a</w:t>
      </w:r>
      <w:r w:rsidRPr="00B0148D">
        <w:rPr>
          <w:rFonts w:cs="Times New Roman"/>
        </w:rPr>
        <w:t xml:space="preserve"> University of Turku, Functional Foods Forum, </w:t>
      </w:r>
      <w:r w:rsidR="008C4B3F" w:rsidRPr="00B0148D">
        <w:rPr>
          <w:rFonts w:cs="Times New Roman"/>
        </w:rPr>
        <w:t>c/o SeAMK, Vaasantie 1C 1</w:t>
      </w:r>
      <w:r w:rsidR="008C4B3F" w:rsidRPr="00B0148D">
        <w:rPr>
          <w:rFonts w:cs="Times New Roman"/>
          <w:vertAlign w:val="superscript"/>
        </w:rPr>
        <w:t>st</w:t>
      </w:r>
      <w:r w:rsidR="008C4B3F" w:rsidRPr="00B0148D">
        <w:rPr>
          <w:rFonts w:cs="Times New Roman"/>
        </w:rPr>
        <w:t xml:space="preserve"> floor, 60100 Seinäjoki, Finland</w:t>
      </w:r>
      <w:r w:rsidR="00F45491" w:rsidRPr="00B0148D">
        <w:rPr>
          <w:rFonts w:cs="Times New Roman"/>
        </w:rPr>
        <w:t>.</w:t>
      </w:r>
    </w:p>
    <w:p w14:paraId="153F849A" w14:textId="3001C22A" w:rsidR="00FB0303" w:rsidRPr="00B0148D" w:rsidRDefault="00FB0303" w:rsidP="00FB0303">
      <w:pPr>
        <w:spacing w:after="0" w:line="480" w:lineRule="auto"/>
        <w:rPr>
          <w:rFonts w:cs="Times New Roman"/>
        </w:rPr>
      </w:pPr>
      <w:r w:rsidRPr="00B0148D">
        <w:rPr>
          <w:rFonts w:cs="Times New Roman"/>
          <w:vertAlign w:val="superscript"/>
          <w:lang w:val="sv-SE"/>
        </w:rPr>
        <w:t>b</w:t>
      </w:r>
      <w:r w:rsidRPr="00B0148D">
        <w:rPr>
          <w:rFonts w:cs="Times New Roman"/>
          <w:lang w:val="sv-SE"/>
        </w:rPr>
        <w:t xml:space="preserve"> Natural Resources Institute Finland (Luke), </w:t>
      </w:r>
      <w:r w:rsidR="00322DB0" w:rsidRPr="00B0148D">
        <w:rPr>
          <w:rFonts w:ascii="Calibri" w:hAnsi="Calibri"/>
          <w:lang w:val="sv-SE"/>
        </w:rPr>
        <w:t>Latokartanonkaari 9, 00790 Helsinki, Finland</w:t>
      </w:r>
      <w:r w:rsidR="00F45491" w:rsidRPr="00B0148D">
        <w:rPr>
          <w:rFonts w:ascii="Calibri" w:hAnsi="Calibri"/>
          <w:lang w:val="sv-SE"/>
        </w:rPr>
        <w:t xml:space="preserve">. </w:t>
      </w:r>
      <w:r w:rsidR="00F45491" w:rsidRPr="00B0148D">
        <w:rPr>
          <w:rFonts w:ascii="Calibri" w:hAnsi="Calibri"/>
        </w:rPr>
        <w:t xml:space="preserve">E-mail: </w:t>
      </w:r>
      <w:r w:rsidRPr="00B0148D">
        <w:rPr>
          <w:rFonts w:cs="Times New Roman"/>
        </w:rPr>
        <w:br/>
      </w:r>
      <w:r w:rsidRPr="00B0148D">
        <w:rPr>
          <w:rFonts w:cs="Times New Roman"/>
          <w:vertAlign w:val="superscript"/>
        </w:rPr>
        <w:t>c</w:t>
      </w:r>
      <w:r w:rsidRPr="00B0148D">
        <w:rPr>
          <w:rFonts w:cs="Times New Roman"/>
        </w:rPr>
        <w:t xml:space="preserve"> University of Turku, Functional Foods Forum, </w:t>
      </w:r>
      <w:r w:rsidR="008C4B3F" w:rsidRPr="00B0148D">
        <w:rPr>
          <w:rFonts w:cs="Times New Roman"/>
        </w:rPr>
        <w:t xml:space="preserve">20014 </w:t>
      </w:r>
      <w:r w:rsidRPr="00B0148D">
        <w:rPr>
          <w:rFonts w:cs="Times New Roman"/>
        </w:rPr>
        <w:t>Turku, Finland</w:t>
      </w:r>
    </w:p>
    <w:p w14:paraId="64370D4D" w14:textId="77777777" w:rsidR="00FB0303" w:rsidRPr="00B0148D" w:rsidRDefault="00FB0303">
      <w:pPr>
        <w:rPr>
          <w:b/>
        </w:rPr>
      </w:pPr>
      <w:r w:rsidRPr="00B0148D">
        <w:rPr>
          <w:b/>
        </w:rPr>
        <w:t>Corresponding author</w:t>
      </w:r>
    </w:p>
    <w:p w14:paraId="30A479D7" w14:textId="77777777" w:rsidR="00FB0303" w:rsidRPr="00B0148D" w:rsidRDefault="00FB0303" w:rsidP="00FB0303">
      <w:pPr>
        <w:jc w:val="both"/>
      </w:pPr>
      <w:r w:rsidRPr="00B0148D">
        <w:t>Tommi Kumpulainen, E-mail: tommi.kumpulainen@utu.fi</w:t>
      </w:r>
    </w:p>
    <w:p w14:paraId="30E3072C" w14:textId="77777777" w:rsidR="00FB0303" w:rsidRPr="00B0148D" w:rsidRDefault="00FB0303" w:rsidP="00FB0303">
      <w:pPr>
        <w:jc w:val="both"/>
        <w:rPr>
          <w:b/>
        </w:rPr>
      </w:pPr>
      <w:r w:rsidRPr="00B0148D">
        <w:rPr>
          <w:b/>
        </w:rPr>
        <w:t>Present address</w:t>
      </w:r>
    </w:p>
    <w:p w14:paraId="1096E333" w14:textId="77777777" w:rsidR="00FB0303" w:rsidRPr="00B0148D" w:rsidRDefault="00FB0303" w:rsidP="00FB0303">
      <w:pPr>
        <w:jc w:val="both"/>
      </w:pPr>
      <w:r w:rsidRPr="00B0148D">
        <w:rPr>
          <w:rFonts w:cs="Times New Roman"/>
        </w:rPr>
        <w:t>University of Turku, Functional Foods Forum, c/o SeAMK, Vaasantie 1C 1</w:t>
      </w:r>
      <w:r w:rsidRPr="00B0148D">
        <w:rPr>
          <w:rFonts w:cs="Times New Roman"/>
          <w:vertAlign w:val="superscript"/>
        </w:rPr>
        <w:t>st</w:t>
      </w:r>
      <w:r w:rsidRPr="00B0148D">
        <w:rPr>
          <w:rFonts w:cs="Times New Roman"/>
        </w:rPr>
        <w:t xml:space="preserve"> floor, 60100 Seinäjoki, Finland</w:t>
      </w:r>
    </w:p>
    <w:p w14:paraId="1B77879D" w14:textId="64FAAAB7" w:rsidR="00FB0303" w:rsidRPr="00B0148D" w:rsidRDefault="00F45491">
      <w:pPr>
        <w:rPr>
          <w:b/>
        </w:rPr>
      </w:pPr>
      <w:r w:rsidRPr="00B0148D">
        <w:rPr>
          <w:b/>
        </w:rPr>
        <w:t>E-mail addresses:</w:t>
      </w:r>
    </w:p>
    <w:p w14:paraId="781F5487" w14:textId="18C03AE0" w:rsidR="00F45491" w:rsidRPr="00B0148D" w:rsidRDefault="00F45491">
      <w:pPr>
        <w:rPr>
          <w:b/>
        </w:rPr>
      </w:pPr>
      <w:r w:rsidRPr="00B0148D">
        <w:rPr>
          <w:rFonts w:ascii="Calibri" w:hAnsi="Calibri"/>
        </w:rPr>
        <w:t xml:space="preserve">annukka.vainio@luke.fi (A.Vainio), </w:t>
      </w:r>
      <w:r w:rsidRPr="00B0148D">
        <w:rPr>
          <w:rFonts w:cs="Times New Roman"/>
        </w:rPr>
        <w:t>masaarim@utu.fi (M.Sandell),</w:t>
      </w:r>
      <w:r w:rsidRPr="00B0148D">
        <w:rPr>
          <w:rFonts w:ascii="Times New Roman" w:hAnsi="Times New Roman" w:cs="Times New Roman"/>
        </w:rPr>
        <w:t xml:space="preserve"> </w:t>
      </w:r>
      <w:r w:rsidRPr="00B0148D">
        <w:rPr>
          <w:rStyle w:val="rpc41"/>
        </w:rPr>
        <w:t>anuhop@utu.fi (A.Hopia)</w:t>
      </w:r>
    </w:p>
    <w:p w14:paraId="1829D970" w14:textId="63B6B767" w:rsidR="00280893" w:rsidRPr="00B0148D" w:rsidRDefault="00280893">
      <w:pPr>
        <w:rPr>
          <w:b/>
        </w:rPr>
      </w:pPr>
      <w:r w:rsidRPr="00B0148D">
        <w:rPr>
          <w:b/>
        </w:rPr>
        <w:t>Abstract</w:t>
      </w:r>
    </w:p>
    <w:p w14:paraId="5F25161D" w14:textId="557BFA2F" w:rsidR="006E5C73" w:rsidRPr="00B0148D" w:rsidRDefault="00C5137E" w:rsidP="00CF41BB">
      <w:pPr>
        <w:jc w:val="both"/>
        <w:rPr>
          <w:rFonts w:cs="Times New Roman"/>
        </w:rPr>
      </w:pPr>
      <w:r w:rsidRPr="00B0148D">
        <w:t>The aim of this study was to explore the effect of personal values</w:t>
      </w:r>
      <w:r w:rsidR="008E37D4" w:rsidRPr="00B0148D">
        <w:t xml:space="preserve"> and product type</w:t>
      </w:r>
      <w:r w:rsidRPr="00B0148D">
        <w:t xml:space="preserve"> </w:t>
      </w:r>
      <w:r w:rsidR="00B13802" w:rsidRPr="00B0148D">
        <w:t>in an experimental study / survey concerning food origins</w:t>
      </w:r>
      <w:r w:rsidR="008E37D4" w:rsidRPr="00B0148D">
        <w:t>. Two studies were</w:t>
      </w:r>
      <w:r w:rsidRPr="00B0148D">
        <w:t xml:space="preserve"> conducted among</w:t>
      </w:r>
      <w:r w:rsidR="00B13802" w:rsidRPr="00B0148D">
        <w:t xml:space="preserve"> young consumers (N = 1491) using</w:t>
      </w:r>
      <w:r w:rsidRPr="00B0148D">
        <w:t xml:space="preserve"> three different types of products (vegetables, bread, and meat) </w:t>
      </w:r>
      <w:r w:rsidR="00B13802" w:rsidRPr="00B0148D">
        <w:t>and</w:t>
      </w:r>
      <w:r w:rsidRPr="00B0148D">
        <w:t xml:space="preserve"> an experimental design where information about </w:t>
      </w:r>
      <w:r w:rsidR="00B13802" w:rsidRPr="00B0148D">
        <w:t xml:space="preserve">the </w:t>
      </w:r>
      <w:r w:rsidRPr="00B0148D">
        <w:t xml:space="preserve">food origin varied (neutral, domestic, local). </w:t>
      </w:r>
      <w:r w:rsidR="00A51D8E" w:rsidRPr="00B0148D">
        <w:t>T</w:t>
      </w:r>
      <w:r w:rsidR="00B13802" w:rsidRPr="00B0148D">
        <w:t xml:space="preserve">he origin of the </w:t>
      </w:r>
      <w:r w:rsidRPr="00B0148D">
        <w:t xml:space="preserve">food had a positive effect on </w:t>
      </w:r>
      <w:r w:rsidR="00B13802" w:rsidRPr="00B0148D">
        <w:t xml:space="preserve">the </w:t>
      </w:r>
      <w:r w:rsidRPr="00B0148D">
        <w:t>product experience and</w:t>
      </w:r>
      <w:r w:rsidR="008E37D4" w:rsidRPr="00B0148D">
        <w:t xml:space="preserve"> food choices</w:t>
      </w:r>
      <w:r w:rsidRPr="00B0148D">
        <w:t xml:space="preserve">. Value orientations had an effect on </w:t>
      </w:r>
      <w:r w:rsidR="00B13802" w:rsidRPr="00B0148D">
        <w:t xml:space="preserve">the </w:t>
      </w:r>
      <w:r w:rsidRPr="00B0148D">
        <w:t xml:space="preserve">product experience and </w:t>
      </w:r>
      <w:r w:rsidR="00B13802" w:rsidRPr="00B0148D">
        <w:t xml:space="preserve">the </w:t>
      </w:r>
      <w:r w:rsidRPr="00B0148D">
        <w:t xml:space="preserve">likelihood </w:t>
      </w:r>
      <w:r w:rsidR="00B13802" w:rsidRPr="00B0148D">
        <w:t>of</w:t>
      </w:r>
      <w:r w:rsidRPr="00B0148D">
        <w:t xml:space="preserve"> choos</w:t>
      </w:r>
      <w:r w:rsidR="00B13802" w:rsidRPr="00B0148D">
        <w:t>ing</w:t>
      </w:r>
      <w:r w:rsidRPr="00B0148D">
        <w:t xml:space="preserve"> the product, and this effect was dependent on </w:t>
      </w:r>
      <w:r w:rsidR="00B13802" w:rsidRPr="00B0148D">
        <w:t xml:space="preserve">the </w:t>
      </w:r>
      <w:r w:rsidRPr="00B0148D">
        <w:t xml:space="preserve">product type. More specifically, </w:t>
      </w:r>
      <w:r w:rsidR="003B132E" w:rsidRPr="00B0148D">
        <w:t>a Self-T</w:t>
      </w:r>
      <w:r w:rsidRPr="00B0148D">
        <w:t xml:space="preserve">ranscendence orientation was positively associated with </w:t>
      </w:r>
      <w:r w:rsidR="003B132E" w:rsidRPr="00B0148D">
        <w:t xml:space="preserve">the </w:t>
      </w:r>
      <w:r w:rsidRPr="00B0148D">
        <w:t>product experience in the cont</w:t>
      </w:r>
      <w:r w:rsidR="008E37D4" w:rsidRPr="00B0148D">
        <w:t>ext of vegetables</w:t>
      </w:r>
      <w:r w:rsidRPr="00B0148D">
        <w:t xml:space="preserve"> and </w:t>
      </w:r>
      <w:r w:rsidR="003B132E" w:rsidRPr="00B0148D">
        <w:t xml:space="preserve">a </w:t>
      </w:r>
      <w:r w:rsidRPr="00B0148D">
        <w:t>Conservation orientation was positively associated with</w:t>
      </w:r>
      <w:r w:rsidR="003B132E" w:rsidRPr="00B0148D">
        <w:t xml:space="preserve"> the</w:t>
      </w:r>
      <w:r w:rsidRPr="00B0148D">
        <w:t xml:space="preserve"> product experience in the context of meat</w:t>
      </w:r>
      <w:r w:rsidR="003B132E" w:rsidRPr="00B0148D">
        <w:t xml:space="preserve">, however, </w:t>
      </w:r>
      <w:r w:rsidR="00AE0E5A" w:rsidRPr="00B0148D">
        <w:t>the value orientations showed no effect in the context of bread</w:t>
      </w:r>
      <w:r w:rsidR="003B132E" w:rsidRPr="00B0148D">
        <w:t>. Individuals regarding</w:t>
      </w:r>
      <w:r w:rsidRPr="00B0148D">
        <w:t xml:space="preserve"> Self-Transcendence </w:t>
      </w:r>
      <w:r w:rsidR="003B132E" w:rsidRPr="00B0148D">
        <w:t xml:space="preserve">as </w:t>
      </w:r>
      <w:r w:rsidRPr="00B0148D">
        <w:t>important</w:t>
      </w:r>
      <w:r w:rsidR="003B132E" w:rsidRPr="00B0148D">
        <w:t>,</w:t>
      </w:r>
      <w:r w:rsidRPr="00B0148D">
        <w:t xml:space="preserve"> especially </w:t>
      </w:r>
      <w:r w:rsidR="003B132E" w:rsidRPr="00B0148D">
        <w:t xml:space="preserve">valued a </w:t>
      </w:r>
      <w:r w:rsidRPr="00B0148D">
        <w:t xml:space="preserve">local origin in the context of vegetables and meat. The findings regarding </w:t>
      </w:r>
      <w:r w:rsidR="003B132E" w:rsidRPr="00B0148D">
        <w:t xml:space="preserve">a </w:t>
      </w:r>
      <w:r w:rsidRPr="00B0148D">
        <w:t>Conservation orientation were less consistent. These</w:t>
      </w:r>
      <w:r w:rsidR="008E37D4" w:rsidRPr="00B0148D">
        <w:t xml:space="preserve"> findings</w:t>
      </w:r>
      <w:r w:rsidRPr="00B0148D">
        <w:t xml:space="preserve"> </w:t>
      </w:r>
      <w:r w:rsidR="003B132E" w:rsidRPr="00B0148D">
        <w:t>indicate that knowing</w:t>
      </w:r>
      <w:r w:rsidRPr="00B0148D">
        <w:t xml:space="preserve"> </w:t>
      </w:r>
      <w:r w:rsidR="003B132E" w:rsidRPr="00B0148D">
        <w:t xml:space="preserve">the </w:t>
      </w:r>
      <w:r w:rsidRPr="00B0148D">
        <w:t>origin adds some value to</w:t>
      </w:r>
      <w:r w:rsidR="003B132E" w:rsidRPr="00B0148D">
        <w:t xml:space="preserve"> the product for</w:t>
      </w:r>
      <w:r w:rsidR="00366E17" w:rsidRPr="00B0148D">
        <w:t xml:space="preserve"> young people.</w:t>
      </w:r>
      <w:r w:rsidRPr="00B0148D">
        <w:t xml:space="preserve"> </w:t>
      </w:r>
      <w:r w:rsidR="00366E17" w:rsidRPr="00B0148D">
        <w:t xml:space="preserve">Even </w:t>
      </w:r>
      <w:r w:rsidR="00B767EC" w:rsidRPr="00B0148D">
        <w:t xml:space="preserve">if </w:t>
      </w:r>
      <w:r w:rsidR="00366E17" w:rsidRPr="00B0148D">
        <w:t>the product</w:t>
      </w:r>
      <w:r w:rsidRPr="00B0148D">
        <w:t xml:space="preserve"> is not necessarily </w:t>
      </w:r>
      <w:r w:rsidR="0029341B" w:rsidRPr="00B0148D">
        <w:t>in line with an individual’s values, the origin may in fact</w:t>
      </w:r>
      <w:r w:rsidRPr="00B0148D">
        <w:t xml:space="preserve"> </w:t>
      </w:r>
      <w:r w:rsidR="008E37D4" w:rsidRPr="00B0148D">
        <w:t xml:space="preserve">exceed the effect of the </w:t>
      </w:r>
      <w:r w:rsidRPr="00B0148D">
        <w:t>product type.</w:t>
      </w:r>
      <w:r w:rsidR="006E5C73" w:rsidRPr="00B0148D">
        <w:t xml:space="preserve"> </w:t>
      </w:r>
      <w:r w:rsidR="006E5C73" w:rsidRPr="00B0148D">
        <w:rPr>
          <w:rFonts w:cs="Times New Roman"/>
        </w:rPr>
        <w:t xml:space="preserve">The study provides further knowledge about the underlying factors </w:t>
      </w:r>
      <w:r w:rsidR="0029341B" w:rsidRPr="00B0148D">
        <w:rPr>
          <w:rFonts w:cs="Times New Roman"/>
        </w:rPr>
        <w:t xml:space="preserve">explaining consumer choices </w:t>
      </w:r>
      <w:r w:rsidR="006E5C73" w:rsidRPr="00B0148D">
        <w:rPr>
          <w:rFonts w:cs="Times New Roman"/>
        </w:rPr>
        <w:t>on a personal level</w:t>
      </w:r>
      <w:r w:rsidR="0029341B" w:rsidRPr="00B0148D">
        <w:rPr>
          <w:rFonts w:cs="Times New Roman"/>
        </w:rPr>
        <w:t>,</w:t>
      </w:r>
      <w:r w:rsidR="006E5C73" w:rsidRPr="00B0148D">
        <w:rPr>
          <w:rFonts w:cs="Times New Roman"/>
        </w:rPr>
        <w:t xml:space="preserve"> especially when extrinsic information cues about food origin are available.</w:t>
      </w:r>
    </w:p>
    <w:p w14:paraId="1A360A73" w14:textId="3728BB09" w:rsidR="00280893" w:rsidRPr="00B0148D" w:rsidRDefault="00CF41BB" w:rsidP="00CF41BB">
      <w:pPr>
        <w:jc w:val="both"/>
        <w:rPr>
          <w:b/>
        </w:rPr>
      </w:pPr>
      <w:r w:rsidRPr="00B0148D">
        <w:rPr>
          <w:b/>
        </w:rPr>
        <w:t>Keywords</w:t>
      </w:r>
      <w:r w:rsidR="007E1DCF" w:rsidRPr="00B0148D">
        <w:rPr>
          <w:b/>
        </w:rPr>
        <w:t xml:space="preserve">: </w:t>
      </w:r>
      <w:r w:rsidR="00753465" w:rsidRPr="00B0148D">
        <w:t>Origin</w:t>
      </w:r>
      <w:r w:rsidR="007E1DCF" w:rsidRPr="00B0148D">
        <w:t xml:space="preserve">; </w:t>
      </w:r>
      <w:r w:rsidR="00753465" w:rsidRPr="00B0148D">
        <w:t>Values</w:t>
      </w:r>
      <w:r w:rsidR="007E1DCF" w:rsidRPr="00B0148D">
        <w:t xml:space="preserve">; </w:t>
      </w:r>
      <w:r w:rsidR="00753465" w:rsidRPr="00B0148D">
        <w:t>Consumer behavior</w:t>
      </w:r>
      <w:r w:rsidR="007E1DCF" w:rsidRPr="00B0148D">
        <w:t xml:space="preserve">; </w:t>
      </w:r>
      <w:r w:rsidR="00753465" w:rsidRPr="00B0148D">
        <w:t>Information</w:t>
      </w:r>
      <w:r w:rsidR="007E1DCF" w:rsidRPr="00B0148D">
        <w:t xml:space="preserve">; </w:t>
      </w:r>
      <w:r w:rsidR="00753465" w:rsidRPr="00B0148D">
        <w:t>Young consumers</w:t>
      </w:r>
      <w:r w:rsidR="003A780C" w:rsidRPr="00B0148D">
        <w:t>, product type</w:t>
      </w:r>
    </w:p>
    <w:p w14:paraId="233C271D" w14:textId="52C79204" w:rsidR="008B548D" w:rsidRPr="00B0148D" w:rsidRDefault="00452145">
      <w:pPr>
        <w:rPr>
          <w:b/>
        </w:rPr>
      </w:pPr>
      <w:r w:rsidRPr="00B0148D">
        <w:rPr>
          <w:b/>
        </w:rPr>
        <w:lastRenderedPageBreak/>
        <w:t xml:space="preserve">1. </w:t>
      </w:r>
      <w:r w:rsidR="00C3270D" w:rsidRPr="00B0148D">
        <w:rPr>
          <w:b/>
        </w:rPr>
        <w:t>Introduction</w:t>
      </w:r>
    </w:p>
    <w:p w14:paraId="3113D8CB" w14:textId="0DC9699A" w:rsidR="00E94423" w:rsidRPr="00B0148D" w:rsidRDefault="007E68BC" w:rsidP="00C00514">
      <w:pPr>
        <w:jc w:val="both"/>
      </w:pPr>
      <w:r w:rsidRPr="00B0148D">
        <w:t xml:space="preserve">The perceived </w:t>
      </w:r>
      <w:r w:rsidR="004C446F" w:rsidRPr="00B0148D">
        <w:t>quality</w:t>
      </w:r>
      <w:r w:rsidRPr="00B0148D">
        <w:t xml:space="preserve"> of food</w:t>
      </w:r>
      <w:r w:rsidR="004C446F" w:rsidRPr="00B0148D">
        <w:t xml:space="preserve"> </w:t>
      </w:r>
      <w:r w:rsidR="00C841A6" w:rsidRPr="00B0148D">
        <w:t xml:space="preserve">and the determinants of food choice </w:t>
      </w:r>
      <w:r w:rsidR="00C51F74" w:rsidRPr="00B0148D">
        <w:t>are</w:t>
      </w:r>
      <w:r w:rsidRPr="00B0148D">
        <w:t xml:space="preserve"> very complicated phenomena</w:t>
      </w:r>
      <w:r w:rsidR="00053E24" w:rsidRPr="00B0148D">
        <w:t xml:space="preserve"> </w:t>
      </w:r>
      <w:r w:rsidR="00053E24" w:rsidRPr="00B0148D">
        <w:fldChar w:fldCharType="begin" w:fldLock="1"/>
      </w:r>
      <w:r w:rsidR="007E0D48" w:rsidRPr="00B0148D">
        <w:instrText>ADDIN CSL_CITATION { "citationItems" : [ { "id" : "ITEM-1", "itemData" : { "author" : [ { "dropping-particle" : "V", "family" : "Cardello", "given" : "Armand", "non-dropping-particle" : "", "parse-names" : false, "suffix" : "" } ], "container-title" : "Food Quality and Preference", "id" : "ITEM-1", "issue" : "3", "issued" : { "date-parts" : [ [ "1995" ] ] }, "page" : "163-170", "title" : "Food quality: Relativity, context and consumer expectations", "type" : "article-journal", "volume" : "6" }, "uris" : [ "http://www.mendeley.com/documents/?uuid=645e6b95-a177-4f1f-a9dd-4fb6b15a4ef2" ] } ], "mendeley" : { "formattedCitation" : "(Cardello, 1995)", "manualFormatting" : "(Cardello, 1995)", "plainTextFormattedCitation" : "(Cardello, 1995)", "previouslyFormattedCitation" : "(Cardello, 1995)" }, "properties" : { "noteIndex" : 0 }, "schema" : "https://github.com/citation-style-language/schema/raw/master/csl-citation.json" }</w:instrText>
      </w:r>
      <w:r w:rsidR="00053E24" w:rsidRPr="00B0148D">
        <w:fldChar w:fldCharType="separate"/>
      </w:r>
      <w:r w:rsidR="00053E24" w:rsidRPr="00B0148D">
        <w:rPr>
          <w:noProof/>
        </w:rPr>
        <w:t>(Cardello</w:t>
      </w:r>
      <w:r w:rsidR="007E0D48" w:rsidRPr="00B0148D">
        <w:rPr>
          <w:noProof/>
        </w:rPr>
        <w:t>,</w:t>
      </w:r>
      <w:r w:rsidR="00053E24" w:rsidRPr="00B0148D">
        <w:rPr>
          <w:noProof/>
        </w:rPr>
        <w:t xml:space="preserve"> 1995)</w:t>
      </w:r>
      <w:r w:rsidR="00053E24" w:rsidRPr="00B0148D">
        <w:fldChar w:fldCharType="end"/>
      </w:r>
      <w:r w:rsidR="00E94423" w:rsidRPr="00B0148D">
        <w:t xml:space="preserve">. </w:t>
      </w:r>
      <w:r w:rsidR="004C446F" w:rsidRPr="00B0148D">
        <w:t>A great deal of the experienced quality is induced by</w:t>
      </w:r>
      <w:r w:rsidR="00E94423" w:rsidRPr="00B0148D">
        <w:t xml:space="preserve"> the </w:t>
      </w:r>
      <w:r w:rsidR="00C1248E" w:rsidRPr="00B0148D">
        <w:t xml:space="preserve">physical </w:t>
      </w:r>
      <w:r w:rsidR="00E94423" w:rsidRPr="00B0148D">
        <w:t>product properties experienced through our senses</w:t>
      </w:r>
      <w:r w:rsidR="00CE76A0" w:rsidRPr="00B0148D">
        <w:t xml:space="preserve"> </w:t>
      </w:r>
      <w:r w:rsidR="00C031D5" w:rsidRPr="00B0148D">
        <w:fldChar w:fldCharType="begin" w:fldLock="1"/>
      </w:r>
      <w:r w:rsidR="00C04490" w:rsidRPr="00B0148D">
        <w:instrText>ADDIN CSL_CITATION { "citationItems" : [ { "id" : "ITEM-1", "itemData" : { "DOI" : "10.1016/j.appet.2012.09.005", "ISSN" : "0195-6663", "author" : [ { "dropping-particle" : "", "family" : "Hoppert", "given" : "Karin", "non-dropping-particle" : "", "parse-names" : false, "suffix" : "" }, { "dropping-particle" : "", "family" : "Mai", "given" : "Robert", "non-dropping-particle" : "", "parse-names" : false, "suffix" : "" }, { "dropping-particle" : "", "family" : "Zahn", "given" : "Susann", "non-dropping-particle" : "", "parse-names" : false, "suffix" : "" }, { "dropping-particle" : "", "family" : "Hoffmann", "given" : "Stefan", "non-dropping-particle" : "", "parse-names" : false, "suffix" : "" }, { "dropping-particle" : "", "family" : "Rohm", "given" : "Harald", "non-dropping-particle" : "", "parse-names" : false, "suffix" : "" } ], "container-title" : "Appetite", "id" : "ITEM-1", "issue" : "3", "issued" : { "date-parts" : [ [ "2012" ] ] }, "page" : "949-955", "publisher" : "Elsevier Ltd", "title" : "Integrating sensory evaluation in adaptive conjoint analysis to elaborate the conflicting influence of intrinsic and extrinsic attributes on food choice", "type" : "article-journal", "volume" : "59" }, "uris" : [ "http://www.mendeley.com/documents/?uuid=91466db4-c286-401c-8b7d-dbb53c1350a7" ] } ], "mendeley" : { "formattedCitation" : "(Hoppert, Mai, Zahn, Hoffmann, &amp; Rohm, 2012)", "manualFormatting" : "(Hoppert, Mai, Zahn, Hoffmann, &amp; Rohm, 2012)", "plainTextFormattedCitation" : "(Hoppert, Mai, Zahn, Hoffmann, &amp; Rohm, 2012)", "previouslyFormattedCitation" : "(Hoppert, Mai, Zahn, Hoffmann, &amp; Rohm, 2012)" }, "properties" : { "noteIndex" : 0 }, "schema" : "https://github.com/citation-style-language/schema/raw/master/csl-citation.json" }</w:instrText>
      </w:r>
      <w:r w:rsidR="00C031D5" w:rsidRPr="00B0148D">
        <w:fldChar w:fldCharType="separate"/>
      </w:r>
      <w:r w:rsidR="00C031D5" w:rsidRPr="00B0148D">
        <w:rPr>
          <w:noProof/>
        </w:rPr>
        <w:t>(</w:t>
      </w:r>
      <w:r w:rsidR="007E0D48" w:rsidRPr="00B0148D">
        <w:rPr>
          <w:rFonts w:ascii="Calibri" w:hAnsi="Calibri" w:cs="Times New Roman"/>
          <w:noProof/>
          <w:szCs w:val="24"/>
        </w:rPr>
        <w:t>Hoppert, Mai, Zahn, Hoffmann, &amp; Rohm,</w:t>
      </w:r>
      <w:r w:rsidR="00C031D5" w:rsidRPr="00B0148D">
        <w:rPr>
          <w:noProof/>
        </w:rPr>
        <w:t xml:space="preserve"> 2012)</w:t>
      </w:r>
      <w:r w:rsidR="00C031D5" w:rsidRPr="00B0148D">
        <w:fldChar w:fldCharType="end"/>
      </w:r>
      <w:r w:rsidR="00E94423" w:rsidRPr="00B0148D">
        <w:t xml:space="preserve">. </w:t>
      </w:r>
      <w:r w:rsidRPr="00B0148D">
        <w:t>In addition to</w:t>
      </w:r>
      <w:r w:rsidR="004C446F" w:rsidRPr="00B0148D">
        <w:t xml:space="preserve"> the physical properties, t</w:t>
      </w:r>
      <w:r w:rsidR="005F6E40" w:rsidRPr="00B0148D">
        <w:t xml:space="preserve">he </w:t>
      </w:r>
      <w:r w:rsidRPr="00B0148D">
        <w:t>perception of</w:t>
      </w:r>
      <w:r w:rsidR="00843F81" w:rsidRPr="00B0148D">
        <w:t xml:space="preserve"> </w:t>
      </w:r>
      <w:r w:rsidR="005F6E40" w:rsidRPr="00B0148D">
        <w:t xml:space="preserve">food is </w:t>
      </w:r>
      <w:r w:rsidR="00843F81" w:rsidRPr="00B0148D">
        <w:t xml:space="preserve">also </w:t>
      </w:r>
      <w:r w:rsidR="005F6E40" w:rsidRPr="00B0148D">
        <w:t>based on the expectations placed on the product</w:t>
      </w:r>
      <w:r w:rsidR="00D519F5" w:rsidRPr="00B0148D">
        <w:t xml:space="preserve"> </w:t>
      </w:r>
      <w:r w:rsidR="004C446F" w:rsidRPr="00B0148D">
        <w:t>in relation to</w:t>
      </w:r>
      <w:r w:rsidR="00D519F5" w:rsidRPr="00B0148D">
        <w:t xml:space="preserve"> the contextual information</w:t>
      </w:r>
      <w:r w:rsidR="00666AD1" w:rsidRPr="00B0148D">
        <w:t xml:space="preserve"> </w:t>
      </w:r>
      <w:r w:rsidR="00F02FFE" w:rsidRPr="00B0148D">
        <w:fldChar w:fldCharType="begin" w:fldLock="1"/>
      </w:r>
      <w:r w:rsidR="00BC46D7" w:rsidRPr="00B0148D">
        <w:instrText>ADDIN CSL_CITATION { "citationItems" : [ { "id" : "ITEM-1", "itemData" : { "DOI" : "10.1016/j.appet.2014.05.006", "ISSN" : "0195-6663", "author" : [ { "dropping-particle" : "", "family" : "Gutjar", "given" : "Swetlana", "non-dropping-particle" : "", "parse-names" : false, "suffix" : "" }, { "dropping-particle" : "De", "family" : "Graaf", "given" : "Cees", "non-dropping-particle" : "", "parse-names" : false, "suffix" : "" }, { "dropping-particle" : "", "family" : "Palascha", "given" : "Aikaterini", "non-dropping-particle" : "", "parse-names" : false, "suffix" : "" }, { "dropping-particle" : "", "family" : "Jager", "given" : "Gerry", "non-dropping-particle" : "", "parse-names" : false, "suffix" : "" } ], "container-title" : "Appetite", "id" : "ITEM-1", "issued" : { "date-parts" : [ [ "2014" ] ] }, "page" : "109-113", "publisher" : "Elsevier Ltd", "title" : "Food choice: The battle between package , taste and consumption situation", "type" : "article-journal", "volume" : "80" }, "uris" : [ "http://www.mendeley.com/documents/?uuid=4e01f7b7-1f81-476a-9366-696473792577" ] } ], "mendeley" : { "formattedCitation" : "(Gutjar, Graaf, Palascha, &amp; Jager, 2014)", "manualFormatting" : "(Gutjar, Graaf, Palascha, &amp; Jager, 2014", "plainTextFormattedCitation" : "(Gutjar, Graaf, Palascha, &amp; Jager, 2014)", "previouslyFormattedCitation" : "(Gutjar, Graaf, Palascha, &amp; Jager, 2014)" }, "properties" : { "noteIndex" : 0 }, "schema" : "https://github.com/citation-style-language/schema/raw/master/csl-citation.json" }</w:instrText>
      </w:r>
      <w:r w:rsidR="00F02FFE" w:rsidRPr="00B0148D">
        <w:fldChar w:fldCharType="separate"/>
      </w:r>
      <w:r w:rsidR="00F02FFE" w:rsidRPr="00B0148D">
        <w:rPr>
          <w:noProof/>
        </w:rPr>
        <w:t>(</w:t>
      </w:r>
      <w:r w:rsidR="007E0D48" w:rsidRPr="00B0148D">
        <w:rPr>
          <w:rFonts w:ascii="Calibri" w:hAnsi="Calibri" w:cs="Times New Roman"/>
          <w:noProof/>
          <w:szCs w:val="24"/>
        </w:rPr>
        <w:t>Gutjar, Graaf, Palascha, &amp; Jager,</w:t>
      </w:r>
      <w:r w:rsidR="00F02FFE" w:rsidRPr="00B0148D">
        <w:rPr>
          <w:noProof/>
        </w:rPr>
        <w:t xml:space="preserve"> 2014</w:t>
      </w:r>
      <w:r w:rsidR="00F02FFE" w:rsidRPr="00B0148D">
        <w:fldChar w:fldCharType="end"/>
      </w:r>
      <w:r w:rsidR="00666AD1" w:rsidRPr="00B0148D">
        <w:fldChar w:fldCharType="begin" w:fldLock="1"/>
      </w:r>
      <w:r w:rsidR="00BC46D7" w:rsidRPr="00B0148D">
        <w:instrText>ADDIN CSL_CITATION { "citationItems" : [ { "id" : "ITEM-1", "itemData" : { "DOI" : "10.1093/eurrag/jbi011", "author" : [ { "dropping-particle" : "", "family" : "Grunert", "given" : "Klaus G", "non-dropping-particle" : "", "parse-names" : false, "suffix" : "" } ], "container-title" : "European Review of Agricultural Economics", "id" : "ITEM-1", "issue" : "3", "issued" : { "date-parts" : [ [ "2005" ] ] }, "page" : "369-391", "title" : "Food quality and safety : consumer perception and demand", "type" : "article-journal", "volume" : "32" }, "uris" : [ "http://www.mendeley.com/documents/?uuid=a11be0b6-07fc-4f7c-88e8-522636b201bb" ] } ], "mendeley" : { "formattedCitation" : "(Grunert, 2005)", "manualFormatting" : "; Grunert, 2005)", "plainTextFormattedCitation" : "(Grunert, 2005)", "previouslyFormattedCitation" : "(Grunert, 2005)" }, "properties" : { "noteIndex" : 0 }, "schema" : "https://github.com/citation-style-language/schema/raw/master/csl-citation.json" }</w:instrText>
      </w:r>
      <w:r w:rsidR="00666AD1" w:rsidRPr="00B0148D">
        <w:fldChar w:fldCharType="separate"/>
      </w:r>
      <w:r w:rsidR="00DE7224" w:rsidRPr="00B0148D">
        <w:rPr>
          <w:noProof/>
        </w:rPr>
        <w:t xml:space="preserve">; </w:t>
      </w:r>
      <w:r w:rsidR="00666AD1" w:rsidRPr="00B0148D">
        <w:rPr>
          <w:noProof/>
        </w:rPr>
        <w:t>Grunert</w:t>
      </w:r>
      <w:r w:rsidR="007E0D48" w:rsidRPr="00B0148D">
        <w:rPr>
          <w:noProof/>
        </w:rPr>
        <w:t>,</w:t>
      </w:r>
      <w:r w:rsidR="00666AD1" w:rsidRPr="00B0148D">
        <w:rPr>
          <w:noProof/>
        </w:rPr>
        <w:t xml:space="preserve"> 2005)</w:t>
      </w:r>
      <w:r w:rsidR="00666AD1" w:rsidRPr="00B0148D">
        <w:fldChar w:fldCharType="end"/>
      </w:r>
      <w:r w:rsidR="005F6E40" w:rsidRPr="00B0148D">
        <w:t xml:space="preserve">. </w:t>
      </w:r>
      <w:r w:rsidR="00700BD8" w:rsidRPr="00B0148D">
        <w:t>Some extrinsic cues (such as labellin</w:t>
      </w:r>
      <w:r w:rsidRPr="00B0148D">
        <w:t>g) raise expectations and thus have an effect on</w:t>
      </w:r>
      <w:r w:rsidR="00700BD8" w:rsidRPr="00B0148D">
        <w:t xml:space="preserve"> the experienced quality</w:t>
      </w:r>
      <w:r w:rsidR="00216C40" w:rsidRPr="00B0148D">
        <w:t xml:space="preserve"> </w:t>
      </w:r>
      <w:r w:rsidR="00216C40" w:rsidRPr="00B0148D">
        <w:fldChar w:fldCharType="begin" w:fldLock="1"/>
      </w:r>
      <w:r w:rsidR="00216C40" w:rsidRPr="00B0148D">
        <w:instrText>ADDIN CSL_CITATION { "citationItems" : [ { "id" : "ITEM-1", "itemData" : { "DOI" : "10.1111/j.1745-459X.1996.tb00036.x", "ISSN" : "0887-8250", "author" : [ { "dropping-particle" : "", "family" : "Deliza", "given" : "R.", "non-dropping-particle" : "", "parse-names" : false, "suffix" : "" }, { "dropping-particle" : "", "family" : "MacFie", "given" : "H.J.H.", "non-dropping-particle" : "", "parse-names" : false, "suffix" : "" } ], "container-title" : "Journal of Sensory Studies", "id" : "ITEM-1", "issue" : "2", "issued" : { "date-parts" : [ [ "1996" ] ] }, "page" : "103-128", "title" : "the Generation of Sensory Expectation By External Cues and Its Effect on Sensory Perception and Hedonic Ratings: a Review", "type" : "article-journal", "volume" : "11" }, "uris" : [ "http://www.mendeley.com/documents/?uuid=c9b467ff-d7ed-48ae-9df5-572c8dedee89" ] } ], "mendeley" : { "formattedCitation" : "(Deliza &amp; MacFie, 1996)", "plainTextFormattedCitation" : "(Deliza &amp; MacFie, 1996)", "previouslyFormattedCitation" : "(Deliza &amp; MacFie, 1996)" }, "properties" : { "noteIndex" : 0 }, "schema" : "https://github.com/citation-style-language/schema/raw/master/csl-citation.json" }</w:instrText>
      </w:r>
      <w:r w:rsidR="00216C40" w:rsidRPr="00B0148D">
        <w:fldChar w:fldCharType="separate"/>
      </w:r>
      <w:r w:rsidR="00216C40" w:rsidRPr="00B0148D">
        <w:rPr>
          <w:noProof/>
        </w:rPr>
        <w:t>(Deliza &amp; MacFie, 1996)</w:t>
      </w:r>
      <w:r w:rsidR="00216C40" w:rsidRPr="00B0148D">
        <w:fldChar w:fldCharType="end"/>
      </w:r>
      <w:r w:rsidRPr="00B0148D">
        <w:t xml:space="preserve">, and some </w:t>
      </w:r>
      <w:r w:rsidR="00FA4FB4" w:rsidRPr="00B0148D">
        <w:t>expectations</w:t>
      </w:r>
      <w:r w:rsidRPr="00B0148D">
        <w:t xml:space="preserve"> may also</w:t>
      </w:r>
      <w:r w:rsidR="00FA4FB4" w:rsidRPr="00B0148D">
        <w:t xml:space="preserve"> be formed via personal attitudes and values. </w:t>
      </w:r>
      <w:r w:rsidR="00366E17" w:rsidRPr="00B0148D">
        <w:t>If</w:t>
      </w:r>
      <w:r w:rsidR="00700BD8" w:rsidRPr="00B0148D">
        <w:t xml:space="preserve"> the expectations are not fully met, </w:t>
      </w:r>
      <w:r w:rsidR="00EA4B16" w:rsidRPr="00B0148D">
        <w:t xml:space="preserve">the consumer may adjust his/her perception of such expectations via a mechanism called assimilation </w:t>
      </w:r>
      <w:r w:rsidR="00216C40" w:rsidRPr="00B0148D">
        <w:fldChar w:fldCharType="begin" w:fldLock="1"/>
      </w:r>
      <w:r w:rsidR="00354C54" w:rsidRPr="00B0148D">
        <w:instrText>ADDIN CSL_CITATION { "citationItems" : [ { "id" : "ITEM-1", "itemData" : { "DOI" : "10.1111/j.1745-459X.1996.tb00036.x", "ISSN" : "0887-8250", "author" : [ { "dropping-particle" : "", "family" : "Deliza", "given" : "R.", "non-dropping-particle" : "", "parse-names" : false, "suffix" : "" }, { "dropping-particle" : "", "family" : "MacFie", "given" : "H.J.H.", "non-dropping-particle" : "", "parse-names" : false, "suffix" : "" } ], "container-title" : "Journal of Sensory Studies", "id" : "ITEM-1", "issue" : "2", "issued" : { "date-parts" : [ [ "1996" ] ] }, "page" : "103-128", "title" : "the Generation of Sensory Expectation By External Cues and Its Effect on Sensory Perception and Hedonic Ratings: a Review", "type" : "article-journal", "volume" : "11" }, "uris" : [ "http://www.mendeley.com/documents/?uuid=c9b467ff-d7ed-48ae-9df5-572c8dedee89" ] } ], "mendeley" : { "formattedCitation" : "(Deliza &amp; MacFie, 1996)", "plainTextFormattedCitation" : "(Deliza &amp; MacFie, 1996)", "previouslyFormattedCitation" : "(Deliza &amp; MacFie, 1996)" }, "properties" : { "noteIndex" : 0 }, "schema" : "https://github.com/citation-style-language/schema/raw/master/csl-citation.json" }</w:instrText>
      </w:r>
      <w:r w:rsidR="00216C40" w:rsidRPr="00B0148D">
        <w:fldChar w:fldCharType="separate"/>
      </w:r>
      <w:r w:rsidR="00216C40" w:rsidRPr="00B0148D">
        <w:rPr>
          <w:noProof/>
        </w:rPr>
        <w:t>(Deliza &amp; MacFie, 1996)</w:t>
      </w:r>
      <w:r w:rsidR="00216C40" w:rsidRPr="00B0148D">
        <w:fldChar w:fldCharType="end"/>
      </w:r>
      <w:r w:rsidR="00700BD8" w:rsidRPr="00B0148D">
        <w:t>.</w:t>
      </w:r>
      <w:r w:rsidR="007052D6" w:rsidRPr="00B0148D">
        <w:t xml:space="preserve"> All information </w:t>
      </w:r>
      <w:r w:rsidR="00EA4B16" w:rsidRPr="00B0148D">
        <w:t>has</w:t>
      </w:r>
      <w:r w:rsidR="007052D6" w:rsidRPr="00B0148D">
        <w:t xml:space="preserve"> the potential to rais</w:t>
      </w:r>
      <w:r w:rsidR="00EA4B16" w:rsidRPr="00B0148D">
        <w:t xml:space="preserve">e expectations, but not all </w:t>
      </w:r>
      <w:r w:rsidR="007052D6" w:rsidRPr="00B0148D">
        <w:t xml:space="preserve">consumers react </w:t>
      </w:r>
      <w:r w:rsidR="00EA4B16" w:rsidRPr="00B0148D">
        <w:t xml:space="preserve">similarly </w:t>
      </w:r>
      <w:r w:rsidR="007052D6" w:rsidRPr="00B0148D">
        <w:t xml:space="preserve">to </w:t>
      </w:r>
      <w:r w:rsidR="00EA4B16" w:rsidRPr="00B0148D">
        <w:t xml:space="preserve">the </w:t>
      </w:r>
      <w:r w:rsidR="007052D6" w:rsidRPr="00B0148D">
        <w:t>same cues</w:t>
      </w:r>
      <w:r w:rsidR="007911D1" w:rsidRPr="00B0148D">
        <w:t xml:space="preserve"> </w:t>
      </w:r>
      <w:r w:rsidR="007911D1" w:rsidRPr="00B0148D">
        <w:fldChar w:fldCharType="begin" w:fldLock="1"/>
      </w:r>
      <w:r w:rsidR="00704100" w:rsidRPr="00B0148D">
        <w:instrText>ADDIN CSL_CITATION { "citationItems" : [ { "id" : "ITEM-1", "itemData" : { "DOI" : "10.1016/j.foodqual.2014.09.013", "ISBN" : "09503293", "ISSN" : "09503293", "abstract" : "This article constitutes a state-of-the-art review of the literature on the effects of expectations on the sensory perception of food and drink by humans. In the 'Introduction', we summarize the theoretical models of expectations that have been put forward. In the 'Empirical research utilizing direct methods' section, we describe the influence that expectations created by a variety of product extrinsic cues have on sensory perception, hedonic appraisal, and intake/consumption. We critically evaluate the evidence that has emerged from both laboratory studies and real-world research conducted in the setting of the restaurant, canteen, and bar. This literature review is focused primarily on those studies that have demonstrated an effect on tasting. Crucially, this review goes beyond previous work in the area by highlighting the relevant cognitive neuroscience literature (see the section 'Applied research through the lens of cognitive neuroscience methods') and the postulated psychological mechanisms of expectation in terms of recent accounts of predictive coding and Bayesian decision theory (see the 'Predictive coding and expectations'section).", "author" : [ { "dropping-particle" : "", "family" : "Piqueras-Fiszman", "given" : "Betina", "non-dropping-particle" : "", "parse-names" : false, "suffix" : "" }, { "dropping-particle" : "", "family" : "Spence", "given" : "Charles", "non-dropping-particle" : "", "parse-names" : false, "suffix" : "" } ], "container-title" : "Food Quality and Preference", "id" : "ITEM-1", "issue" : "PA", "issued" : { "date-parts" : [ [ "2015" ] ] }, "page" : "165-179", "publisher" : "Elsevier Ltd", "title" : "Sensory expectations based on product-extrinsic food cues: An interdisciplinary review of the empirical evidence and theoretical accounts", "type" : "article-journal", "volume" : "40" }, "uris" : [ "http://www.mendeley.com/documents/?uuid=2e32e6da-16d2-4537-bc03-d3f08b61a03b" ] } ], "mendeley" : { "formattedCitation" : "(Piqueras-Fiszman &amp; Spence, 2015)", "plainTextFormattedCitation" : "(Piqueras-Fiszman &amp; Spence, 2015)", "previouslyFormattedCitation" : "(Piqueras-Fiszman &amp; Spence, 2015)" }, "properties" : { "noteIndex" : 0 }, "schema" : "https://github.com/citation-style-language/schema/raw/master/csl-citation.json" }</w:instrText>
      </w:r>
      <w:r w:rsidR="007911D1" w:rsidRPr="00B0148D">
        <w:fldChar w:fldCharType="separate"/>
      </w:r>
      <w:r w:rsidR="007911D1" w:rsidRPr="00B0148D">
        <w:rPr>
          <w:noProof/>
        </w:rPr>
        <w:t>(Piqueras-Fiszman &amp; Spence, 2015)</w:t>
      </w:r>
      <w:r w:rsidR="007911D1" w:rsidRPr="00B0148D">
        <w:fldChar w:fldCharType="end"/>
      </w:r>
      <w:r w:rsidR="007052D6" w:rsidRPr="00B0148D">
        <w:t xml:space="preserve">. </w:t>
      </w:r>
      <w:r w:rsidR="00EA4B16" w:rsidRPr="00B0148D">
        <w:t>S</w:t>
      </w:r>
      <w:r w:rsidR="009E59CA" w:rsidRPr="00B0148D">
        <w:t>ome</w:t>
      </w:r>
      <w:r w:rsidR="004C446F" w:rsidRPr="00B0148D">
        <w:t xml:space="preserve"> individuals</w:t>
      </w:r>
      <w:r w:rsidR="009E59CA" w:rsidRPr="00B0148D">
        <w:t xml:space="preserve"> may be indifferent</w:t>
      </w:r>
      <w:r w:rsidR="00EA4B16" w:rsidRPr="00B0148D">
        <w:t xml:space="preserve"> to the information</w:t>
      </w:r>
      <w:r w:rsidR="009E59CA" w:rsidRPr="00B0148D">
        <w:t xml:space="preserve"> while for others it may modify the e</w:t>
      </w:r>
      <w:r w:rsidR="00F413E0" w:rsidRPr="00B0148D">
        <w:t xml:space="preserve">xperienced quality and </w:t>
      </w:r>
      <w:r w:rsidR="00EA4B16" w:rsidRPr="00B0148D">
        <w:t xml:space="preserve">their </w:t>
      </w:r>
      <w:r w:rsidR="00F413E0" w:rsidRPr="00B0148D">
        <w:t xml:space="preserve">decision making </w:t>
      </w:r>
      <w:r w:rsidR="00F413E0" w:rsidRPr="00B0148D">
        <w:fldChar w:fldCharType="begin" w:fldLock="1"/>
      </w:r>
      <w:r w:rsidR="00BC46D7" w:rsidRPr="00B0148D">
        <w:instrText>ADDIN CSL_CITATION { "citationItems" : [ { "id" : "ITEM-1", "itemData" : { "DOI" : "10.1016/j.foodqual.2007.11.002", "author" : [ { "dropping-particle" : "", "family" : "K\u00f6ster", "given" : "E P", "non-dropping-particle" : "", "parse-names" : false, "suffix" : "" } ], "container-title" : "Food Quality and Preference", "id" : "ITEM-1", "issued" : { "date-parts" : [ [ "2009" ] ] }, "page" : "70-82", "title" : "Diversity in the determinants of food choice: A psychological perspective", "type" : "article-journal", "volume" : "20" }, "uris" : [ "http://www.mendeley.com/documents/?uuid=dbd459c4-48d5-40e4-872d-580787761f06" ] } ], "mendeley" : { "formattedCitation" : "(K\u00f6ster, 2009)", "manualFormatting" : "(K\u00f6ster, 2009)", "plainTextFormattedCitation" : "(K\u00f6ster, 2009)", "previouslyFormattedCitation" : "(K\u00f6ster, 2009)" }, "properties" : { "noteIndex" : 0 }, "schema" : "https://github.com/citation-style-language/schema/raw/master/csl-citation.json" }</w:instrText>
      </w:r>
      <w:r w:rsidR="00F413E0" w:rsidRPr="00B0148D">
        <w:fldChar w:fldCharType="separate"/>
      </w:r>
      <w:r w:rsidR="00F413E0" w:rsidRPr="00B0148D">
        <w:rPr>
          <w:noProof/>
        </w:rPr>
        <w:t>(Köster</w:t>
      </w:r>
      <w:r w:rsidR="004D3B02" w:rsidRPr="00B0148D">
        <w:rPr>
          <w:noProof/>
        </w:rPr>
        <w:t>,</w:t>
      </w:r>
      <w:r w:rsidR="00F413E0" w:rsidRPr="00B0148D">
        <w:rPr>
          <w:noProof/>
        </w:rPr>
        <w:t xml:space="preserve"> 2009)</w:t>
      </w:r>
      <w:r w:rsidR="00F413E0" w:rsidRPr="00B0148D">
        <w:fldChar w:fldCharType="end"/>
      </w:r>
      <w:r w:rsidR="009E59CA" w:rsidRPr="00B0148D">
        <w:t xml:space="preserve">. </w:t>
      </w:r>
      <w:r w:rsidR="00AB4490" w:rsidRPr="00B0148D">
        <w:t>People have</w:t>
      </w:r>
      <w:r w:rsidR="000D576F" w:rsidRPr="00B0148D">
        <w:t xml:space="preserve"> </w:t>
      </w:r>
      <w:r w:rsidR="007052D6" w:rsidRPr="00B0148D">
        <w:t>different types of beliefs, attitudes, and values that modify the</w:t>
      </w:r>
      <w:r w:rsidR="00EA4B16" w:rsidRPr="00B0148D">
        <w:t>ir</w:t>
      </w:r>
      <w:r w:rsidR="007052D6" w:rsidRPr="00B0148D">
        <w:t xml:space="preserve"> expectations.</w:t>
      </w:r>
      <w:r w:rsidR="00132527" w:rsidRPr="00B0148D">
        <w:t xml:space="preserve"> </w:t>
      </w:r>
      <w:r w:rsidR="00EA4B16" w:rsidRPr="00B0148D">
        <w:t>Even though</w:t>
      </w:r>
      <w:r w:rsidR="00D32B75" w:rsidRPr="00B0148D">
        <w:t xml:space="preserve"> attitudes and intentions cannot fully explain</w:t>
      </w:r>
      <w:r w:rsidR="0044786F" w:rsidRPr="00B0148D">
        <w:t xml:space="preserve"> </w:t>
      </w:r>
      <w:r w:rsidR="00EA4B16" w:rsidRPr="00B0148D">
        <w:t>consumers’</w:t>
      </w:r>
      <w:r w:rsidR="005F64A9" w:rsidRPr="00B0148D">
        <w:t xml:space="preserve"> </w:t>
      </w:r>
      <w:r w:rsidR="0044786F" w:rsidRPr="00B0148D">
        <w:t>behavior</w:t>
      </w:r>
      <w:r w:rsidR="00D32B75" w:rsidRPr="00B0148D">
        <w:t xml:space="preserve">, they are strongly correlated </w:t>
      </w:r>
      <w:r w:rsidR="00D32B75" w:rsidRPr="00B0148D">
        <w:fldChar w:fldCharType="begin" w:fldLock="1"/>
      </w:r>
      <w:r w:rsidR="00D32B75" w:rsidRPr="00B0148D">
        <w:instrText>ADDIN CSL_CITATION { "citationItems" : [ { "id" : "ITEM-1", "itemData" : { "DOI" : "10.1007/s10806-005-5485-3", "ISBN" : "1187-7863", "ISSN" : "11877863", "PMID" : "21964415", "abstract" : "Although public interest in sustainability increases and consumer attitudes are mainly positive, behavioral patterns are not univocally consistent with attitudes. This study investigates the presumed gap between favorable attitude to- wards sustainable behavior and behavioral intention to purchase sustainable food products. The impact of involvement, perceived availability, certainty, perceived consumer effectiveness (PCE), values, and social norms on consumers\u2019 attitudes and intentions towards sustainable food products is analyzed. The empirical research builds on a survey with a sample of 456 young consumers, using a questionnaire and an experimental design with manipulation of key constructs through showing advertisements for sustainable dairy. Involvement with sustainability, certainty, and PCE have a significant positive impact on attitude towards buying sustainable dairy products, which in turn correlates strongly with intention to buy. Low perceived availability of sustainable products explains why intentions to buy remain low, al- though attitudes might be positive. On the reverse side, experiencing social pressure from peers (social norm) explains intentions to buy, despite rather negative personal attitudes. This study shows that more sustainable and ethical food consumption can be stimulated through raising involvement, PCE, certainty, social norms, and per- ceived availability. KEY", "author" : [ { "dropping-particle" : "", "family" : "Vermeir", "given" : "Iris", "non-dropping-particle" : "", "parse-names" : false, "suffix" : "" }, { "dropping-particle" : "", "family" : "Verbeke", "given" : "Wim", "non-dropping-particle" : "", "parse-names" : false, "suffix" : "" } ], "container-title" : "Journal of Agricultural and Environmental Ethics", "id" : "ITEM-1", "issue" : "2", "issued" : { "date-parts" : [ [ "2006" ] ] }, "page" : "169-194", "title" : "Sustainable food consumption: Exploring the consumer \"attitude - Behavioral intention\" gap", "type" : "article-journal", "volume" : "19" }, "uris" : [ "http://www.mendeley.com/documents/?uuid=7497465a-4bd7-48e3-8a95-afb853b9f89f" ] } ], "mendeley" : { "formattedCitation" : "(Vermeir &amp; Verbeke, 2006)", "plainTextFormattedCitation" : "(Vermeir &amp; Verbeke, 2006)", "previouslyFormattedCitation" : "(Vermeir &amp; Verbeke, 2006)" }, "properties" : { "noteIndex" : 0 }, "schema" : "https://github.com/citation-style-language/schema/raw/master/csl-citation.json" }</w:instrText>
      </w:r>
      <w:r w:rsidR="00D32B75" w:rsidRPr="00B0148D">
        <w:fldChar w:fldCharType="separate"/>
      </w:r>
      <w:r w:rsidR="00D32B75" w:rsidRPr="00B0148D">
        <w:rPr>
          <w:noProof/>
        </w:rPr>
        <w:t>(Vermeir &amp; Verbeke, 2006)</w:t>
      </w:r>
      <w:r w:rsidR="00D32B75" w:rsidRPr="00B0148D">
        <w:fldChar w:fldCharType="end"/>
      </w:r>
      <w:r w:rsidR="00D32B75" w:rsidRPr="00B0148D">
        <w:t xml:space="preserve">. </w:t>
      </w:r>
      <w:r w:rsidR="00EA4B16" w:rsidRPr="00B0148D">
        <w:t>A more thorough study is needed t</w:t>
      </w:r>
      <w:r w:rsidR="005F64A9" w:rsidRPr="00B0148D">
        <w:t>o understand</w:t>
      </w:r>
      <w:r w:rsidR="00132527" w:rsidRPr="00B0148D">
        <w:t xml:space="preserve"> the underlying qualities behin</w:t>
      </w:r>
      <w:r w:rsidR="00EA4B16" w:rsidRPr="00B0148D">
        <w:t>d individual preferences.</w:t>
      </w:r>
    </w:p>
    <w:p w14:paraId="564ED3D7" w14:textId="44AC4C3B" w:rsidR="004D7CB3" w:rsidRPr="00B0148D" w:rsidRDefault="004D7CB3" w:rsidP="004D7CB3">
      <w:pPr>
        <w:pStyle w:val="ListParagraph"/>
        <w:numPr>
          <w:ilvl w:val="1"/>
          <w:numId w:val="2"/>
        </w:numPr>
        <w:jc w:val="both"/>
        <w:rPr>
          <w:b/>
          <w:lang w:val="fi-FI"/>
        </w:rPr>
      </w:pPr>
      <w:r w:rsidRPr="00B0148D">
        <w:rPr>
          <w:b/>
          <w:lang w:val="fi-FI"/>
        </w:rPr>
        <w:t>The origin of food</w:t>
      </w:r>
    </w:p>
    <w:p w14:paraId="31FB7B6D" w14:textId="42690FEB" w:rsidR="00D847DE" w:rsidRPr="00B0148D" w:rsidRDefault="00BE48DE" w:rsidP="00D847DE">
      <w:pPr>
        <w:jc w:val="both"/>
      </w:pPr>
      <w:r w:rsidRPr="00B0148D">
        <w:t>There have</w:t>
      </w:r>
      <w:r w:rsidR="007E6F78" w:rsidRPr="00B0148D">
        <w:t xml:space="preserve"> been numerous food scandals during </w:t>
      </w:r>
      <w:r w:rsidR="00BB4BCA" w:rsidRPr="00B0148D">
        <w:t xml:space="preserve">the </w:t>
      </w:r>
      <w:r w:rsidR="007E6F78" w:rsidRPr="00B0148D">
        <w:t xml:space="preserve">last </w:t>
      </w:r>
      <w:r w:rsidR="00BB4BCA" w:rsidRPr="00B0148D">
        <w:t>few</w:t>
      </w:r>
      <w:r w:rsidR="007E6F78" w:rsidRPr="00B0148D">
        <w:t xml:space="preserve"> years</w:t>
      </w:r>
      <w:r w:rsidR="00BB4BCA" w:rsidRPr="00B0148D">
        <w:t>;</w:t>
      </w:r>
      <w:r w:rsidR="007E6F78" w:rsidRPr="00B0148D">
        <w:t xml:space="preserve"> the most recent be</w:t>
      </w:r>
      <w:r w:rsidR="00BB4BCA" w:rsidRPr="00B0148D">
        <w:t>ing tainted meat from</w:t>
      </w:r>
      <w:r w:rsidR="00B214A0" w:rsidRPr="00B0148D">
        <w:t xml:space="preserve"> Brazil, which</w:t>
      </w:r>
      <w:r w:rsidR="007E6F78" w:rsidRPr="00B0148D">
        <w:t xml:space="preserve"> raise</w:t>
      </w:r>
      <w:r w:rsidR="00BB4BCA" w:rsidRPr="00B0148D">
        <w:t>d</w:t>
      </w:r>
      <w:r w:rsidR="007E6F78" w:rsidRPr="00B0148D">
        <w:t xml:space="preserve"> demand</w:t>
      </w:r>
      <w:r w:rsidR="00BB4BCA" w:rsidRPr="00B0148D">
        <w:t>s</w:t>
      </w:r>
      <w:r w:rsidR="007E6F78" w:rsidRPr="00B0148D">
        <w:t xml:space="preserve"> for </w:t>
      </w:r>
      <w:r w:rsidR="00BB4BCA" w:rsidRPr="00B0148D">
        <w:t>more familiar supply chains as those from</w:t>
      </w:r>
      <w:r w:rsidR="007E6F78" w:rsidRPr="00B0148D">
        <w:t xml:space="preserve"> dome</w:t>
      </w:r>
      <w:r w:rsidR="00BB4BCA" w:rsidRPr="00B0148D">
        <w:t>stic or local markets</w:t>
      </w:r>
      <w:r w:rsidR="007E6F78" w:rsidRPr="00B0148D">
        <w:t xml:space="preserve">. Consumers often place more </w:t>
      </w:r>
      <w:r w:rsidR="00B214A0" w:rsidRPr="00B0148D">
        <w:t xml:space="preserve">positive </w:t>
      </w:r>
      <w:r w:rsidR="007E6F78" w:rsidRPr="00B0148D">
        <w:t xml:space="preserve">expectations on the product when the production site is closer to the place of consumption </w:t>
      </w:r>
      <w:r w:rsidR="007E6F78" w:rsidRPr="00B0148D">
        <w:fldChar w:fldCharType="begin" w:fldLock="1"/>
      </w:r>
      <w:r w:rsidR="00BC46D7" w:rsidRPr="00B0148D">
        <w:instrText>ADDIN CSL_CITATION { "citationItems" : [ { "id" : "ITEM-1", "itemData" : { "DOI" : "10.1016/j.foodqual.2005.08.005", "ISBN" : "0950-3293", "ISSN" : "09503293", "abstract" : "Nine soppressata salami types were investigated: three traditional Campania samples, three traditional Calabria samples and three industrial ones. Focus group interviews were conducted in Campania and Calabria in order to gain information on typicality descriptors. Sensory profile analysis of the nine salami was performed by using eight trained judges. Consumer tests were performed in two different sessions. In the first one, both Campania and Calabria consumers evaluated blind the samples. In the second one, prior the consumers evaluated liking expectations of information about origin and technology; next, rated the three types of salami each labeled according to its origin and technology. Industrial made soppressata received the lowest expected score by both groups of consumers. Campania consumers have higher expectations for traditional Campania while the opposite situation was observed for Calabria consumers. Discrepancy between expected and blind scores was found, suggesting that negative disconfirmation of expectations occurred for all traditional made samples. Finally, differences in sensory attributes perception between consumers groups were observed. ?? 2005 Elsevier Ltd. All rights reserved.", "author" : [ { "dropping-particle" : "", "family" : "Iaccarino", "given" : "T.", "non-dropping-particle" : "", "parse-names" : false, "suffix" : "" }, { "dropping-particle" : "", "family" : "Monaco", "given" : "R.", "non-dropping-particle" : "Di", "parse-names" : false, "suffix" : "" }, { "dropping-particle" : "", "family" : "Mincione", "given" : "A.", "non-dropping-particle" : "", "parse-names" : false, "suffix" : "" }, { "dropping-particle" : "", "family" : "Cavella", "given" : "S.", "non-dropping-particle" : "", "parse-names" : false, "suffix" : "" }, { "dropping-particle" : "", "family" : "Masi", "given" : "P.", "non-dropping-particle" : "", "parse-names" : false, "suffix" : "" } ], "container-title" : "Food Quality and Preference", "id" : "ITEM-1", "issue" : "1-2", "issued" : { "date-parts" : [ [ "2006" ] ] }, "page" : "76-84", "title" : "Influence of information on origin and technology on the consumer response: The case of soppressata salami", "type" : "article-journal", "volume" : "17" }, "uris" : [ "http://www.mendeley.com/documents/?uuid=ed8d4bf2-1533-4129-8c4e-6f9c5ed56186" ] } ], "mendeley" : { "formattedCitation" : "(Iaccarino, Di Monaco, Mincione, Cavella, &amp; Masi, 2006)", "manualFormatting" : "(Iaccarino, Di Monaco, Mincione, Cavella, &amp; Masi, 2006)", "plainTextFormattedCitation" : "(Iaccarino, Di Monaco, Mincione, Cavella, &amp; Masi, 2006)", "previouslyFormattedCitation" : "(Iaccarino, Di Monaco, Mincione, Cavella, &amp; Masi, 2006)" }, "properties" : { "noteIndex" : 0 }, "schema" : "https://github.com/citation-style-language/schema/raw/master/csl-citation.json" }</w:instrText>
      </w:r>
      <w:r w:rsidR="007E6F78" w:rsidRPr="00B0148D">
        <w:fldChar w:fldCharType="separate"/>
      </w:r>
      <w:r w:rsidR="007E6F78" w:rsidRPr="00B0148D">
        <w:rPr>
          <w:noProof/>
        </w:rPr>
        <w:t>(</w:t>
      </w:r>
      <w:r w:rsidR="004E6507" w:rsidRPr="00B0148D">
        <w:rPr>
          <w:rFonts w:ascii="Calibri" w:hAnsi="Calibri" w:cs="Times New Roman"/>
          <w:noProof/>
          <w:szCs w:val="24"/>
        </w:rPr>
        <w:t>Iaccarino, Di Monaco, Mincione, Cavella, &amp; Masi,</w:t>
      </w:r>
      <w:r w:rsidR="007E6F78" w:rsidRPr="00B0148D">
        <w:rPr>
          <w:noProof/>
        </w:rPr>
        <w:t xml:space="preserve"> 2006)</w:t>
      </w:r>
      <w:r w:rsidR="007E6F78" w:rsidRPr="00B0148D">
        <w:fldChar w:fldCharType="end"/>
      </w:r>
      <w:r w:rsidR="007E6F78" w:rsidRPr="00B0148D">
        <w:t xml:space="preserve">. </w:t>
      </w:r>
      <w:r w:rsidR="00E0432B" w:rsidRPr="00B0148D">
        <w:t>Food</w:t>
      </w:r>
      <w:r w:rsidR="004D7CB3" w:rsidRPr="00B0148D">
        <w:t xml:space="preserve"> origin</w:t>
      </w:r>
      <w:r w:rsidR="00E0432B" w:rsidRPr="00B0148D">
        <w:t xml:space="preserve"> may </w:t>
      </w:r>
      <w:r w:rsidR="00F67FFA" w:rsidRPr="00B0148D">
        <w:t xml:space="preserve">have an effect on </w:t>
      </w:r>
      <w:r w:rsidR="00D44889" w:rsidRPr="00B0148D">
        <w:t xml:space="preserve">the </w:t>
      </w:r>
      <w:r w:rsidR="00F67FFA" w:rsidRPr="00B0148D">
        <w:t>perceived quality</w:t>
      </w:r>
      <w:r w:rsidR="00E0432B" w:rsidRPr="00B0148D">
        <w:t xml:space="preserve"> and it has </w:t>
      </w:r>
      <w:r w:rsidR="00D44889" w:rsidRPr="00B0148D">
        <w:t xml:space="preserve">the </w:t>
      </w:r>
      <w:r w:rsidR="00E0432B" w:rsidRPr="00B0148D">
        <w:t xml:space="preserve">potential to </w:t>
      </w:r>
      <w:r w:rsidR="004D7CB3" w:rsidRPr="00B0148D">
        <w:t xml:space="preserve">produce </w:t>
      </w:r>
      <w:r w:rsidR="00E0432B" w:rsidRPr="00B0148D">
        <w:t xml:space="preserve">a </w:t>
      </w:r>
      <w:r w:rsidR="004D7CB3" w:rsidRPr="00B0148D">
        <w:t xml:space="preserve">positive </w:t>
      </w:r>
      <w:r w:rsidR="00E0432B" w:rsidRPr="00B0148D">
        <w:t xml:space="preserve">perception </w:t>
      </w:r>
      <w:r w:rsidR="004D7CB3" w:rsidRPr="00B0148D">
        <w:t>among consumers</w:t>
      </w:r>
      <w:r w:rsidR="00B8665B" w:rsidRPr="00B0148D">
        <w:t xml:space="preserve"> </w:t>
      </w:r>
      <w:r w:rsidR="00B8665B" w:rsidRPr="00B0148D">
        <w:fldChar w:fldCharType="begin" w:fldLock="1"/>
      </w:r>
      <w:r w:rsidR="00BC46D7" w:rsidRPr="00B0148D">
        <w:instrText>ADDIN CSL_CITATION { "citationItems" : [ { "id" : "ITEM-1", "itemData" : { "DOI" : "10.1016/j.foodqual.2005.07.010", "ISBN" : "0950-3293", "ISSN" : "09503293", "abstract" : "The Region of origin of food products affects consumer valuation in two different ways. First, origin can act as a quality cue hinting to other characteristics of the good. Secondly, origin can affect directly the value of food due to its symbolic or affective role. This study was carried out in order to investigate the direct effect of geographical origin when the size of the area of origin shrinks and its definition becomes more precise. A valuation experiment was designed to assess the impact of origin on consumer evaluation and to analyse how it relates to WTP and hedonic scores. A well-known specialty food - spelt - that originates from three concentric areas - Garfagnana (a small valley of the Apennines), Tuscany and Italy - was chosen as a case study. Both hedonic and monetary evaluations were elicited from 77 subjects after blind tasting condition, looking at labels only and finally tasting a labelled product. Results reveal that, in the case of spelt, the narrower and more precisely defined the area of origin the higher the quality expectation of consumers supporting the role of origin as a quality cue. A direct impact of origin on willingness to pay was also found. \u00a9 2005 Elsevier Ltd. All rights reserved.", "author" : [ { "dropping-particle" : "", "family" : "Stefani", "given" : "Gianluca", "non-dropping-particle" : "", "parse-names" : false, "suffix" : "" }, { "dropping-particle" : "", "family" : "Romano", "given" : "Donato", "non-dropping-particle" : "", "parse-names" : false, "suffix" : "" }, { "dropping-particle" : "", "family" : "Cavicchi", "given" : "Alessio", "non-dropping-particle" : "", "parse-names" : false, "suffix" : "" } ], "container-title" : "Food Quality and Preference", "id" : "ITEM-1", "issue" : "1-2", "issued" : { "date-parts" : [ [ "2006" ] ] }, "page" : "53-62", "title" : "Consumer expectations, liking and willingness to pay for specialty foods: Do sensory characteristics tell the whole story?", "type" : "article-journal", "volume" : "17" }, "uris" : [ "http://www.mendeley.com/documents/?uuid=b99000ca-fcd8-499d-a209-c208f0a9091c" ] } ], "mendeley" : { "formattedCitation" : "(Stefani, Romano, &amp; Cavicchi, 2006)", "manualFormatting" : "(Stefani, Romano, &amp; Cavicchi, 2006)", "plainTextFormattedCitation" : "(Stefani, Romano, &amp; Cavicchi, 2006)", "previouslyFormattedCitation" : "(Stefani, Romano, &amp; Cavicchi, 2006)" }, "properties" : { "noteIndex" : 0 }, "schema" : "https://github.com/citation-style-language/schema/raw/master/csl-citation.json" }</w:instrText>
      </w:r>
      <w:r w:rsidR="00B8665B" w:rsidRPr="00B0148D">
        <w:fldChar w:fldCharType="separate"/>
      </w:r>
      <w:r w:rsidR="00B8665B" w:rsidRPr="00B0148D">
        <w:rPr>
          <w:noProof/>
        </w:rPr>
        <w:t>(</w:t>
      </w:r>
      <w:r w:rsidR="004E6507" w:rsidRPr="00B0148D">
        <w:rPr>
          <w:rFonts w:ascii="Calibri" w:hAnsi="Calibri" w:cs="Times New Roman"/>
          <w:noProof/>
          <w:szCs w:val="24"/>
        </w:rPr>
        <w:t>Stefani, Romano, &amp; Cavicchi,</w:t>
      </w:r>
      <w:r w:rsidR="00B8665B" w:rsidRPr="00B0148D">
        <w:rPr>
          <w:noProof/>
        </w:rPr>
        <w:t xml:space="preserve"> 2006)</w:t>
      </w:r>
      <w:r w:rsidR="00B8665B" w:rsidRPr="00B0148D">
        <w:fldChar w:fldCharType="end"/>
      </w:r>
      <w:r w:rsidR="004D7CB3" w:rsidRPr="00B0148D">
        <w:t>.</w:t>
      </w:r>
      <w:r w:rsidR="00FA4FB4" w:rsidRPr="00B0148D">
        <w:t xml:space="preserve"> </w:t>
      </w:r>
      <w:r w:rsidR="00C1248E" w:rsidRPr="00B0148D">
        <w:t>Domestic and local food</w:t>
      </w:r>
      <w:r w:rsidR="0085482A" w:rsidRPr="00B0148D">
        <w:t>s</w:t>
      </w:r>
      <w:r w:rsidR="00C1248E" w:rsidRPr="00B0148D">
        <w:t xml:space="preserve"> are typically trusted as opposed to</w:t>
      </w:r>
      <w:r w:rsidR="00BB4BCA" w:rsidRPr="00B0148D">
        <w:t xml:space="preserve"> those with</w:t>
      </w:r>
      <w:r w:rsidR="00C1248E" w:rsidRPr="00B0148D">
        <w:t xml:space="preserve"> unknown or global origins </w:t>
      </w:r>
      <w:r w:rsidR="00C1248E" w:rsidRPr="00B0148D">
        <w:fldChar w:fldCharType="begin" w:fldLock="1"/>
      </w:r>
      <w:r w:rsidR="00BC46D7" w:rsidRPr="00B0148D">
        <w:instrText>ADDIN CSL_CITATION { "citationItems" : [ { "id" : "ITEM-1", "itemData" : { "DOI" : "10.1080/16507540701192485", "ISSN" : "1650-7541", "author" : [ { "dropping-particle" : "", "family" : "Lobb", "given" : "Alexandra E", "non-dropping-particle" : "", "parse-names" : false, "suffix" : "" }, { "dropping-particle" : "", "family" : "Mazzocchi", "given" : "Mario", "non-dropping-particle" : "", "parse-names" : false, "suffix" : "" } ], "container-title" : "Acta Agriculturae Scandinavica, Section C \u2014 Food Economics", "id" : "ITEM-1", "issue" : "1", "issued" : { "date-parts" : [ [ "2007", "4", "1" ] ] }, "note" : "doi: 10.1080/16507540701192485", "page" : "3-12", "publisher" : "Taylor &amp; Francis", "title" : "Domestically produced food: Consumer perceptions of origin, safety and the issue of trust", "type" : "article-journal", "volume" : "4" }, "uris" : [ "http://www.mendeley.com/documents/?uuid=f9424bef-30ab-4944-8e27-1c7f8abe0453" ] } ], "mendeley" : { "formattedCitation" : "(Lobb &amp; Mazzocchi, 2007)", "manualFormatting" : "(Lobb &amp; Mazzocchi, 2007", "plainTextFormattedCitation" : "(Lobb &amp; Mazzocchi, 2007)", "previouslyFormattedCitation" : "(Lobb &amp; Mazzocchi, 2007)" }, "properties" : { "noteIndex" : 0 }, "schema" : "https://github.com/citation-style-language/schema/raw/master/csl-citation.json" }</w:instrText>
      </w:r>
      <w:r w:rsidR="00C1248E" w:rsidRPr="00B0148D">
        <w:fldChar w:fldCharType="separate"/>
      </w:r>
      <w:r w:rsidR="00843729" w:rsidRPr="00B0148D">
        <w:rPr>
          <w:noProof/>
        </w:rPr>
        <w:t>(Lobb &amp;</w:t>
      </w:r>
      <w:r w:rsidR="00C1248E" w:rsidRPr="00B0148D">
        <w:rPr>
          <w:noProof/>
        </w:rPr>
        <w:t xml:space="preserve"> Mazzocchi</w:t>
      </w:r>
      <w:r w:rsidR="00843729" w:rsidRPr="00B0148D">
        <w:rPr>
          <w:noProof/>
        </w:rPr>
        <w:t>,</w:t>
      </w:r>
      <w:r w:rsidR="00C1248E" w:rsidRPr="00B0148D">
        <w:rPr>
          <w:noProof/>
        </w:rPr>
        <w:t xml:space="preserve"> 2007</w:t>
      </w:r>
      <w:r w:rsidR="00C1248E" w:rsidRPr="00B0148D">
        <w:fldChar w:fldCharType="end"/>
      </w:r>
      <w:r w:rsidR="00C1248E" w:rsidRPr="00B0148D">
        <w:fldChar w:fldCharType="begin" w:fldLock="1"/>
      </w:r>
      <w:r w:rsidR="00BC46D7" w:rsidRPr="00B0148D">
        <w:instrText>ADDIN CSL_CITATION { "citationItems" : [ { "id" : "ITEM-1", "itemData" : { "author" : [ { "dropping-particle" : "", "family" : "O'Hara", "given" : "Sabine U.", "non-dropping-particle" : "", "parse-names" : false, "suffix" : "" }, { "dropping-particle" : "", "family" : "Stagl", "given" : "Sigrid", "non-dropping-particle" : "", "parse-names" : false, "suffix" : "" } ], "container-title" : "Population and Environment", "id" : "ITEM-1", "issue" : "6", "issued" : { "date-parts" : [ [ "2001" ] ] }, "page" : "533-554", "title" : "Global Food Markets and Their Local Alternatives : A Socio-Ecological Economic Perspective", "type" : "article-journal", "volume" : "22" }, "uris" : [ "http://www.mendeley.com/documents/?uuid=7ff96aac-fd40-441d-b989-c7f8d3eb0507" ] } ], "mendeley" : { "formattedCitation" : "(O\u2019Hara &amp; Stagl, 2001)", "manualFormatting" : "; O\u2019Hara &amp; Stagl, 2001)", "plainTextFormattedCitation" : "(O\u2019Hara &amp; Stagl, 2001)", "previouslyFormattedCitation" : "(O\u2019Hara &amp; Stagl, 2001)" }, "properties" : { "noteIndex" : 0 }, "schema" : "https://github.com/citation-style-language/schema/raw/master/csl-citation.json" }</w:instrText>
      </w:r>
      <w:r w:rsidR="00C1248E" w:rsidRPr="00B0148D">
        <w:fldChar w:fldCharType="separate"/>
      </w:r>
      <w:r w:rsidR="00843729" w:rsidRPr="00B0148D">
        <w:rPr>
          <w:noProof/>
        </w:rPr>
        <w:t>; O’Hara &amp;</w:t>
      </w:r>
      <w:r w:rsidR="00C1248E" w:rsidRPr="00B0148D">
        <w:rPr>
          <w:noProof/>
        </w:rPr>
        <w:t xml:space="preserve"> Stagl, 2001)</w:t>
      </w:r>
      <w:r w:rsidR="00C1248E" w:rsidRPr="00B0148D">
        <w:fldChar w:fldCharType="end"/>
      </w:r>
      <w:r w:rsidR="00C1248E" w:rsidRPr="00B0148D">
        <w:t xml:space="preserve">. </w:t>
      </w:r>
      <w:r w:rsidR="00523BB2" w:rsidRPr="00B0148D">
        <w:t>Foreign food products are often perceived as</w:t>
      </w:r>
      <w:r w:rsidR="00BB4BCA" w:rsidRPr="00B0148D">
        <w:t xml:space="preserve"> inferior to</w:t>
      </w:r>
      <w:r w:rsidR="00523BB2" w:rsidRPr="00B0148D">
        <w:t xml:space="preserve"> domestic product</w:t>
      </w:r>
      <w:r w:rsidR="00992D94" w:rsidRPr="00B0148D">
        <w:t xml:space="preserve">s and </w:t>
      </w:r>
      <w:r w:rsidR="00BB4BCA" w:rsidRPr="00B0148D">
        <w:t xml:space="preserve">those </w:t>
      </w:r>
      <w:r w:rsidR="00992D94" w:rsidRPr="00B0148D">
        <w:t xml:space="preserve">locally produced </w:t>
      </w:r>
      <w:r w:rsidR="00BB4BCA" w:rsidRPr="00B0148D">
        <w:t xml:space="preserve">are considered </w:t>
      </w:r>
      <w:r w:rsidR="00992D94" w:rsidRPr="00B0148D">
        <w:t>better than</w:t>
      </w:r>
      <w:r w:rsidR="00523BB2" w:rsidRPr="00B0148D">
        <w:t xml:space="preserve"> domestic</w:t>
      </w:r>
      <w:r w:rsidR="00BB4BCA" w:rsidRPr="00B0148D">
        <w:t xml:space="preserve"> products</w:t>
      </w:r>
      <w:r w:rsidR="00523BB2" w:rsidRPr="00B0148D">
        <w:t xml:space="preserve"> </w:t>
      </w:r>
      <w:r w:rsidR="00523BB2" w:rsidRPr="00B0148D">
        <w:fldChar w:fldCharType="begin" w:fldLock="1"/>
      </w:r>
      <w:r w:rsidR="00523BB2" w:rsidRPr="00B0148D">
        <w:instrText>ADDIN CSL_CITATION { "citationItems" : [ { "id" : "ITEM-1", "itemData" : { "DOI" : "10.1016/j.foodqual.2005.07.010", "ISBN" : "0950-3293", "ISSN" : "09503293", "abstract" : "The Region of origin of food products affects consumer valuation in two different ways. First, origin can act as a quality cue hinting to other characteristics of the good. Secondly, origin can affect directly the value of food due to its symbolic or affective role. This study was carried out in order to investigate the direct effect of geographical origin when the size of the area of origin shrinks and its definition becomes more precise. A valuation experiment was designed to assess the impact of origin on consumer evaluation and to analyse how it relates to WTP and hedonic scores. A well-known specialty food - spelt - that originates from three concentric areas - Garfagnana (a small valley of the Apennines), Tuscany and Italy - was chosen as a case study. Both hedonic and monetary evaluations were elicited from 77 subjects after blind tasting condition, looking at labels only and finally tasting a labelled product. Results reveal that, in the case of spelt, the narrower and more precisely defined the area of origin the higher the quality expectation of consumers supporting the role of origin as a quality cue. A direct impact of origin on willingness to pay was also found. \u00a9 2005 Elsevier Ltd. All rights reserved.", "author" : [ { "dropping-particle" : "", "family" : "Stefani", "given" : "Gianluca", "non-dropping-particle" : "", "parse-names" : false, "suffix" : "" }, { "dropping-particle" : "", "family" : "Romano", "given" : "Donato", "non-dropping-particle" : "", "parse-names" : false, "suffix" : "" }, { "dropping-particle" : "", "family" : "Cavicchi", "given" : "Alessio", "non-dropping-particle" : "", "parse-names" : false, "suffix" : "" } ], "container-title" : "Food Quality and Preference", "id" : "ITEM-1", "issue" : "1-2", "issued" : { "date-parts" : [ [ "2006" ] ] }, "page" : "53-62", "title" : "Consumer expectations, liking and willingness to pay for specialty foods: Do sensory characteristics tell the whole story?", "type" : "article-journal", "volume" : "17" }, "uris" : [ "http://www.mendeley.com/documents/?uuid=b99000ca-fcd8-499d-a209-c208f0a9091c" ] } ], "mendeley" : { "formattedCitation" : "(Stefani et al., 2006)", "plainTextFormattedCitation" : "(Stefani et al., 2006)", "previouslyFormattedCitation" : "(Stefani et al., 2006)" }, "properties" : { "noteIndex" : 0 }, "schema" : "https://github.com/citation-style-language/schema/raw/master/csl-citation.json" }</w:instrText>
      </w:r>
      <w:r w:rsidR="00523BB2" w:rsidRPr="00B0148D">
        <w:fldChar w:fldCharType="separate"/>
      </w:r>
      <w:r w:rsidR="00523BB2" w:rsidRPr="00B0148D">
        <w:rPr>
          <w:noProof/>
        </w:rPr>
        <w:t>(Stefani et al., 2006)</w:t>
      </w:r>
      <w:r w:rsidR="00523BB2" w:rsidRPr="00B0148D">
        <w:fldChar w:fldCharType="end"/>
      </w:r>
      <w:r w:rsidR="00523BB2" w:rsidRPr="00B0148D">
        <w:t xml:space="preserve">. </w:t>
      </w:r>
      <w:r w:rsidR="00FC44B6" w:rsidRPr="00B0148D">
        <w:t>Fairness, tradition, f</w:t>
      </w:r>
      <w:r w:rsidR="00621939" w:rsidRPr="00B0148D">
        <w:t>reshness, safety, better quality, ethical production, and environmental friendliness are properties th</w:t>
      </w:r>
      <w:r w:rsidR="00735B51" w:rsidRPr="00B0148D">
        <w:t xml:space="preserve">at are attached to </w:t>
      </w:r>
      <w:r w:rsidR="00621939" w:rsidRPr="00B0148D">
        <w:t xml:space="preserve">local products </w:t>
      </w:r>
      <w:r w:rsidR="00D04824" w:rsidRPr="00B0148D">
        <w:fldChar w:fldCharType="begin" w:fldLock="1"/>
      </w:r>
      <w:r w:rsidR="00C04490" w:rsidRPr="00B0148D">
        <w:instrText>ADDIN CSL_CITATION { "citationItems" : [ { "id" : "ITEM-1", "itemData" : { "DOI" : "10.1016/j.foodqual.2014.09.014", "ISBN" : "09503293", "ISSN" : "09503293", "abstract" : "This article reviews the scientific literature on local food from the consumer's perspective and analyses findings through the application of the Alphabet Theory - a newly developed theoretical framework for consumer behavior towards alternative food choices. As consumers' interest in local food has steadily increased in the past fifteen years, so has the number of research studies on consumers' attitudes and purchase behavior with regard to local food.A literature search was carried out on three online catalogues using the search terms 'local', 'regional', 'food', and 'consumer'. Only articles published in English and from January 2000 until January 2014 were taken into account. In all, the literature search returned 550 scientific articles. This paper provides an overview of 73 relevant publications, summarizes the main results, and identifies research gaps in the context of the Alphabet Theory.One major result was that, unlike organic food, local food is not perceived as expensive. Nevertheless, consumers are willing to pay a premium for local food. In mostly quantitative studies, consumer characteristics, attitudes, and purchase behaviors with regard to local food were assessed. Research gaps were identified in various areas: cross-national (cultural) comparisons, influence of d</w:instrText>
      </w:r>
      <w:r w:rsidR="00C04490" w:rsidRPr="00B0148D">
        <w:rPr>
          <w:lang w:val="sv-SE"/>
        </w:rPr>
        <w:instrText>ifferent types of products (fresh vs. non-perishable, processed vs. non-processed, or plant vs. animal products), origin of foodstuffs used to produce local food as well as the influence of personal and social norms on the formation of attitudes towards local food. This contribution appears to be the first review of scientific articles from the field of local food consumption to present an overview on international research and to identify research gaps.", "author" : [ { "dropping-particle" : "", "family" : "Feldmann", "given" : "Corinna", "non-dropping-particle" : "", "parse-names" : false, "suffix" : "" }, { "dropping-particle" : "", "family" : "Hamm", "given" : "Ulrich", "non-dropping-particle" : "", "parse-names" : false, "suffix" : "" } ], "container-title" : "Food Quality and Preference", "id" : "ITEM-1", "issued" : { "date-parts" : [ [ "2015" ] ] }, "page" : "152-164", "publisher" : "Elsevier Ltd", "title" : "Consumers' perceptions and preferences for local food: A review", "type" : "article-journal", "volume" : "40" }, "uris" : [ "http://www.mendeley.com/documents/?uuid=ee65bda5-d054-4d3c-a8ea-8142a71c5a8b" ] } ], "mendeley" : { "formattedCitation" : "(Feldmann &amp; Hamm, 2015)", "manualFormatting" : "(Feldmann &amp; Hamm, 2015", "plainTextFormattedCitation" : "(Feldmann &amp; Hamm, 2015)", "previouslyFormattedCitation" : "(Feldmann &amp; Hamm, 2015)" }, "properties" : { "noteIndex" : 0 }, "schema" : "https://github.com/citation-style-language/schema/raw/master/csl-citation.json" }</w:instrText>
      </w:r>
      <w:r w:rsidR="00D04824" w:rsidRPr="00B0148D">
        <w:fldChar w:fldCharType="separate"/>
      </w:r>
      <w:r w:rsidR="00843729" w:rsidRPr="00B0148D">
        <w:rPr>
          <w:noProof/>
          <w:lang w:val="sv-SE"/>
        </w:rPr>
        <w:t>(Feldmann &amp;</w:t>
      </w:r>
      <w:r w:rsidR="00D04824" w:rsidRPr="00B0148D">
        <w:rPr>
          <w:noProof/>
          <w:lang w:val="sv-SE"/>
        </w:rPr>
        <w:t xml:space="preserve"> Hamm</w:t>
      </w:r>
      <w:r w:rsidR="00F3550B" w:rsidRPr="00B0148D">
        <w:rPr>
          <w:noProof/>
          <w:lang w:val="sv-SE"/>
        </w:rPr>
        <w:t>,</w:t>
      </w:r>
      <w:r w:rsidR="00D04824" w:rsidRPr="00B0148D">
        <w:rPr>
          <w:noProof/>
          <w:lang w:val="sv-SE"/>
        </w:rPr>
        <w:t xml:space="preserve"> 2015</w:t>
      </w:r>
      <w:r w:rsidR="00D04824" w:rsidRPr="00B0148D">
        <w:fldChar w:fldCharType="end"/>
      </w:r>
      <w:r w:rsidR="00A40364" w:rsidRPr="00B0148D">
        <w:fldChar w:fldCharType="begin" w:fldLock="1"/>
      </w:r>
      <w:r w:rsidR="00BC46D7" w:rsidRPr="00B0148D">
        <w:rPr>
          <w:lang w:val="sv-SE"/>
        </w:rPr>
        <w:instrText>ADDIN CSL_CITATION { "citationItems" : [ { "id" : "ITEM-1", "itemData" : { "DOI" : "10.1016/j.ijhm.2014.05.014", "ISBN" : "0278-4319", "ISSN" : "02784319", "abstract" : "The current study looks at the relationship between price consciousness, product involvement, price/quality inference, and consumer's willingness-to-pay related to local foods in a university foodservice environment. The study develops a model that looks at the above relationships as well as the potential moderating factor of perceived product information to determine what role they play in the willingness-to-pay for locally grown products. A survey of 352 students at a large, southeastern U.S. university foodservice operation asked about the role of the above factors in choosing local foods. The study found there were significant relationships between product involvement, price consciousness, and price/quality inference on willingness-to-pay, although perceived product information did not moderate the relationships. Ensuring that customers have sufficient information regarding local products and increasing emotional interest in the local products specifically will help to increase willingness-to-pay for those products. Implications for academics and university foodservice practitioners are discussed. \u00a9 2014 Elsevier Ltd.", "author" : [ { "dropping-particle" : "", "family" : "Campbell", "given" : "Jeffrey", "non-dropping-particle" : "", "parse-names" : false, "suffix" : "" }, { "dropping-particle" : "", "family" : "DiPietro", "given" : "Robin B.", "non-dropping-particle" : "", "parse-names" : false, "suffix" : "" }, { "dropping-particle" : "", "family" : "Remar", "given" : "Daniel", "non-dropping-particle" : "", "parse-names" : false, "suffix" : "" } ], "container-title" : "International Journal of Hospitality Management", "id" : "ITEM-1", "issued" : { "date-parts" : [ [ "2014" ] ] }, "page" : "39-49", "publisher" : "Elsevier Ltd", "title" : "Local foods in a university setting: Price consciousness, product involvement, price/quality inference and consumer's willingness-to-pay", "type" : "article-journal", "volume" : "42" }, "uris" : [ "http://www.mendeley.com/documents/?uuid=839acc13-4717-4583-a510-8e27ffbbc3ab" ] } ], "mendeley" : { "formattedCitation" : "(Campbell, DiPietro, &amp; Remar, 2014)", "manualFormatting" : "; Campbell, DiPietro, &amp; Remar, 2014", "plainTextFormattedCitation" : "(Campbell, DiPietro, &amp; Remar, 2014)", "previouslyFormattedCitation" : "(Campbell, DiPietro, &amp; Remar, 2014)" }, "properties" : { "noteIndex" : 0 }, "schema" : "https://github.com/citation-style-language/schema/raw/master/csl-citation.json" }</w:instrText>
      </w:r>
      <w:r w:rsidR="00A40364" w:rsidRPr="00B0148D">
        <w:fldChar w:fldCharType="separate"/>
      </w:r>
      <w:r w:rsidR="00C57837" w:rsidRPr="00B0148D">
        <w:rPr>
          <w:noProof/>
          <w:lang w:val="sv-SE"/>
        </w:rPr>
        <w:t xml:space="preserve">; </w:t>
      </w:r>
      <w:r w:rsidR="00843729" w:rsidRPr="00B0148D">
        <w:rPr>
          <w:rFonts w:ascii="Calibri" w:hAnsi="Calibri" w:cs="Times New Roman"/>
          <w:noProof/>
          <w:szCs w:val="24"/>
          <w:lang w:val="sv-SE"/>
        </w:rPr>
        <w:t>Campbell, DiPietro, &amp; Remar,</w:t>
      </w:r>
      <w:r w:rsidR="00A40364" w:rsidRPr="00B0148D">
        <w:rPr>
          <w:noProof/>
          <w:lang w:val="sv-SE"/>
        </w:rPr>
        <w:t xml:space="preserve"> 2014</w:t>
      </w:r>
      <w:r w:rsidR="00A40364" w:rsidRPr="00B0148D">
        <w:fldChar w:fldCharType="end"/>
      </w:r>
      <w:r w:rsidR="00C57837" w:rsidRPr="00B0148D">
        <w:fldChar w:fldCharType="begin" w:fldLock="1"/>
      </w:r>
      <w:r w:rsidR="00BC46D7" w:rsidRPr="00B0148D">
        <w:rPr>
          <w:lang w:val="sv-SE"/>
        </w:rPr>
        <w:instrText>ADDIN CSL_CITATION { "citationItems" : [ { "id" : "ITEM-1", "itemData" : { "DOI" : "10.1016/j.ijhm.2016.02.011", "ISSN" : "02784319", "abstract" : "Although there are several benefits associated with the consumption and increased awareness of locally grown foods in school districts, there are also costs that prevent increasing the purchase of local foods. This study examined the main benefits and transaction costs perceived by school foodservice directors in a Northeastern State when purchasing local foods. Qualitative semi-structured interviews with school districts' foodservice directors (N = 11) were conducted. The main criteria for participation was to target school districts who previously or currently purchased locally grown food items. The study showed that school foodservice directors categorized price, food safety and availability as the main components of transaction costs associated with the purchase of locally grown products. They also identified several benefits, such as supporting the local economy, providing better quality food, and ensuring students have access to healthier foods. Future studies could build on these findings to identify specific measures of transaction costs.", "author" : [ { "dropping-particle" : "", "family" : "Motta", "given" : "Victor", "non-dropping-particle" : "", "parse-names" : false, "suffix" : "" }, { "dropping-particle" : "", "family" : "Sharma", "given" : "Amit", "non-dropping-particle" : "", "parse-names" : false, "suffix" : "" } ], "container-title" : "International Journal of Hospitality Management", "id" : "ITEM-1", "issued" : { "date-parts" : [ [ "2016" ] ] }, "page" : "81-87", "publisher" : "Elsevier Ltd", "title" : "Benefits and transaction costs of purchasing local foods in school districts", "type" : "article-journal", "volume" : "55" }, "uris" : [ "http://www.mendeley.com/documents/?uuid=dd67d1cf-e3d7-4f49-af37-cb019295d93d" ] } ], "mendeley" : { "formattedCitation" : "(Motta &amp; Sharma, 2016)", "manualFormatting" : "; Motta &amp; Sharma 2016", "plainTextFormattedCitation" : "(Motta &amp; Sharma, 2016)", "previouslyFormattedCitation" : "(Motta &amp; Sharma, 2016)" }, "properties" : { "noteIndex" : 0 }, "schema" : "https://github.com/citation-style-language/schema/raw/master/csl-citation.json" }</w:instrText>
      </w:r>
      <w:r w:rsidR="00C57837" w:rsidRPr="00B0148D">
        <w:fldChar w:fldCharType="separate"/>
      </w:r>
      <w:r w:rsidR="00843729" w:rsidRPr="00B0148D">
        <w:rPr>
          <w:noProof/>
          <w:lang w:val="sv-SE"/>
        </w:rPr>
        <w:t>; Motta &amp;</w:t>
      </w:r>
      <w:r w:rsidR="00C57837" w:rsidRPr="00B0148D">
        <w:rPr>
          <w:noProof/>
          <w:lang w:val="sv-SE"/>
        </w:rPr>
        <w:t xml:space="preserve"> Sharma 2016</w:t>
      </w:r>
      <w:r w:rsidR="00C57837" w:rsidRPr="00B0148D">
        <w:fldChar w:fldCharType="end"/>
      </w:r>
      <w:r w:rsidR="00FC44B6" w:rsidRPr="00B0148D">
        <w:fldChar w:fldCharType="begin" w:fldLock="1"/>
      </w:r>
      <w:r w:rsidR="00BC46D7" w:rsidRPr="00B0148D">
        <w:rPr>
          <w:lang w:val="sv-SE"/>
        </w:rPr>
        <w:instrText>ADDIN CSL_CITATION { "citationItems" : [ { "id" : "ITEM-1", "itemData" : { "DOI" : "10.1111/j.1467-8276.2008.01175.x", "ISBN" : "00029092", "ISSN" : "00029092", "abstract" : "Because of the potential malleability of stated and revealed preferences for new food technologies and attributes, this research sought to determine consumers' food value systems by utilizing recent advances in best-worst scaling. Based on previous literature related to human values and food preferences, a list of eleven food values was compiled. Results reveal that on average the values of safety, nutrition, taste, and price were among the most important to consumers, whereas the values of fairness, tradition, and origin were among the least important; however, there was significant heterogeneity in the relative importance placed on food values. Results indicate that food values are significantly related to consumers' stated and revealed preferences for organic food.", "author" : [ { "dropping-particle" : "", "family" : "Lusk", "given" : "Jayson L.", "non-dropping-particle" : "", "parse-names" : false, "suffix" : "" }, { "dropping-particle" : "", "family" : "Briggeman", "given" : "Brian C.", "non-dropping-particle" : "", "parse-names" : false, "suffix" : "" } ], "container-title" : "American Journal of Agricultural Economics", "id" : "ITEM-1", "issue" : "1", "issued" : { "date-parts" : [ [ "2009" ] ] }, "page" : "184-196", "title" : "Food values", "type" : "article-journal", "volume" : "91" }, "uris" : [ "http://www.mendeley.com/documents/?uuid=17afe0ce-32aa-446b-a8f0-ab99c79efd3a" ] } ], "mendeley" : { "formattedCitation" : "(Lusk &amp; Briggeman, 2009)", "manualFormatting" : "; Lusk &amp; Briggeman 2009)", "plainTextFormattedCitation" : "(Lusk &amp; Briggeman, 2009)", "previouslyFormattedCitation" : "(Lusk &amp; Briggeman, 2009)" }, "properties" : { "noteIndex" : 0 }, "schema" : "https://github.com/citation-style-language/schema/raw/master/csl-citation.json" }</w:instrText>
      </w:r>
      <w:r w:rsidR="00FC44B6" w:rsidRPr="00B0148D">
        <w:fldChar w:fldCharType="separate"/>
      </w:r>
      <w:r w:rsidR="00843729" w:rsidRPr="00B0148D">
        <w:rPr>
          <w:noProof/>
          <w:lang w:val="sv-SE"/>
        </w:rPr>
        <w:t>; Lusk &amp;</w:t>
      </w:r>
      <w:r w:rsidR="00FC44B6" w:rsidRPr="00B0148D">
        <w:rPr>
          <w:noProof/>
          <w:lang w:val="sv-SE"/>
        </w:rPr>
        <w:t xml:space="preserve"> Briggeman 2009)</w:t>
      </w:r>
      <w:r w:rsidR="00FC44B6" w:rsidRPr="00B0148D">
        <w:fldChar w:fldCharType="end"/>
      </w:r>
      <w:r w:rsidR="00621939" w:rsidRPr="00B0148D">
        <w:rPr>
          <w:lang w:val="sv-SE"/>
        </w:rPr>
        <w:t xml:space="preserve">. </w:t>
      </w:r>
      <w:r w:rsidR="003F3CF2" w:rsidRPr="00B0148D">
        <w:rPr>
          <w:lang w:val="sv-SE"/>
        </w:rPr>
        <w:t>Consumers</w:t>
      </w:r>
      <w:r w:rsidR="00735B51" w:rsidRPr="00B0148D">
        <w:rPr>
          <w:lang w:val="sv-SE"/>
        </w:rPr>
        <w:t>,</w:t>
      </w:r>
      <w:r w:rsidR="003F3CF2" w:rsidRPr="00B0148D">
        <w:rPr>
          <w:lang w:val="sv-SE"/>
        </w:rPr>
        <w:t xml:space="preserve"> in many cases</w:t>
      </w:r>
      <w:r w:rsidR="00735B51" w:rsidRPr="00B0148D">
        <w:rPr>
          <w:lang w:val="sv-SE"/>
        </w:rPr>
        <w:t xml:space="preserve">, are willing to pay </w:t>
      </w:r>
      <w:r w:rsidR="003F3CF2" w:rsidRPr="00B0148D">
        <w:rPr>
          <w:lang w:val="sv-SE"/>
        </w:rPr>
        <w:t>premium</w:t>
      </w:r>
      <w:r w:rsidR="00735B51" w:rsidRPr="00B0148D">
        <w:rPr>
          <w:lang w:val="sv-SE"/>
        </w:rPr>
        <w:t xml:space="preserve"> prices</w:t>
      </w:r>
      <w:r w:rsidR="003F3CF2" w:rsidRPr="00B0148D">
        <w:rPr>
          <w:lang w:val="sv-SE"/>
        </w:rPr>
        <w:t xml:space="preserve"> for local or domestic produce</w:t>
      </w:r>
      <w:r w:rsidR="00325A4E" w:rsidRPr="00B0148D">
        <w:rPr>
          <w:lang w:val="sv-SE"/>
        </w:rPr>
        <w:t xml:space="preserve"> </w:t>
      </w:r>
      <w:r w:rsidR="003F3CF2" w:rsidRPr="00B0148D">
        <w:fldChar w:fldCharType="begin" w:fldLock="1"/>
      </w:r>
      <w:r w:rsidR="00BC46D7" w:rsidRPr="00B0148D">
        <w:rPr>
          <w:lang w:val="sv-SE"/>
        </w:rPr>
        <w:instrText>ADDIN CSL_CITATION { "citationItems" : [ { "id" : "ITEM-1", "itemData" : { "DOI" : "10.1002/agr", "ISBN" : "1520-6297", "ISSN" : "0742-4477", "PMID" : "60504412", "abstract" : "Countries that accede to the European Union face a complex and urgent task to adopt and implement the acquis communautaire on food safety. For the food industries in such countries, this implies that the European Union\u2019s standards of food production and processing, food quality and safety have to be met in order to ensure a high level of consumer protection and satisfaction. The purpose of this paper is to assess the level of food safety performance in one Accession Country, Hungary, in one food sector (the fresh produce importing chain), and to evaluate the capacity of the system to demonstrate quality assurance to the satisfaction of private customers and public regulators. The analysis of food safety performance has been undertaken through gap analysis using a novel application of a benchmarking methodology taking the United Kingdom fresh produce importing chain as the benchmark. The insights are relevant to other Accession Countries and to other Candidate Countries for European Union enlargement.", "author" : [ { "dropping-particle" : "", "family" : "Carpio", "given" : "Carlos E.", "non-dropping-particle" : "", "parse-names" : false, "suffix" : "" }, { "dropping-particle" : "", "family" : "Isengildina-Ma</w:instrText>
      </w:r>
      <w:r w:rsidR="00BC46D7" w:rsidRPr="00B0148D">
        <w:instrText>ssa", "given" : "Olga", "non-dropping-particle" : "", "parse-names" : false, "suffix" : "" } ], "container-title" : "Agribusiness", "id" : "ITEM-1", "issue" : "3", "issued" : { "date-parts" : [ [ "2009" ] ] }, "page" : "412-426", "title" : "Consumer Willingness to Pay for Locally Grown Products: The Case of South Carolina", "type" : "article-journal", "volume" : "25" }, "uris" : [ "http://www.mendeley.com/documents/?uuid=30511b90-881b-4381-910d-bb50edfe4c11" ] } ], "mendeley" : { "formattedCitation" : "(Carpio &amp; Isengildina-Massa, 2009)", "manualFormatting" : "(Carpio &amp; Isengildina-Massa 2009", "plainTextFormattedCitation" : "(Carpio &amp; Isengildina-Massa, 2009)", "previouslyFormattedCitation" : "(Carpio &amp; Isengildina-Massa, 2009)" }, "properties" : { "noteIndex" : 0 }, "schema" : "https://github.com/citation-style-language/schema/raw/master/csl-citation.json" }</w:instrText>
      </w:r>
      <w:r w:rsidR="003F3CF2" w:rsidRPr="00B0148D">
        <w:fldChar w:fldCharType="separate"/>
      </w:r>
      <w:r w:rsidR="00843729" w:rsidRPr="00B0148D">
        <w:rPr>
          <w:noProof/>
        </w:rPr>
        <w:t>(Carpio &amp;</w:t>
      </w:r>
      <w:r w:rsidR="003F3CF2" w:rsidRPr="00B0148D">
        <w:rPr>
          <w:noProof/>
        </w:rPr>
        <w:t xml:space="preserve"> Isengildina-Massa 2009</w:t>
      </w:r>
      <w:r w:rsidR="003F3CF2" w:rsidRPr="00B0148D">
        <w:fldChar w:fldCharType="end"/>
      </w:r>
      <w:r w:rsidR="003F3CF2" w:rsidRPr="00B0148D">
        <w:fldChar w:fldCharType="begin" w:fldLock="1"/>
      </w:r>
      <w:r w:rsidR="00BC46D7" w:rsidRPr="00B0148D">
        <w:instrText>ADDIN CSL_CITATION { "citationItems" : [ { "id" : "ITEM-1", "itemData" : { "DOI" : "10.1016/j.foodqual.2015.02.013", "ISSN" : "09503293", "abstract" : "The effects of written information of key sensory characteristics of apple cultivars on hedonic ratings and willingness to pay (WTP) were measured in an experimental auction. Participants (. n=. 118, 95F, 23M, mean age 37. y.) rated, in three subsequent rounds, pleasantness and WTP based on (1) appearance only (. n=. 25), (2) appearance, written information and tasting (. n=. 44), or (3) appearance, tasting and written information (. n=. 49). Four domestic cultivars were described as medium sour and crispy ('Amorosa'), sour and medium crispy ('Konsta'), medium sweet and medium crispy ('Lobo') and sweet and medium crispy ('Tobias'). The differences between the cultivars in pleasantness and WTP were minimal when the evaluation was based on appearance only. The effect of tasting after visual inspection was positive in three cultivars and negative in one ('Konsta'). Written information after tasting did not affect pleasantness or WTP. For one cultivar ('Tobias'), information given before tasting created expectations that were not fulfilled, thus tasting decreased hedonic ratings and WTP. Mean WTP was 2.36. euro/kg. When pleasantness increased by one point, WTP increased by 0.31-0.45. euro/kg. Regression models showed that pleasantness explained 38-55% of WTP. Respondents who reported consuming domestic apples more often than once a week had 0.52-0.74. euro/kg higher WTP than those who consumed them less frequently, suggesting that familiarity with the product increases WTP. Results indicate that both written information and tasting contribute to the ratings of pleasantness and WTP.", "author" : [ { "dropping-particle" : "", "family" : "Sepp\u00e4", "given" : "Laila", "non-dropping-particle" : "", "parse-names" : false, "suffix" : "" }, { "dropping-particle" : "", "family" : "Latvala", "given" : "Terhi", "non-dropping-particle" : "", "parse-names" : false, "suffix" : "" }, { "dropping-particle" : "", "family" : "Akaichi", "given" : "Faical", "non-dropping-particle" : "", "parse-names" : false, "suffix" : "" }, { "dropping-particle" : "", "family" : "Gil", "given" : "Jos\u00e9 M.", "non-dropping-particle" : "", "parse-names" : false, "suffix" : "" }, { "dropping-particle" : "", "family" : "Tuorila", "given" : "Hely", "non-dropping-particle" : "", "parse-names" : false, "suffix" : "" } ], "container-title" : "Food Quality and Preference", "id" : "ITEM-1", "issued" : { "date-parts" : [ [ "2015" ] ] }, "page" : "97-105", "title" : "What are domestic apples worth? Hedonic responses and sensory information as drivers of willingness to pay", "type" : "article-journal", "volume" : "43" }, "uris" : [ "http://www.mendeley.com/documents/?uuid=a678506a-b755-4725-96f5-3ad43c5debe9" ] } ], "mendeley" : { "formattedCitation" : "(Sepp\u00e4, Latvala, Akaichi, Gil, &amp; Tuorila, 2015)", "manualFormatting" : "; Sepp\u00e4, Latvala, Akaichi, Gil, &amp; Tuorila, 2015)", "plainTextFormattedCitation" : "(Sepp\u00e4, Latvala, Akaichi, Gil, &amp; Tuorila, 2015)", "previouslyFormattedCitation" : "(Sepp\u00e4, Latvala, Akaichi, Gil, &amp; Tuorila, 2015)" }, "properties" : { "noteIndex" : 0 }, "schema" : "https://github.com/citation-style-language/schema/raw/master/csl-citation.json" }</w:instrText>
      </w:r>
      <w:r w:rsidR="003F3CF2" w:rsidRPr="00B0148D">
        <w:fldChar w:fldCharType="separate"/>
      </w:r>
      <w:r w:rsidR="00325A4E" w:rsidRPr="00B0148D">
        <w:rPr>
          <w:noProof/>
        </w:rPr>
        <w:t xml:space="preserve">; </w:t>
      </w:r>
      <w:r w:rsidR="00843729" w:rsidRPr="00B0148D">
        <w:rPr>
          <w:rFonts w:ascii="Calibri" w:hAnsi="Calibri" w:cs="Times New Roman"/>
          <w:noProof/>
          <w:szCs w:val="24"/>
        </w:rPr>
        <w:t>Seppä, Latvala, Akaichi, Gil, &amp; Tuorila,</w:t>
      </w:r>
      <w:r w:rsidR="003F3CF2" w:rsidRPr="00B0148D">
        <w:rPr>
          <w:noProof/>
        </w:rPr>
        <w:t xml:space="preserve"> 2015)</w:t>
      </w:r>
      <w:r w:rsidR="003F3CF2" w:rsidRPr="00B0148D">
        <w:fldChar w:fldCharType="end"/>
      </w:r>
      <w:r w:rsidR="003F3CF2" w:rsidRPr="00B0148D">
        <w:t xml:space="preserve">. </w:t>
      </w:r>
    </w:p>
    <w:p w14:paraId="20F546D5" w14:textId="0BE25B4F" w:rsidR="004D7CB3" w:rsidRPr="00B0148D" w:rsidRDefault="003841FD" w:rsidP="005F596B">
      <w:pPr>
        <w:jc w:val="both"/>
      </w:pPr>
      <w:r w:rsidRPr="00B0148D">
        <w:t xml:space="preserve">Due to </w:t>
      </w:r>
      <w:r w:rsidR="00777DE4" w:rsidRPr="00B0148D">
        <w:t xml:space="preserve">the </w:t>
      </w:r>
      <w:r w:rsidRPr="00B0148D">
        <w:t>various properti</w:t>
      </w:r>
      <w:r w:rsidR="008A7AA5" w:rsidRPr="00B0148D">
        <w:t xml:space="preserve">es attached to local produce, </w:t>
      </w:r>
      <w:r w:rsidRPr="00B0148D">
        <w:t>different kind</w:t>
      </w:r>
      <w:r w:rsidR="008A7AA5" w:rsidRPr="00B0148D">
        <w:t>s</w:t>
      </w:r>
      <w:r w:rsidRPr="00B0148D">
        <w:t xml:space="preserve"> of preferences such as </w:t>
      </w:r>
      <w:r w:rsidR="00216C40" w:rsidRPr="00B0148D">
        <w:t>pro-environmental opinions may predict the experienced quality of local products</w:t>
      </w:r>
      <w:r w:rsidR="00173F66" w:rsidRPr="00B0148D">
        <w:t xml:space="preserve"> </w:t>
      </w:r>
      <w:r w:rsidR="00173F66" w:rsidRPr="00B0148D">
        <w:fldChar w:fldCharType="begin" w:fldLock="1"/>
      </w:r>
      <w:r w:rsidR="00BC46D7" w:rsidRPr="00B0148D">
        <w:instrText>ADDIN CSL_CITATION { "citationItems" : [ { "id" : "ITEM-1", "itemData" : { "DOI" : "10.1016/j.appet.2015.12.018", "ISSN" : "10958304", "PMID" : "26719101", "abstract" : "Honey is becoming increasingly popular with consumers for its nutritional benefits as well as many other functions. The objective of this article is to determine which factors influence consumers' purchase intentions and to assess the importance of certain honey characteristics to enable identification of the constituents of an ideal honey profile. This information will lead to satisfaction of consumers' preferences and formulation of marketing strategies that support honey makers. We applied a choice experiment to the Italian honey market to define the preferences and the willingness to pay for key characteristics of the product. A face-to-face questionnaire survey was conducted in 2014 (January-July) among Italian consumers; it was completed by 427 respondents. A latent class model was estimated and four classes were identified, with different preferences, illustrating that respondents seem to be heterogeneous honey consumers. Results suggest the \"organic\" attribute was more important than others factors, such as the place where the honey was produced (landscape), but less important than the country of origin; local Italian honey was preferred to foreign honey. Respondents showed a higher willingness to pay (WTP) for honey from their country of origin versus the production method used. Our results suggest that while organic beekeeping might be an important strategy for diversification, if suitable communication is not taken into consideration, the added value of the production method might not be perceived by consumers.", "author" : [ { "dropping-particle" : "", "family" : "Cosmina", "given" : "Marta", "non-dropping-particle" : "", "parse-names" : false, "suffix" : "" }, { "dropping-particle" : "", "family" : "Gallenti", "given" : "Gianluigi", "non-dropping-particle" : "", "parse-names" : false, "suffix" : "" }, { "dropping-particle" : "", "family" : "Marangon", "given" : "Francesco", "non-dropping-particle" : "", "parse-names" : false, "suffix" : "" }, { "dropping-particle" : "", "family" : "Troiano", "given" : "Stefania", "non-dropping-particle" : "", "parse-names" : false, "suffix" : "" } ], "container-title" : "Appetite", "id" : "ITEM-1", "issued" : { "date-parts" : [ [ "2016" ] ] }, "page" : "52-58", "publisher" : "Elsevier Ltd", "title" : "Attitudes towards honey among Italian consumers: A choice experiment approach", "type" : "article-journal", "volume" : "99" }, "uris" : [ "http://www.mendeley.com/documents/?uuid=79ba1828-a57a-44ff-8b51-936347fa47a3" ] } ], "mendeley" : { "formattedCitation" : "(Cosmina, Gallenti, Marangon, &amp; Troiano, 2016)", "manualFormatting" : "(Cosmina, Gallenti, Marangon, &amp; Troiano, 2016)", "plainTextFormattedCitation" : "(Cosmina, Gallenti, Marangon, &amp; Troiano, 2016)", "previouslyFormattedCitation" : "(Cosmina, Gallenti, Marangon, &amp; Troiano, 2016)" }, "properties" : { "noteIndex" : 0 }, "schema" : "https://github.com/citation-style-language/schema/raw/master/csl-citation.json" }</w:instrText>
      </w:r>
      <w:r w:rsidR="00173F66" w:rsidRPr="00B0148D">
        <w:fldChar w:fldCharType="separate"/>
      </w:r>
      <w:r w:rsidR="00173F66" w:rsidRPr="00B0148D">
        <w:rPr>
          <w:noProof/>
        </w:rPr>
        <w:t>(</w:t>
      </w:r>
      <w:r w:rsidR="00F3550B" w:rsidRPr="00B0148D">
        <w:rPr>
          <w:rFonts w:ascii="Calibri" w:hAnsi="Calibri" w:cs="Times New Roman"/>
          <w:noProof/>
          <w:szCs w:val="24"/>
        </w:rPr>
        <w:t>Cosmina, Gallenti, Marangon, &amp; Troiano,</w:t>
      </w:r>
      <w:r w:rsidR="00173F66" w:rsidRPr="00B0148D">
        <w:rPr>
          <w:noProof/>
        </w:rPr>
        <w:t xml:space="preserve"> 2016)</w:t>
      </w:r>
      <w:r w:rsidR="00173F66" w:rsidRPr="00B0148D">
        <w:fldChar w:fldCharType="end"/>
      </w:r>
      <w:r w:rsidR="00216C40" w:rsidRPr="00B0148D">
        <w:t>.</w:t>
      </w:r>
      <w:r w:rsidR="00D847DE" w:rsidRPr="00B0148D">
        <w:t xml:space="preserve"> </w:t>
      </w:r>
      <w:r w:rsidR="004D7CB3" w:rsidRPr="00B0148D">
        <w:t>Some people consider domestic and local origins</w:t>
      </w:r>
      <w:r w:rsidR="00777DE4" w:rsidRPr="00B0148D">
        <w:t xml:space="preserve"> to </w:t>
      </w:r>
      <w:r w:rsidR="004D7CB3" w:rsidRPr="00B0148D">
        <w:t xml:space="preserve">be superior </w:t>
      </w:r>
      <w:r w:rsidR="00777DE4" w:rsidRPr="00B0148D">
        <w:t>in comparison</w:t>
      </w:r>
      <w:r w:rsidR="00727426" w:rsidRPr="00B0148D">
        <w:t xml:space="preserve"> to foreign</w:t>
      </w:r>
      <w:r w:rsidR="00777DE4" w:rsidRPr="00B0148D">
        <w:t xml:space="preserve"> origins</w:t>
      </w:r>
      <w:r w:rsidR="00727426" w:rsidRPr="00B0148D">
        <w:t xml:space="preserve">, </w:t>
      </w:r>
      <w:r w:rsidR="0085482A" w:rsidRPr="00B0148D">
        <w:t>whereas other</w:t>
      </w:r>
      <w:r w:rsidR="00777DE4" w:rsidRPr="00B0148D">
        <w:t>s</w:t>
      </w:r>
      <w:r w:rsidR="0085482A" w:rsidRPr="00B0148D">
        <w:t xml:space="preserve"> may be</w:t>
      </w:r>
      <w:r w:rsidR="00D170A0" w:rsidRPr="00B0148D">
        <w:t xml:space="preserve"> completely indifferent</w:t>
      </w:r>
      <w:r w:rsidR="0085482A" w:rsidRPr="00B0148D">
        <w:t xml:space="preserve"> to the information on food origin</w:t>
      </w:r>
      <w:r w:rsidR="00D170A0" w:rsidRPr="00B0148D">
        <w:t xml:space="preserve"> </w:t>
      </w:r>
      <w:r w:rsidR="00DD3F0A" w:rsidRPr="00B0148D">
        <w:fldChar w:fldCharType="begin" w:fldLock="1"/>
      </w:r>
      <w:r w:rsidR="00BC46D7" w:rsidRPr="00B0148D">
        <w:instrText>ADDIN CSL_CITATION { "citationItems" : [ { "id" : "ITEM-1", "itemData" : { "DOI" : "10.1016/j.foodqual.2007.11.005", "ISBN" : "0950-3293", "ISSN" : "09503293", "abstract" : "There has been a clear increase in imports of agricultural products into Chile in the last few years. A survey was made of 800 consumers in the cities of Temuco and Talca in the south of Chile to determine the importance of food origin in the purchase decision. It was concluded that the majority of those surveyed consume imported foods due to their lower price or good price/quality ratio. Using a conjoint analysis, it was demonstrated that the origin was more important than either the price or the packaging in the decision to purchase beef. For rice, however, the importance of these three cues was ranked similarly. In general, consumers preferred domestic alternatives, although there was a high rejection rate in the case of meat imported from Brazil in particular. ?? 2007 Elsevier Ltd. All rights reserved.", "author" : [ { "dropping-particle" : "", "family" : "Schnettler", "given" : "Berta", "non-dropping-particle" : "", "parse-names" : false, "suffix" : "" }, { "dropping-particle" : "", "family" : "Ruiz", "given" : "Danilo", "non-dropping-particle" : "", "parse-names" : false, "suffix" : "" }, { "dropping-particle" : "", "family" : "Sep\u00falveda", "given" : "Oriana", "non-dropping-particle" : "", "parse-names" : false, "suffix" : "" }, { "dropping-particle" : "", "family" : "Sep\u00falveda", "given" : "N\u00e9stor", "non-dropping-particle" : "", "parse-names" : false, "suffix" : "" } ], "container-title" : "Food Quality and Preference", "id" : "ITEM-1", "issue" : "4", "issued" : { "date-parts" : [ [ "2008" ] ] }, "page" : "372-382", "title" : "Importance of the country of origin in food consumption in a developing country", "type" : "article-journal", "volume" : "19" }, "uris" : [ "http://www.mendeley.com/documents/?uuid=fa05cec6-a762-4264-ba05-deb1daceb1cd" ] } ], "mendeley" : { "formattedCitation" : "(Schnettler, Ruiz, Sep\u00falveda, &amp; Sep\u00falveda, 2008)", "manualFormatting" : "(Schnettler, Ruiz, Sep\u00falveda, &amp; Sep\u00falveda, 2008", "plainTextFormattedCitation" : "(Schnettler, Ruiz, Sep\u00falveda, &amp; Sep\u00falveda, 2008)", "previouslyFormattedCitation" : "(Schnettler, Ruiz, Sep\u00falveda, &amp; Sep\u00falveda, 2008)" }, "properties" : { "noteIndex" : 0 }, "schema" : "https://github.com/citation-style-language/schema/raw/master/csl-citation.json" }</w:instrText>
      </w:r>
      <w:r w:rsidR="00DD3F0A" w:rsidRPr="00B0148D">
        <w:fldChar w:fldCharType="separate"/>
      </w:r>
      <w:r w:rsidR="00DD3F0A" w:rsidRPr="00B0148D">
        <w:rPr>
          <w:noProof/>
        </w:rPr>
        <w:t>(</w:t>
      </w:r>
      <w:r w:rsidR="00F3550B" w:rsidRPr="00B0148D">
        <w:rPr>
          <w:rFonts w:ascii="Calibri" w:hAnsi="Calibri" w:cs="Times New Roman"/>
          <w:noProof/>
          <w:szCs w:val="24"/>
        </w:rPr>
        <w:t>Schnettler, Ruiz, Sepúlveda, &amp; Sepúlveda</w:t>
      </w:r>
      <w:r w:rsidR="00F3550B" w:rsidRPr="00B0148D">
        <w:rPr>
          <w:noProof/>
        </w:rPr>
        <w:t>,</w:t>
      </w:r>
      <w:r w:rsidR="00DD3F0A" w:rsidRPr="00B0148D">
        <w:rPr>
          <w:noProof/>
        </w:rPr>
        <w:t xml:space="preserve"> 2008</w:t>
      </w:r>
      <w:r w:rsidR="00DD3F0A" w:rsidRPr="00B0148D">
        <w:fldChar w:fldCharType="end"/>
      </w:r>
      <w:r w:rsidR="00FB1559" w:rsidRPr="00B0148D">
        <w:fldChar w:fldCharType="begin" w:fldLock="1"/>
      </w:r>
      <w:r w:rsidR="00FC44B6" w:rsidRPr="00B0148D">
        <w:instrText>ADDIN CSL_CITATION { "citationItems" : [ { "id" : "ITEM-1", "itemData" : { "DOI" : "10.1016/j.ijhm.2014.05.014", "ISBN" : "0278-4319", "ISSN" : "02784319", "abstract" : "The current study looks at the relationship between price consciousness, product involvement, price/quality inference, and consumer's willingness-to-pay related to local foods in a university foodservice environment. The study develops a model that looks at the above relationships as well as the potential moderating factor of perceived product information to determine what role they play in the willingness-to-pay for locally grown products. A survey of 352 students at a large, southeastern U.S. university foodservice operation asked about the role of the above factors in choosing local foods. The study found there were significant relationships between product involvement, price consciousness, and price/quality inference on willingness-to-pay, although perceived product information did not moderate the relationships. Ensuring that customers have sufficient information regarding local products and increasing emotional interest in the local products specifically will help to increase willingness-to-pay for those products. Implications for academics and university foodservice practitioners are discussed. \u00a9 2014 Elsevier Ltd.", "author" : [ { "dropping-particle" : "", "family" : "Campbell", "given" : "Jeffrey", "non-dropping-particle" : "", "parse-names" : false, "suffix" : "" }, { "dropping-particle" : "", "family" : "DiPietro", "given" : "Robin B.", "non-dropping-particle" : "", "parse-names" : false, "suffix" : "" }, { "dropping-particle" : "", "family" : "Remar", "given" : "Daniel", "non-dropping-particle" : "", "parse-names" : false, "suffix" : "" } ], "container-title" : "International Journal of Hospitality Management", "id" : "ITEM-1", "issued" : { "date-parts" : [ [ "2014" ] ] }, "page" : "39-49", "publisher" : "Elsevier Ltd", "title" : "Local foods in a university setting: Price consciousness, product involvement, price/quality inference and consumer's willingness-to-pay", "type" : "article-journal", "volume" : "42" }, "uris" : [ "http://www.mendeley.com/documents/?uuid=839acc13-4717-4583-a510-8e27ffbbc3ab" ] } ], "mendeley" : { "formattedCitation" : "(Campbell et al., 2014)", "manualFormatting" : "; Campbell et al. 2014)", "plainTextFormattedCitation" : "(Campbell et al., 2014)", "previouslyFormattedCitation" : "(Campbell et al., 2014)" }, "properties" : { "noteIndex" : 0 }, "schema" : "https://github.com/citation-style-language/schema/raw/master/csl-citation.json" }</w:instrText>
      </w:r>
      <w:r w:rsidR="00FB1559" w:rsidRPr="00B0148D">
        <w:fldChar w:fldCharType="separate"/>
      </w:r>
      <w:r w:rsidR="00FC44B6" w:rsidRPr="00B0148D">
        <w:rPr>
          <w:noProof/>
        </w:rPr>
        <w:t xml:space="preserve">; </w:t>
      </w:r>
      <w:r w:rsidR="00FB1559" w:rsidRPr="00B0148D">
        <w:rPr>
          <w:noProof/>
        </w:rPr>
        <w:t>Campbell et al. 2014)</w:t>
      </w:r>
      <w:r w:rsidR="00FB1559" w:rsidRPr="00B0148D">
        <w:fldChar w:fldCharType="end"/>
      </w:r>
      <w:r w:rsidR="004D7CB3" w:rsidRPr="00B0148D">
        <w:t xml:space="preserve">. </w:t>
      </w:r>
      <w:r w:rsidR="00777DE4" w:rsidRPr="00B0148D">
        <w:t>In fact</w:t>
      </w:r>
      <w:r w:rsidR="0085482A" w:rsidRPr="00B0148D">
        <w:t xml:space="preserve">, </w:t>
      </w:r>
      <w:r w:rsidR="00D847DE" w:rsidRPr="00B0148D">
        <w:t xml:space="preserve">there seem to </w:t>
      </w:r>
      <w:r w:rsidR="00D53096" w:rsidRPr="00B0148D">
        <w:t xml:space="preserve">be </w:t>
      </w:r>
      <w:r w:rsidR="00777DE4" w:rsidRPr="00B0148D">
        <w:t xml:space="preserve">considerable </w:t>
      </w:r>
      <w:r w:rsidR="00D847DE" w:rsidRPr="00B0148D">
        <w:t>differences between consumer groups</w:t>
      </w:r>
      <w:r w:rsidR="0085482A" w:rsidRPr="00B0148D">
        <w:t xml:space="preserve"> in relation to the</w:t>
      </w:r>
      <w:r w:rsidR="00777DE4" w:rsidRPr="00B0148D">
        <w:t xml:space="preserve"> origin of a</w:t>
      </w:r>
      <w:r w:rsidR="0085482A" w:rsidRPr="00B0148D">
        <w:t xml:space="preserve"> product</w:t>
      </w:r>
      <w:r w:rsidR="00D847DE" w:rsidRPr="00B0148D">
        <w:t xml:space="preserve">. </w:t>
      </w:r>
      <w:r w:rsidR="00777DE4" w:rsidRPr="00B0148D">
        <w:t>Moreover,</w:t>
      </w:r>
      <w:r w:rsidR="00D847DE" w:rsidRPr="00B0148D">
        <w:t xml:space="preserve"> gender, age, and product type </w:t>
      </w:r>
      <w:r w:rsidR="00777DE4" w:rsidRPr="00B0148D">
        <w:t xml:space="preserve">also </w:t>
      </w:r>
      <w:r w:rsidR="00D847DE" w:rsidRPr="00B0148D">
        <w:t xml:space="preserve">seem to have an </w:t>
      </w:r>
      <w:r w:rsidR="00777DE4" w:rsidRPr="00B0148D">
        <w:t xml:space="preserve">effect on </w:t>
      </w:r>
      <w:r w:rsidR="0085482A" w:rsidRPr="00B0148D">
        <w:t>preferences</w:t>
      </w:r>
      <w:r w:rsidR="002D35D7" w:rsidRPr="00B0148D">
        <w:t xml:space="preserve"> </w:t>
      </w:r>
      <w:r w:rsidR="002D35D7" w:rsidRPr="00B0148D">
        <w:fldChar w:fldCharType="begin" w:fldLock="1"/>
      </w:r>
      <w:r w:rsidR="005C0A1A" w:rsidRPr="00B0148D">
        <w:instrText>ADDIN CSL_CITATION { "citationItems" : [ { "id" : "ITEM-1", "itemData" : { "DOI" : "10.1002/agr", "ISBN" : "1520-6297", "ISSN" : "0742-4477", "PMID" : "60504412", "abstract" : "Countries that accede to the European Union face a complex and urgent task to adopt and implement the acquis communautaire on food safety. For the food industries in such countries, this implies that the European Union\u2019s standards of food production and processing, food quality and safety have to be met in order to ensure a high level of consumer protection and satisfaction. The purpose of this paper is to assess the level of food safety performance in one Accession Country, Hungary, in one food sector (the fresh produce importing chain), and to evaluate the capacity of the system to demonstrate</w:instrText>
      </w:r>
      <w:r w:rsidR="005C0A1A" w:rsidRPr="00B0148D">
        <w:rPr>
          <w:lang w:val="sv-SE"/>
        </w:rPr>
        <w:instrText xml:space="preserve"> quality assurance to the satisfaction of private customers and public regulators. The analysis of food safety performance has been undertaken through gap analysis using a novel application of a benchmarking methodology taking the United Kingdom fresh produce importing chain as the benchmark. The insights are relevant to other Accession Countries and to other Candidate Countries for European Union enlargement.", "author" : [ { "dropping-particle" : "", "family" : "Carpio", "given" : "Carlos E.", "non-dropping-particle" : "", "parse-names" : false, "suffix" : "" }, { "dropping-particle" : "", "family" : "Isengildina-Massa", "given" : "Olga", "non-dropping-particle" : "", "parse-names" : false, "suffix" : "" } ], "container-title" : "Agribusiness", "id" : "ITEM-1", "issue" : "3", "issued" : { "date-parts" : [ [ "2009" ] ] }, "page" : "412-426", "title" : "Consumer Willingness to Pay for Locally Grown Products: The Case of South Carolina", "type" : "article-journal", "volume" : "25" }, "uris" : [ "http://www.mendeley.com/documents/?uuid=30511b90-881b-4381-910d-bb50edfe4c11" ] } ], "mendeley" : { "formattedCitation" : "(Carpio &amp; Isengildina-Massa, 2009)", "manualFormatting" : "(Carpio and Isengildina-Massa 2009", "plainTextFormattedCitation" : "(Carpio &amp; Isengildina-Massa, 2009)", "previouslyFormattedCitation" : "(Carpio &amp; Isengildina-Massa, 2009)" }, "properties" : { "noteIndex" : 0 }, "schema" : "https://github.com/citation-style-language/schema/raw/master/csl-citation.json" }</w:instrText>
      </w:r>
      <w:r w:rsidR="002D35D7" w:rsidRPr="00B0148D">
        <w:fldChar w:fldCharType="separate"/>
      </w:r>
      <w:r w:rsidR="004D74D5" w:rsidRPr="00B0148D">
        <w:rPr>
          <w:noProof/>
          <w:lang w:val="sv-SE"/>
        </w:rPr>
        <w:t>(Carpio &amp;</w:t>
      </w:r>
      <w:r w:rsidR="002D35D7" w:rsidRPr="00B0148D">
        <w:rPr>
          <w:noProof/>
          <w:lang w:val="sv-SE"/>
        </w:rPr>
        <w:t xml:space="preserve"> Isengildina-Massa 2009</w:t>
      </w:r>
      <w:r w:rsidR="002D35D7" w:rsidRPr="00B0148D">
        <w:fldChar w:fldCharType="end"/>
      </w:r>
      <w:r w:rsidR="005C0A1A" w:rsidRPr="00B0148D">
        <w:rPr>
          <w:lang w:val="sv-SE"/>
        </w:rPr>
        <w:t xml:space="preserve">; </w:t>
      </w:r>
      <w:r w:rsidR="005C0A1A" w:rsidRPr="00B0148D">
        <w:fldChar w:fldCharType="begin" w:fldLock="1"/>
      </w:r>
      <w:r w:rsidR="00BC46D7" w:rsidRPr="00B0148D">
        <w:rPr>
          <w:lang w:val="sv-SE"/>
        </w:rPr>
        <w:instrText>ADDIN CSL_CITATION { "citationItems" : [ { "id" : "ITEM-1", "itemData" : { "DOI" : "10.1016/j.ijhm.2012.06.005", "ISBN" : "0278-4319", "ISSN" : "02784319", "abstract" : "This study empirically tests a conceptual model of local food consumption proposed by Kim et al. (2009) and examines relationships among the key factors found in the model. This study quantitatively identified factors affecting local food consumption: five motivations (cultural experience, interpersonal relationship, excitement, health concern, and sensory appeal); food-related personality traits (food neophobia and food involvement); and 'demographic factors' (i.e., gender, age, and annual income) and their relationships. This study showed that demographic variables (gender and age) were related to some motivational factors and significant differences in the FNG associated with gender, age and income. ?? 2012.", "author" : [ { "dropping-particle" : "", "family" : "Kim", "given" : "Yeong Gug", "non-dropping-particle" : "", "parse-names" : false, "suffix" : "" }, { "dropping-particle" : "", "family" : "Eves", "given" : "Anita", "non-dropping-particle" : "", "parse-names" : false, "suffix" : "" }, { "dropping-particle" : "", "family" : "Scarles", "given" : "Caroline", "non-dropping-particle" : "", "parse-names" : false, "suffix" : "" } ], "container-title" : "International Journal of Hospitality Management", "id" : "ITEM-1", "issue" : "1", "issued" : { "date-parts" : [ [ "2013" ] ] }, "page" : "484-489", "publisher" : "Elsevier Ltd", "title" : "Empirical verification of a conceptual model of local food consumption at a tourist destination", "type" : "article-journal", "volume" : "33" }, "uris" : [ "http://www.mendeley.com/documents/?uuid=a595e0ac-5b34-4525-985b-6e86e89142de" ] } ], "mendeley" : { "formattedCitation" : "(Kim, Eves, &amp; Scarles, 2013)", "manualFormatting" : " Kim, Eves, &amp; Scarles, 2013)", "plainTextFormattedCitation" : "(Kim, Eves, &amp; Scarles, 2013)", "previouslyFormattedCitation" : "(Kim, Eves, &amp; Scarles, 2013)" }, "properties" : { "noteIndex" : 0 }, "schema" : "https://github.com/citation-style-language/schema/raw/master/csl-citation.json" }</w:instrText>
      </w:r>
      <w:r w:rsidR="005C0A1A" w:rsidRPr="00B0148D">
        <w:fldChar w:fldCharType="separate"/>
      </w:r>
      <w:r w:rsidR="00F3550B" w:rsidRPr="00B0148D">
        <w:rPr>
          <w:rFonts w:ascii="Calibri" w:hAnsi="Calibri" w:cs="Times New Roman"/>
          <w:noProof/>
          <w:szCs w:val="24"/>
          <w:lang w:val="sv-SE"/>
        </w:rPr>
        <w:t xml:space="preserve"> Kim, Eves, &amp; Scarles,</w:t>
      </w:r>
      <w:r w:rsidR="005C0A1A" w:rsidRPr="00B0148D">
        <w:rPr>
          <w:noProof/>
          <w:lang w:val="sv-SE"/>
        </w:rPr>
        <w:t xml:space="preserve"> 2013)</w:t>
      </w:r>
      <w:r w:rsidR="005C0A1A" w:rsidRPr="00B0148D">
        <w:fldChar w:fldCharType="end"/>
      </w:r>
      <w:r w:rsidR="00621939" w:rsidRPr="00B0148D">
        <w:rPr>
          <w:lang w:val="sv-SE"/>
        </w:rPr>
        <w:t>.</w:t>
      </w:r>
      <w:r w:rsidR="00325A4E" w:rsidRPr="00B0148D">
        <w:rPr>
          <w:lang w:val="sv-SE"/>
        </w:rPr>
        <w:t xml:space="preserve"> </w:t>
      </w:r>
      <w:r w:rsidR="0085482A" w:rsidRPr="00B0148D">
        <w:rPr>
          <w:lang w:val="sv-SE"/>
        </w:rPr>
        <w:t>In many cases</w:t>
      </w:r>
      <w:r w:rsidR="00777DE4" w:rsidRPr="00B0148D">
        <w:rPr>
          <w:lang w:val="sv-SE"/>
        </w:rPr>
        <w:t>, the</w:t>
      </w:r>
      <w:r w:rsidR="0085482A" w:rsidRPr="00B0148D">
        <w:rPr>
          <w:lang w:val="sv-SE"/>
        </w:rPr>
        <w:t xml:space="preserve"> o</w:t>
      </w:r>
      <w:r w:rsidR="00325A4E" w:rsidRPr="00B0148D">
        <w:rPr>
          <w:lang w:val="sv-SE"/>
        </w:rPr>
        <w:t xml:space="preserve">rigin can be a symbol of quality which will create trust towards the product </w:t>
      </w:r>
      <w:r w:rsidR="00325A4E" w:rsidRPr="00B0148D">
        <w:fldChar w:fldCharType="begin" w:fldLock="1"/>
      </w:r>
      <w:r w:rsidR="00C04490" w:rsidRPr="00B0148D">
        <w:rPr>
          <w:lang w:val="sv-SE"/>
        </w:rPr>
        <w:instrText>ADDIN CSL_CITATION { "citationItems" : [ { "id" : "ITEM-1", "itemData" : { "DOI" : "10.1016/j.foodqual.2014.09.014", "ISBN" : "09503293", "ISSN" : "09503293", "abstract" : "This article reviews the scientific literature on local food from the consumer's perspective and analyses findings through the application of the Alphabet Theory - a newly developed theoretical framework for consumer behavior towards alternative food choices. As consumers' interest in local food has steadily increased in the past fifteen years, so has the number of research studies on consumers' attitudes and purchase behavior with regard to local food.A literature search was carried out on three online catalogues using the search terms 'local', 'regional', 'food', and 'consumer'. Only articles published in English and from January 2000 until January 2014 were taken into account. In all, the literature search returned 550 scientific articles. This paper provides an overview of 73 relevant publications, summarizes the main results, and identifies research gaps in the context of the Alphabet Theory.One major result was that, unlike organic food, local food is not perceived as expensive. Nevertheless, consumers are willing to pay a premium for local food. In mostly quantitative studies, consumer characteristics, attitudes, and purchase behaviors with regard to local food were assessed. Research gaps were identified in</w:instrText>
      </w:r>
      <w:r w:rsidR="00C04490" w:rsidRPr="00B0148D">
        <w:instrText xml:space="preserve"> various areas: cross-national (cultural) comparisons, influence of different types of products (fresh vs. non-perishable, processed vs. non-processed, or plant vs. animal products), origin of foodstuffs used to produce local food as well as the influence of personal and social norms on the formation of attitudes towards local food. This contribution appears to be the first review of scientific articles from the field of local food consumption to present an overview on international research and to identify research gaps.", "author" : [ { "dropping-particle" : "", "family" : "Feldmann", "given" : "Corinna", "non-dropping-particle" : "", "parse-names" : false, "suffix" : "" }, { "dropping-particle" : "", "family" : "Hamm", "given" : "Ulrich", "non-dropping-particle" : "", "parse-names" : false, "suffix" : "" } ], "container-title" : "Food Quality and Preference", "id" : "ITEM-1", "issued" : { "date-parts" : [ [ "2015" ] ] }, "page" : "152-164", "publisher" : "Elsevier Ltd", "title" : "Consumers' perceptions and preferences for local food: A review", "type" : "article-journal", "volume" : "40" }, "uris" : [ "http://www.mendeley.com/documents/?uuid=ee65bda5-d054-4d3c-a8ea-8142a71c5a8b" ] } ], "mendeley" : { "formattedCitation" : "(Feldmann &amp; Hamm, 2015)", "manualFormatting" : "(Feldmann &amp; Hamm, 2015)", "plainTextFormattedCitation" : "(Feldmann &amp; Hamm, 2015)", "previouslyFormattedCitation" : "(Feldmann &amp; Hamm, 2015)" }, "properties" : { "noteIndex" : 0 }, "schema" : "https://github.com/citation-style-language/schema/raw/master/csl-citation.json" }</w:instrText>
      </w:r>
      <w:r w:rsidR="00325A4E" w:rsidRPr="00B0148D">
        <w:fldChar w:fldCharType="separate"/>
      </w:r>
      <w:r w:rsidR="00F3550B" w:rsidRPr="00B0148D">
        <w:rPr>
          <w:noProof/>
        </w:rPr>
        <w:t>(Feldmann &amp;</w:t>
      </w:r>
      <w:r w:rsidR="00325A4E" w:rsidRPr="00B0148D">
        <w:rPr>
          <w:noProof/>
        </w:rPr>
        <w:t xml:space="preserve"> Hamm</w:t>
      </w:r>
      <w:r w:rsidR="00F3550B" w:rsidRPr="00B0148D">
        <w:rPr>
          <w:noProof/>
        </w:rPr>
        <w:t>,</w:t>
      </w:r>
      <w:r w:rsidR="00325A4E" w:rsidRPr="00B0148D">
        <w:rPr>
          <w:noProof/>
        </w:rPr>
        <w:t xml:space="preserve"> 2015)</w:t>
      </w:r>
      <w:r w:rsidR="00325A4E" w:rsidRPr="00B0148D">
        <w:fldChar w:fldCharType="end"/>
      </w:r>
      <w:r w:rsidR="00325A4E" w:rsidRPr="00B0148D">
        <w:t>.</w:t>
      </w:r>
      <w:r w:rsidR="007257DE" w:rsidRPr="00B0148D">
        <w:t xml:space="preserve"> The expected quality of </w:t>
      </w:r>
      <w:r w:rsidR="00777DE4" w:rsidRPr="00B0148D">
        <w:t xml:space="preserve">a product with a </w:t>
      </w:r>
      <w:r w:rsidR="007257DE" w:rsidRPr="00B0148D">
        <w:t>known origin may be largely based on trust</w:t>
      </w:r>
      <w:r w:rsidR="0085482A" w:rsidRPr="00B0148D">
        <w:t>,</w:t>
      </w:r>
      <w:r w:rsidR="007257DE" w:rsidRPr="00B0148D">
        <w:t xml:space="preserve"> </w:t>
      </w:r>
      <w:r w:rsidR="00777DE4" w:rsidRPr="00B0148D">
        <w:t>and</w:t>
      </w:r>
      <w:r w:rsidR="007257DE" w:rsidRPr="00B0148D">
        <w:t xml:space="preserve"> not necessarily based on actual knowledge about the product</w:t>
      </w:r>
      <w:r w:rsidR="00777DE4" w:rsidRPr="00B0148D">
        <w:t>’s</w:t>
      </w:r>
      <w:r w:rsidR="007257DE" w:rsidRPr="00B0148D">
        <w:t xml:space="preserve"> properties.</w:t>
      </w:r>
    </w:p>
    <w:p w14:paraId="416C500A" w14:textId="1AC7289F" w:rsidR="005F596B" w:rsidRPr="00B0148D" w:rsidRDefault="004D7CB3" w:rsidP="005F596B">
      <w:pPr>
        <w:jc w:val="both"/>
        <w:rPr>
          <w:b/>
        </w:rPr>
      </w:pPr>
      <w:r w:rsidRPr="00B0148D">
        <w:rPr>
          <w:b/>
        </w:rPr>
        <w:lastRenderedPageBreak/>
        <w:t>1.2</w:t>
      </w:r>
      <w:r w:rsidR="005F596B" w:rsidRPr="00B0148D">
        <w:rPr>
          <w:b/>
        </w:rPr>
        <w:t xml:space="preserve"> Personal Values</w:t>
      </w:r>
    </w:p>
    <w:p w14:paraId="6CCC69A3" w14:textId="745C7918" w:rsidR="005F596B" w:rsidRPr="00B0148D" w:rsidRDefault="001E1E8B" w:rsidP="005F596B">
      <w:pPr>
        <w:jc w:val="both"/>
      </w:pPr>
      <w:r w:rsidRPr="00B0148D">
        <w:t>Values</w:t>
      </w:r>
      <w:r w:rsidR="00E90639" w:rsidRPr="00B0148D">
        <w:t xml:space="preserve"> can be defined as </w:t>
      </w:r>
      <w:r w:rsidRPr="00B0148D">
        <w:t xml:space="preserve">desirable goals that motivate actions and serve as guiding principles in our lives </w:t>
      </w:r>
      <w:r w:rsidRPr="00B0148D">
        <w:fldChar w:fldCharType="begin" w:fldLock="1"/>
      </w:r>
      <w:r w:rsidRPr="00B0148D">
        <w:instrText>ADDIN CSL_CITATION { "citationItems" : [ { "id" : "ITEM-1", "itemData" : { "DOI" : "10.1037/0022-3514.53.3.550", "ISBN" : "0022-3514", "ISSN" : "0022-3514", "abstract" : "We constructed a theory of the universal types of values as criteria by viewing values as cognitive representations of three universal requirements: (a) biological needs, (b) interactional requirements for interpersonal coordination, and (c) societal demands for group welfare and survival. From these requirements, we have derived and presented conceptual and operational definitions for eight motivational domains of values: enjoyment, security, social power, achievement, self-direction, prosocial, restrictive conformity, and maturity. In addition, we have mapped values according to the interests they serve (individualistic vs. collectivist) and the type of goal to which they refer (terminal vs. instrumental). We postulated that the structural organization of value systems reflects the degree to which giving high priority simultaneously to different values is motivationally and practically feasible or contradictory. To test our theory, we performed smallest space analyses on ratings given by subjects from Israel ( N = 455) and Germany ( N = 331) of the importance of 36 Rokeach values as guiding principles in their lives. Partitioning of the obtained multidimensional space into regions revealed that people do indeed discriminate among values according to our a priori specifications of goal types, interests served, and motivational domains in both societies. Moreover, the motivational domains of values are organized dynamically in relation to one another in both societies, as predicted by the patterns of compatible or contradictory motivation and practical consequences. We have noted additional values and domains possibly needed for a universal scheme as well as potential applications of this approach for comparing the meanings, structure, and importance of values across cultures, for analyzing relations between social structure and values, and for predicting and interpreting relations of values to attitudes and behavior.", "author" : [ { "dropping-particle" : "", "family" : "Schwartz", "given" : "Shalom H.", "non-dropping-particle" : "", "parse-names" : false, "suffix" : "" }, { "dropping-particle" : "", "family" : "Bilsky", "given" : "Wolfgang", "non-dropping-particle" : "", "parse-names" : false, "suffix" : "" } ], "container-title" : "Journal of Personality and Social Psychology", "id" : "ITEM-1", "issue" : "3", "issued" : { "date-parts" : [ [ "1987" ] ] }, "page" : "550-562", "title" : "Toward a universal psychological structure of human values.", "type" : "article-journal", "volume" : "53" }, "uris" : [ "http://www.mendeley.com/documents/?uuid=fc5c40fa-7e0b-41d1-993f-725193d38de2" ] } ], "mendeley" : { "formattedCitation" : "(Schwartz &amp; Bilsky, 1987)", "plainTextFormattedCitation" : "(Schwartz &amp; Bilsky, 1987)", "previouslyFormattedCitation" : "(Schwartz &amp; Bilsky, 1987)" }, "properties" : { "noteIndex" : 0 }, "schema" : "https://github.com/citation-style-language/schema/raw/master/csl-citation.json" }</w:instrText>
      </w:r>
      <w:r w:rsidRPr="00B0148D">
        <w:fldChar w:fldCharType="separate"/>
      </w:r>
      <w:r w:rsidRPr="00B0148D">
        <w:rPr>
          <w:noProof/>
        </w:rPr>
        <w:t>(Schwartz &amp; Bilsky, 1987)</w:t>
      </w:r>
      <w:r w:rsidRPr="00B0148D">
        <w:fldChar w:fldCharType="end"/>
      </w:r>
      <w:r w:rsidRPr="00B0148D">
        <w:t>.</w:t>
      </w:r>
      <w:r w:rsidR="00873704" w:rsidRPr="00B0148D">
        <w:t xml:space="preserve"> They are </w:t>
      </w:r>
      <w:r w:rsidR="00DE1CAA" w:rsidRPr="00B0148D">
        <w:t xml:space="preserve">an </w:t>
      </w:r>
      <w:r w:rsidR="00873704" w:rsidRPr="00B0148D">
        <w:t>abstract concept modifying attitudes and setting the criteria for decision making.</w:t>
      </w:r>
      <w:r w:rsidRPr="00B0148D">
        <w:t xml:space="preserve"> </w:t>
      </w:r>
      <w:r w:rsidR="00F94742" w:rsidRPr="00B0148D">
        <w:t>Even</w:t>
      </w:r>
      <w:r w:rsidR="00E90639" w:rsidRPr="00B0148D">
        <w:t xml:space="preserve"> if</w:t>
      </w:r>
      <w:r w:rsidR="00F94742" w:rsidRPr="00B0148D">
        <w:t xml:space="preserve"> there are cultural differences in relation to values, the </w:t>
      </w:r>
      <w:r w:rsidR="00CE17CC" w:rsidRPr="00B0148D">
        <w:t xml:space="preserve">hierarchical order of </w:t>
      </w:r>
      <w:r w:rsidR="000D7B3A" w:rsidRPr="00B0148D">
        <w:t>values</w:t>
      </w:r>
      <w:r w:rsidR="00F94742" w:rsidRPr="00B0148D">
        <w:t xml:space="preserve"> is very similar</w:t>
      </w:r>
      <w:r w:rsidR="006021CD" w:rsidRPr="00B0148D">
        <w:t xml:space="preserve"> across </w:t>
      </w:r>
      <w:r w:rsidR="00E90639" w:rsidRPr="00B0148D">
        <w:t>cultures</w:t>
      </w:r>
      <w:r w:rsidR="00F94742" w:rsidRPr="00B0148D">
        <w:t xml:space="preserve"> </w:t>
      </w:r>
      <w:r w:rsidR="00F94742" w:rsidRPr="00B0148D">
        <w:fldChar w:fldCharType="begin" w:fldLock="1"/>
      </w:r>
      <w:r w:rsidR="00F94742" w:rsidRPr="00B0148D">
        <w:instrText>ADDIN CSL_CITATION { "citationItems" : [ { "id" : "ITEM-1", "itemData" : { "author" : [ { "dropping-particle" : "", "family" : "Schwartz", "given" : "Shalom H", "non-dropping-particle" : "", "parse-names" : false, "suffix" : "" }, { "dropping-particle" : "", "family" : "Bardi", "given" : "Anat", "non-dropping-particle" : "", "parse-names" : false, "suffix" : "" } ], "container-title" : "Journal of Cross-Cultural Psychology", "id" : "ITEM-1", "issue" : "3", "issued" : { "date-parts" : [ [ "2001" ] ] }, "page" : "268-290", "title" : "Value Hierarchies Across Cultures: Taking a Similarities Perspective", "type" : "article-journal", "volume" : "32" }, "uris" : [ "http://www.mendeley.com/documents/?uuid=e3eaa858-c64f-4cf4-b442-3fd736adbe7e" ] } ], "mendeley" : { "formattedCitation" : "(Schwartz &amp; Bardi, 2001)", "plainTextFormattedCitation" : "(Schwartz &amp; Bardi, 2001)", "previouslyFormattedCitation" : "(Schwartz &amp; Bardi, 2001)" }, "properties" : { "noteIndex" : 0 }, "schema" : "https://github.com/citation-style-language/schema/raw/master/csl-citation.json" }</w:instrText>
      </w:r>
      <w:r w:rsidR="00F94742" w:rsidRPr="00B0148D">
        <w:fldChar w:fldCharType="separate"/>
      </w:r>
      <w:r w:rsidR="00F94742" w:rsidRPr="00B0148D">
        <w:rPr>
          <w:noProof/>
        </w:rPr>
        <w:t>(Schwartz &amp; Bardi, 2001)</w:t>
      </w:r>
      <w:r w:rsidR="00F94742" w:rsidRPr="00B0148D">
        <w:fldChar w:fldCharType="end"/>
      </w:r>
      <w:r w:rsidR="00F94742" w:rsidRPr="00B0148D">
        <w:t>.</w:t>
      </w:r>
      <w:r w:rsidR="00F94742" w:rsidRPr="00B0148D">
        <w:rPr>
          <w:rFonts w:ascii="Verdana" w:hAnsi="Verdana"/>
        </w:rPr>
        <w:t xml:space="preserve"> </w:t>
      </w:r>
      <w:r w:rsidR="00FA7227" w:rsidRPr="00B0148D">
        <w:t xml:space="preserve">According to Schwartz </w:t>
      </w:r>
      <w:r w:rsidR="00FA7227" w:rsidRPr="00B0148D">
        <w:fldChar w:fldCharType="begin" w:fldLock="1"/>
      </w:r>
      <w:r w:rsidR="00FA7227" w:rsidRPr="00B0148D">
        <w:instrText>ADDIN CSL_CITATION { "citationItems" : [ { "id" : "ITEM-1", "itemData" : { "author" : [ { "dropping-particle" : "", "family" : "Schwartz", "given" : "Shalom H", "non-dropping-particle" : "", "parse-names" : false, "suffix" : "" } ], "container-title" : "Comparative Sociology", "id" : "ITEM-1", "issue" : "2-3", "issued" : { "date-parts" : [ [ "2006" ] ] }, "page" : "137-182", "title" : "A Theory of Cultural Value Orientations : Explication and Applications", "type" : "article-journal", "volume" : "5" }, "uris" : [ "http://www.mendeley.com/documents/?uuid=ac169bb2-781f-4674-99ae-8b7e545c2fdc" ] } ], "mendeley" : { "formattedCitation" : "(Schwartz, 2006)", "manualFormatting" : "(2006)", "plainTextFormattedCitation" : "(Schwartz, 2006)", "previouslyFormattedCitation" : "(Schwartz, 2006)" }, "properties" : { "noteIndex" : 0 }, "schema" : "https://github.com/citation-style-language/schema/raw/master/csl-citation.json" }</w:instrText>
      </w:r>
      <w:r w:rsidR="00FA7227" w:rsidRPr="00B0148D">
        <w:fldChar w:fldCharType="separate"/>
      </w:r>
      <w:r w:rsidR="00FA7227" w:rsidRPr="00B0148D">
        <w:rPr>
          <w:noProof/>
        </w:rPr>
        <w:t>(2006)</w:t>
      </w:r>
      <w:r w:rsidR="00FA7227" w:rsidRPr="00B0148D">
        <w:fldChar w:fldCharType="end"/>
      </w:r>
      <w:r w:rsidR="00FA7227" w:rsidRPr="00B0148D">
        <w:t xml:space="preserve"> for example</w:t>
      </w:r>
      <w:r w:rsidR="00534E4B" w:rsidRPr="00B0148D">
        <w:t>,</w:t>
      </w:r>
      <w:r w:rsidR="00FA7227" w:rsidRPr="00B0148D">
        <w:t xml:space="preserve"> socioeconomic, political, and demographic</w:t>
      </w:r>
      <w:r w:rsidR="00C51F74" w:rsidRPr="00B0148D">
        <w:t xml:space="preserve"> factors</w:t>
      </w:r>
      <w:r w:rsidR="00FA7227" w:rsidRPr="00B0148D">
        <w:t xml:space="preserve"> induce variation on </w:t>
      </w:r>
      <w:r w:rsidR="00534E4B" w:rsidRPr="00B0148D">
        <w:t>cultural value dimensions at a</w:t>
      </w:r>
      <w:r w:rsidR="00FA7227" w:rsidRPr="00B0148D">
        <w:t xml:space="preserve"> national level. </w:t>
      </w:r>
      <w:r w:rsidR="00E90639" w:rsidRPr="00B0148D">
        <w:t>T</w:t>
      </w:r>
      <w:r w:rsidR="005F596B" w:rsidRPr="00B0148D">
        <w:t xml:space="preserve">he ten </w:t>
      </w:r>
      <w:r w:rsidR="00F7023A" w:rsidRPr="00B0148D">
        <w:t>basic</w:t>
      </w:r>
      <w:r w:rsidR="00C3393B" w:rsidRPr="00B0148D">
        <w:t xml:space="preserve"> value</w:t>
      </w:r>
      <w:r w:rsidR="00F7023A" w:rsidRPr="00B0148D">
        <w:t>s</w:t>
      </w:r>
      <w:r w:rsidR="00EF7677" w:rsidRPr="00B0148D">
        <w:t xml:space="preserve"> </w:t>
      </w:r>
      <w:r w:rsidR="00757A64" w:rsidRPr="00B0148D">
        <w:t xml:space="preserve">(Table 1) </w:t>
      </w:r>
      <w:r w:rsidR="005F596B" w:rsidRPr="00B0148D">
        <w:t>are connected to each other forming a circular structure with two dimensions</w:t>
      </w:r>
      <w:r w:rsidR="000E2B31" w:rsidRPr="00B0148D">
        <w:t xml:space="preserve"> (Figure 1)</w:t>
      </w:r>
      <w:r w:rsidR="005F596B" w:rsidRPr="00B0148D">
        <w:t xml:space="preserve"> </w:t>
      </w:r>
      <w:r w:rsidR="005F596B" w:rsidRPr="00B0148D">
        <w:fldChar w:fldCharType="begin" w:fldLock="1"/>
      </w:r>
      <w:r w:rsidR="00BC46D7" w:rsidRPr="00B0148D">
        <w:instrText>ADDIN CSL_CITATION { "citationItems" : [ { "id" : "ITEM-1", "itemData" : { "DOI" : "10.1016/S0065-2601(08)60281-6", "author" : [ { "dropping-particle" : "", "family" : "Schwartz", "given" : "Shalom H.", "non-dropping-particle" : "", "parse-names" : false, "suffix" : "" } ], "container-title" : "Advances in Experimental Social Psychology", "editor" : [ { "dropping-particle" : "", "family" : "Zanna", "given" : "M.", "non-dropping-particle" : "", "parse-names" : false, "suffix" : "" } ], "id" : "ITEM-1", "issued" : { "date-parts" : [ [ "1992" ] ] }, "page" : "1-65", "publisher" : "Academic Press", "publisher-place" : "New York", "title" : "Universals in the content and structure of values: Theory and empirical tests in 20 countries.", "type" : "chapter", "volume" : "25" }, "uris" : [ "http://www.mendeley.com/documents/?uuid=1ee7a52d-3657-4158-b165-ceb8c3d57183" ] } ], "mendeley" : { "formattedCitation" : "(Schwartz, 1992)", "manualFormatting" : "(Schwartz, 1992", "plainTextFormattedCitation" : "(Schwartz, 1992)", "previouslyFormattedCitation" : "(Schwartz, 1992)" }, "properties" : { "noteIndex" : 0 }, "schema" : "https://github.com/citation-style-language/schema/raw/master/csl-citation.json" }</w:instrText>
      </w:r>
      <w:r w:rsidR="005F596B" w:rsidRPr="00B0148D">
        <w:fldChar w:fldCharType="separate"/>
      </w:r>
      <w:r w:rsidR="005F596B" w:rsidRPr="00B0148D">
        <w:rPr>
          <w:noProof/>
        </w:rPr>
        <w:t>(Schwartz, 1992</w:t>
      </w:r>
      <w:r w:rsidR="005F596B" w:rsidRPr="00B0148D">
        <w:fldChar w:fldCharType="end"/>
      </w:r>
      <w:r w:rsidR="00C20EEE" w:rsidRPr="00B0148D">
        <w:fldChar w:fldCharType="begin" w:fldLock="1"/>
      </w:r>
      <w:r w:rsidR="00BC46D7" w:rsidRPr="00B0148D">
        <w:instrText>ADDIN CSL_CITATION { "citationItems" : [ { "id" : "ITEM-1", "itemData" : { "DOI" : "10.1016/S0092-6566(03)00069-2", "author" : [ { "dropping-particle" : "", "family" : "Schwartz", "given" : "Shalom H", "non-dropping-particle" : "", "parse-names" : false, "suffix" : "" }, { "dropping-particle" : "", "family" : "Boehnke", "given" : "Klaus", "non-dropping-particle" : "", "parse-names" : false, "suffix" : "" } ], "container-title" : "Journal of Research in Personality", "id" : "ITEM-1", "issue" : "3", "issued" : { "date-parts" : [ [ "2004" ] ] }, "page" : "230-255", "title" : "Evaluating the structure of human values with confirmatory factor analysis", "type" : "article-journal", "volume" : "38" }, "uris" : [ "http://www.mendeley.com/documents/?uuid=f38dc886-f7a5-4088-ae6b-326f0667c838" ] } ], "mendeley" : { "formattedCitation" : "(Schwartz &amp; Boehnke, 2004)", "manualFormatting" : "; Schwartz &amp; Boehnke 2004)", "plainTextFormattedCitation" : "(Schwartz &amp; Boehnke, 2004)", "previouslyFormattedCitation" : "(Schwartz &amp; Boehnke, 2004)" }, "properties" : { "noteIndex" : 0 }, "schema" : "https://github.com/citation-style-language/schema/raw/master/csl-citation.json" }</w:instrText>
      </w:r>
      <w:r w:rsidR="00C20EEE" w:rsidRPr="00B0148D">
        <w:fldChar w:fldCharType="separate"/>
      </w:r>
      <w:r w:rsidR="006259A2" w:rsidRPr="00B0148D">
        <w:rPr>
          <w:noProof/>
        </w:rPr>
        <w:t xml:space="preserve">; </w:t>
      </w:r>
      <w:r w:rsidR="00C20EEE" w:rsidRPr="00B0148D">
        <w:rPr>
          <w:noProof/>
        </w:rPr>
        <w:t>Schwa</w:t>
      </w:r>
      <w:r w:rsidR="006259A2" w:rsidRPr="00B0148D">
        <w:rPr>
          <w:noProof/>
        </w:rPr>
        <w:t>rtz &amp;</w:t>
      </w:r>
      <w:r w:rsidR="00C20EEE" w:rsidRPr="00B0148D">
        <w:rPr>
          <w:noProof/>
        </w:rPr>
        <w:t xml:space="preserve"> Boehnke 2004)</w:t>
      </w:r>
      <w:r w:rsidR="00C20EEE" w:rsidRPr="00B0148D">
        <w:fldChar w:fldCharType="end"/>
      </w:r>
      <w:r w:rsidR="005F596B" w:rsidRPr="00B0148D">
        <w:t xml:space="preserve">. </w:t>
      </w:r>
      <w:r w:rsidR="00FC2B91" w:rsidRPr="00B0148D">
        <w:t xml:space="preserve">The opposite values are in conflict and the adjacent are the most compatible. </w:t>
      </w:r>
      <w:r w:rsidR="005F596B" w:rsidRPr="00B0148D">
        <w:t>The first dimension describes the contrast betwee</w:t>
      </w:r>
      <w:r w:rsidR="00F62177" w:rsidRPr="00B0148D">
        <w:t>n Conservation and Openness to c</w:t>
      </w:r>
      <w:r w:rsidR="00534E4B" w:rsidRPr="00B0148D">
        <w:t>hange. People giving</w:t>
      </w:r>
      <w:r w:rsidR="005F596B" w:rsidRPr="00B0148D">
        <w:t xml:space="preserve"> high </w:t>
      </w:r>
      <w:r w:rsidR="00534E4B" w:rsidRPr="00B0148D">
        <w:t>importance to</w:t>
      </w:r>
      <w:r w:rsidR="005C340F" w:rsidRPr="00B0148D">
        <w:t xml:space="preserve"> </w:t>
      </w:r>
      <w:r w:rsidR="005F596B" w:rsidRPr="00B0148D">
        <w:t>Conservation are keen on maintainin</w:t>
      </w:r>
      <w:r w:rsidR="000D6D61" w:rsidRPr="00B0148D">
        <w:t xml:space="preserve">g the status quo and resist </w:t>
      </w:r>
      <w:r w:rsidR="005F596B" w:rsidRPr="00B0148D">
        <w:t>change (tradition, security, conformity)</w:t>
      </w:r>
      <w:r w:rsidR="00534E4B" w:rsidRPr="00B0148D">
        <w:t xml:space="preserve"> and</w:t>
      </w:r>
      <w:r w:rsidR="000D6D61" w:rsidRPr="00B0148D">
        <w:t xml:space="preserve"> the opposing group is prepared for new experiences and actions</w:t>
      </w:r>
      <w:r w:rsidR="00534E4B" w:rsidRPr="00B0148D">
        <w:t>.</w:t>
      </w:r>
      <w:r w:rsidR="000D6D61" w:rsidRPr="00B0148D">
        <w:t xml:space="preserve"> </w:t>
      </w:r>
      <w:r w:rsidR="005F596B" w:rsidRPr="00B0148D">
        <w:t>The second dimension represents Self-Transcendence versus Self-Enhancement. Individuals with high Self-Transcende</w:t>
      </w:r>
      <w:r w:rsidR="00E5553C" w:rsidRPr="00B0148D">
        <w:t xml:space="preserve">nce are concerned with </w:t>
      </w:r>
      <w:r w:rsidR="00534E4B" w:rsidRPr="00B0148D">
        <w:t xml:space="preserve">the </w:t>
      </w:r>
      <w:r w:rsidR="00E5553C" w:rsidRPr="00B0148D">
        <w:t>welfare o</w:t>
      </w:r>
      <w:r w:rsidR="005F596B" w:rsidRPr="00B0148D">
        <w:t xml:space="preserve">f other people and </w:t>
      </w:r>
      <w:r w:rsidR="00534E4B" w:rsidRPr="00B0148D">
        <w:t xml:space="preserve">those </w:t>
      </w:r>
      <w:r w:rsidR="00D10F9A" w:rsidRPr="00B0148D">
        <w:t xml:space="preserve">with high Self-Enhancement </w:t>
      </w:r>
      <w:r w:rsidR="00534E4B" w:rsidRPr="00B0148D">
        <w:t xml:space="preserve">are </w:t>
      </w:r>
      <w:r w:rsidR="005F596B" w:rsidRPr="00B0148D">
        <w:t xml:space="preserve">more </w:t>
      </w:r>
      <w:r w:rsidR="00534E4B" w:rsidRPr="00B0148D">
        <w:t>concerned with</w:t>
      </w:r>
      <w:r w:rsidR="005F596B" w:rsidRPr="00B0148D">
        <w:t xml:space="preserve"> personal interests</w:t>
      </w:r>
      <w:r w:rsidR="00534E4B" w:rsidRPr="00B0148D">
        <w:t>,</w:t>
      </w:r>
      <w:r w:rsidR="000D6D61" w:rsidRPr="00B0148D">
        <w:t xml:space="preserve"> even at the expense of others </w:t>
      </w:r>
      <w:r w:rsidR="008469FB" w:rsidRPr="00B0148D">
        <w:fldChar w:fldCharType="begin" w:fldLock="1"/>
      </w:r>
      <w:r w:rsidR="00BC46D7" w:rsidRPr="00B0148D">
        <w:instrText>ADDIN CSL_CITATION { "citationItems" : [ { "id" : "ITEM-1", "itemData" : { "DOI" : "10.1002/ejsp", "ISBN" : "0022-1031", "ISSN" : "00224537", "PMID" : "18179320", "abstract" : "Intergroup attitudes were assessed in 7 and 10 years old European American and African American children from ethnically heterogeneous schools and in 7 and 10 years old European American children from ethnically homogeneous schools in order to test hypotheses about racial biases and judgments regarding cross-race peer interactions (N\u00bc302). Using an Ambiguous Situations Task, the findings revealed that European American children attending homogeneous schools displayed racial bias in their interpretations of ambiguous situations as well as in their evaluations of cross-race friendship. Bias was not found, however, in the interpretations and evaluations of European American or African American children from heterogeneous schools. This study is the first to empirically demonstrate significant and direct relationships between intergroup contact in the school environment and children\u2019s intergroup biases as well as judgments about the potential for cross-race friendships.", "author" : [ { "dropping-particle" : "", "family" : "Verkasalo", "given" : "Markku", "non-dropping-particle" : "", "parse-names" : false, "suffix" : "" }, { "dropping-particle" : "", "family" : "L\u00f6nnqvist", "given" : "Jan-Erik", "non-dropping-particle" : "", "parse-names" : false, "suffix" : "" }, { "dropping-particle" : "", "family" : "Lipsanen", "given" : "Jari", "non-dropping-particle" : "", "parse-names" : false, "suffix" : "" }, { "dropping-particle" : "", "family" : "Helkama", "given" : "Klaus", "non-dropping-particle" : "", "parse-names" : false, "suffix" : "" } ], "container-title" : "European Journal of Social Psychology", "id" : "ITEM-1", "issued" : { "date-parts" : [ [ "2009" ] ] }, "page" : "780-792", "title" : "Special issue article How social experience is related to children \u2019 s intergroup attitudes", "type" : "article-journal", "volume" : "39" }, "uris" : [ "http://www.mendeley.com/documents/?uuid=7a10d402-5f23-4e5e-9765-1ea924d9294a" ] } ], "mendeley" : { "formattedCitation" : "(Verkasalo, L\u00f6nnqvist, Lipsanen, &amp; Helkama, 2009)", "manualFormatting" : " (Verkasalo, L\u00f6nnqvist, Lipsanen, &amp; Helkama, 2009)", "plainTextFormattedCitation" : "(Verkasalo, L\u00f6nnqvist, Lipsanen, &amp; Helkama, 2009)", "previouslyFormattedCitation" : "(Verkasalo, L\u00f6nnqvist, Lipsanen, &amp; Helkama, 2009)" }, "properties" : { "noteIndex" : 0 }, "schema" : "https://github.com/citation-style-language/schema/raw/master/csl-citation.json" }</w:instrText>
      </w:r>
      <w:r w:rsidR="008469FB" w:rsidRPr="00B0148D">
        <w:fldChar w:fldCharType="separate"/>
      </w:r>
      <w:r w:rsidR="00694215" w:rsidRPr="00B0148D">
        <w:rPr>
          <w:rFonts w:ascii="Calibri" w:hAnsi="Calibri" w:cs="Times New Roman"/>
          <w:noProof/>
          <w:szCs w:val="24"/>
        </w:rPr>
        <w:t xml:space="preserve"> (Verkasalo, Lönnqvist, Lipsanen, &amp; Helkama,</w:t>
      </w:r>
      <w:r w:rsidR="008469FB" w:rsidRPr="00B0148D">
        <w:rPr>
          <w:noProof/>
        </w:rPr>
        <w:t xml:space="preserve"> 2009)</w:t>
      </w:r>
      <w:r w:rsidR="008469FB" w:rsidRPr="00B0148D">
        <w:fldChar w:fldCharType="end"/>
      </w:r>
      <w:r w:rsidR="005F596B" w:rsidRPr="00B0148D">
        <w:t>.</w:t>
      </w:r>
      <w:r w:rsidR="008962F7" w:rsidRPr="00B0148D">
        <w:t xml:space="preserve"> </w:t>
      </w:r>
      <w:r w:rsidR="00F94742" w:rsidRPr="00B0148D">
        <w:t xml:space="preserve">The </w:t>
      </w:r>
      <w:r w:rsidR="008962F7" w:rsidRPr="00B0148D">
        <w:t>Schwar</w:t>
      </w:r>
      <w:r w:rsidR="000301D7" w:rsidRPr="00B0148D">
        <w:t>t</w:t>
      </w:r>
      <w:r w:rsidR="008962F7" w:rsidRPr="00B0148D">
        <w:t xml:space="preserve">z’s model </w:t>
      </w:r>
      <w:r w:rsidR="00354DBC" w:rsidRPr="00B0148D">
        <w:t>is used to explain behavior in food context</w:t>
      </w:r>
      <w:r w:rsidR="00534E4B" w:rsidRPr="00B0148D">
        <w:t>s</w:t>
      </w:r>
      <w:r w:rsidR="00354DBC" w:rsidRPr="00B0148D">
        <w:t xml:space="preserve"> </w:t>
      </w:r>
      <w:r w:rsidR="00F94742" w:rsidRPr="00B0148D">
        <w:t xml:space="preserve">from </w:t>
      </w:r>
      <w:r w:rsidR="00534E4B" w:rsidRPr="00B0148D">
        <w:t xml:space="preserve">several aspects such as </w:t>
      </w:r>
      <w:r w:rsidR="00F94742" w:rsidRPr="00B0148D">
        <w:t>food-related lifestyle</w:t>
      </w:r>
      <w:r w:rsidR="00534E4B" w:rsidRPr="00B0148D">
        <w:t>s</w:t>
      </w:r>
      <w:r w:rsidR="00F94742" w:rsidRPr="00B0148D">
        <w:t xml:space="preserve"> </w:t>
      </w:r>
      <w:r w:rsidR="00F94742" w:rsidRPr="00B0148D">
        <w:fldChar w:fldCharType="begin" w:fldLock="1"/>
      </w:r>
      <w:r w:rsidR="00F94742" w:rsidRPr="00B0148D">
        <w:instrText>ADDIN CSL_CITATION { "citationItems" : [ { "id" : "ITEM-1", "itemData" : { "DOI" : "10.1016/j.appet.2004.05.001", "ISBN" : "0195-6663", "ISSN" : "01956663", "PMID" : "15458806", "abstract" : "The value survey developed by Shalom Schwartz (1992) has been applied in many countries with different purposes. In this study we present a new way of analysing the theoretically assumed circumplex structure of Schwartz value survey and its relationships to other constructs, here the instrument food-related lifestyle. In two countries; Germany and Spain, data were collected. In each country 1000 interviews were carried out where consumers were asked about their value priorities and about their food-related lifestyle. The study provides new insights into the way values influence peoples' food-related lifestyle in Germany and Spain, and the results validate both the Schwartz value survey and the food-related lifestyle instrument in a nomological sense, since significant and meaningful relationships were found between the two constructs. \u00a9 2004 Elsevier Ltd. All rights reserved.", "author" : [ { "dropping-particle" : "", "family" : "Bruns\u00f8", "given" : "Karen", "non-dropping-particle" : "", "parse-names" : false, "suffix" : "" }, { "dropping-particle" : "", "family" : "Scholderer", "given" : "Joachim", "non-dropping-particle" : "", "parse-names" : false, "suffix" : "" }, { "dropping-particle" : "", "family" : "Grunert", "given" : "Klaus G.", "non-dropping-particle" : "", "parse-names" : false, "suffix" : "" } ], "container-title" : "Appetite", "id" : "ITEM-1", "issue" : "2", "issued" : { "date-parts" : [ [ "2004" ] ] }, "page" : "195-205", "title" : "Testing relationships between values and food-related lifestyle: Results from two European countries", "type" : "article-journal", "volume" : "43" }, "uris" : [ "http://www.mendeley.com/documents/?uuid=dd881967-07c2-4922-860a-32d1662b7e34" ] } ], "mendeley" : { "formattedCitation" : "(Bruns\u00f8, Scholderer, &amp; Grunert, 2004)", "plainTextFormattedCitation" : "(Bruns\u00f8, Scholderer, &amp; Grunert, 2004)", "previouslyFormattedCitation" : "(Bruns\u00f8, Scholderer, &amp; Grunert, 2004)" }, "properties" : { "noteIndex" : 0 }, "schema" : "https://github.com/citation-style-language/schema/raw/master/csl-citation.json" }</w:instrText>
      </w:r>
      <w:r w:rsidR="00F94742" w:rsidRPr="00B0148D">
        <w:fldChar w:fldCharType="separate"/>
      </w:r>
      <w:r w:rsidR="00F94742" w:rsidRPr="00B0148D">
        <w:rPr>
          <w:noProof/>
        </w:rPr>
        <w:t>(Brunsø, Scholderer, &amp; Grunert, 2004)</w:t>
      </w:r>
      <w:r w:rsidR="00F94742" w:rsidRPr="00B0148D">
        <w:fldChar w:fldCharType="end"/>
      </w:r>
      <w:r w:rsidR="00A17D3C" w:rsidRPr="00B0148D">
        <w:t>,</w:t>
      </w:r>
      <w:r w:rsidR="00534E4B" w:rsidRPr="00B0148D">
        <w:t xml:space="preserve"> </w:t>
      </w:r>
      <w:r w:rsidR="00A17D3C" w:rsidRPr="00B0148D">
        <w:t xml:space="preserve">convenience food consumption </w:t>
      </w:r>
      <w:r w:rsidR="00A17D3C" w:rsidRPr="00B0148D">
        <w:fldChar w:fldCharType="begin" w:fldLock="1"/>
      </w:r>
      <w:r w:rsidR="00A17D3C" w:rsidRPr="00B0148D">
        <w:instrText>ADDIN CSL_CITATION { "citationItems" : [ { "id" : "ITEM-1", "itemData" : { "DOI" : "10.1016/j.appet.2010.09.017", "ISBN" : "0195-6663", "ISSN" : "01956663", "PMID" : "20875475", "abstract" : "The increasing importance of convenience in consumer food choices has attracted researchers' interest. In the effort to understand how convenience affects consumers' food preferences, values are believed to play an important role. The present study attempts to examine the way personal values suggested by Schwartz (1992) are associated with behaviour and attitudes regarding convenience food. A number of constructs describing food related attitudes and behaviours were developed and their relationship with personal values was analyzed following the methodology proposed by Bruns\u00f8, Scholderer, and Grunert (2004). Data were collected through a questionnaire survey from a random sample of consumers in Thessaloniki city, Greece. The results reveal that convenience food consumption and convenience orientation in the food domain are mainly connected with values that motivate people to seek new experiences, act independently and enhance their own personal interests, while are in conflict with values of conservation and self-transcendence. The opposite holds for other food related attitudes and behaviours like involvement with cooking and variety in diet. The findings seem to be of particular interest not only for marketers of food products, but also for food policy makers. \u00a9 2010 Elsevier Ltd.", "author" : [ { "dropping-particle" : "", "family" : "Botonaki", "given" : "Anna", "non-dropping-particle" : "", "parse-names" : false, "suffix" : "" }, { "dropping-particle" : "", "family" : "Mattas", "given" : "Konstadinos", "non-dropping-particle" : "", "parse-names" : false, "suffix" : "" } ], "container-title" : "Appetite", "id" : "ITEM-1", "issue" : "3", "issued" : { "date-parts" : [ [ "2010" ] ] }, "page" : "629-638", "publisher" : "Elsevier Ltd", "title" : "Revealing the values behind convenience food consumption", "type" : "article-journal", "volume" : "55" }, "uris" : [ "http://www.mendeley.com/documents/?uuid=5f9d9a19-8b2a-415e-98ca-f7d62759b08b" ] } ], "mendeley" : { "formattedCitation" : "(Botonaki &amp; Mattas, 2010)", "plainTextFormattedCitation" : "(Botonaki &amp; Mattas, 2010)", "previouslyFormattedCitation" : "(Botonaki &amp; Mattas, 2010)" }, "properties" : { "noteIndex" : 0 }, "schema" : "https://github.com/citation-style-language/schema/raw/master/csl-citation.json" }</w:instrText>
      </w:r>
      <w:r w:rsidR="00A17D3C" w:rsidRPr="00B0148D">
        <w:fldChar w:fldCharType="separate"/>
      </w:r>
      <w:r w:rsidR="00A17D3C" w:rsidRPr="00B0148D">
        <w:rPr>
          <w:noProof/>
        </w:rPr>
        <w:t>(Botonaki &amp; Mattas, 2010)</w:t>
      </w:r>
      <w:r w:rsidR="00A17D3C" w:rsidRPr="00B0148D">
        <w:fldChar w:fldCharType="end"/>
      </w:r>
      <w:r w:rsidR="00534E4B" w:rsidRPr="00B0148D">
        <w:t xml:space="preserve"> and</w:t>
      </w:r>
      <w:r w:rsidR="00F94742" w:rsidRPr="00B0148D">
        <w:t xml:space="preserve"> </w:t>
      </w:r>
      <w:r w:rsidR="00A17D3C" w:rsidRPr="00B0148D">
        <w:t xml:space="preserve"> </w:t>
      </w:r>
      <w:r w:rsidR="00354DBC" w:rsidRPr="00B0148D">
        <w:t>attitudes towards genetically modified and organic foods</w:t>
      </w:r>
      <w:r w:rsidR="00DF69EA" w:rsidRPr="00B0148D">
        <w:t xml:space="preserve"> </w:t>
      </w:r>
      <w:r w:rsidR="00DF69EA" w:rsidRPr="00B0148D">
        <w:fldChar w:fldCharType="begin" w:fldLock="1"/>
      </w:r>
      <w:r w:rsidR="00DF69EA" w:rsidRPr="00B0148D">
        <w:instrText>ADDIN CSL_CITATION { "citationItems" : [ { "id" : "ITEM-1", "itemData" : { "DOI" : "10.1016/j.appet.2006.01.015", "ISBN" : "0195-6663", "ISSN" : "01956663", "PMID" : "16546293", "abstract" : "Finnish students (N=3261) filled out a questionnaire on attitudes towards genetically modified and organic food, plus the rational-experiential inventory, the magical thinking about food and health scale, Schwartz's value survey and the behavioural inhibition scale. In addition, they reported their eating of meat. Structural equation modelling of these measures had greater explanatory power for attitudes towards genetically modified (GM) foods than for attitudes towards organic foods (OF). GM attitudes were best predicted by natural science education and magical food and health beliefs, which mediated the influence of thinking styles. Positive attitudes towards organic food, on the other hand, were more directly related to such individual differences as thinking styles and set of values. The results of the study indicate that OF attitudes are rooted in more fundamental personal attributes than GM attitudes, which are embedded in a more complex but also in a more modifiable network of characteristics. ?? 2006 Elsevier Ltd. All rights reserved.", "author" : [ { "dropping-particle" : "", "family" : "Saher", "given" : "Marieke", "non-dropping-particle" : "", "parse-names" : false, "suffix" : "" }, { "dropping-particle" : "", "family" : "Lindeman", "given" : "Marjaana", "non-dropping-particle" : "", "parse-names" : false, "suffix" : "" }, { "dropping-particle" : "", "family" : "Hursti", "given" : "Ulla Kaisa Koivisto", "non-dropping-particle" : "", "parse-names" : false, "suffix" : "" } ], "container-title" : "Appetite", "id" : "ITEM-1", "issue" : "3", "issued" : { "date-parts" : [ [ "2006" ] ] }, "page" : "324-331", "title" : "Attitudes towards genetically modified and organic foods", "type" : "article-journal", "volume" : "46" }, "uris" : [ "http://www.mendeley.com/documents/?uuid=ea91863f-a6fc-4068-a3a6-ade6c680d96b" ] } ], "mendeley" : { "formattedCitation" : "(Saher, Lindeman, &amp; Hursti, 2006)", "plainTextFormattedCitation" : "(Saher, Lindeman, &amp; Hursti, 2006)", "previouslyFormattedCitation" : "(Saher, Lindeman, &amp; Hursti, 2006)" }, "properties" : { "noteIndex" : 0 }, "schema" : "https://github.com/citation-style-language/schema/raw/master/csl-citation.json" }</w:instrText>
      </w:r>
      <w:r w:rsidR="00DF69EA" w:rsidRPr="00B0148D">
        <w:fldChar w:fldCharType="separate"/>
      </w:r>
      <w:r w:rsidR="00DF69EA" w:rsidRPr="00B0148D">
        <w:rPr>
          <w:noProof/>
        </w:rPr>
        <w:t>(Saher, Lindeman, &amp; Hursti, 2006)</w:t>
      </w:r>
      <w:r w:rsidR="00DF69EA" w:rsidRPr="00B0148D">
        <w:fldChar w:fldCharType="end"/>
      </w:r>
      <w:r w:rsidR="00354DBC" w:rsidRPr="00B0148D">
        <w:t xml:space="preserve">. </w:t>
      </w:r>
      <w:r w:rsidR="00534E4B" w:rsidRPr="00B0148D">
        <w:t>The same framework has been</w:t>
      </w:r>
      <w:r w:rsidR="00DF69EA" w:rsidRPr="00B0148D">
        <w:t xml:space="preserve"> used extensively in various disciplines varying from </w:t>
      </w:r>
      <w:r w:rsidR="00F94742" w:rsidRPr="00B0148D">
        <w:t xml:space="preserve">voting </w:t>
      </w:r>
      <w:r w:rsidR="00F94742" w:rsidRPr="00B0148D">
        <w:fldChar w:fldCharType="begin" w:fldLock="1"/>
      </w:r>
      <w:r w:rsidR="00984995" w:rsidRPr="00B0148D">
        <w:instrText>ADDIN CSL_CITATION { "citationItems" : [ { "id" : "ITEM-1", "itemData" : { "DOI" : "10.1111/j.1467-9221.2010.00764.x", "ISBN" : "0162-895X\\r1467-9221", "ISSN" : "0162895X", "PMID" : "16417727", "abstract" : "We theorize that political values express basic personal values in the domain of politics. We test a set of hypotheses that specify how the motivational structure of basic values constrains and gives coherence to core political values. We also test the hypothesis that core political values mediate relations of basic personal values to voting demonstrated in previous research. We measured the basic personal values, core political values, and vote of Italian adults both before (n = 1699) and after (n = 1030) the 2006 national election. Basic values explained substantial variance in each of eight political values (22% to 53%) and predicted voting significantly. Correlations and an MDS projection of relations among basic values and political values supported the hypothesized coherent structuring of core political values by basic values. Core political values fully mediated relations of basic values to voting, supporting a basic values\u00e2\u20ac\u201dpolitical values\u00e2\u20ac\u201dvoting causal hierarchy. (PsycINFO Database Record (c) 2010 APA, all rights reserved) (journal abstract)", "author" : [ { "dropping-particle" : "", "family" : "Schwartz", "given" : "Shalom H.", "non-dropping-particle" : "", "parse-names" : false, "suffix" : "" }, { "dropping-particle" : "", "family" : "Caprara", "given" : "Gian Vittorio", "non-dropping-particle" : "", "parse-names" : false, "suffix" : "" }, { "dropping-particle" : "", "family" : "Vecchione", "given" : "Michele", "non-dropping-particle" : "", "parse-names" : false, "suffix" : "" } ], "container-title" : "Political Psychology", "id" : "ITEM-1", "issue" : "3", "issued" : { "date-parts" : [ [ "2010" ] ] }, "page" : "421-452", "title" : "Basic Personal Values, Core Political Values, and Voting: A Longitudinal Analysis", "type" : "article-journal", "volume" : "31" }, "uris" : [ "http://www.mendeley.com/documents/?uuid=ce408d4a-dd04-40a0-aa98-fdcc92f94c8e" ] } ], "mendeley" : { "formattedCitation" : "(Schwartz, Caprara, &amp; Vecchione, 2010)", "plainTextFormattedCitation" : "(Schwartz, Caprara, &amp; Vecchione, 2010)", "previouslyFormattedCitation" : "(Schwartz, Caprara, &amp; Vecchione, 2010)" }, "properties" : { "noteIndex" : 0 }, "schema" : "https://github.com/citation-style-language/schema/raw/master/csl-citation.json" }</w:instrText>
      </w:r>
      <w:r w:rsidR="00F94742" w:rsidRPr="00B0148D">
        <w:fldChar w:fldCharType="separate"/>
      </w:r>
      <w:r w:rsidR="00F94742" w:rsidRPr="00B0148D">
        <w:rPr>
          <w:noProof/>
        </w:rPr>
        <w:t>(Schwartz, Caprara, &amp; Vecchione, 2010)</w:t>
      </w:r>
      <w:r w:rsidR="00F94742" w:rsidRPr="00B0148D">
        <w:fldChar w:fldCharType="end"/>
      </w:r>
      <w:r w:rsidR="00DF69EA" w:rsidRPr="00B0148D">
        <w:t xml:space="preserve"> to internet use </w:t>
      </w:r>
      <w:r w:rsidR="00DF69EA" w:rsidRPr="00B0148D">
        <w:fldChar w:fldCharType="begin" w:fldLock="1"/>
      </w:r>
      <w:r w:rsidR="00DF69EA" w:rsidRPr="00B0148D">
        <w:instrText>ADDIN CSL_CITATION { "citationItems" : [ { "id" : "ITEM-1", "itemData" : { "DOI" : "10.1016/j.chb.2015.03.055", "ISSN" : "07475632", "abstract" : "In this study, we use Schwartz's value framework to explore the impact of values on internet use at an individual level. This approach differs from many of the previous studies that report on national level analyses. The gap in the literature arising from the absence of Schwartz's value types in information and communication technologies (ICT) studies calls for investigation of the impact of individual values on ICT use at the individual level. For study 1, we use the set of developing and developed nations, based on World Values Survey data. For study 2, we use eight nations grouped into two economic/cultural clusters (developed and developing) based on the data from the European Social Survey. Study 1 findings indicate that 4 out of 8, 6 out of 8 and 7 out of 8 Schwartz-like human value types are significant for Internet use for developed, developing and all nations respectively, with robust effect sizes. The study 2 findings indicate that for developed nations, Schwartz value types such as conformity, tradition, security, and power are relevant in at least two or more out of the four nations. In the case of the developing nations, achievement, stimulation, self-direction, tradition and security are relevant in at least two or more out of four nations. Tradition and security are the two value types that are most relevant in both groups of nations. These results indicate that value types have different as well as similar impacts in developed and developing nations. Similarities and differences also exist within developed and developing nations. The results show that value types in general and Schwartz's value types in particular, are useful in explaining Internet use. The implications of these findings are discussed and future studies suggested.", "author" : [ { "dropping-particle" : "", "family" : "Bagchi", "given" : "Kallol K.", "non-dropping-particle" : "", "parse-names" : false, "suffix" : "" }, { "dropping-particle" : "", "family" : "Udo", "given" : "Godwin J.", "non-dropping-particle" : "", "parse-names" : false, "suffix" : "" }, { "dropping-particle" : "", "family" : "Kirs", "given" : "Peeter J.", "non-dropping-particle" : "", "parse-names" : false, "suffix" : "" }, { "dropping-particle" : "", "family" : "Choden", "given" : "Khendum", "non-dropping-particle" : "", "parse-names" : false, "suffix" : "" } ], "container-title" : "Computers in Human Behavior", "id" : "ITEM-1", "issued" : { "date-parts" : [ [ "2015" ] ] }, "page" : "76-90", "publisher" : "Elsevier Ltd", "title" : "Internet use and human values: Analyses of developing and developed countries", "type" : "article-journal", "volume" : "50" }, "uris" : [ "http://www.mendeley.com/documents/?uuid=73602cfd-be54-462f-8d42-31b008045586" ] } ], "mendeley" : { "formattedCitation" : "(Bagchi, Udo, Kirs, &amp; Choden, 2015)", "plainTextFormattedCitation" : "(Bagchi, Udo, Kirs, &amp; Choden, 2015)", "previouslyFormattedCitation" : "(Bagchi, Udo, Kirs, &amp; Choden, 2015)" }, "properties" : { "noteIndex" : 0 }, "schema" : "https://github.com/citation-style-language/schema/raw/master/csl-citation.json" }</w:instrText>
      </w:r>
      <w:r w:rsidR="00DF69EA" w:rsidRPr="00B0148D">
        <w:fldChar w:fldCharType="separate"/>
      </w:r>
      <w:r w:rsidR="00DF69EA" w:rsidRPr="00B0148D">
        <w:rPr>
          <w:noProof/>
        </w:rPr>
        <w:t>(Bagchi, Udo, Kirs, &amp; Choden, 2015)</w:t>
      </w:r>
      <w:r w:rsidR="00DF69EA" w:rsidRPr="00B0148D">
        <w:fldChar w:fldCharType="end"/>
      </w:r>
      <w:r w:rsidR="00534E4B" w:rsidRPr="00B0148D">
        <w:t xml:space="preserve"> and</w:t>
      </w:r>
      <w:r w:rsidR="002D25A9" w:rsidRPr="00B0148D">
        <w:t xml:space="preserve"> commitment in the workplace </w:t>
      </w:r>
      <w:r w:rsidR="002D25A9" w:rsidRPr="00B0148D">
        <w:fldChar w:fldCharType="begin" w:fldLock="1"/>
      </w:r>
      <w:r w:rsidR="002D25A9" w:rsidRPr="00B0148D">
        <w:instrText>ADDIN CSL_CITATION { "citationItems" : [ { "id" : "ITEM-1", "itemData" : { "DOI" : "10.1016/j.ijintrel.2009.04.001", "ISBN" : "0147-1767", "ISSN" : "01471767", "abstract" : "There has been a growing trend recently to examine individual-level values in order to better understand attitudes and behaviors of employees in the workplace. This paper continues this trend by examining the relationship between individual-level values, using Schwartz's basic human values theory, and six workplace commitment forms (organizational, occupational, group, work, job, union). It also examines whether individual values relate to commitment forms when controlling for demographic variables and justice perceptions. The sample includes 424 employees of one of the major banks in Israel. The findings show strong relationships between age and justice and commitment forms. However, they also show that individual values relate to commitment forms above and beyond the effect of the demographic and justice variables. In particular, the results show consistent positive relationships between benevolence and achievement, on the one hand, and most of the commitment forms on the other. The findings are discussed in terms of their implications for future research on the relationships between individual values and commitment in the workplace. \u00a9 2009 Elsevier Ltd. All rights reserved.", "author" : [ { "dropping-particle" : "", "family" : "Cohen", "given" : "Aaron", "non-dropping-particle" : "", "parse-names" : false, "suffix" : "" } ], "container-title" : "International Journal of Intercultural Relations", "id" : "ITEM-1", "issue" : "4", "issued" : { "date-parts" : [ [ "2009" ] ] }, "page" : "332-345", "title" : "A value based perspective on commitment in the workplace: An examination of Schwartz's basic human values theory among bank employees in Israel", "type" : "article-journal", "volume" : "33" }, "uris" : [ "http://www.mendeley.com/documents/?uuid=628fdfe8-8110-4445-b74d-4d6b41bb1c36" ] } ], "mendeley" : { "formattedCitation" : "(Cohen, 2009)", "plainTextFormattedCitation" : "(Cohen, 2009)", "previouslyFormattedCitation" : "(Cohen, 2009)" }, "properties" : { "noteIndex" : 0 }, "schema" : "https://github.com/citation-style-language/schema/raw/master/csl-citation.json" }</w:instrText>
      </w:r>
      <w:r w:rsidR="002D25A9" w:rsidRPr="00B0148D">
        <w:fldChar w:fldCharType="separate"/>
      </w:r>
      <w:r w:rsidR="002D25A9" w:rsidRPr="00B0148D">
        <w:rPr>
          <w:noProof/>
        </w:rPr>
        <w:t>(Cohen, 2009)</w:t>
      </w:r>
      <w:r w:rsidR="002D25A9" w:rsidRPr="00B0148D">
        <w:fldChar w:fldCharType="end"/>
      </w:r>
      <w:r w:rsidR="00901D39" w:rsidRPr="00B0148D">
        <w:t xml:space="preserve">. </w:t>
      </w:r>
      <w:r w:rsidR="00F94742" w:rsidRPr="00B0148D">
        <w:t xml:space="preserve">Schwartz’s values </w:t>
      </w:r>
      <w:r w:rsidR="00F468D3" w:rsidRPr="00B0148D">
        <w:t xml:space="preserve">also </w:t>
      </w:r>
      <w:r w:rsidR="00F94742" w:rsidRPr="00B0148D">
        <w:t>show</w:t>
      </w:r>
      <w:r w:rsidR="00901D39" w:rsidRPr="00B0148D">
        <w:t xml:space="preserve"> a </w:t>
      </w:r>
      <w:r w:rsidR="00F94742" w:rsidRPr="00B0148D">
        <w:t>significant overlap with personality</w:t>
      </w:r>
      <w:r w:rsidR="00901D39" w:rsidRPr="00B0148D">
        <w:t xml:space="preserve"> </w:t>
      </w:r>
      <w:r w:rsidR="00901D39" w:rsidRPr="00B0148D">
        <w:fldChar w:fldCharType="begin" w:fldLock="1"/>
      </w:r>
      <w:r w:rsidR="00901D39" w:rsidRPr="00B0148D">
        <w:instrText>ADDIN CSL_CITATION { "citationItems" : [ { "id" : "ITEM-1", "itemData" : { "DOI" : "10.1016/j.jrp.2017.04.002", "ISSN" : "10957251", "abstract" : "This study systematically examined the correlates of Schwartz's basic values with the broad and narrow traits of the HEXACO model of personality. A sample of 1244 adults (53% male; M age\u00a0=\u00a044, SD\u00a0=\u00a012) completed the 200-item HEXACO-PI-R and the Portrait Values Questionnaire measuring Schwartz's 10 basic personal values. Regression models predicting each of the ten basic values from personality revealed mean-adjusted multiple correlations of.39 for HEXACO factors without honesty-humility,.45 for all HEXACO factors, and.53 for HEXACO facets. The facet-level multiple correlations were particularly large (&gt;.60) for power, universalism, and cooperation. Results suggest that individual differences in personality and values overlap to a greater extent than implied by past literature.", "author" : [ { "dropping-particle" : "", "family" : "Anglim", "given" : "Jeromy", "non-dropping-particle" : "", "parse-names" : false, "suffix" : "" }, { "dropping-particle" : "", "family" : "Knowles", "given" : "Emily R.V.", "non-dropping-particle" : "", "parse-names" : false, "suffix" : "" }, { "dropping-particle" : "", "family" : "Dunlop", "given" : "Patrick D.", "non-dropping-particle" : "", "parse-names" : false, "suffix" : "" }, { "dropping-particle" : "", "family" : "Marty", "given" : "Andrew", "non-dropping-particle" : "", "parse-names" : false, "suffix" : "" } ], "container-title" : "Journal of Research in Personality", "id" : "ITEM-1", "issued" : { "date-parts" : [ [ "2017" ] ] }, "page" : "23-31", "publisher" : "Elsevier Inc.", "title" : "HEXACO personality and Schwartz's personal values: A facet-level analysis", "type" : "article-journal", "volume" : "68" }, "uris" : [ "http://www.mendeley.com/documents/?uuid=2780404f-75b8-4778-b089-a415361b97fd" ] } ], "mendeley" : { "formattedCitation" : "(Anglim, Knowles, Dunlop, &amp; Marty, 2017)", "plainTextFormattedCitation" : "(Anglim, Knowles, Dunlop, &amp; Marty, 2017)", "previouslyFormattedCitation" : "(Anglim, Knowles, Dunlop, &amp; Marty, 2017)" }, "properties" : { "noteIndex" : 0 }, "schema" : "https://github.com/citation-style-language/schema/raw/master/csl-citation.json" }</w:instrText>
      </w:r>
      <w:r w:rsidR="00901D39" w:rsidRPr="00B0148D">
        <w:fldChar w:fldCharType="separate"/>
      </w:r>
      <w:r w:rsidR="00901D39" w:rsidRPr="00B0148D">
        <w:rPr>
          <w:noProof/>
        </w:rPr>
        <w:t>(Anglim, Knowles, Dunlop, &amp; Marty, 2017)</w:t>
      </w:r>
      <w:r w:rsidR="00901D39" w:rsidRPr="00B0148D">
        <w:fldChar w:fldCharType="end"/>
      </w:r>
      <w:r w:rsidR="00F94742" w:rsidRPr="00B0148D">
        <w:t xml:space="preserve">. </w:t>
      </w:r>
      <w:r w:rsidR="00984995" w:rsidRPr="00B0148D">
        <w:t>D</w:t>
      </w:r>
      <w:r w:rsidR="00F94742" w:rsidRPr="00B0148D">
        <w:t>ue to the universal na</w:t>
      </w:r>
      <w:r w:rsidR="00F468D3" w:rsidRPr="00B0148D">
        <w:t>ture, the</w:t>
      </w:r>
      <w:r w:rsidR="00F94742" w:rsidRPr="00B0148D">
        <w:t xml:space="preserve"> numerous applications</w:t>
      </w:r>
      <w:r w:rsidR="00204679" w:rsidRPr="00B0148D">
        <w:t xml:space="preserve"> and </w:t>
      </w:r>
      <w:r w:rsidR="00F468D3" w:rsidRPr="00B0148D">
        <w:t xml:space="preserve">the </w:t>
      </w:r>
      <w:r w:rsidR="00204679" w:rsidRPr="00B0148D">
        <w:t>previous research</w:t>
      </w:r>
      <w:r w:rsidR="00F94742" w:rsidRPr="00B0148D">
        <w:t>, Schwartz’s model was chosen to measure the personal values among respondents.</w:t>
      </w:r>
    </w:p>
    <w:p w14:paraId="1863F3CA" w14:textId="5CDDC17C" w:rsidR="00F7023A" w:rsidRPr="00B0148D" w:rsidRDefault="00F7023A" w:rsidP="005F596B">
      <w:pPr>
        <w:jc w:val="both"/>
      </w:pPr>
      <w:r w:rsidRPr="00B0148D">
        <w:rPr>
          <w:b/>
        </w:rPr>
        <w:t>Table 1.</w:t>
      </w:r>
      <w:r w:rsidRPr="00B0148D">
        <w:t xml:space="preserve"> Description of ten basic values</w:t>
      </w:r>
      <w:r w:rsidR="00B43D28" w:rsidRPr="00B0148D">
        <w:t xml:space="preserve"> </w:t>
      </w:r>
      <w:r w:rsidR="00B43D28" w:rsidRPr="00B0148D">
        <w:fldChar w:fldCharType="begin" w:fldLock="1"/>
      </w:r>
      <w:r w:rsidR="00BC46D7" w:rsidRPr="00B0148D">
        <w:instrText>ADDIN CSL_CITATION { "citationItems" : [ { "id" : "ITEM-1", "itemData" : { "author" : [ { "dropping-particle" : "", "family" : "Sagiv", "given" : "Lilach", "non-dropping-particle" : "", "parse-names" : false, "suffix" : "" }, { "dropping-particle" : "", "family" : "Schwarz", "given" : "Shalom H.", "non-dropping-particle" : "", "parse-names" : false, "suffix" : "" } ], "container-title" : "Journal of Personality and Social Psychology", "id" : "ITEM-1", "issue" : "3", "issued" : { "date-parts" : [ [ "1995" ] ] }, "page" : "437-448", "title" : "Value Priorities and Readiness for Out-Group Social Contact", "type" : "article-journal", "volume" : "69" }, "uris" : [ "http://www.mendeley.com/documents/?uuid=e1917bd1-189b-421b-ab89-bc3c32cd20c7" ] } ], "mendeley" : { "formattedCitation" : "(Sagiv &amp; Schwarz, 1995)", "manualFormatting" : "(Sagiv &amp; Schwarz, 1995)", "plainTextFormattedCitation" : "(Sagiv &amp; Schwarz, 1995)", "previouslyFormattedCitation" : "(Sagiv &amp; Schwarz, 1995)" }, "properties" : { "noteIndex" : 0 }, "schema" : "https://github.com/citation-style-language/schema/raw/master/csl-citation.json" }</w:instrText>
      </w:r>
      <w:r w:rsidR="00B43D28" w:rsidRPr="00B0148D">
        <w:fldChar w:fldCharType="separate"/>
      </w:r>
      <w:r w:rsidR="004476C3" w:rsidRPr="00B0148D">
        <w:rPr>
          <w:noProof/>
        </w:rPr>
        <w:t>(Sagiv &amp;</w:t>
      </w:r>
      <w:r w:rsidR="00B43D28" w:rsidRPr="00B0148D">
        <w:rPr>
          <w:noProof/>
        </w:rPr>
        <w:t xml:space="preserve"> Schwarz, 1995)</w:t>
      </w:r>
      <w:r w:rsidR="00B43D28" w:rsidRPr="00B0148D">
        <w:fldChar w:fldCharType="end"/>
      </w:r>
    </w:p>
    <w:tbl>
      <w:tblPr>
        <w:tblW w:w="7260" w:type="dxa"/>
        <w:tblInd w:w="-5" w:type="dxa"/>
        <w:tblCellMar>
          <w:left w:w="70" w:type="dxa"/>
          <w:right w:w="70" w:type="dxa"/>
        </w:tblCellMar>
        <w:tblLook w:val="04A0" w:firstRow="1" w:lastRow="0" w:firstColumn="1" w:lastColumn="0" w:noHBand="0" w:noVBand="1"/>
      </w:tblPr>
      <w:tblGrid>
        <w:gridCol w:w="1580"/>
        <w:gridCol w:w="5680"/>
      </w:tblGrid>
      <w:tr w:rsidR="00B0148D" w:rsidRPr="00B0148D" w14:paraId="5CE2E9B8" w14:textId="77777777" w:rsidTr="006A378D">
        <w:trPr>
          <w:trHeight w:val="564"/>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A6197C"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Benevolence</w:t>
            </w:r>
          </w:p>
        </w:tc>
        <w:tc>
          <w:tcPr>
            <w:tcW w:w="5680" w:type="dxa"/>
            <w:tcBorders>
              <w:top w:val="single" w:sz="4" w:space="0" w:color="auto"/>
              <w:left w:val="nil"/>
              <w:bottom w:val="single" w:sz="4" w:space="0" w:color="auto"/>
              <w:right w:val="single" w:sz="4" w:space="0" w:color="auto"/>
            </w:tcBorders>
            <w:shd w:val="clear" w:color="auto" w:fill="auto"/>
            <w:vAlign w:val="bottom"/>
            <w:hideMark/>
          </w:tcPr>
          <w:p w14:paraId="2F2C987E"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Preserving and enhancing the welfare of those with whom one is in frequent personal contact (the ‘in-group’).</w:t>
            </w:r>
          </w:p>
        </w:tc>
      </w:tr>
      <w:tr w:rsidR="00B0148D" w:rsidRPr="00B0148D" w14:paraId="67FC4AE6" w14:textId="77777777" w:rsidTr="006A378D">
        <w:trPr>
          <w:trHeight w:val="84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082D30C8"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Conformity</w:t>
            </w:r>
          </w:p>
        </w:tc>
        <w:tc>
          <w:tcPr>
            <w:tcW w:w="5680" w:type="dxa"/>
            <w:tcBorders>
              <w:top w:val="nil"/>
              <w:left w:val="nil"/>
              <w:bottom w:val="single" w:sz="4" w:space="0" w:color="auto"/>
              <w:right w:val="single" w:sz="4" w:space="0" w:color="auto"/>
            </w:tcBorders>
            <w:shd w:val="clear" w:color="auto" w:fill="auto"/>
            <w:vAlign w:val="bottom"/>
            <w:hideMark/>
          </w:tcPr>
          <w:p w14:paraId="48B52293"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Restraint of actions, inclinations, and impulses likely to upset or harm others and violate social expectations or norms.</w:t>
            </w:r>
          </w:p>
        </w:tc>
      </w:tr>
      <w:tr w:rsidR="00B0148D" w:rsidRPr="00B0148D" w14:paraId="59CA4E30" w14:textId="77777777" w:rsidTr="006A378D">
        <w:trPr>
          <w:trHeight w:val="564"/>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54D2502A"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Tradition</w:t>
            </w:r>
          </w:p>
        </w:tc>
        <w:tc>
          <w:tcPr>
            <w:tcW w:w="5680" w:type="dxa"/>
            <w:tcBorders>
              <w:top w:val="nil"/>
              <w:left w:val="nil"/>
              <w:bottom w:val="single" w:sz="4" w:space="0" w:color="auto"/>
              <w:right w:val="single" w:sz="4" w:space="0" w:color="auto"/>
            </w:tcBorders>
            <w:shd w:val="clear" w:color="auto" w:fill="auto"/>
            <w:vAlign w:val="bottom"/>
            <w:hideMark/>
          </w:tcPr>
          <w:p w14:paraId="235A49B4"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Respect, commitment, and acceptance of the customs and ideas that traditional culture or religion provide the self.</w:t>
            </w:r>
          </w:p>
        </w:tc>
      </w:tr>
      <w:tr w:rsidR="00B0148D" w:rsidRPr="00B0148D" w14:paraId="6EBE1194" w14:textId="77777777" w:rsidTr="006A378D">
        <w:trPr>
          <w:trHeight w:val="564"/>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4126726F"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Security</w:t>
            </w:r>
          </w:p>
        </w:tc>
        <w:tc>
          <w:tcPr>
            <w:tcW w:w="5680" w:type="dxa"/>
            <w:tcBorders>
              <w:top w:val="nil"/>
              <w:left w:val="nil"/>
              <w:bottom w:val="single" w:sz="4" w:space="0" w:color="auto"/>
              <w:right w:val="single" w:sz="4" w:space="0" w:color="auto"/>
            </w:tcBorders>
            <w:shd w:val="clear" w:color="auto" w:fill="auto"/>
            <w:vAlign w:val="bottom"/>
            <w:hideMark/>
          </w:tcPr>
          <w:p w14:paraId="7B00F4D9"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Safety, harmony, and stability of society, of relationships, and of self.</w:t>
            </w:r>
          </w:p>
        </w:tc>
      </w:tr>
      <w:tr w:rsidR="00B0148D" w:rsidRPr="00B0148D" w14:paraId="229FB4F7" w14:textId="77777777" w:rsidTr="006A378D">
        <w:trPr>
          <w:trHeight w:val="564"/>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0CB55893"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Power</w:t>
            </w:r>
          </w:p>
        </w:tc>
        <w:tc>
          <w:tcPr>
            <w:tcW w:w="5680" w:type="dxa"/>
            <w:tcBorders>
              <w:top w:val="nil"/>
              <w:left w:val="nil"/>
              <w:bottom w:val="single" w:sz="4" w:space="0" w:color="auto"/>
              <w:right w:val="single" w:sz="4" w:space="0" w:color="auto"/>
            </w:tcBorders>
            <w:shd w:val="clear" w:color="auto" w:fill="auto"/>
            <w:vAlign w:val="bottom"/>
            <w:hideMark/>
          </w:tcPr>
          <w:p w14:paraId="2413B1FB"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Social status and prestige, control or dominance over people and resources.</w:t>
            </w:r>
          </w:p>
        </w:tc>
      </w:tr>
      <w:tr w:rsidR="00B0148D" w:rsidRPr="00B0148D" w14:paraId="1677C6F7" w14:textId="77777777" w:rsidTr="006A378D">
        <w:trPr>
          <w:trHeight w:val="564"/>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63EE25D8"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Achievement</w:t>
            </w:r>
          </w:p>
        </w:tc>
        <w:tc>
          <w:tcPr>
            <w:tcW w:w="5680" w:type="dxa"/>
            <w:tcBorders>
              <w:top w:val="nil"/>
              <w:left w:val="nil"/>
              <w:bottom w:val="single" w:sz="4" w:space="0" w:color="auto"/>
              <w:right w:val="single" w:sz="4" w:space="0" w:color="auto"/>
            </w:tcBorders>
            <w:shd w:val="clear" w:color="auto" w:fill="auto"/>
            <w:vAlign w:val="bottom"/>
            <w:hideMark/>
          </w:tcPr>
          <w:p w14:paraId="422EBF90"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Personal success through demonstrating competence according to social standards.</w:t>
            </w:r>
          </w:p>
        </w:tc>
      </w:tr>
      <w:tr w:rsidR="00B0148D" w:rsidRPr="00B0148D" w14:paraId="58852DC9" w14:textId="77777777" w:rsidTr="006A378D">
        <w:trPr>
          <w:trHeight w:val="288"/>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0C18A86E"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Hedonism</w:t>
            </w:r>
          </w:p>
        </w:tc>
        <w:tc>
          <w:tcPr>
            <w:tcW w:w="5680" w:type="dxa"/>
            <w:tcBorders>
              <w:top w:val="nil"/>
              <w:left w:val="nil"/>
              <w:bottom w:val="single" w:sz="4" w:space="0" w:color="auto"/>
              <w:right w:val="single" w:sz="4" w:space="0" w:color="auto"/>
            </w:tcBorders>
            <w:shd w:val="clear" w:color="auto" w:fill="auto"/>
            <w:vAlign w:val="bottom"/>
            <w:hideMark/>
          </w:tcPr>
          <w:p w14:paraId="29024E5E"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Pleasure and sensuous gratification for oneself.</w:t>
            </w:r>
          </w:p>
        </w:tc>
      </w:tr>
      <w:tr w:rsidR="00B0148D" w:rsidRPr="00B0148D" w14:paraId="11B3100D" w14:textId="77777777" w:rsidTr="006A378D">
        <w:trPr>
          <w:trHeight w:val="288"/>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083A565C"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Stimulation</w:t>
            </w:r>
          </w:p>
        </w:tc>
        <w:tc>
          <w:tcPr>
            <w:tcW w:w="5680" w:type="dxa"/>
            <w:tcBorders>
              <w:top w:val="nil"/>
              <w:left w:val="nil"/>
              <w:bottom w:val="single" w:sz="4" w:space="0" w:color="auto"/>
              <w:right w:val="single" w:sz="4" w:space="0" w:color="auto"/>
            </w:tcBorders>
            <w:shd w:val="clear" w:color="auto" w:fill="auto"/>
            <w:vAlign w:val="bottom"/>
            <w:hideMark/>
          </w:tcPr>
          <w:p w14:paraId="410FAED6"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Excitement, novelty, and challenge in life.</w:t>
            </w:r>
          </w:p>
        </w:tc>
      </w:tr>
      <w:tr w:rsidR="00B0148D" w:rsidRPr="00B0148D" w14:paraId="46F6FC10" w14:textId="77777777" w:rsidTr="006A378D">
        <w:trPr>
          <w:trHeight w:val="564"/>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1D7B8111"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Self-Direction</w:t>
            </w:r>
          </w:p>
        </w:tc>
        <w:tc>
          <w:tcPr>
            <w:tcW w:w="5680" w:type="dxa"/>
            <w:tcBorders>
              <w:top w:val="nil"/>
              <w:left w:val="nil"/>
              <w:bottom w:val="single" w:sz="4" w:space="0" w:color="auto"/>
              <w:right w:val="single" w:sz="4" w:space="0" w:color="auto"/>
            </w:tcBorders>
            <w:shd w:val="clear" w:color="auto" w:fill="auto"/>
            <w:vAlign w:val="bottom"/>
            <w:hideMark/>
          </w:tcPr>
          <w:p w14:paraId="26132173"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Independent thought and action; choosing, creating, exploring.</w:t>
            </w:r>
          </w:p>
        </w:tc>
      </w:tr>
      <w:tr w:rsidR="00B0148D" w:rsidRPr="00B0148D" w14:paraId="1F0BBBA8" w14:textId="77777777" w:rsidTr="006A378D">
        <w:trPr>
          <w:trHeight w:val="564"/>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0C30D000" w14:textId="77777777" w:rsidR="006A378D" w:rsidRPr="00B0148D" w:rsidRDefault="006A378D" w:rsidP="006A378D">
            <w:pPr>
              <w:spacing w:after="0" w:line="240" w:lineRule="auto"/>
              <w:rPr>
                <w:rFonts w:ascii="Times New Roman" w:eastAsia="Times New Roman" w:hAnsi="Times New Roman" w:cs="Times New Roman"/>
                <w:b/>
                <w:bCs/>
                <w:lang w:val="fi-FI" w:eastAsia="fi-FI"/>
              </w:rPr>
            </w:pPr>
            <w:r w:rsidRPr="00B0148D">
              <w:rPr>
                <w:rFonts w:ascii="Times New Roman" w:eastAsia="Times New Roman" w:hAnsi="Times New Roman" w:cs="Times New Roman"/>
                <w:b/>
                <w:bCs/>
                <w:lang w:val="fi-FI" w:eastAsia="fi-FI"/>
              </w:rPr>
              <w:t>Universalism</w:t>
            </w:r>
          </w:p>
        </w:tc>
        <w:tc>
          <w:tcPr>
            <w:tcW w:w="5680" w:type="dxa"/>
            <w:tcBorders>
              <w:top w:val="nil"/>
              <w:left w:val="nil"/>
              <w:bottom w:val="single" w:sz="4" w:space="0" w:color="auto"/>
              <w:right w:val="single" w:sz="4" w:space="0" w:color="auto"/>
            </w:tcBorders>
            <w:shd w:val="clear" w:color="auto" w:fill="auto"/>
            <w:vAlign w:val="bottom"/>
            <w:hideMark/>
          </w:tcPr>
          <w:p w14:paraId="47A84FD7" w14:textId="77777777" w:rsidR="006A378D" w:rsidRPr="00B0148D" w:rsidRDefault="006A378D" w:rsidP="006A378D">
            <w:pPr>
              <w:spacing w:after="0" w:line="240" w:lineRule="auto"/>
              <w:rPr>
                <w:rFonts w:ascii="Times New Roman" w:eastAsia="Times New Roman" w:hAnsi="Times New Roman" w:cs="Times New Roman"/>
                <w:i/>
                <w:iCs/>
                <w:lang w:eastAsia="fi-FI"/>
              </w:rPr>
            </w:pPr>
            <w:r w:rsidRPr="00B0148D">
              <w:rPr>
                <w:rFonts w:ascii="Times New Roman" w:eastAsia="Times New Roman" w:hAnsi="Times New Roman" w:cs="Times New Roman"/>
                <w:i/>
                <w:iCs/>
                <w:lang w:eastAsia="fi-FI"/>
              </w:rPr>
              <w:t>Understanding, appreciation, tolerance, and protection for the welfare of all people and for nature.</w:t>
            </w:r>
          </w:p>
        </w:tc>
      </w:tr>
    </w:tbl>
    <w:p w14:paraId="49246151" w14:textId="4DCE3DDB" w:rsidR="00F7023A" w:rsidRPr="00B0148D" w:rsidRDefault="00F7023A" w:rsidP="005F596B">
      <w:pPr>
        <w:jc w:val="both"/>
      </w:pPr>
    </w:p>
    <w:p w14:paraId="1416428C" w14:textId="63798F77" w:rsidR="00AC70B8" w:rsidRPr="00B0148D" w:rsidRDefault="00F468D3" w:rsidP="005F596B">
      <w:pPr>
        <w:jc w:val="both"/>
      </w:pPr>
      <w:r w:rsidRPr="00B0148D">
        <w:t xml:space="preserve">Individuals may hold several important values concurrently, </w:t>
      </w:r>
      <w:r w:rsidR="001167BA" w:rsidRPr="00B0148D">
        <w:t>which may complicate decision making</w:t>
      </w:r>
      <w:r w:rsidR="006A51F3" w:rsidRPr="00B0148D">
        <w:t xml:space="preserve"> </w:t>
      </w:r>
      <w:r w:rsidR="006A51F3" w:rsidRPr="00B0148D">
        <w:fldChar w:fldCharType="begin" w:fldLock="1"/>
      </w:r>
      <w:r w:rsidR="00BC46D7" w:rsidRPr="00B0148D">
        <w:instrText>ADDIN CSL_CITATION { "citationItems" : [ { "id" : "ITEM-1", "itemData" : { "DOI" : "10.1016/j.appet.2005.03.005", "ISBN" : "0195-6663 (Print)\\r0195-6663 (Linking)", "ISSN" : "01956663", "PMID" : "16018906", "abstract" : "This survey showed that the values power (dominance over nature and resources) and universalism (respect for people and for nature) are related to attitudes toward genetically modified food (GMF) and organically grown food (OGF). Furthermore, these values have an influence on the centrality, commitment and ambivalence of these attitudes. Values that are positively related to an attitude influence how central this attitude is to a person. However, values that are negatively related to an attitude have a larger effect on the commitment of this attitude. No such pattern of effects was found for the relationship between ambivalence and values. These data suggest that centrality, commitment, and ambivalence are structurally different constructs that have a distinct relationship with specific values. ?? 2005 Elsevier Ltd. All rights reserved.", "author" : [ { "dropping-particle" : "", "family" : "Dreezens", "given" : "Ellen", "non-dropping-particle" : "", "parse-names" : false, "suffix" : "" }, { "dropping-particle" : "", "family" : "Martijn", "given" : "Carolien", "non-dropping-particle" : "", "parse-names" : false, "suffix" : "" }, { "dropping-particle" : "", "family" : "Tenb\u00fclt", "given" : "Petra", "non-dropping-particle" : "", "parse-names" : false, "suffix" : "" }, { "dropping-particle" : "", "family" : "Kok", "given" : "Gerjo", "non-dropping-particle" : "", "parse-names" : false, "suffix" : "" }, { "dropping-particle" : "", "family" : "Vries", "given" : "Nanne K.", "non-dropping-particle" : "De", "parse-names" : false, "suffix" : "" } ], "container-title" : "Appetite", "id" : "ITEM-1", "issue" : "1", "issued" : { "date-parts" : [ [ "2005" ] ] }, "page" : "40-46", "title" : "Food and the relation between values and attitude characteristics", "type" : "article-journal", "volume" : "45" }, "uris" : [ "http://www.mendeley.com/documents/?uuid=5f1a60c9-4028-4615-abc4-d89ad0cd0270" ] } ], "mendeley" : { "formattedCitation" : "(Dreezens, Martijn, Tenb\u00fclt, Kok, &amp; De Vries, 2005a)", "manualFormatting" : "(Dreezens, Martijn, Tenb\u00fclt, Kok, &amp; De Vries, 2005a)", "plainTextFormattedCitation" : "(Dreezens, Martijn, Tenb\u00fclt, Kok, &amp; De Vries, 2005a)", "previouslyFormattedCitation" : "(Dreezens, Martijn, Tenb\u00fclt, Kok, &amp; De Vries, 2005a)" }, "properties" : { "noteIndex" : 0 }, "schema" : "https://github.com/citation-style-language/schema/raw/master/csl-citation.json" }</w:instrText>
      </w:r>
      <w:r w:rsidR="006A51F3" w:rsidRPr="00B0148D">
        <w:fldChar w:fldCharType="separate"/>
      </w:r>
      <w:r w:rsidR="003665C0" w:rsidRPr="00B0148D">
        <w:rPr>
          <w:noProof/>
        </w:rPr>
        <w:t>(</w:t>
      </w:r>
      <w:r w:rsidR="004476C3" w:rsidRPr="00B0148D">
        <w:rPr>
          <w:rFonts w:ascii="Calibri" w:hAnsi="Calibri" w:cs="Times New Roman"/>
          <w:noProof/>
          <w:szCs w:val="24"/>
        </w:rPr>
        <w:t>Dreezens, Martijn, Tenbült, Kok, &amp; De Vries,</w:t>
      </w:r>
      <w:r w:rsidR="006A51F3" w:rsidRPr="00B0148D">
        <w:rPr>
          <w:noProof/>
        </w:rPr>
        <w:t xml:space="preserve"> 2005a)</w:t>
      </w:r>
      <w:r w:rsidR="006A51F3" w:rsidRPr="00B0148D">
        <w:fldChar w:fldCharType="end"/>
      </w:r>
      <w:r w:rsidR="001167BA" w:rsidRPr="00B0148D">
        <w:t>. Because of this, it may</w:t>
      </w:r>
      <w:r w:rsidR="00AC70B8" w:rsidRPr="00B0148D">
        <w:t xml:space="preserve"> </w:t>
      </w:r>
      <w:r w:rsidR="006A51F3" w:rsidRPr="00B0148D">
        <w:t>not be</w:t>
      </w:r>
      <w:r w:rsidR="001167BA" w:rsidRPr="00B0148D">
        <w:t xml:space="preserve"> </w:t>
      </w:r>
      <w:r w:rsidR="00AC70B8" w:rsidRPr="00B0148D">
        <w:t xml:space="preserve">relevant to examine the role of individual values, but the holistic value system of </w:t>
      </w:r>
      <w:r w:rsidR="001167BA" w:rsidRPr="00B0148D">
        <w:t xml:space="preserve">an </w:t>
      </w:r>
      <w:r w:rsidR="00AC70B8" w:rsidRPr="00B0148D">
        <w:t>individual person</w:t>
      </w:r>
      <w:r w:rsidR="002A7CA5" w:rsidRPr="00B0148D">
        <w:t xml:space="preserve"> </w:t>
      </w:r>
      <w:r w:rsidR="002A7CA5" w:rsidRPr="00B0148D">
        <w:fldChar w:fldCharType="begin" w:fldLock="1"/>
      </w:r>
      <w:r w:rsidR="00BC46D7" w:rsidRPr="00B0148D">
        <w:instrText>ADDIN CSL_CITATION { "citationItems" : [ { "id" : "ITEM-1", "itemData" : { "DOI" : "10.1016/S0065-2601(08)60281-6", "author" : [ { "dropping-particle" : "", "family" : "Schwartz", "given" : "Shalom H.", "non-dropping-particle" : "", "parse-names" : false, "suffix" : "" } ], "container-title" : "Advances in Experimental Social Psychology", "editor" : [ { "dropping-particle" : "", "family" : "Zanna", "given" : "M.", "non-dropping-particle" : "", "parse-names" : false, "suffix" : "" } ], "id" : "ITEM-1", "issued" : { "date-parts" : [ [ "1992" ] ] }, "page" : "1-65", "publisher" : "Academic Press", "publisher-place" : "New York", "title" : "Universals in the content and structure of values: Theory and empirical tests in 20 countries.", "type" : "chapter", "volume" : "25" }, "uris" : [ "http://www.mendeley.com/documents/?uuid=1ee7a52d-3657-4158-b165-ceb8c3d57183" ] } ], "mendeley" : { "formattedCitation" : "(Schwartz, 1992)", "manualFormatting" : "(1992)", "plainTextFormattedCitation" : "(Schwartz, 1992)", "previouslyFormattedCitation" : "(Schwartz, 1992)" }, "properties" : { "noteIndex" : 0 }, "schema" : "https://github.com/citation-style-language/schema/raw/master/csl-citation.json" }</w:instrText>
      </w:r>
      <w:r w:rsidR="002A7CA5" w:rsidRPr="00B0148D">
        <w:fldChar w:fldCharType="separate"/>
      </w:r>
      <w:r w:rsidR="004476C3" w:rsidRPr="00B0148D">
        <w:rPr>
          <w:noProof/>
        </w:rPr>
        <w:t>(</w:t>
      </w:r>
      <w:r w:rsidR="00F72660" w:rsidRPr="00B0148D">
        <w:rPr>
          <w:noProof/>
        </w:rPr>
        <w:t xml:space="preserve">Schwartz, </w:t>
      </w:r>
      <w:r w:rsidR="002A7CA5" w:rsidRPr="00B0148D">
        <w:rPr>
          <w:noProof/>
        </w:rPr>
        <w:t>1992)</w:t>
      </w:r>
      <w:r w:rsidR="002A7CA5" w:rsidRPr="00B0148D">
        <w:fldChar w:fldCharType="end"/>
      </w:r>
      <w:r w:rsidR="00F72660" w:rsidRPr="00B0148D">
        <w:t>.</w:t>
      </w:r>
    </w:p>
    <w:p w14:paraId="233F6DDA" w14:textId="31B1569D" w:rsidR="006207DA" w:rsidRPr="00B0148D" w:rsidRDefault="005F596B" w:rsidP="006207DA">
      <w:pPr>
        <w:jc w:val="both"/>
        <w:rPr>
          <w:b/>
        </w:rPr>
      </w:pPr>
      <w:r w:rsidRPr="00B0148D">
        <w:rPr>
          <w:b/>
        </w:rPr>
        <w:t>1.</w:t>
      </w:r>
      <w:r w:rsidR="004D7CB3" w:rsidRPr="00B0148D">
        <w:rPr>
          <w:b/>
        </w:rPr>
        <w:t>3</w:t>
      </w:r>
      <w:r w:rsidRPr="00B0148D">
        <w:rPr>
          <w:b/>
        </w:rPr>
        <w:t xml:space="preserve"> </w:t>
      </w:r>
      <w:r w:rsidR="00793821" w:rsidRPr="00B0148D">
        <w:rPr>
          <w:b/>
        </w:rPr>
        <w:t>Value-based Food Choices</w:t>
      </w:r>
    </w:p>
    <w:p w14:paraId="1888DECA" w14:textId="11FB195E" w:rsidR="005F596B" w:rsidRPr="00B0148D" w:rsidRDefault="00F468D3" w:rsidP="005F596B">
      <w:pPr>
        <w:jc w:val="both"/>
      </w:pPr>
      <w:r w:rsidRPr="00B0148D">
        <w:t xml:space="preserve">Our personal values </w:t>
      </w:r>
      <w:r w:rsidR="005F596B" w:rsidRPr="00B0148D">
        <w:t xml:space="preserve">significantly </w:t>
      </w:r>
      <w:r w:rsidRPr="00B0148D">
        <w:t>affect</w:t>
      </w:r>
      <w:r w:rsidR="005F596B" w:rsidRPr="00B0148D">
        <w:t xml:space="preserve"> the everyday choices we make. They</w:t>
      </w:r>
      <w:r w:rsidRPr="00B0148D">
        <w:t xml:space="preserve"> are</w:t>
      </w:r>
      <w:r w:rsidR="005F596B" w:rsidRPr="00B0148D">
        <w:t xml:space="preserve"> reflect</w:t>
      </w:r>
      <w:r w:rsidRPr="00B0148D">
        <w:t>ed in</w:t>
      </w:r>
      <w:r w:rsidR="005F596B" w:rsidRPr="00B0148D">
        <w:t xml:space="preserve"> the decisions and evaluations we have to make to cope with our </w:t>
      </w:r>
      <w:r w:rsidRPr="00B0148D">
        <w:t>routine</w:t>
      </w:r>
      <w:r w:rsidR="005F596B" w:rsidRPr="00B0148D">
        <w:t xml:space="preserve"> everyday tasks such as grocery shopping and parenting. </w:t>
      </w:r>
      <w:r w:rsidR="00C4725E" w:rsidRPr="00B0148D">
        <w:t>I</w:t>
      </w:r>
      <w:r w:rsidR="005F596B" w:rsidRPr="00B0148D">
        <w:t>n western societ</w:t>
      </w:r>
      <w:r w:rsidR="00C4725E" w:rsidRPr="00B0148D">
        <w:t>ies</w:t>
      </w:r>
      <w:r w:rsidRPr="00B0148D">
        <w:t>,</w:t>
      </w:r>
      <w:r w:rsidR="005F596B" w:rsidRPr="00B0148D">
        <w:t xml:space="preserve"> ther</w:t>
      </w:r>
      <w:r w:rsidRPr="00B0148D">
        <w:t>e is no shortage of food supply</w:t>
      </w:r>
      <w:r w:rsidR="005F596B" w:rsidRPr="00B0148D">
        <w:t xml:space="preserve"> </w:t>
      </w:r>
      <w:r w:rsidR="009F6C1C" w:rsidRPr="00B0148D">
        <w:t xml:space="preserve">and </w:t>
      </w:r>
      <w:r w:rsidR="00C4725E" w:rsidRPr="00B0148D">
        <w:t>individuals</w:t>
      </w:r>
      <w:r w:rsidR="005F596B" w:rsidRPr="00B0148D">
        <w:t xml:space="preserve"> </w:t>
      </w:r>
      <w:r w:rsidR="00167251" w:rsidRPr="00B0148D">
        <w:t xml:space="preserve">may examine </w:t>
      </w:r>
      <w:r w:rsidR="005F596B" w:rsidRPr="00B0148D">
        <w:t>cho</w:t>
      </w:r>
      <w:r w:rsidR="009F6C1C" w:rsidRPr="00B0148D">
        <w:t>ices from a holistic</w:t>
      </w:r>
      <w:r w:rsidR="00F70332" w:rsidRPr="00B0148D">
        <w:t xml:space="preserve"> perspective</w:t>
      </w:r>
      <w:r w:rsidR="00C4725E" w:rsidRPr="00B0148D">
        <w:t>.</w:t>
      </w:r>
      <w:r w:rsidR="00F70332" w:rsidRPr="00B0148D">
        <w:t xml:space="preserve"> </w:t>
      </w:r>
      <w:r w:rsidR="00C4725E" w:rsidRPr="00B0148D">
        <w:t>I</w:t>
      </w:r>
      <w:r w:rsidR="00F70332" w:rsidRPr="00B0148D">
        <w:t>n</w:t>
      </w:r>
      <w:r w:rsidR="005F596B" w:rsidRPr="00B0148D">
        <w:t xml:space="preserve"> addition to the actual </w:t>
      </w:r>
      <w:r w:rsidR="00167251" w:rsidRPr="00B0148D">
        <w:t>physical properties</w:t>
      </w:r>
      <w:r w:rsidR="00FB5F49" w:rsidRPr="00B0148D">
        <w:t xml:space="preserve"> of food</w:t>
      </w:r>
      <w:r w:rsidR="00167251" w:rsidRPr="00B0148D">
        <w:t xml:space="preserve">, </w:t>
      </w:r>
      <w:r w:rsidR="005F596B" w:rsidRPr="00B0148D">
        <w:t>personal set</w:t>
      </w:r>
      <w:r w:rsidRPr="00B0148D">
        <w:t>s</w:t>
      </w:r>
      <w:r w:rsidR="005F596B" w:rsidRPr="00B0148D">
        <w:t xml:space="preserve"> of values will </w:t>
      </w:r>
      <w:r w:rsidRPr="00B0148D">
        <w:t xml:space="preserve">also </w:t>
      </w:r>
      <w:r w:rsidR="00C765E1" w:rsidRPr="00B0148D">
        <w:t xml:space="preserve">modify </w:t>
      </w:r>
      <w:r w:rsidR="00ED0A27" w:rsidRPr="00B0148D">
        <w:t>decision-</w:t>
      </w:r>
      <w:r w:rsidR="00C765E1" w:rsidRPr="00B0148D">
        <w:t>making.</w:t>
      </w:r>
      <w:r w:rsidR="005F596B" w:rsidRPr="00B0148D">
        <w:t xml:space="preserve"> It may b</w:t>
      </w:r>
      <w:r w:rsidR="002659EE" w:rsidRPr="00B0148D">
        <w:t>e difficult to differentiate a</w:t>
      </w:r>
      <w:r w:rsidR="005F596B" w:rsidRPr="00B0148D">
        <w:t xml:space="preserve"> product from a wide selection possessing similar qualities</w:t>
      </w:r>
      <w:r w:rsidR="008A507E" w:rsidRPr="00B0148D">
        <w:t xml:space="preserve"> without a</w:t>
      </w:r>
      <w:r w:rsidR="00DC2872" w:rsidRPr="00B0148D">
        <w:t>ny information</w:t>
      </w:r>
      <w:r w:rsidR="005F596B" w:rsidRPr="00B0148D">
        <w:t>.</w:t>
      </w:r>
      <w:r w:rsidR="00C765E1" w:rsidRPr="00B0148D">
        <w:t xml:space="preserve"> </w:t>
      </w:r>
      <w:r w:rsidR="005F596B" w:rsidRPr="00B0148D">
        <w:t xml:space="preserve">When </w:t>
      </w:r>
      <w:r w:rsidR="002659EE" w:rsidRPr="00B0148D">
        <w:t xml:space="preserve">a </w:t>
      </w:r>
      <w:r w:rsidR="005F596B" w:rsidRPr="00B0148D">
        <w:t xml:space="preserve">product is </w:t>
      </w:r>
      <w:r w:rsidR="002659EE" w:rsidRPr="00B0148D">
        <w:t>accompanied</w:t>
      </w:r>
      <w:r w:rsidR="004E4E81" w:rsidRPr="00B0148D">
        <w:t xml:space="preserve"> with additional</w:t>
      </w:r>
      <w:r w:rsidR="005F596B" w:rsidRPr="00B0148D">
        <w:t xml:space="preserve"> information, it has the potential to raise expectations towards the product. Not all information</w:t>
      </w:r>
      <w:r w:rsidR="002659EE" w:rsidRPr="00B0148D">
        <w:t xml:space="preserve"> will</w:t>
      </w:r>
      <w:r w:rsidR="005F596B" w:rsidRPr="00B0148D">
        <w:t xml:space="preserve"> raise positive expectations, </w:t>
      </w:r>
      <w:r w:rsidR="002659EE" w:rsidRPr="00B0148D">
        <w:t>positive expectations</w:t>
      </w:r>
      <w:r w:rsidR="005F596B" w:rsidRPr="00B0148D">
        <w:t xml:space="preserve"> are based on </w:t>
      </w:r>
      <w:r w:rsidR="002659EE" w:rsidRPr="00B0148D">
        <w:t xml:space="preserve">the </w:t>
      </w:r>
      <w:r w:rsidR="005F596B" w:rsidRPr="00B0148D">
        <w:t xml:space="preserve">trust which is initiated by the information. </w:t>
      </w:r>
      <w:r w:rsidR="00C765E1" w:rsidRPr="00B0148D">
        <w:fldChar w:fldCharType="begin" w:fldLock="1"/>
      </w:r>
      <w:r w:rsidR="00C04490" w:rsidRPr="00B0148D">
        <w:instrText>ADDIN CSL_CITATION { "citationItems" : [ { "id" : "ITEM-1", "itemData" : { "DOI" : "10.1016/j.foodqual.2014.07.006", "ISSN" : "0950-3293", "author" : [ { "dropping-particle" : "", "family" : "Migliore", "given" : "Giuseppina", "non-dropping-particle" : "", "parse-names" : false, "suffix" : "" }, { "dropping-particle" : "", "family" : "Schifani", "given" : "Giorgio", "non-dropping-particle" : "", "parse-names" : false, "suffix" : "" }, { "dropping-particle" : "", "family" : "Cembalo", "given" : "Luigi", "non-dropping-particle" : "", "parse-names" : false, "suffix" : "" } ], "container-title" : "Food Quality and Preference", "id" : "ITEM-1", "issued" : { "date-parts" : [ [ "2015" ] ] }, "page" : "141-146", "publisher" : "Elsevier Ltd", "title" : "Opening the black box of food quality in the short supply chain : Effects of conventions of quality on consumer choice", "type" : "article-journal", "volume" : "39" }, "uris" : [ "http://www.mendeley.com/documents/?uuid=0a7cd4c5-3588-45d9-bf68-2ebc301ae45d" ] } ], "mendeley" : { "formattedCitation" : "(Migliore, Schifani, &amp; Cembalo, 2015)", "manualFormatting" : "(Migliore, Schifani, &amp; Cembalo, 2015)", "plainTextFormattedCitation" : "(Migliore, Schifani, &amp; Cembalo, 2015)", "previouslyFormattedCitation" : "(Migliore, Schifani, &amp; Cembalo, 2015)" }, "properties" : { "noteIndex" : 0 }, "schema" : "https://github.com/citation-style-language/schema/raw/master/csl-citation.json" }</w:instrText>
      </w:r>
      <w:r w:rsidR="00C765E1" w:rsidRPr="00B0148D">
        <w:fldChar w:fldCharType="separate"/>
      </w:r>
      <w:r w:rsidR="00C765E1" w:rsidRPr="00B0148D">
        <w:rPr>
          <w:noProof/>
        </w:rPr>
        <w:t>(</w:t>
      </w:r>
      <w:r w:rsidR="00BC46D7" w:rsidRPr="00B0148D">
        <w:rPr>
          <w:rFonts w:ascii="Calibri" w:hAnsi="Calibri" w:cs="Times New Roman"/>
          <w:noProof/>
          <w:szCs w:val="24"/>
        </w:rPr>
        <w:t>Migliore, Schifani, &amp; Cembalo,</w:t>
      </w:r>
      <w:r w:rsidR="00C765E1" w:rsidRPr="00B0148D">
        <w:rPr>
          <w:noProof/>
        </w:rPr>
        <w:t xml:space="preserve"> 2015)</w:t>
      </w:r>
      <w:r w:rsidR="00C765E1" w:rsidRPr="00B0148D">
        <w:fldChar w:fldCharType="end"/>
      </w:r>
      <w:r w:rsidR="00C765E1" w:rsidRPr="00B0148D">
        <w:t xml:space="preserve">. </w:t>
      </w:r>
      <w:r w:rsidR="002659EE" w:rsidRPr="00B0148D">
        <w:t>The</w:t>
      </w:r>
      <w:r w:rsidR="00523697" w:rsidRPr="00B0148D">
        <w:t xml:space="preserve"> origin</w:t>
      </w:r>
      <w:r w:rsidR="002659EE" w:rsidRPr="00B0148D">
        <w:t xml:space="preserve"> of the food</w:t>
      </w:r>
      <w:r w:rsidR="00523697" w:rsidRPr="00B0148D">
        <w:t xml:space="preserve"> and especially locally produced food is associated with other qualities such as fairness, environmental friendliness, and ethical production.</w:t>
      </w:r>
      <w:r w:rsidR="00C765E1" w:rsidRPr="00B0148D">
        <w:t xml:space="preserve"> If these factors are in line with the pe</w:t>
      </w:r>
      <w:r w:rsidR="00F73D9B" w:rsidRPr="00B0148D">
        <w:t xml:space="preserve">rsonal values of </w:t>
      </w:r>
      <w:r w:rsidR="002659EE" w:rsidRPr="00B0148D">
        <w:t xml:space="preserve">the </w:t>
      </w:r>
      <w:r w:rsidR="00F73D9B" w:rsidRPr="00B0148D">
        <w:t xml:space="preserve">consumer, </w:t>
      </w:r>
      <w:r w:rsidR="00C765E1" w:rsidRPr="00B0148D">
        <w:t xml:space="preserve">it may be </w:t>
      </w:r>
      <w:r w:rsidR="002659EE" w:rsidRPr="00B0148D">
        <w:t>the</w:t>
      </w:r>
      <w:r w:rsidR="00C765E1" w:rsidRPr="00B0148D">
        <w:t xml:space="preserve"> decisive factor </w:t>
      </w:r>
      <w:r w:rsidR="002659EE" w:rsidRPr="00B0148D">
        <w:t xml:space="preserve">determining </w:t>
      </w:r>
      <w:r w:rsidR="00C765E1" w:rsidRPr="00B0148D">
        <w:t>consumption or purchase</w:t>
      </w:r>
      <w:r w:rsidR="00630006" w:rsidRPr="00B0148D">
        <w:t>.</w:t>
      </w:r>
      <w:r w:rsidR="00743C4A" w:rsidRPr="00B0148D">
        <w:t xml:space="preserve"> </w:t>
      </w:r>
      <w:r w:rsidR="00F70332" w:rsidRPr="00B0148D">
        <w:t>For example</w:t>
      </w:r>
      <w:r w:rsidR="002659EE" w:rsidRPr="00B0148D">
        <w:t>,</w:t>
      </w:r>
      <w:r w:rsidR="00743C4A" w:rsidRPr="00B0148D">
        <w:t xml:space="preserve"> a study conducted by </w:t>
      </w:r>
      <w:r w:rsidR="00BC46D7" w:rsidRPr="00B0148D">
        <w:rPr>
          <w:rFonts w:ascii="Calibri" w:hAnsi="Calibri" w:cs="Times New Roman"/>
          <w:noProof/>
          <w:szCs w:val="24"/>
        </w:rPr>
        <w:t>O’Connor, Sims, &amp; White</w:t>
      </w:r>
      <w:r w:rsidR="00BC46D7" w:rsidRPr="00B0148D">
        <w:t xml:space="preserve"> </w:t>
      </w:r>
      <w:r w:rsidR="0083058B" w:rsidRPr="00B0148D">
        <w:fldChar w:fldCharType="begin" w:fldLock="1"/>
      </w:r>
      <w:r w:rsidR="009B26BE" w:rsidRPr="00B0148D">
        <w:instrText>ADDIN CSL_CITATION { "citationItems" : [ { "id" : "ITEM-1", "itemData" : { "DOI" : "10.1016/j.foodqual.2017.04.001", "ISSN" : "09503293", "abstract" : "Fair Trade is a product certification system and social movement that aims to address global supply-chain issues such as forced labour, unsafe working conditions, and unfair pay for workers. The potential for Fair Trade to benefit producers relies directly on consumers? decisions to support these products in their food purchasing choices. An extended Theory of Planned Behaviour (TPB) was used to investigate Fair Trade purchasing among a university student and community sample (N?=?178). First, the reliability of the extended TPB measures was confirmed via confirmatory factor analysis. Second, a proposed model predicting people's Fair Trade purchasing behaviour showed a good fit via structural equation modelling. The model indicated that attitude, perceived behavioural control, self-identity, and moral norm predicted intentions which, in turn, predicted fair trade purchasing behaviour. The model explained 62.6% and 40.5% of the variance in intention and behaviour, respectively. Finally, a series of MANOVAs established that the underlying TPB beliefs of ?making me feel good?; ?reflecting my values?, and ?being unable to afford Fair Trade products? distinguished between people who did and did not purchase Fair Trade products. These salient beliefs, in conjunction with the identified predictors of people's intentions and behaviour, can be used in persuasive campaigns by those advocating socially-motivated behaviour changes in our food choices.", "author" : [ { "dropping-particle" : "", "family" : "O'Connor", "given" : "Erin L.", "non-dropping-particle" : "", "parse-names" : false, "suffix" : "" }, { "dropping-particle" : "", "family" : "Sims", "given" : "Lauren", "non-dropping-particle" : "", "parse-names" : false, "suffix" : "" }, { "dropping-particle" : "", "family" : "White", "given" : "Katherine M.", "non-dropping-particle" : "", "parse-names" : false, "suffix" : "" } ], "container-title" : "Food Quality and Preference", "id" : "ITEM-1", "issued" : { "date-parts" : [ [ "2017" ] ] }, "page" : "105-112", "publisher" : "Elsevier", "title" : "Ethical food choices: Examining people's Fair Trade purchasing decisions", "type" : "article-journal", "volume" : "60" }, "uris" : [ "http://www.mendeley.com/documents/?uuid=daa74c32-f8ac-46c0-a00c-290546949b1b" ] } ], "mendeley" : { "formattedCitation" : "(O\u2019Connor, Sims, &amp; White, 2017)", "manualFormatting" : "(2017)", "plainTextFormattedCitation" : "(O\u2019Connor, Sims, &amp; White, 2017)", "previouslyFormattedCitation" : "(O\u2019Connor, Sims, &amp; White, 2017)" }, "properties" : { "noteIndex" : 0 }, "schema" : "https://github.com/citation-style-language/schema/raw/master/csl-citation.json" }</w:instrText>
      </w:r>
      <w:r w:rsidR="0083058B" w:rsidRPr="00B0148D">
        <w:fldChar w:fldCharType="separate"/>
      </w:r>
      <w:r w:rsidR="00167251" w:rsidRPr="00B0148D">
        <w:rPr>
          <w:noProof/>
        </w:rPr>
        <w:t>(</w:t>
      </w:r>
      <w:r w:rsidR="0083058B" w:rsidRPr="00B0148D">
        <w:rPr>
          <w:noProof/>
        </w:rPr>
        <w:t>2017)</w:t>
      </w:r>
      <w:r w:rsidR="0083058B" w:rsidRPr="00B0148D">
        <w:fldChar w:fldCharType="end"/>
      </w:r>
      <w:r w:rsidR="00167251" w:rsidRPr="00B0148D">
        <w:t xml:space="preserve"> </w:t>
      </w:r>
      <w:r w:rsidR="00AF24D7" w:rsidRPr="00B0148D">
        <w:t>showed that people who</w:t>
      </w:r>
      <w:r w:rsidR="00743C4A" w:rsidRPr="00B0148D">
        <w:t xml:space="preserve"> buy Fair Trade prod</w:t>
      </w:r>
      <w:r w:rsidR="00F73D9B" w:rsidRPr="00B0148D">
        <w:t>ucts</w:t>
      </w:r>
      <w:r w:rsidR="00AF24D7" w:rsidRPr="00B0148D">
        <w:t xml:space="preserve"> do so because it</w:t>
      </w:r>
      <w:r w:rsidR="00F73D9B" w:rsidRPr="00B0148D">
        <w:t xml:space="preserve"> </w:t>
      </w:r>
      <w:r w:rsidR="00743C4A" w:rsidRPr="00B0148D">
        <w:t>make</w:t>
      </w:r>
      <w:r w:rsidR="00F73D9B" w:rsidRPr="00B0148D">
        <w:t>s</w:t>
      </w:r>
      <w:r w:rsidR="00743C4A" w:rsidRPr="00B0148D">
        <w:t xml:space="preserve"> them feel good and reflect</w:t>
      </w:r>
      <w:r w:rsidR="00AF24D7" w:rsidRPr="00B0148D">
        <w:t>s</w:t>
      </w:r>
      <w:r w:rsidR="00743C4A" w:rsidRPr="00B0148D">
        <w:t xml:space="preserve"> their values</w:t>
      </w:r>
      <w:r w:rsidR="00AF24D7" w:rsidRPr="00B0148D">
        <w:t>; this</w:t>
      </w:r>
      <w:r w:rsidR="00743C4A" w:rsidRPr="00B0148D">
        <w:t xml:space="preserve"> differ</w:t>
      </w:r>
      <w:r w:rsidR="00AF24D7" w:rsidRPr="00B0148D">
        <w:t>s</w:t>
      </w:r>
      <w:r w:rsidR="00743C4A" w:rsidRPr="00B0148D">
        <w:t xml:space="preserve"> significantly from the opposing group </w:t>
      </w:r>
      <w:r w:rsidR="00AF24D7" w:rsidRPr="00B0148D">
        <w:t>who do not buy them</w:t>
      </w:r>
      <w:r w:rsidR="00743C4A" w:rsidRPr="00B0148D">
        <w:t>.</w:t>
      </w:r>
    </w:p>
    <w:p w14:paraId="4292067F" w14:textId="3086EA51" w:rsidR="002B3664" w:rsidRPr="00B0148D" w:rsidRDefault="002B3664" w:rsidP="005F596B">
      <w:pPr>
        <w:jc w:val="both"/>
      </w:pPr>
      <w:r w:rsidRPr="00B0148D">
        <w:t>Several previous studies have found evidence that</w:t>
      </w:r>
      <w:r w:rsidR="00526B82" w:rsidRPr="00B0148D">
        <w:t xml:space="preserve"> in the adult population</w:t>
      </w:r>
      <w:r w:rsidRPr="00B0148D">
        <w:t xml:space="preserve"> values may have a role as an explanatory factor in attitudes towards food. </w:t>
      </w:r>
      <w:r w:rsidR="004F13B8" w:rsidRPr="00B0148D">
        <w:t>People w</w:t>
      </w:r>
      <w:r w:rsidR="00AF24D7" w:rsidRPr="00B0148D">
        <w:t>ith different set of values place different emphase</w:t>
      </w:r>
      <w:r w:rsidR="004F13B8" w:rsidRPr="00B0148D">
        <w:t xml:space="preserve">s on their choices. </w:t>
      </w:r>
      <w:r w:rsidR="00AF24D7" w:rsidRPr="00B0148D">
        <w:t>These groups react to different cues in very diverse ways</w:t>
      </w:r>
      <w:r w:rsidR="004F13B8" w:rsidRPr="00B0148D">
        <w:t>, because the reward from</w:t>
      </w:r>
      <w:r w:rsidR="00AF24D7" w:rsidRPr="00B0148D">
        <w:t xml:space="preserve"> a</w:t>
      </w:r>
      <w:r w:rsidR="004F13B8" w:rsidRPr="00B0148D">
        <w:t xml:space="preserve"> ‘right’ action differ</w:t>
      </w:r>
      <w:r w:rsidR="00812953" w:rsidRPr="00B0148D">
        <w:t>s</w:t>
      </w:r>
      <w:r w:rsidR="004F13B8" w:rsidRPr="00B0148D">
        <w:t xml:space="preserve"> significantly</w:t>
      </w:r>
      <w:r w:rsidR="00812953" w:rsidRPr="00B0148D">
        <w:t xml:space="preserve"> between individuals</w:t>
      </w:r>
      <w:r w:rsidR="004F13B8" w:rsidRPr="00B0148D">
        <w:t xml:space="preserve">. </w:t>
      </w:r>
      <w:r w:rsidR="00B32955" w:rsidRPr="00B0148D">
        <w:t>For instance</w:t>
      </w:r>
      <w:r w:rsidR="00AF24D7" w:rsidRPr="00B0148D">
        <w:t>, for</w:t>
      </w:r>
      <w:r w:rsidR="00D7702C" w:rsidRPr="00B0148D">
        <w:t xml:space="preserve"> the group with pro-environmental values</w:t>
      </w:r>
      <w:r w:rsidR="00B32955" w:rsidRPr="00B0148D">
        <w:t>,</w:t>
      </w:r>
      <w:r w:rsidR="004F13B8" w:rsidRPr="00B0148D">
        <w:t xml:space="preserve"> </w:t>
      </w:r>
      <w:r w:rsidR="00AF24D7" w:rsidRPr="00B0148D">
        <w:t>buying local food may generate</w:t>
      </w:r>
      <w:r w:rsidR="004F13B8" w:rsidRPr="00B0148D">
        <w:t xml:space="preserve"> moral satisfaction</w:t>
      </w:r>
      <w:r w:rsidR="002709DE" w:rsidRPr="00B0148D">
        <w:t xml:space="preserve"> </w:t>
      </w:r>
      <w:r w:rsidR="0085418F" w:rsidRPr="00B0148D">
        <w:t xml:space="preserve">for </w:t>
      </w:r>
      <w:r w:rsidR="004F13B8" w:rsidRPr="00B0148D">
        <w:t xml:space="preserve">those with altruistic values </w:t>
      </w:r>
      <w:r w:rsidR="004F13B8" w:rsidRPr="00B0148D">
        <w:fldChar w:fldCharType="begin" w:fldLock="1"/>
      </w:r>
      <w:r w:rsidR="0079125F" w:rsidRPr="00B0148D">
        <w:instrText>ADDIN CSL_CITATION { "citationItems" : [ { "id" : "ITEM-1", "itemData" : { "DOI" : "10.1016/j.appet.2015.04.006", "ISSN" : "01956663", "author" : [ { "dropping-particle" : "", "family" : "Bratanova", "given" : "Boyka", "non-dropping-particle" : "", "parse-names" : false, "suffix" : "" }, { "dropping-particle" : "", "family" : "Vauclair", "given" : "Christin-Melanie", "non-dropping-particle" : "", "parse-names" : false, "suffix" : "" }, { "dropping-particle" : "", "family" : "Kervyn", "given" : "Nicolas", "non-dropping-particle" : "", "parse-names" : false, "suffix" : "" }, { "dropping-particle" : "", "family" : "Schumann", "given" : "Sandy", "non-dropping-particle" : "", "parse-names" : false, "suffix" : "" }, { "dropping-particle" : "", "family" : "Wood", "given" : "Robert", "non-dropping-particle" : "", "parse-names" : false, "suffix" : "" }, { "dropping-particle" : "", "family" : "Klein", "given" : "Olivier", "non-dropping-particle" : "", "parse-names" : false, "suffix" : "" } ], "container-title" : "Appetite", "id" : "ITEM-1", "issued" : { "date-parts" : [ [ "2015" ] ] }, "page" : "137-149", "publisher" : "Elsevier Ltd", "title" : "Savouring morality. Moral satisfaction renders food of ethical origin subjectively tastier", "type" : "article-journal", "volume" : "91" }, "uris" : [ "http://www.mendeley.com/documents/?uuid=340703e6-ff5e-46b7-8f04-3dfdb0c8eba9" ] } ], "mendeley" : { "formattedCitation" : "(Bratanova et al., 2015)", "plainTextFormattedCitation" : "(Bratanova et al., 2015)", "previouslyFormattedCitation" : "(Bratanova et al., 2015)" }, "properties" : { "noteIndex" : 0 }, "schema" : "https://github.com/citation-style-language/schema/raw/master/csl-citation.json" }</w:instrText>
      </w:r>
      <w:r w:rsidR="004F13B8" w:rsidRPr="00B0148D">
        <w:fldChar w:fldCharType="separate"/>
      </w:r>
      <w:r w:rsidR="004F13B8" w:rsidRPr="00B0148D">
        <w:rPr>
          <w:noProof/>
        </w:rPr>
        <w:t>(Bratanova et al., 2015)</w:t>
      </w:r>
      <w:r w:rsidR="004F13B8" w:rsidRPr="00B0148D">
        <w:fldChar w:fldCharType="end"/>
      </w:r>
      <w:r w:rsidR="004F13B8" w:rsidRPr="00B0148D">
        <w:t>.</w:t>
      </w:r>
      <w:r w:rsidR="00B32955" w:rsidRPr="00B0148D">
        <w:t xml:space="preserve"> </w:t>
      </w:r>
      <w:r w:rsidR="00BC46D7" w:rsidRPr="00B0148D">
        <w:t>In a study by Kihlberg &amp;</w:t>
      </w:r>
      <w:r w:rsidR="00B32955" w:rsidRPr="00B0148D">
        <w:t xml:space="preserve"> Risvik </w:t>
      </w:r>
      <w:r w:rsidR="00B32955" w:rsidRPr="00B0148D">
        <w:fldChar w:fldCharType="begin" w:fldLock="1"/>
      </w:r>
      <w:r w:rsidR="00B32955" w:rsidRPr="00B0148D">
        <w:instrText>ADDIN CSL_CITATION { "citationItems" : [ { "id" : "ITEM-1", "itemData" : { "DOI" : "10.1016/j.foodqual.2006.03.023", "ISBN" : "0950-3293", "ISSN" : "09503293", "abstract" : "Five, quite different white pan breads were chosen from twelve samples using Principal Component Analysis. Milling, baking, sensory assessment and sample preparation are described in [Kihlberg, I., ??str??m, ??., Johansson, L., &amp; Risvik, E. (2006). Sensory qualities of plain white pan bread - influence of farming system, year of harvest and baking technique. Journal of Cereal Science, 43(1), 15-30]. A consumer acceptance test was conducted on 184 consumers of organic products in two age groups, ???30 and &gt;30 years. The selected breads were tasted and scored for liking. Subsequent to the tasting, the consumers responded to a questionnaire including a complete set of the 56 Schwartz values and 10 statements related to issues of specific interest. Results confirmed the main groups of the near universal structure of values suggested by Schwartz and revealed different segments among organic consumers. Consumption frequency was also related to the values. Consumer groups differed significantly in values and in liking of breads. Among the most liked breads were both organic and conventional breads. The majority of consumers considered that organic food tastes better than conventional and that consumption of organic bread should increase. Moreover, about 50% declared that they would not buy an organic food product that was appreciably higher in price than a corresponding conventional food product. ?? 2006 Elsevier Ltd. All rights reserved.", "author" : [ { "dropping-particle" : "", "family" : "Kihlberg", "given" : "Iwona", "non-dropping-particle" : "", "parse-names" : false, "suffix" : "" }, { "dropping-particle" : "", "family" : "Risvik", "given" : "Einar", "non-dropping-particle" : "", "parse-names" : false, "suffix" : "" } ], "container-title" : "Food Quality and Preference", "id" : "ITEM-1", "issue" : "3", "issued" : { "date-parts" : [ [ "2007" ] ] }, "page" : "471-481", "title" : "Consumers of organic foods - value segments and liking of bread", "type" : "article-journal", "volume" : "18" }, "uris" : [ "http://www.mendeley.com/documents/?uuid=6662c996-7df9-423a-964a-ff6051e2ed0d" ] } ], "mendeley" : { "formattedCitation" : "(Kihlberg &amp; Risvik, 2007)", "manualFormatting" : "(2007)", "plainTextFormattedCitation" : "(Kihlberg &amp; Risvik, 2007)", "previouslyFormattedCitation" : "(Kihlberg &amp; Risvik, 2007)" }, "properties" : { "noteIndex" : 0 }, "schema" : "https://github.com/citation-style-language/schema/raw/master/csl-citation.json" }</w:instrText>
      </w:r>
      <w:r w:rsidR="00B32955" w:rsidRPr="00B0148D">
        <w:fldChar w:fldCharType="separate"/>
      </w:r>
      <w:r w:rsidR="00B32955" w:rsidRPr="00B0148D">
        <w:rPr>
          <w:noProof/>
        </w:rPr>
        <w:t>(2007)</w:t>
      </w:r>
      <w:r w:rsidR="00B32955" w:rsidRPr="00B0148D">
        <w:fldChar w:fldCharType="end"/>
      </w:r>
      <w:r w:rsidR="00AF24D7" w:rsidRPr="00B0148D">
        <w:t>,</w:t>
      </w:r>
      <w:r w:rsidR="002709DE" w:rsidRPr="00B0148D">
        <w:t xml:space="preserve"> values associated with</w:t>
      </w:r>
      <w:r w:rsidR="00AF24D7" w:rsidRPr="00B0148D">
        <w:t xml:space="preserve"> the</w:t>
      </w:r>
      <w:r w:rsidR="002709DE" w:rsidRPr="00B0148D">
        <w:t xml:space="preserve"> C</w:t>
      </w:r>
      <w:r w:rsidR="00B32955" w:rsidRPr="00B0148D">
        <w:t xml:space="preserve">onservation dimension seem to explain </w:t>
      </w:r>
      <w:r w:rsidR="00AF24D7" w:rsidRPr="00B0148D">
        <w:t xml:space="preserve">the </w:t>
      </w:r>
      <w:r w:rsidR="00B32955" w:rsidRPr="00B0148D">
        <w:t xml:space="preserve">majority of variation in the data between different consumer segments. </w:t>
      </w:r>
      <w:r w:rsidR="00354C54" w:rsidRPr="00B0148D">
        <w:t xml:space="preserve"> </w:t>
      </w:r>
      <w:r w:rsidR="00BC46D7" w:rsidRPr="00B0148D">
        <w:rPr>
          <w:rFonts w:ascii="Calibri" w:hAnsi="Calibri" w:cs="Times New Roman"/>
          <w:noProof/>
          <w:szCs w:val="24"/>
        </w:rPr>
        <w:t>Mäkiniemi, Pirttilä-Backman, &amp; Pieri</w:t>
      </w:r>
      <w:r w:rsidR="00BC46D7" w:rsidRPr="00B0148D">
        <w:t xml:space="preserve"> </w:t>
      </w:r>
      <w:r w:rsidR="00354C54" w:rsidRPr="00B0148D">
        <w:fldChar w:fldCharType="begin" w:fldLock="1"/>
      </w:r>
      <w:r w:rsidR="00354C54" w:rsidRPr="00B0148D">
        <w:instrText>ADDIN CSL_CITATION { "citationItems" : [ { "id" : "ITEM-1", "itemData" : { "DOI" : "10.1016/j.appet.2011.01.023", "ISBN" : "1095-8304 (Electronic)\\r0195-6663 (Linking)", "ISSN" : "01956663", "PMID" : "21277922", "abstract" : "The consumption of ethical food is an area of major growth. The aim of the current study was to identify ethical concerns regarding food. University students (N= 403) from Finland, Denmark and Italy completed a word association task, in which the given stimulus words were \" ethical food\" and \" unethical food\" The data was first analysed qualitatively. Next, the most relevant, core categories were identified based on the frequency, rank and contextual stability. The results indicated that fourteen categories reflect the content and nature of ethical thinking with respect to food. The identified categories were required/prohibited food, natural/unnatural, local/global, healthy/. unhealthy, equality/. inequality, good animal welfare/. poor animal welfare, rules and descriptions. In all countries, the core categories emerging from the stimulus word \" ethical food\" were the required food and the natural, while the core category identified from the stimulus word \" unethical food\" was the prohibited food. The most prevalent differences between the countries concerned the role of health, country of origin and the descriptions. In conclusion, various ethical aspects are considered when food is evaluated in ethical terms, but the relevance of these aspects differ, even in the European context. ?? 2011 Elsevier Ltd.", "author" : [ { "dropping-particle" : "", "family" : "M\u00e4kiniemi", "given" : "Jaana Piia", "non-dropping-particle" : "", "parse-names" : false, "suffix" : "" }, { "dropping-particle" : "", "family" : "Pirttil\u00e4-Backman", "given" : "Anna Maija", "non-dropping-particle" : "", "parse-names" : false, "suffix" : "" }, { "dropping-particle" : "", "family" : "Pieri", "given" : "Michelle", "non-dropping-particle" : "", "parse-names" : false, "suffix" : "" } ], "container-title" : "Appetite", "id" : "ITEM-1", "issue" : "2", "issued" : { "date-parts" : [ [ "2011" ] ] }, "page" : "495-502", "publisher" : "Elsevier Ltd", "title" : "Ethical and unethical food. Social representations among Finnish, Danish and Italian students", "type" : "article-journal", "volume" : "56" }, "uris" : [ "http://www.mendeley.com/documents/?uuid=3fa864d6-8d01-47be-b705-b369cb53d973" ] } ], "mendeley" : { "formattedCitation" : "(M\u00e4kiniemi, Pirttil\u00e4-Backman, &amp; Pieri, 2011)", "manualFormatting" : "(2011)", "plainTextFormattedCitation" : "(M\u00e4kiniemi, Pirttil\u00e4-Backman, &amp; Pieri, 2011)", "previouslyFormattedCitation" : "(M\u00e4kiniemi, Pirttil\u00e4-Backman, &amp; Pieri, 2011)" }, "properties" : { "noteIndex" : 0 }, "schema" : "https://github.com/citation-style-language/schema/raw/master/csl-citation.json" }</w:instrText>
      </w:r>
      <w:r w:rsidR="00354C54" w:rsidRPr="00B0148D">
        <w:fldChar w:fldCharType="separate"/>
      </w:r>
      <w:r w:rsidR="00354C54" w:rsidRPr="00B0148D">
        <w:rPr>
          <w:noProof/>
        </w:rPr>
        <w:t>(2011)</w:t>
      </w:r>
      <w:r w:rsidR="00354C54" w:rsidRPr="00B0148D">
        <w:fldChar w:fldCharType="end"/>
      </w:r>
      <w:r w:rsidR="00354C54" w:rsidRPr="00B0148D">
        <w:t xml:space="preserve"> found in their study that locality was stro</w:t>
      </w:r>
      <w:r w:rsidR="00AF24D7" w:rsidRPr="00B0148D">
        <w:t>ngly associated with</w:t>
      </w:r>
      <w:r w:rsidR="00B32955" w:rsidRPr="00B0148D">
        <w:t xml:space="preserve"> ethical food and </w:t>
      </w:r>
      <w:r w:rsidR="00BC46D7" w:rsidRPr="00B0148D">
        <w:rPr>
          <w:rFonts w:ascii="Calibri" w:hAnsi="Calibri" w:cs="Times New Roman"/>
          <w:noProof/>
          <w:szCs w:val="24"/>
        </w:rPr>
        <w:t>Pohjanheimo, Paasovaara, Luomala, &amp; Sandell</w:t>
      </w:r>
      <w:r w:rsidRPr="00B0148D">
        <w:t xml:space="preserve"> </w:t>
      </w:r>
      <w:r w:rsidRPr="00B0148D">
        <w:fldChar w:fldCharType="begin" w:fldLock="1"/>
      </w:r>
      <w:r w:rsidRPr="00B0148D">
        <w:instrText>ADDIN CSL_CITATION { "citationItems" : [ { "id" : "ITEM-1", "itemData" : { "DOI" : "10.1016/j.appet.2009.10.004", "ISBN" : "1095-8304 (Electronic)\\r0195-6663 (Linking)", "ISSN" : "01956663", "PMID" : "19835923", "abstract" : "This study addresses the effect of personal values on consumers' food choice motives and on the liking of bread. A total of 224 consumers participated in the study in three groups: traditional and hedonistic consumers, who presented opposite value types according to the Schwartz value theory, and a control group. Three different rye breads were evaluated for liking and their sensory profiles were determined. The consumer groups' values, food choice motives measured with the Food Choice Questionnaire and a Concern scale, and liking of the breads differed significantly according to the analysis of variance and a partial least squares regression analysis. For hedonistic consumers, rye bread characterized by a soft and porous texture influenced liking positively, and food choice motives \"mood\" and \"price\" correlated positively with their values. Traditional consumers were more positive toward different types of rye bread, and food choice motives \"natural content\", \"familiarity\" and \"health concern\" were more important to them than to hedonists. Overall, this study demonstrated that values are connected to food choice motives and, to some extent liking and, thus, values can be utilized both in product development and in advertising. \u00a9 2009 Elsevier Ltd. All rights reserved.", "author" : [ { "dropping-particle" : "", "family" : "Pohjanheimo", "given" : "Terhi", "non-dropping-particle" : "", "parse-names" : false, "suffix" : "" }, { "dropping-particle" : "", "family" : "Paasovaara", "given" : "Rami", "non-dropping-particle" : "", "parse-names" : false, "suffix" : "" }, { "dropping-particle" : "", "family" : "Luomala", "given" : "Harri", "non-dropping-particle" : "", "parse-names" : false, "suffix" : "" }, { "dropping-particle" : "", "family" : "Sandell", "given" : "Mari", "non-dropping-particle" : "", "parse-names" : false, "suffix" : "" } ], "container-title" : "Appetite", "id" : "ITEM-1", "issue" : "1", "issued" : { "date-parts" : [ [ "2010" ] ] }, "page" : "170-180", "title" : "Food choice motives and bread liking of consumers embracing hedonistic and traditional values", "type" : "article-journal", "volume" : "54" }, "uris" : [ "http://www.mendeley.com/documents/?uuid=5157ac56-e1fb-4c18-845a-a8bf06eb5132" ] } ], "mendeley" : { "formattedCitation" : "(Pohjanheimo, Paasovaara, Luomala, &amp; Sandell, 2010)", "manualFormatting" : "(2010)", "plainTextFormattedCitation" : "(Pohjanheimo, Paasovaara, Luomala, &amp; Sandell, 2010)", "previouslyFormattedCitation" : "(Pohjanheimo, Paasovaara, Luomala, &amp; Sandell, 2010)" }, "properties" : { "noteIndex" : 0 }, "schema" : "https://github.com/citation-style-language/schema/raw/master/csl-citation.json" }</w:instrText>
      </w:r>
      <w:r w:rsidRPr="00B0148D">
        <w:fldChar w:fldCharType="separate"/>
      </w:r>
      <w:r w:rsidRPr="00B0148D">
        <w:rPr>
          <w:noProof/>
        </w:rPr>
        <w:t>(2010)</w:t>
      </w:r>
      <w:r w:rsidRPr="00B0148D">
        <w:fldChar w:fldCharType="end"/>
      </w:r>
      <w:r w:rsidRPr="00B0148D">
        <w:t xml:space="preserve"> showed that in rela</w:t>
      </w:r>
      <w:r w:rsidR="00AF24D7" w:rsidRPr="00B0148D">
        <w:t>tion to food choices the motivation of</w:t>
      </w:r>
      <w:r w:rsidRPr="00B0148D">
        <w:t xml:space="preserve"> natural content and ethical concern are related to universalism values. </w:t>
      </w:r>
      <w:r w:rsidR="00120B65" w:rsidRPr="00B0148D">
        <w:t xml:space="preserve">Migliore et al. </w:t>
      </w:r>
      <w:r w:rsidR="00120B65" w:rsidRPr="00B0148D">
        <w:fldChar w:fldCharType="begin" w:fldLock="1"/>
      </w:r>
      <w:r w:rsidR="00C04490" w:rsidRPr="00B0148D">
        <w:instrText>ADDIN CSL_CITATION { "citationItems" : [ { "id" : "ITEM-1", "itemData" : { "DOI" : "10.1016/j.foodqual.2014.07.006", "ISSN" : "0950-3293", "author" : [ { "dropping-particle" : "", "family" : "Migliore", "given" : "Giuseppina", "non-dropping-particle" : "", "parse-names" : false, "suffix" : "" }, { "dropping-particle" : "", "family" : "Schifani", "given" : "Giorgio", "non-dropping-particle" : "", "parse-names" : false, "suffix" : "" }, { "dropping-particle" : "", "family" : "Cembalo", "given" : "Luigi", "non-dropping-particle" : "", "parse-names" : false, "suffix" : "" } ], "container-title" : "Food Quality and Preference", "id" : "ITEM-1", "issued" : { "date-parts" : [ [ "2015" ] ] }, "page" : "141-146", "publisher" : "Elsevier Ltd", "title" : "Opening the black box of food quality in the short supply chain : Effects of conventions of quality on consumer choice", "type" : "article-journal", "volume" : "39" }, "uris" : [ "http://www.mendeley.com/documents/?uuid=0a7cd4c5-3588-45d9-bf68-2ebc301ae45d" ] } ], "mendeley" : { "formattedCitation" : "(Migliore et al., 2015)", "manualFormatting" : "(2015)", "plainTextFormattedCitation" : "(Migliore et al., 2015)", "previouslyFormattedCitation" : "(Migliore et al., 2015)" }, "properties" : { "noteIndex" : 0 }, "schema" : "https://github.com/citation-style-language/schema/raw/master/csl-citation.json" }</w:instrText>
      </w:r>
      <w:r w:rsidR="00120B65" w:rsidRPr="00B0148D">
        <w:fldChar w:fldCharType="separate"/>
      </w:r>
      <w:r w:rsidR="00120B65" w:rsidRPr="00B0148D">
        <w:rPr>
          <w:noProof/>
        </w:rPr>
        <w:t>(2015)</w:t>
      </w:r>
      <w:r w:rsidR="00120B65" w:rsidRPr="00B0148D">
        <w:fldChar w:fldCharType="end"/>
      </w:r>
      <w:r w:rsidR="00120B65" w:rsidRPr="00B0148D">
        <w:t xml:space="preserve"> suggested that </w:t>
      </w:r>
      <w:r w:rsidR="00DF2409" w:rsidRPr="00B0148D">
        <w:t xml:space="preserve">products with a </w:t>
      </w:r>
      <w:r w:rsidR="00120B65" w:rsidRPr="00B0148D">
        <w:t>local origin ena</w:t>
      </w:r>
      <w:r w:rsidR="00DF2409" w:rsidRPr="00B0148D">
        <w:t>ble</w:t>
      </w:r>
      <w:r w:rsidR="00120B65" w:rsidRPr="00B0148D">
        <w:t xml:space="preserve"> consumer</w:t>
      </w:r>
      <w:r w:rsidR="00DF2409" w:rsidRPr="00B0148D">
        <w:t>s</w:t>
      </w:r>
      <w:r w:rsidR="00120B65" w:rsidRPr="00B0148D">
        <w:t xml:space="preserve"> to </w:t>
      </w:r>
      <w:r w:rsidR="00DF2409" w:rsidRPr="00B0148D">
        <w:t>return to</w:t>
      </w:r>
      <w:r w:rsidR="00CF3BB8" w:rsidRPr="00B0148D">
        <w:t xml:space="preserve"> </w:t>
      </w:r>
      <w:r w:rsidR="00120B65" w:rsidRPr="00B0148D">
        <w:t>traditional values.</w:t>
      </w:r>
      <w:r w:rsidR="00FC44B6" w:rsidRPr="00B0148D">
        <w:t xml:space="preserve"> According to the study by</w:t>
      </w:r>
      <w:r w:rsidR="006926B8" w:rsidRPr="00B0148D">
        <w:t xml:space="preserve"> </w:t>
      </w:r>
      <w:r w:rsidR="00385A05" w:rsidRPr="00B0148D">
        <w:rPr>
          <w:rFonts w:ascii="Calibri" w:hAnsi="Calibri" w:cs="Times New Roman"/>
          <w:noProof/>
          <w:szCs w:val="24"/>
        </w:rPr>
        <w:t>Brunsø et al.</w:t>
      </w:r>
      <w:r w:rsidR="00FC44B6" w:rsidRPr="00B0148D">
        <w:t xml:space="preserve"> </w:t>
      </w:r>
      <w:r w:rsidR="00FC44B6" w:rsidRPr="00B0148D">
        <w:fldChar w:fldCharType="begin" w:fldLock="1"/>
      </w:r>
      <w:r w:rsidR="00F94742" w:rsidRPr="00B0148D">
        <w:instrText>ADDIN CSL_CITATION { "citationItems" : [ { "id" : "ITEM-1", "itemData" : { "DOI" : "10.1016/j.appet.2004.05.001", "ISBN" : "0195-6663", "ISSN" : "01956663", "PMID" : "15458806", "abstract" : "The value survey developed by Shalom Schwartz (1992) has been applied in many countries with different purposes. In this study we present a new way of analysing the theoretically assumed circumplex structure of Schwartz value survey and its relationships to other constructs, here the instrument food-related lifestyle. In two countries; Germany and Spain, data were collected. In each country 1000 interviews were carried out where consumers were asked about their value priorities and about their food-related lifestyle. The study provides new insights into the way values influence peoples' food-related lifestyle in Germany and Spain, and the results validate both the Schwartz value survey and the food-related lifestyle instrument in a nomological sense, since significant and meaningful relationships were found between the two constructs. \u00a9 2004 Elsevier Ltd. All rights reserved.", "author" : [ { "dropping-particle" : "", "family" : "Bruns\u00f8", "given" : "Karen", "non-dropping-particle" : "", "parse-names" : false, "suffix" : "" }, { "dropping-particle" : "", "family" : "Scholderer", "given" : "Joachim", "non-dropping-particle" : "", "parse-names" : false, "suffix" : "" }, { "dropping-particle" : "", "family" : "Grunert", "given" : "Klaus G.", "non-dropping-particle" : "", "parse-names" : false, "suffix" : "" } ], "container-title" : "Appetite", "id" : "ITEM-1", "issue" : "2", "issued" : { "date-parts" : [ [ "2004" ] ] }, "page" : "195-205", "title" : "Testing relationships between values and food-related lifestyle: Results from two European countries", "type" : "article-journal", "volume" : "43" }, "uris" : [ "http://www.mendeley.com/documents/?uuid=dd881967-07c2-4922-860a-32d1662b7e34" ] } ], "mendeley" : { "formattedCitation" : "(Bruns\u00f8 et al., 2004)", "manualFormatting" : " (2004)", "plainTextFormattedCitation" : "(Bruns\u00f8 et al., 2004)", "previouslyFormattedCitation" : "(Bruns\u00f8 et al., 2004)" }, "properties" : { "noteIndex" : 0 }, "schema" : "https://github.com/citation-style-language/schema/raw/master/csl-citation.json" }</w:instrText>
      </w:r>
      <w:r w:rsidR="00FC44B6" w:rsidRPr="00B0148D">
        <w:fldChar w:fldCharType="separate"/>
      </w:r>
      <w:r w:rsidR="00FC44B6" w:rsidRPr="00B0148D">
        <w:rPr>
          <w:noProof/>
        </w:rPr>
        <w:t xml:space="preserve"> (2004)</w:t>
      </w:r>
      <w:r w:rsidR="00FC44B6" w:rsidRPr="00B0148D">
        <w:fldChar w:fldCharType="end"/>
      </w:r>
      <w:r w:rsidR="00FC44B6" w:rsidRPr="00B0148D">
        <w:t xml:space="preserve"> the importance of product information cor</w:t>
      </w:r>
      <w:r w:rsidR="002709DE" w:rsidRPr="00B0148D">
        <w:t>related significantly with both S</w:t>
      </w:r>
      <w:r w:rsidR="00DF2409" w:rsidRPr="00B0148D">
        <w:t>elf-T</w:t>
      </w:r>
      <w:r w:rsidR="00FC44B6" w:rsidRPr="00B0148D">
        <w:t>ranscendence (</w:t>
      </w:r>
      <w:r w:rsidR="002709DE" w:rsidRPr="00B0148D">
        <w:t>universalism, benevolence) and C</w:t>
      </w:r>
      <w:r w:rsidR="00FC44B6" w:rsidRPr="00B0148D">
        <w:t>onservation values (tr</w:t>
      </w:r>
      <w:r w:rsidR="00B32955" w:rsidRPr="00B0148D">
        <w:t>adition, conformity, security).</w:t>
      </w:r>
    </w:p>
    <w:p w14:paraId="6590C007" w14:textId="7917DDAA" w:rsidR="00F72660" w:rsidRPr="00B0148D" w:rsidRDefault="00F72660" w:rsidP="005F596B">
      <w:pPr>
        <w:jc w:val="both"/>
        <w:rPr>
          <w:b/>
        </w:rPr>
      </w:pPr>
      <w:r w:rsidRPr="00B0148D">
        <w:rPr>
          <w:b/>
        </w:rPr>
        <w:t>1.4 Value-based consumption among adolescents and young adults</w:t>
      </w:r>
    </w:p>
    <w:p w14:paraId="275E68A3" w14:textId="172C0B0B" w:rsidR="008179E7" w:rsidRPr="00B0148D" w:rsidRDefault="0051675E" w:rsidP="008179E7">
      <w:pPr>
        <w:jc w:val="both"/>
      </w:pPr>
      <w:r w:rsidRPr="00B0148D">
        <w:t xml:space="preserve">The </w:t>
      </w:r>
      <w:r w:rsidR="007A3C32" w:rsidRPr="00B0148D">
        <w:t>model developed by Schwartz is</w:t>
      </w:r>
      <w:r w:rsidR="00E07C95" w:rsidRPr="00B0148D">
        <w:t xml:space="preserve"> already </w:t>
      </w:r>
      <w:r w:rsidR="007A3C32" w:rsidRPr="00B0148D">
        <w:t>present in children as early as</w:t>
      </w:r>
      <w:r w:rsidR="00E07C95" w:rsidRPr="00B0148D">
        <w:t xml:space="preserve"> the age of five</w:t>
      </w:r>
      <w:r w:rsidR="00273B7A" w:rsidRPr="00B0148D">
        <w:t xml:space="preserve"> </w:t>
      </w:r>
      <w:r w:rsidR="00E07C95" w:rsidRPr="00B0148D">
        <w:fldChar w:fldCharType="begin" w:fldLock="1"/>
      </w:r>
      <w:r w:rsidR="00E07C95" w:rsidRPr="00B0148D">
        <w:instrText>ADDIN CSL_CITATION { "citationItems" : [ { "id" : "ITEM-1", "itemData" : { "DOI" : "10.1016/j.paid.2017.01.038", "ISSN" : "0191-8869", "author" : [ { "dropping-particle" : "", "family" : "Lee", "given" : "Julie A", "non-dropping-particle" : "", "parse-names" : false, "suffix" : "" }, { "dropping-particle" : "", "family" : "Ye", "given" : "Sheng", "non-dropping-particle" : "", "parse-names" : false, "suffix" : "" }, { "dropping-particle" : "", "family" : "Sneddon", "given" : "Joanne N", "non-dropping-particle" : "", "parse-names" : false, "suffix" : "" }, { "dropping-particle" : "", "family" : "Collins", "given" : "Patricia R", "non-dropping-particle" : "", "parse-names" : false, "suffix" : "" }, { "dropping-particle" : "", "family" : "Daniel", "given" : "Ella", "non-dropping-particle" : "", "parse-names" : false, "suffix" : "" } ], "container-title" : "Personality and Individual Differences", "id" : "ITEM-1", "issued" : { "date-parts" : [ [ "2017" ] ] }, "page" : "125-130", "publisher" : "Elsevier Ltd", "title" : "Does the intra-individual structure of values exist in young children ?", "type" : "article-journal", "volume" : "110" }, "uris" : [ "http://www.mendeley.com/documents/?uuid=cd11ee4b-4677-4613-bec6-dfca985b52ac" ] } ], "mendeley" : { "formattedCitation" : "(Lee, Ye, Sneddon, Collins, &amp; Daniel, 2017)", "plainTextFormattedCitation" : "(Lee, Ye, Sneddon, Collins, &amp; Daniel, 2017)", "previouslyFormattedCitation" : "(Lee, Ye, Sneddon, Collins, &amp; Daniel, 2017)" }, "properties" : { "noteIndex" : 0 }, "schema" : "https://github.com/citation-style-language/schema/raw/master/csl-citation.json" }</w:instrText>
      </w:r>
      <w:r w:rsidR="00E07C95" w:rsidRPr="00B0148D">
        <w:fldChar w:fldCharType="separate"/>
      </w:r>
      <w:r w:rsidR="00E07C95" w:rsidRPr="00B0148D">
        <w:rPr>
          <w:noProof/>
        </w:rPr>
        <w:t>(Lee, Ye, Sneddon, Collins, &amp; Daniel, 2017)</w:t>
      </w:r>
      <w:r w:rsidR="00E07C95" w:rsidRPr="00B0148D">
        <w:fldChar w:fldCharType="end"/>
      </w:r>
      <w:r w:rsidR="00273B7A" w:rsidRPr="00B0148D">
        <w:t xml:space="preserve">, but the values evolve until adulthood </w:t>
      </w:r>
      <w:r w:rsidR="00273B7A" w:rsidRPr="00B0148D">
        <w:fldChar w:fldCharType="begin" w:fldLock="1"/>
      </w:r>
      <w:r w:rsidR="00273B7A" w:rsidRPr="00B0148D">
        <w:instrText>ADDIN CSL_CITATION { "citationItems" : [ { "id" : "ITEM-1", "itemData" : { "DOI" : "10.1111/j.1467-8624.2011.01694.x", "author" : [ { "dropping-particle" : "", "family" : "Daniel", "given" : "Ella", "non-dropping-particle" : "", "parse-names" : false, "suffix" : "" }, { "dropping-particle" : "", "family" : "Schiefer", "given" : "David", "non-dropping-particle" : "", "parse-names" : false, "suffix" : "" }, { "dropping-particle" : "", "family" : "Mo", "given" : "Anna", "non-dropping-particle" : "", "parse-names" : false, "suffix" : "" }, { "dropping-particle" : "", "family" : "Boehnke", "given" : "Klaus", "non-dropping-particle" : "", "parse-names" : false, "suffix" : "" }, { "dropping-particle" : "", "family" : "Knafo", "given" : "Ariel", "non-dropping-particle" : "", "parse-names" : false, "suffix" : "" } ], "container-title" : "Child Development", "id" : "ITEM-1", "issue" : "1", "issued" : { "date-parts" : [ [ "2012" ] ] }, "page" : "322-336", "title" : "Value Differentiation in Adolescence : The Role of Age and Cultural Complexity", "type" : "article-journal", "volume" : "83" }, "uris" : [ "http://www.mendeley.com/documents/?uuid=3f8452f1-cfb7-43b1-abe4-173440905b5b" ] } ], "mendeley" : { "formattedCitation" : "(Daniel, Schiefer, Mo, Boehnke, &amp; Knafo, 2012)", "plainTextFormattedCitation" : "(Daniel, Schiefer, Mo, Boehnke, &amp; Knafo, 2012)", "previouslyFormattedCitation" : "(Daniel, Schiefer, Mo, Boehnke, &amp; Knafo, 2012)" }, "properties" : { "noteIndex" : 0 }, "schema" : "https://github.com/citation-style-language/schema/raw/master/csl-citation.json" }</w:instrText>
      </w:r>
      <w:r w:rsidR="00273B7A" w:rsidRPr="00B0148D">
        <w:fldChar w:fldCharType="separate"/>
      </w:r>
      <w:r w:rsidR="00273B7A" w:rsidRPr="00B0148D">
        <w:rPr>
          <w:noProof/>
        </w:rPr>
        <w:t>(Daniel, Schiefer, Mo, Boehnke, &amp; Knafo, 2012)</w:t>
      </w:r>
      <w:r w:rsidR="00273B7A" w:rsidRPr="00B0148D">
        <w:fldChar w:fldCharType="end"/>
      </w:r>
      <w:r w:rsidR="00E07C95" w:rsidRPr="00B0148D">
        <w:t xml:space="preserve">. </w:t>
      </w:r>
      <w:r w:rsidR="008E2BAC" w:rsidRPr="00B0148D">
        <w:t>P</w:t>
      </w:r>
      <w:r w:rsidR="008C5CFC" w:rsidRPr="00B0148D">
        <w:rPr>
          <w:rFonts w:ascii="Calibri" w:hAnsi="Calibri" w:cs="Times New Roman"/>
          <w:noProof/>
          <w:szCs w:val="24"/>
        </w:rPr>
        <w:t xml:space="preserve">revious studies </w:t>
      </w:r>
      <w:r w:rsidR="008E2BAC" w:rsidRPr="00B0148D">
        <w:rPr>
          <w:rFonts w:ascii="Calibri" w:hAnsi="Calibri" w:cs="Times New Roman"/>
          <w:noProof/>
          <w:szCs w:val="24"/>
        </w:rPr>
        <w:t xml:space="preserve">show that </w:t>
      </w:r>
      <w:r w:rsidR="008C5CFC" w:rsidRPr="00B0148D">
        <w:t xml:space="preserve">the value systems of adolescents </w:t>
      </w:r>
      <w:r w:rsidR="008E2BAC" w:rsidRPr="00B0148D">
        <w:t>can be measured reliably</w:t>
      </w:r>
      <w:r w:rsidR="008C5CFC" w:rsidRPr="00B0148D">
        <w:t xml:space="preserve"> </w:t>
      </w:r>
      <w:r w:rsidR="00CB7BC4" w:rsidRPr="00B0148D">
        <w:fldChar w:fldCharType="begin" w:fldLock="1"/>
      </w:r>
      <w:r w:rsidR="00CB7BC4" w:rsidRPr="00B0148D">
        <w:instrText>ADDIN CSL_CITATION { "citationItems" : [ { "id" : "ITEM-1", "itemData" : { "DOI" : "10.1017/sjp.2016.79", "author" : [ { "dropping-particle" : "", "family" : "Espinosa", "given" : "Pablo", "non-dropping-particle" : "", "parse-names" : false, "suffix" : "" }, { "dropping-particle" : "", "family" : "Clemente", "given" : "Miguel", "non-dropping-particle" : "", "parse-names" : false, "suffix" : "" }, { "dropping-particle" : "", "family" : "U\u00f1a", "given" : "Octavio", "non-dropping-particle" : "", "parse-names" : false, "suffix" : "" } ], "container-title" : "The Spanish Journal of Psychology", "id" : "ITEM-1", "issued" : { "date-parts" : [ [ "2016" ] ] }, "page" : "1-11", "title" : "Motivational Values , Parental Influences and the Experience of Discrimination among Romanian and Moroccan Young Immigrants in Spain", "type" : "article-journal", "volume" : "19" }, "uris" : [ "http://www.mendeley.com/documents/?uuid=8e631289-fb3d-4586-a2c8-3af8221f8ac7" ] } ], "mendeley" : { "formattedCitation" : "(Espinosa, Clemente, &amp; U\u00f1a, 2016)", "manualFormatting" : "(Espinosa, Clemente, &amp; U\u00f1a, 2016", "plainTextFormattedCitation" : "(Espinosa, Clemente, &amp; U\u00f1a, 2016)", "previouslyFormattedCitation" : "(Espinosa, Clemente, &amp; U\u00f1a, 2016)" }, "properties" : { "noteIndex" : 0 }, "schema" : "https://github.com/citation-style-language/schema/raw/master/csl-citation.json" }</w:instrText>
      </w:r>
      <w:r w:rsidR="00CB7BC4" w:rsidRPr="00B0148D">
        <w:fldChar w:fldCharType="separate"/>
      </w:r>
      <w:r w:rsidR="00CB7BC4" w:rsidRPr="00B0148D">
        <w:rPr>
          <w:noProof/>
        </w:rPr>
        <w:t>(Espinosa, Clemente, &amp; Uña, 2016</w:t>
      </w:r>
      <w:r w:rsidR="00CB7BC4" w:rsidRPr="00B0148D">
        <w:fldChar w:fldCharType="end"/>
      </w:r>
      <w:r w:rsidR="00CB7BC4" w:rsidRPr="00B0148D">
        <w:t xml:space="preserve">; </w:t>
      </w:r>
      <w:r w:rsidR="00CB7BC4" w:rsidRPr="00B0148D">
        <w:fldChar w:fldCharType="begin" w:fldLock="1"/>
      </w:r>
      <w:r w:rsidR="00CB7BC4" w:rsidRPr="00B0148D">
        <w:instrText>ADDIN CSL_CITATION { "citationItems" : [ { "id" : "ITEM-1", "itemData" : { "DOI" : "10.1177/0022022110383309", "ISBN" : "0022022110383", "author" : [ { "dropping-particle" : "", "family" : "Liem", "given" : "Gregory Arief D", "non-dropping-particle" : "", "parse-names" : false, "suffix" : "" }, { "dropping-particle" : "", "family" : "Martin", "given" : "Andrew J", "non-dropping-particle" : "", "parse-names" : false, "suffix" : "" }, { "dropping-particle" : "", "family" : "Nair", "given" : "Elizabeth", "non-dropping-particle" : "", "parse-names" : false, "suffix" : "" }, { "dropping-particle" : "", "family" : "Bernardo", "given" : "Allan B I", "non-dropping-particle" : "", "parse-names" : false, "suffix" : "" } ], "container-title" : "Journal of Cross-Cultural Psychology", "id" : "ITEM-1", "issue" : "1", "issued" : { "date-parts" : [ [ "2011" ] ] }, "page" : "146-154", "title" : "Content and Structure of Values in Middle Adolescence : Evidence From Singapore , the Philippines , Indonesia , and Australia", "type" : "article-journal", "volume" : "42" }, "uris" : [ "http://www.mendeley.com/documents/?uuid=e9bc7049-6d0c-42ef-bdd6-b478d00addb9" ] } ], "mendeley" : { "formattedCitation" : "(Liem, Martin, Nair, &amp; Bernardo, 2011)", "manualFormatting" : "Liem, Martin, Nair, &amp; Bernardo, 2011", "plainTextFormattedCitation" : "(Liem, Martin, Nair, &amp; Bernardo, 2011)", "previouslyFormattedCitation" : "(Liem, Martin, Nair, &amp; Bernardo, 2011)" }, "properties" : { "noteIndex" : 0 }, "schema" : "https://github.com/citation-style-language/schema/raw/master/csl-citation.json" }</w:instrText>
      </w:r>
      <w:r w:rsidR="00CB7BC4" w:rsidRPr="00B0148D">
        <w:fldChar w:fldCharType="separate"/>
      </w:r>
      <w:r w:rsidR="00CB7BC4" w:rsidRPr="00B0148D">
        <w:rPr>
          <w:noProof/>
        </w:rPr>
        <w:t>Liem, Martin, Nair, &amp; Bernardo, 2011</w:t>
      </w:r>
      <w:r w:rsidR="00CB7BC4" w:rsidRPr="00B0148D">
        <w:fldChar w:fldCharType="end"/>
      </w:r>
      <w:r w:rsidR="00CB7BC4" w:rsidRPr="00B0148D">
        <w:t xml:space="preserve">; </w:t>
      </w:r>
      <w:r w:rsidR="00CB7BC4" w:rsidRPr="00B0148D">
        <w:fldChar w:fldCharType="begin" w:fldLock="1"/>
      </w:r>
      <w:r w:rsidR="00CB7BC4" w:rsidRPr="00B0148D">
        <w:instrText>ADDIN CSL_CITATION { "citationItems" : [ { "id" : "ITEM-1", "itemData" : { "DOI" : "10.1016/j.sbspro.2014.12.622", "ISSN" : "18770428", "abstract" : "The Schwartz value scale (SVS) has shown strong potential in assessing the value system modeled on Universal Values Schwartz in different cultures and populations. But it is necessary to know if the \u201cSVS\u201d meets the psychometric characteristics necessary to assess the value system of population of different ages. The objective of this research is to understand the potential of SVS to assess adolescents axiological system. For validation of the scale has been used an incidental sample comprised 1262 adolescents of both sexes aged between 12 and 22 years old from 14 spanish secondary schools. The reliability of the adaptation of \u201cSVS\u201d for spanish adolescents shows a high internal consistency of the items (Cronbach's alpha =, 892). However, the reliability of various subscales are lower than those established in the interpretation criteria. The adaptation of the Schwartz Values Scale for adolescents spanish population allow assess with high reliability and validity the value system of adolescents. In addition, the subscales obtained with the ten factors allow individually measure each of the ten values Schwartz model.", "author" : [ { "dropping-particle" : "", "family" : "Paez", "given" : "J.", "non-dropping-particle" : "", "parse-names" : false, "suffix" : "" }, { "dropping-particle" : "", "family" : "De-Juanas", "given" : "a.", "non-dropping-particle" : "", "parse-names" : false, "suffix" : "" } ], "container-title" : "Procedia - Social and Behavioral Sciences", "id" : "ITEM-1", "issued" : { "date-parts" : [ [ "2015" ] ] }, "page" : "195-201", "publisher" : "Elsevier B.V.", "title" : "Validation of \u201cSchwartz Values Scale\u201d for Spanish Adolescents Population", "type" : "article-journal", "volume" : "165" }, "uris" : [ "http://www.mendeley.com/documents/?uuid=ebcc09be-8734-4469-94fa-b3ffb347b400" ] } ], "mendeley" : { "formattedCitation" : "(Paez &amp; De-Juanas, 2015)", "manualFormatting" : "Paez &amp; De-Juanas, 2015)", "plainTextFormattedCitation" : "(Paez &amp; De-Juanas, 2015)", "previouslyFormattedCitation" : "(Paez &amp; De-Juanas, 2015)" }, "properties" : { "noteIndex" : 0 }, "schema" : "https://github.com/citation-style-language/schema/raw/master/csl-citation.json" }</w:instrText>
      </w:r>
      <w:r w:rsidR="00CB7BC4" w:rsidRPr="00B0148D">
        <w:fldChar w:fldCharType="separate"/>
      </w:r>
      <w:r w:rsidR="00CB7BC4" w:rsidRPr="00B0148D">
        <w:rPr>
          <w:noProof/>
        </w:rPr>
        <w:t>Paez &amp; De-Juanas, 2015)</w:t>
      </w:r>
      <w:r w:rsidR="00CB7BC4" w:rsidRPr="00B0148D">
        <w:fldChar w:fldCharType="end"/>
      </w:r>
      <w:r w:rsidR="008C5CFC" w:rsidRPr="00B0148D">
        <w:rPr>
          <w:rFonts w:ascii="Verdana" w:hAnsi="Verdana"/>
        </w:rPr>
        <w:t xml:space="preserve">. </w:t>
      </w:r>
      <w:r w:rsidR="00CB7BC4" w:rsidRPr="00B0148D">
        <w:rPr>
          <w:rFonts w:cs="Times New Roman"/>
          <w:noProof/>
        </w:rPr>
        <w:t>Adolescents and young adults</w:t>
      </w:r>
      <w:r w:rsidR="00CB7BC4" w:rsidRPr="00B0148D">
        <w:rPr>
          <w:rFonts w:ascii="Calibri" w:hAnsi="Calibri" w:cs="Times New Roman"/>
          <w:noProof/>
          <w:szCs w:val="24"/>
        </w:rPr>
        <w:t xml:space="preserve"> are an important age group from the perspective of </w:t>
      </w:r>
      <w:r w:rsidR="00CB7BC4" w:rsidRPr="00B0148D">
        <w:rPr>
          <w:rFonts w:ascii="Calibri" w:hAnsi="Calibri" w:cs="Times New Roman"/>
          <w:noProof/>
          <w:szCs w:val="24"/>
        </w:rPr>
        <w:lastRenderedPageBreak/>
        <w:t xml:space="preserve">value-based consumption. </w:t>
      </w:r>
      <w:r w:rsidR="00C4453F" w:rsidRPr="00B0148D">
        <w:rPr>
          <w:rFonts w:ascii="Calibri" w:hAnsi="Calibri" w:cs="Times New Roman"/>
          <w:noProof/>
          <w:szCs w:val="24"/>
        </w:rPr>
        <w:t>The period</w:t>
      </w:r>
      <w:r w:rsidR="008179E7" w:rsidRPr="00B0148D">
        <w:rPr>
          <w:rFonts w:ascii="Calibri" w:hAnsi="Calibri" w:cs="Times New Roman"/>
          <w:noProof/>
          <w:szCs w:val="24"/>
        </w:rPr>
        <w:t xml:space="preserve"> between 1</w:t>
      </w:r>
      <w:r w:rsidR="00C4453F" w:rsidRPr="00B0148D">
        <w:rPr>
          <w:rFonts w:ascii="Calibri" w:hAnsi="Calibri" w:cs="Times New Roman"/>
          <w:noProof/>
          <w:szCs w:val="24"/>
        </w:rPr>
        <w:t>1 to 18 years of age is called the</w:t>
      </w:r>
      <w:r w:rsidR="008179E7" w:rsidRPr="00B0148D">
        <w:rPr>
          <w:rFonts w:ascii="Calibri" w:hAnsi="Calibri" w:cs="Times New Roman"/>
          <w:noProof/>
          <w:szCs w:val="24"/>
        </w:rPr>
        <w:t xml:space="preserve"> reflective stage of consumer socialization </w:t>
      </w:r>
      <w:r w:rsidR="00CF6E98" w:rsidRPr="00B0148D">
        <w:rPr>
          <w:rFonts w:ascii="Calibri" w:hAnsi="Calibri" w:cs="Times New Roman"/>
          <w:noProof/>
          <w:szCs w:val="24"/>
        </w:rPr>
        <w:fldChar w:fldCharType="begin" w:fldLock="1"/>
      </w:r>
      <w:r w:rsidR="00C9237F" w:rsidRPr="00B0148D">
        <w:rPr>
          <w:rFonts w:ascii="Calibri" w:hAnsi="Calibri" w:cs="Times New Roman"/>
          <w:noProof/>
          <w:szCs w:val="24"/>
        </w:rPr>
        <w:instrText>ADDIN CSL_CITATION { "citationItems" : [ { "id" : "ITEM-1", "itemData" : { "author" : [ { "dropping-particle" : "", "family" : "John", "given" : "Deborah Roedder", "non-dropping-particle" : "", "parse-names" : false, "suffix" : "" } ], "container-title" : "Handbook of Consumer Psychology, Marketing and Consumer Psychology Series", "editor" : [ { "dropping-particle" : "", "family" : "Haugtvedt", "given" : "C.P.", "non-dropping-particle" : "", "parse-names" : false, "suffix" : "" }, { "dropping-particle" : "", "family" : "Herr", "given" : "P.M.", "non-dropping-particle" : "", "parse-names" : false, "suffix" : "" }, { "dropping-particle" : "", "family" : "Karders", "given" : "F.R.", "non-dropping-particle" : "", "parse-names" : false, "suffix" : "" } ], "id" : "ITEM-1", "issued" : { "date-parts" : [ [ "2008" ] ] }, "page" : "221-246", "publisher" : "Erlbaum", "publisher-place" : "New York", "title" : "Stages of consumer socialization: The development of consumer knowledge, skills, and values from childhood to adolescence", "type" : "chapter" }, "uris" : [ "http://www.mendeley.com/documents/?uuid=8eebf8e1-3277-44ea-ae27-cea4c66b8f58" ] } ], "mendeley" : { "formattedCitation" : "(John, 2008)", "plainTextFormattedCitation" : "(John, 2008)", "previouslyFormattedCitation" : "(John, 2008)" }, "properties" : { "noteIndex" : 0 }, "schema" : "https://github.com/citation-style-language/schema/raw/master/csl-citation.json" }</w:instrText>
      </w:r>
      <w:r w:rsidR="00CF6E98" w:rsidRPr="00B0148D">
        <w:rPr>
          <w:rFonts w:ascii="Calibri" w:hAnsi="Calibri" w:cs="Times New Roman"/>
          <w:noProof/>
          <w:szCs w:val="24"/>
        </w:rPr>
        <w:fldChar w:fldCharType="separate"/>
      </w:r>
      <w:r w:rsidR="00CF6E98" w:rsidRPr="00B0148D">
        <w:rPr>
          <w:rFonts w:ascii="Calibri" w:hAnsi="Calibri" w:cs="Times New Roman"/>
          <w:noProof/>
          <w:szCs w:val="24"/>
        </w:rPr>
        <w:t>(John, 2008)</w:t>
      </w:r>
      <w:r w:rsidR="00CF6E98" w:rsidRPr="00B0148D">
        <w:rPr>
          <w:rFonts w:ascii="Calibri" w:hAnsi="Calibri" w:cs="Times New Roman"/>
          <w:noProof/>
          <w:szCs w:val="24"/>
        </w:rPr>
        <w:fldChar w:fldCharType="end"/>
      </w:r>
      <w:r w:rsidR="006A4D9C" w:rsidRPr="00B0148D">
        <w:rPr>
          <w:rFonts w:ascii="Calibri" w:hAnsi="Calibri" w:cs="Times New Roman"/>
          <w:noProof/>
          <w:szCs w:val="24"/>
        </w:rPr>
        <w:t xml:space="preserve"> </w:t>
      </w:r>
      <w:r w:rsidR="008179E7" w:rsidRPr="00B0148D">
        <w:rPr>
          <w:rFonts w:ascii="Calibri" w:hAnsi="Calibri" w:cs="Times New Roman"/>
          <w:noProof/>
          <w:szCs w:val="24"/>
        </w:rPr>
        <w:t xml:space="preserve">and even adolescents can considerably influence </w:t>
      </w:r>
      <w:r w:rsidR="00C4453F" w:rsidRPr="00B0148D">
        <w:rPr>
          <w:rFonts w:ascii="Calibri" w:hAnsi="Calibri" w:cs="Times New Roman"/>
          <w:noProof/>
          <w:szCs w:val="24"/>
        </w:rPr>
        <w:t xml:space="preserve">their own </w:t>
      </w:r>
      <w:r w:rsidR="008179E7" w:rsidRPr="00B0148D">
        <w:rPr>
          <w:rFonts w:ascii="Calibri" w:hAnsi="Calibri" w:cs="Times New Roman"/>
          <w:noProof/>
          <w:szCs w:val="24"/>
        </w:rPr>
        <w:t xml:space="preserve">food choices </w:t>
      </w:r>
      <w:r w:rsidR="00C4453F" w:rsidRPr="00B0148D">
        <w:rPr>
          <w:rFonts w:ascii="Calibri" w:hAnsi="Calibri" w:cs="Times New Roman"/>
          <w:noProof/>
          <w:szCs w:val="24"/>
        </w:rPr>
        <w:t>and those of</w:t>
      </w:r>
      <w:r w:rsidR="008179E7" w:rsidRPr="00B0148D">
        <w:rPr>
          <w:rFonts w:ascii="Calibri" w:hAnsi="Calibri" w:cs="Times New Roman"/>
          <w:noProof/>
          <w:szCs w:val="24"/>
        </w:rPr>
        <w:t xml:space="preserve"> their families </w:t>
      </w:r>
      <w:r w:rsidR="006A4D9C" w:rsidRPr="00B0148D">
        <w:rPr>
          <w:rFonts w:ascii="Calibri" w:hAnsi="Calibri" w:cs="Times New Roman"/>
          <w:noProof/>
          <w:szCs w:val="24"/>
        </w:rPr>
        <w:fldChar w:fldCharType="begin" w:fldLock="1"/>
      </w:r>
      <w:r w:rsidR="00673206" w:rsidRPr="00B0148D">
        <w:rPr>
          <w:rFonts w:ascii="Calibri" w:hAnsi="Calibri" w:cs="Times New Roman"/>
          <w:noProof/>
          <w:szCs w:val="24"/>
        </w:rPr>
        <w:instrText>ADDIN CSL_CITATION { "citationItems" : [ { "id" : "ITEM-1", "itemData" : { "author" : [ { "dropping-particle" : "", "family" : "Bissonnette", "given" : "Madeline Monaco", "non-dropping-particle" : "", "parse-names" : false, "suffix" : "" }, { "dropping-particle" : "", "family" : "Contento", "given" : "Isobel R.", "non-dropping-particle" : "", "parse-names" : false, "suffix" : "" } ], "container-title" : "Journal of Nutrition Education", "id" : "ITEM-1", "issue" : "2", "issued" : { "date-parts" : [ [ "2001" ] ] }, "page" : "72-82", "title" : "Adolescents \u2019 Perspectives and Food Choice Behaviors in Terms of the Environmental Impacts of Food Production Practices: Application of a Psychosocial Model", "type" : "article-journal", "volume" : "33" }, "uris" : [ "http://www.mendeley.com/documents/?uuid=2a525d5d-82e2-4ec5-b479-43cbfe13db81" ] } ], "mendeley" : { "formattedCitation" : "(Bissonnette &amp; Contento, 2001)", "plainTextFormattedCitation" : "(Bissonnette &amp; Contento, 2001)", "previouslyFormattedCitation" : "(Bissonnette &amp; Contento, 2001)" }, "properties" : { "noteIndex" : 0 }, "schema" : "https://github.com/citation-style-language/schema/raw/master/csl-citation.json" }</w:instrText>
      </w:r>
      <w:r w:rsidR="006A4D9C" w:rsidRPr="00B0148D">
        <w:rPr>
          <w:rFonts w:ascii="Calibri" w:hAnsi="Calibri" w:cs="Times New Roman"/>
          <w:noProof/>
          <w:szCs w:val="24"/>
        </w:rPr>
        <w:fldChar w:fldCharType="separate"/>
      </w:r>
      <w:r w:rsidR="006A4D9C" w:rsidRPr="00B0148D">
        <w:rPr>
          <w:rFonts w:ascii="Calibri" w:hAnsi="Calibri" w:cs="Times New Roman"/>
          <w:noProof/>
          <w:szCs w:val="24"/>
        </w:rPr>
        <w:t>(Bissonnette &amp; Contento, 2001)</w:t>
      </w:r>
      <w:r w:rsidR="006A4D9C" w:rsidRPr="00B0148D">
        <w:rPr>
          <w:rFonts w:ascii="Calibri" w:hAnsi="Calibri" w:cs="Times New Roman"/>
          <w:noProof/>
          <w:szCs w:val="24"/>
        </w:rPr>
        <w:fldChar w:fldCharType="end"/>
      </w:r>
      <w:r w:rsidR="006A4D9C" w:rsidRPr="00B0148D">
        <w:rPr>
          <w:rFonts w:ascii="Calibri" w:hAnsi="Calibri" w:cs="Times New Roman"/>
          <w:noProof/>
          <w:szCs w:val="24"/>
        </w:rPr>
        <w:t>.</w:t>
      </w:r>
      <w:r w:rsidR="008179E7" w:rsidRPr="00B0148D">
        <w:t>The stability of values tends to increase along with age and changes are less li</w:t>
      </w:r>
      <w:r w:rsidR="004D3898" w:rsidRPr="00B0148D">
        <w:t>kely to occur after adolescence. However,</w:t>
      </w:r>
      <w:r w:rsidR="008179E7" w:rsidRPr="00B0148D">
        <w:t xml:space="preserve"> significant life events and personal experiences may induce greater changes </w:t>
      </w:r>
      <w:r w:rsidR="008179E7" w:rsidRPr="00B0148D">
        <w:fldChar w:fldCharType="begin" w:fldLock="1"/>
      </w:r>
      <w:r w:rsidR="008179E7" w:rsidRPr="00B0148D">
        <w:instrText>ADDIN CSL_CITATION { "citationItems" : [ { "id" : "ITEM-1", "itemData" : { "DOI" : "10.1111/sode.12177", "author" : [ { "dropping-particle" : "", "family" : "D\u00f6ring", "given" : "Anna K", "non-dropping-particle" : "", "parse-names" : false, "suffix" : "" }, { "dropping-particle" : "", "family" : "Daniel", "given" : "Ella", "non-dropping-particle" : "", "parse-names" : false, "suffix" : "" }, { "dropping-particle" : "", "family" : "Knafo-Noam", "given" : "Ariel", "non-dropping-particle" : "", "parse-names" : false, "suffix" : "" } ], "container-title" : "Social Development", "id" : "ITEM-1", "issue" : "3", "issued" : { "date-parts" : [ [ "2016" ] ] }, "page" : "471-481", "title" : "Introduction to the Special Section Value Development from Middle Childhood to Early Adulthood \u2014 New Insights from Longitudinal and Genetically Informed Research", "type" : "article-journal", "volume" : "25" }, "uris" : [ "http://www.mendeley.com/documents/?uuid=fd39ca0f-9a43-4e53-acfb-4d146992042e" ] } ], "mendeley" : { "formattedCitation" : "(D\u00f6ring, Daniel, &amp; Knafo-Noam, 2016)", "manualFormatting" : "(D\u00f6ring, Daniel, &amp; Knafo-Noam, 2016)", "plainTextFormattedCitation" : "(D\u00f6ring, Daniel, &amp; Knafo-Noam, 2016)", "previouslyFormattedCitation" : "(D\u00f6ring, Daniel, &amp; Knafo-Noam, 2016)" }, "properties" : { "noteIndex" : 0 }, "schema" : "https://github.com/citation-style-language/schema/raw/master/csl-citation.json" }</w:instrText>
      </w:r>
      <w:r w:rsidR="008179E7" w:rsidRPr="00B0148D">
        <w:fldChar w:fldCharType="separate"/>
      </w:r>
      <w:r w:rsidR="008179E7" w:rsidRPr="00B0148D">
        <w:rPr>
          <w:noProof/>
        </w:rPr>
        <w:t>(</w:t>
      </w:r>
      <w:r w:rsidR="008179E7" w:rsidRPr="00B0148D">
        <w:rPr>
          <w:rFonts w:ascii="Calibri" w:hAnsi="Calibri" w:cs="Times New Roman"/>
          <w:noProof/>
          <w:szCs w:val="24"/>
        </w:rPr>
        <w:t>Döring, Daniel, &amp; Knafo-Noam,</w:t>
      </w:r>
      <w:r w:rsidR="008179E7" w:rsidRPr="00B0148D">
        <w:rPr>
          <w:noProof/>
        </w:rPr>
        <w:t xml:space="preserve"> 2016)</w:t>
      </w:r>
      <w:r w:rsidR="008179E7" w:rsidRPr="00B0148D">
        <w:fldChar w:fldCharType="end"/>
      </w:r>
      <w:r w:rsidR="00C4453F" w:rsidRPr="00B0148D">
        <w:t>. P</w:t>
      </w:r>
      <w:r w:rsidR="008179E7" w:rsidRPr="00B0148D">
        <w:t xml:space="preserve">ersonality and identity develops during adolescence </w:t>
      </w:r>
      <w:r w:rsidR="008179E7" w:rsidRPr="00B0148D">
        <w:fldChar w:fldCharType="begin" w:fldLock="1"/>
      </w:r>
      <w:r w:rsidR="008179E7" w:rsidRPr="00B0148D">
        <w:instrText>ADDIN CSL_CITATION { "citationItems" : [ { "id" : "ITEM-1", "itemData" : { "DOI" : "10.1016/j.jrp.2016.06.014", "ISSN" : "0092-6566", "author" : [ { "dropping-particle" : "", "family" : "Hatano", "given" : "Kai", "non-dropping-particle" : "", "parse-names" : false, "suffix" : "" }, { "dropping-particle" : "", "family" : "Sugimura", "given" : "Kazumi", "non-dropping-particle" : "", "parse-names" : false, "suffix" : "" }, { "dropping-particle" : "", "family" : "Klimstra", "given" : "Theo A", "non-dropping-particle" : "", "parse-names" : false, "suffix" : "" } ], "container-title" : "Journal of Research in Personality", "id" : "ITEM-1", "issued" : { "date-parts" : [ [ "2017" ] ] }, "page" : "120-131", "publisher" : "Elsevier Inc.", "title" : "Which came first , personality traits or identity processes during early and middle adolescence ?", "type" : "article-journal", "volume" : "67" }, "uris" : [ "http://www.mendeley.com/documents/?uuid=b8e1b171-125a-4d0c-a6d1-73b9590a4f17" ] } ], "mendeley" : { "formattedCitation" : "(Hatano, Sugimura, &amp; Klimstra, 2017)", "manualFormatting" : "(Hatano, Sugimura, &amp; Klimstra, 2017)", "plainTextFormattedCitation" : "(Hatano, Sugimura, &amp; Klimstra, 2017)", "previouslyFormattedCitation" : "(Hatano, Sugimura, &amp; Klimstra, 2017)" }, "properties" : { "noteIndex" : 0 }, "schema" : "https://github.com/citation-style-language/schema/raw/master/csl-citation.json" }</w:instrText>
      </w:r>
      <w:r w:rsidR="008179E7" w:rsidRPr="00B0148D">
        <w:fldChar w:fldCharType="separate"/>
      </w:r>
      <w:r w:rsidR="008179E7" w:rsidRPr="00B0148D">
        <w:rPr>
          <w:noProof/>
        </w:rPr>
        <w:t>(</w:t>
      </w:r>
      <w:r w:rsidR="008179E7" w:rsidRPr="00B0148D">
        <w:rPr>
          <w:rFonts w:ascii="Calibri" w:hAnsi="Calibri" w:cs="Times New Roman"/>
          <w:noProof/>
          <w:szCs w:val="24"/>
        </w:rPr>
        <w:t>Hatano, Sugimura, &amp; Klimstra,</w:t>
      </w:r>
      <w:r w:rsidR="008179E7" w:rsidRPr="00B0148D">
        <w:rPr>
          <w:noProof/>
        </w:rPr>
        <w:t xml:space="preserve"> 2017)</w:t>
      </w:r>
      <w:r w:rsidR="008179E7" w:rsidRPr="00B0148D">
        <w:fldChar w:fldCharType="end"/>
      </w:r>
      <w:r w:rsidR="00C4453F" w:rsidRPr="00B0148D">
        <w:t xml:space="preserve"> which may cause alteration i</w:t>
      </w:r>
      <w:r w:rsidR="008179E7" w:rsidRPr="00B0148D">
        <w:t>n</w:t>
      </w:r>
      <w:r w:rsidR="00C4453F" w:rsidRPr="00B0148D">
        <w:t xml:space="preserve"> the personal values during this</w:t>
      </w:r>
      <w:r w:rsidR="008179E7" w:rsidRPr="00B0148D">
        <w:t xml:space="preserve"> period of time. For Finnish adolescents </w:t>
      </w:r>
      <w:r w:rsidR="00F72660" w:rsidRPr="00B0148D">
        <w:t xml:space="preserve">the </w:t>
      </w:r>
      <w:r w:rsidR="008179E7" w:rsidRPr="00B0148D">
        <w:t>two most important values are having friends and honesty</w:t>
      </w:r>
      <w:r w:rsidR="00C4453F" w:rsidRPr="00B0148D">
        <w:t>,</w:t>
      </w:r>
      <w:r w:rsidR="008179E7" w:rsidRPr="00B0148D">
        <w:t xml:space="preserve"> which are benevolence values </w:t>
      </w:r>
      <w:r w:rsidR="008179E7" w:rsidRPr="00B0148D">
        <w:fldChar w:fldCharType="begin" w:fldLock="1"/>
      </w:r>
      <w:r w:rsidR="008179E7" w:rsidRPr="00B0148D">
        <w:instrText>ADDIN CSL_CITATION { "citationItems" : [ { "id" : "ITEM-1", "itemData" : { "author" : [ { "dropping-particle" : "", "family" : "Krips", "given" : "Heiki", "non-dropping-particle" : "", "parse-names" : false, "suffix" : "" }, { "dropping-particle" : "", "family" : "Luik", "given" : "Piret", "non-dropping-particle" : "", "parse-names" : false, "suffix" : "" }, { "dropping-particle" : "", "family" : "Taimalu", "given" : "Merle", "non-dropping-particle" : "", "parse-names" : false, "suffix" : "" }, { "dropping-particle" : "", "family" : "Kukemelk", "given" : "Hasso", "non-dropping-particle" : "", "parse-names" : false, "suffix" : "" }, { "dropping-particle" : "", "family" : "Saparniene", "given" : "Diana", "non-dropping-particle" : "", "parse-names" : false, "suffix" : "" }, { "dropping-particle" : "", "family" : "Saparnis", "given" : "Gintaras", "non-dropping-particle" : "", "parse-names" : false, "suffix" : "" }, { "dropping-particle" : "", "family" : "Soininen", "given" : "Marjaana", "non-dropping-particle" : "", "parse-names" : false, "suffix" : "" }, { "dropping-particle" : "", "family" : "Merisuo-Storm", "given" : "Tuula", "non-dropping-particle" : "", "parse-names" : false, "suffix" : "" } ], "container-title" : "British Journal of Education, Society &amp; Behavioural Science", "id" : "ITEM-1", "issue" : "3", "issued" : { "date-parts" : [ [ "2013" ] ] }, "page" : "233-245", "title" : "The Value Priorities of Adolescents in Estonia , Lithuania and Finland : a Comparative Perspective", "type" : "article-journal", "volume" : "3" }, "uris" : [ "http://www.mendeley.com/documents/?uuid=7bc80d63-e4cd-4a40-9d19-b1c5af2a85b6" ] } ], "mendeley" : { "formattedCitation" : "(Krips et al., 2013)", "manualFormatting" : "(Krips et al. 2013)", "plainTextFormattedCitation" : "(Krips et al., 2013)", "previouslyFormattedCitation" : "(Krips et al., 2013)" }, "properties" : { "noteIndex" : 0 }, "schema" : "https://github.com/citation-style-language/schema/raw/master/csl-citation.json" }</w:instrText>
      </w:r>
      <w:r w:rsidR="008179E7" w:rsidRPr="00B0148D">
        <w:fldChar w:fldCharType="separate"/>
      </w:r>
      <w:r w:rsidR="008179E7" w:rsidRPr="00B0148D">
        <w:rPr>
          <w:noProof/>
        </w:rPr>
        <w:t>(Krips et al. 2013)</w:t>
      </w:r>
      <w:r w:rsidR="008179E7" w:rsidRPr="00B0148D">
        <w:fldChar w:fldCharType="end"/>
      </w:r>
      <w:r w:rsidR="008179E7" w:rsidRPr="00B0148D">
        <w:t xml:space="preserve">. Bromnick &amp; Swallow </w:t>
      </w:r>
      <w:r w:rsidR="008179E7" w:rsidRPr="00B0148D">
        <w:fldChar w:fldCharType="begin" w:fldLock="1"/>
      </w:r>
      <w:r w:rsidR="008179E7" w:rsidRPr="00B0148D">
        <w:instrText>ADDIN CSL_CITATION { "citationItems" : [ { "id" : "ITEM-1", "itemData" : { "DOI" : "10.1080/03055690125235", "author" : [ { "dropping-particle" : "", "family" : "Bromnick", "given" : "Rachel D", "non-dropping-particle" : "", "parse-names" : false, "suffix" : "" }, { "dropping-particle" : "", "family" : "Swallow", "given" : "Brian L", "non-dropping-particle" : "", "parse-names" : false, "suffix" : "" } ], "container-title" : "Educational Studies", "id" : "ITEM-1", "issue" : "2", "issued" : { "date-parts" : [ [ "2001" ] ] }, "page" : "143-158", "title" : "Parties , Lads , Friends , Love and Newcastle United: A study of young people's values", "type" : "article-journal", "volume" : "27" }, "uris" : [ "http://www.mendeley.com/documents/?uuid=868042c1-3957-4aa2-90c7-cf532db3db04" ] } ], "mendeley" : { "formattedCitation" : "(Bromnick &amp; Swallow, 2001)", "manualFormatting" : "(2001)", "plainTextFormattedCitation" : "(Bromnick &amp; Swallow, 2001)", "previouslyFormattedCitation" : "(Bromnick &amp; Swallow, 2001)" }, "properties" : { "noteIndex" : 0 }, "schema" : "https://github.com/citation-style-language/schema/raw/master/csl-citation.json" }</w:instrText>
      </w:r>
      <w:r w:rsidR="008179E7" w:rsidRPr="00B0148D">
        <w:fldChar w:fldCharType="separate"/>
      </w:r>
      <w:r w:rsidR="008179E7" w:rsidRPr="00B0148D">
        <w:rPr>
          <w:noProof/>
        </w:rPr>
        <w:t>(2001)</w:t>
      </w:r>
      <w:r w:rsidR="008179E7" w:rsidRPr="00B0148D">
        <w:fldChar w:fldCharType="end"/>
      </w:r>
      <w:r w:rsidR="008179E7" w:rsidRPr="00B0148D">
        <w:t xml:space="preserve"> suggested that in </w:t>
      </w:r>
      <w:r w:rsidR="00C4453F" w:rsidRPr="00B0148D">
        <w:t xml:space="preserve">the </w:t>
      </w:r>
      <w:r w:rsidR="008179E7" w:rsidRPr="00B0148D">
        <w:t>case of adolescents, the value base is quite complex and it cannot be dichotomized simply into hedonistic or humanistic. It may be that for young people the value set is no</w:t>
      </w:r>
      <w:r w:rsidR="008E2BAC" w:rsidRPr="00B0148D">
        <w:t>t</w:t>
      </w:r>
      <w:r w:rsidR="008179E7" w:rsidRPr="00B0148D">
        <w:t xml:space="preserve"> </w:t>
      </w:r>
      <w:r w:rsidR="00C4453F" w:rsidRPr="00B0148D">
        <w:t xml:space="preserve">yet </w:t>
      </w:r>
      <w:r w:rsidR="008179E7" w:rsidRPr="00B0148D">
        <w:t>stabilized and there is more flexibility to follow different types of impulses at the same time. Among university students females had higher empathy scores than males</w:t>
      </w:r>
      <w:r w:rsidR="00C4453F" w:rsidRPr="00B0148D">
        <w:t>, these</w:t>
      </w:r>
      <w:r w:rsidR="008179E7" w:rsidRPr="00B0148D">
        <w:t xml:space="preserve"> are expressed in universalism and benevolence </w:t>
      </w:r>
      <w:r w:rsidR="00F72660" w:rsidRPr="00B0148D">
        <w:t xml:space="preserve">values </w:t>
      </w:r>
      <w:r w:rsidR="008179E7" w:rsidRPr="00B0148D">
        <w:t>predicting</w:t>
      </w:r>
      <w:r w:rsidR="00C4453F" w:rsidRPr="00B0148D">
        <w:t>,</w:t>
      </w:r>
      <w:r w:rsidR="008179E7" w:rsidRPr="00B0148D">
        <w:t xml:space="preserve"> for example</w:t>
      </w:r>
      <w:r w:rsidR="00C4453F" w:rsidRPr="00B0148D">
        <w:t>,</w:t>
      </w:r>
      <w:r w:rsidR="008179E7" w:rsidRPr="00B0148D">
        <w:t xml:space="preserve"> actions supporting </w:t>
      </w:r>
      <w:r w:rsidR="00C4453F" w:rsidRPr="00B0148D">
        <w:t xml:space="preserve">the </w:t>
      </w:r>
      <w:r w:rsidR="008179E7" w:rsidRPr="00B0148D">
        <w:t xml:space="preserve">welfare of others </w:t>
      </w:r>
      <w:r w:rsidR="008179E7" w:rsidRPr="00B0148D">
        <w:fldChar w:fldCharType="begin" w:fldLock="1"/>
      </w:r>
      <w:r w:rsidR="008179E7" w:rsidRPr="00B0148D">
        <w:instrText>ADDIN CSL_CITATION { "citationItems" : [ { "id" : "ITEM-1", "itemData" : { "DOI" : "10.1080/01443410123128", "ISBN" : "0144341012312", "ISSN" : "0144-3410", "abstract" : "A comparison of Schwartz's typology of values and the Spranger-Allport-Vernon typology suggested that business students would give higher priorities to power and achievement values, social science students to universalism values and technology students to security values. It was also hypothesised that social science students would score higher on empathy than business students who would be more empathic than technology students. Universalism and benevolence values were expected to be associated with high empathy and based on the social role theory of gender differences, it was predicted that value priorities would be more strongly associated with value priorities in men than in women. These predictions were supported from the data collected from 138 students of business, social sciences and technology using the Schwartz Value Survey, and the Mehrabian-Epstein measure of empathy. A comparison of Schwartz's typology of values and the Spranger-Allport-Vernon typology suggested that business students would give higher priorities to power and achievement values, social science students to universalism values and technology students to security values. It was also hypothesised that social science students would score higher on empathy than business students who would be more empathic than technology students. Universalism and benevolence values were expected to be associated with high empathy and based on the social role theory of gender differences, it was predicted that value priorities would be more strongly associated with value priorities in men than in women. These predictions were supported from the data collected from 138 students of business, social sciences and technology using the Schwartz Value Survey, and the Mehrabian-Epstein measure of empathy.", "author" : [ { "dropping-particle" : "", "family" : "Myyry", "given" : "Liisa", "non-dropping-particle" : "", "parse-names" : false, "suffix" : "" }, { "dropping-particle" : "", "family" : "Helkama", "given" : "Klaus", "non-dropping-particle" : "", "parse-names" : false, "suffix" : "" } ], "container-title" : "Educational Psychology", "id" : "ITEM-1", "issue" : "1", "issued" : { "date-parts" : [ [ "2001" ] ] }, "page" : "25-40", "title" : "University Students' Value Priorities and Emotional Empathy", "type" : "article-journal", "volume" : "21" }, "uris" : [ "http://www.mendeley.com/documents/?uuid=0b90dad9-f24f-4b9b-a985-4c2634437844" ] } ], "mendeley" : { "formattedCitation" : "(Myyry &amp; Helkama, 2001)", "plainTextFormattedCitation" : "(Myyry &amp; Helkama, 2001)", "previouslyFormattedCitation" : "(Myyry &amp; Helkama, 2001)" }, "properties" : { "noteIndex" : 0 }, "schema" : "https://github.com/citation-style-language/schema/raw/master/csl-citation.json" }</w:instrText>
      </w:r>
      <w:r w:rsidR="008179E7" w:rsidRPr="00B0148D">
        <w:fldChar w:fldCharType="separate"/>
      </w:r>
      <w:r w:rsidR="008179E7" w:rsidRPr="00B0148D">
        <w:rPr>
          <w:noProof/>
        </w:rPr>
        <w:t>(Myyry &amp; Helkama, 2001)</w:t>
      </w:r>
      <w:r w:rsidR="008179E7" w:rsidRPr="00B0148D">
        <w:fldChar w:fldCharType="end"/>
      </w:r>
      <w:r w:rsidR="008179E7" w:rsidRPr="00B0148D">
        <w:t>. Female university students ass</w:t>
      </w:r>
      <w:r w:rsidR="000A482B" w:rsidRPr="00B0148D">
        <w:t xml:space="preserve">igned greater priorities to </w:t>
      </w:r>
      <w:r w:rsidR="008179E7" w:rsidRPr="00B0148D">
        <w:t xml:space="preserve">benevolence, universalism and security than males </w:t>
      </w:r>
      <w:r w:rsidR="008179E7" w:rsidRPr="00B0148D">
        <w:fldChar w:fldCharType="begin" w:fldLock="1"/>
      </w:r>
      <w:r w:rsidR="008179E7" w:rsidRPr="00B0148D">
        <w:instrText>ADDIN CSL_CITATION { "citationItems" : [ { "id" : "ITEM-1", "itemData" : { "DOI" : "10.1080/00224540309598435", "ISBN" : "0022-4545", "ISSN" : "0022-4545", "PMID" : "12617351", "abstract" : "Value priorities were analyzed as they relate to nationality (American vs. British) and gender in a study involving 207 university students from the 2 countries. Participants responded anonymously to S. H. Schwartz's Value Survey (1992, 1994), consisting of various individualistic and collectivistic values. American students assigned greater importance to the individualistic values of achievement, hedonism, self-direction, and stimulation than British students did; students from the 2 countries assigned equal importance to the power value type. Compared with men, women from both countries assigned greater value prioritie</w:instrText>
      </w:r>
      <w:r w:rsidR="008179E7" w:rsidRPr="00B0148D">
        <w:rPr>
          <w:lang w:val="fi-FI"/>
        </w:rPr>
        <w:instrText>s to the collectivistic values of benevolence, universalism, security, and subordination of self to others. Women and men, however, did not differ on the individualistic values, and, in fact, women placed greater importance on achievement than men did. The results for the individualistic values are discussed primarily within the context of major changes in the career and work opportunities afforded women by society in the past 30 years.", "author" : [ { "dropping-particle" : "", "family" : "Ryckman", "given" : "Richard M", "non-dropping-particle" : "", "parse-names" : false, "suffix" : "" }, { "dropping-particle" : "", "family" : "Houston", "given" : "Diane M", "non-dropping-particle" : "", "parse-names" : false, "suffix" : "" } ], "container-title" : "The Journal of social psychology", "id" : "ITEM-1", "issue" : "1", "issued" : { "date-parts" : [ [ "2003" ] ] }, "page" : "127-38", "title" : "Value priorities in American and British female and male university students.", "type" : "article-journal", "volume" : "143" }, "uris" : [ "http://www.mendeley.com/documents/?uuid=830b51ad-92a9-4c4b-b4f0-d2ca0fa5b81e" ] } ], "mendeley" : { "formattedCitation" : "(Ryckman &amp; Houston, 2003)", "manualFormatting" : "(Ryckman &amp; Houston, 2003)", "plainTextFormattedCitation" : "(Ryckman &amp; Houston, 2003)", "previouslyFormattedCitation" : "(Ryckman &amp; Houston, 2003)" }, "properties" : { "noteIndex" : 0 }, "schema" : "https://github.com/citation-style-language/schema/raw/master/csl-citation.json" }</w:instrText>
      </w:r>
      <w:r w:rsidR="008179E7" w:rsidRPr="00B0148D">
        <w:fldChar w:fldCharType="separate"/>
      </w:r>
      <w:r w:rsidR="008179E7" w:rsidRPr="00B0148D">
        <w:rPr>
          <w:noProof/>
          <w:lang w:val="fi-FI"/>
        </w:rPr>
        <w:t>(Ryckman &amp; Houston, 2003)</w:t>
      </w:r>
      <w:r w:rsidR="008179E7" w:rsidRPr="00B0148D">
        <w:fldChar w:fldCharType="end"/>
      </w:r>
      <w:r w:rsidR="008179E7" w:rsidRPr="00B0148D">
        <w:rPr>
          <w:lang w:val="fi-FI"/>
        </w:rPr>
        <w:t xml:space="preserve">. Ryckman &amp; Houston </w:t>
      </w:r>
      <w:r w:rsidR="008179E7" w:rsidRPr="00B0148D">
        <w:fldChar w:fldCharType="begin" w:fldLock="1"/>
      </w:r>
      <w:r w:rsidR="008179E7" w:rsidRPr="00B0148D">
        <w:rPr>
          <w:lang w:val="fi-FI"/>
        </w:rPr>
        <w:instrText>ADDIN CSL_CITATION { "citationItems" : [ { "id" : "ITEM-1", "itemData" : { "DOI" : "10.1080/00224540309598435", "ISBN" : "0022-4545", "ISSN" : "0022-4545", "PMID" : "12617351", "abstract" : "Value priorities were analyzed as they relate to nationality (American vs. British) and gender in a study involving 207 university students from the 2 countries. Participants responded anonymously to S. H. Schwartz's Value Survey (1992, 1994), consisting of various individualistic and collectivistic values. American students assigned greater importance to the individualistic values of achievement, hedonism, self-direction, and stimulation than British students did; students from the 2 countries assigned equal importance to the power value type. Compared with men, women from both countries assigned greater value priorities to the collectivistic values of benevolence, universalism, security, and subordination of self to others. Women and men, however, did not differ on the individualistic values, and, in fact, women placed greater importance on achievement than men did. The results for the individualistic values are discussed primarily within the context of major changes in the career and work opportunities afforded women by society in the past 30 years.", "author" : [ { "dropping-particle" : "", "family" : "Ryckman", "given" : "Richard M", "non-dropping-particle" : "", "parse-names" : false, "suffix" : "" }, { "dropping-particle" : "", "family" : "Houston", "given" : "Diane M", "non-dropping-particle" : "", "parse-names" : false, "suffix" : "" } ], "container-title" : "The Journal of social psychology", "id" : "ITEM-1", "issue" : "1", "issued" : { "date-parts" : [ [ "2003" ] ] }, "page" : "127-38", "title" : "Value priorities in American and British female and male university students.", "type" : "article-journal", "volume" : "143" }, "uris" : [ "http://www.mendeley.com/documents/?uuid=830b51ad-92a9-4c4b-b4f0-d2ca0fa5b81e" ] } ], "mendeley" : { "formattedCitation" : "(Ryckman &amp; Houston, 2003)", "manualFormatting" : "(2003)", "plainTextFormattedCitation" : "(Ryckman &amp; Houston, 2003)", "previouslyFormattedCitation" : "(Ryckman &amp; Houston, 2003)" }, "properties" : { "noteIndex" : 0 }, "schema" : "https://github.com/citation-style-language/schema/raw/master/csl-citation.json" }</w:instrText>
      </w:r>
      <w:r w:rsidR="008179E7" w:rsidRPr="00B0148D">
        <w:fldChar w:fldCharType="separate"/>
      </w:r>
      <w:r w:rsidR="008179E7" w:rsidRPr="00B0148D">
        <w:rPr>
          <w:noProof/>
          <w:lang w:val="fi-FI"/>
        </w:rPr>
        <w:t>(2003)</w:t>
      </w:r>
      <w:r w:rsidR="008179E7" w:rsidRPr="00B0148D">
        <w:fldChar w:fldCharType="end"/>
      </w:r>
      <w:r w:rsidR="008179E7" w:rsidRPr="00B0148D">
        <w:rPr>
          <w:lang w:val="fi-FI"/>
        </w:rPr>
        <w:t xml:space="preserve"> also found th</w:t>
      </w:r>
      <w:r w:rsidR="004D3898" w:rsidRPr="00B0148D">
        <w:rPr>
          <w:lang w:val="fi-FI"/>
        </w:rPr>
        <w:t>at University students value individualistic values.</w:t>
      </w:r>
      <w:r w:rsidR="008179E7" w:rsidRPr="00B0148D">
        <w:rPr>
          <w:lang w:val="fi-FI"/>
        </w:rPr>
        <w:t xml:space="preserve"> </w:t>
      </w:r>
      <w:r w:rsidR="004D3898" w:rsidRPr="00B0148D">
        <w:t>However</w:t>
      </w:r>
      <w:r w:rsidR="008179E7" w:rsidRPr="00B0148D">
        <w:t xml:space="preserve"> this may not apply </w:t>
      </w:r>
      <w:r w:rsidR="00C4453F" w:rsidRPr="00B0148D">
        <w:t>to</w:t>
      </w:r>
      <w:r w:rsidR="008179E7" w:rsidRPr="00B0148D">
        <w:t xml:space="preserve"> the same age group </w:t>
      </w:r>
      <w:r w:rsidR="00C4453F" w:rsidRPr="00B0148D">
        <w:t>of</w:t>
      </w:r>
      <w:r w:rsidR="008179E7" w:rsidRPr="00B0148D">
        <w:t xml:space="preserve"> individuals </w:t>
      </w:r>
      <w:r w:rsidR="004D3898" w:rsidRPr="00B0148D">
        <w:t>with no university background</w:t>
      </w:r>
      <w:r w:rsidR="008179E7" w:rsidRPr="00B0148D">
        <w:t>.</w:t>
      </w:r>
    </w:p>
    <w:p w14:paraId="02F447B0" w14:textId="241E6975" w:rsidR="008179E7" w:rsidRPr="00B0148D" w:rsidRDefault="008179E7" w:rsidP="008179E7">
      <w:pPr>
        <w:jc w:val="both"/>
      </w:pPr>
      <w:r w:rsidRPr="00B0148D">
        <w:t>There are some studies of the values of young people in general, but studies examining the actual impacts</w:t>
      </w:r>
      <w:r w:rsidR="00BA78B2" w:rsidRPr="00B0148D">
        <w:t xml:space="preserve"> of values</w:t>
      </w:r>
      <w:r w:rsidR="00A24703" w:rsidRPr="00B0148D">
        <w:t xml:space="preserve"> on </w:t>
      </w:r>
      <w:r w:rsidRPr="00B0148D">
        <w:t>everyday choices are still scarce. There is some evidence that the gap between values and behavior is widening among young people. For example</w:t>
      </w:r>
      <w:r w:rsidR="003652F5" w:rsidRPr="00B0148D">
        <w:t>,</w:t>
      </w:r>
      <w:r w:rsidRPr="00B0148D">
        <w:t xml:space="preserve"> in Australia, young adults had higher environmental concern than older cohorts but lower engagement in sus</w:t>
      </w:r>
      <w:r w:rsidR="00673206" w:rsidRPr="00B0148D">
        <w:t xml:space="preserve">tainable consumption practices </w:t>
      </w:r>
      <w:r w:rsidR="00673206" w:rsidRPr="00B0148D">
        <w:fldChar w:fldCharType="begin" w:fldLock="1"/>
      </w:r>
      <w:r w:rsidR="00846304" w:rsidRPr="00B0148D">
        <w:instrText>ADDIN CSL_CITATION { "citationItems" : [ { "id" : "ITEM-1", "itemData" : { "DOI" : "10.1016/j.geoforum.2015.07.007", "ISSN" : "0016-7185", "author" : [ { "dropping-particle" : "", "family" : "Stanes", "given" : "Elyse", "non-dropping-particle" : "", "parse-names" : false, "suffix" : "" }, { "dropping-particle" : "", "family" : "Klocker", "given" : "Natascha", "non-dropping-particle" : "", "parse-names" : false, "suffix" : "" }, { "dropping-particle" : "", "family" : "Gibson", "given" : "Chris", "non-dropping-particle" : "", "parse-names" : false, "suffix" : "" } ], "container-title" : "Geoforum", "id" : "ITEM-1", "issued" : { "date-parts" : [ [ "2015" ] ] }, "page" : "46-58", "publisher" : "Elsevier Ltd", "title" : "Geoforum Young adult households and domestic sustainabilities", "type" : "article-journal", "volume" : "65" }, "uris" : [ "http://www.mendeley.com/documents/?uuid=50c5dc09-9038-4378-aa44-6d33efb001a4" ] } ], "mendeley" : { "formattedCitation" : "(Stanes, Klocker, &amp; Gibson, 2015)", "plainTextFormattedCitation" : "(Stanes, Klocker, &amp; Gibson, 2015)", "previouslyFormattedCitation" : "(Stanes, Klocker, &amp; Gibson, 2015)" }, "properties" : { "noteIndex" : 0 }, "schema" : "https://github.com/citation-style-language/schema/raw/master/csl-citation.json" }</w:instrText>
      </w:r>
      <w:r w:rsidR="00673206" w:rsidRPr="00B0148D">
        <w:fldChar w:fldCharType="separate"/>
      </w:r>
      <w:r w:rsidR="00673206" w:rsidRPr="00B0148D">
        <w:rPr>
          <w:noProof/>
        </w:rPr>
        <w:t>(Stanes, Klocker, &amp; Gibson, 2015)</w:t>
      </w:r>
      <w:r w:rsidR="00673206" w:rsidRPr="00B0148D">
        <w:fldChar w:fldCharType="end"/>
      </w:r>
      <w:r w:rsidR="00673206" w:rsidRPr="00B0148D">
        <w:t xml:space="preserve">. </w:t>
      </w:r>
      <w:r w:rsidRPr="00B0148D">
        <w:t xml:space="preserve">In a Dutch study, adolescents had ethical preferences for animal welfare and environmental sustainability, but these preferences were not linked </w:t>
      </w:r>
      <w:r w:rsidR="00A24703" w:rsidRPr="00B0148D">
        <w:t>to</w:t>
      </w:r>
      <w:r w:rsidRPr="00B0148D">
        <w:t xml:space="preserve"> their willingnes</w:t>
      </w:r>
      <w:r w:rsidR="00846304" w:rsidRPr="00B0148D">
        <w:t xml:space="preserve">s to buy organic food products </w:t>
      </w:r>
      <w:r w:rsidR="00846304" w:rsidRPr="00B0148D">
        <w:fldChar w:fldCharType="begin" w:fldLock="1"/>
      </w:r>
      <w:r w:rsidR="005A6BD8" w:rsidRPr="00B0148D">
        <w:instrText>ADDIN CSL_CITATION { "citationItems" : [ { "id" : "ITEM-1", "itemData" : { "DOI" : "10.1111/j.1470-6431.2006.00560.x", "author" : [ { "dropping-particle" : "", "family" : "Stobbelaar", "given" : "D</w:instrText>
      </w:r>
      <w:r w:rsidR="005A6BD8" w:rsidRPr="00B0148D">
        <w:rPr>
          <w:lang w:val="sv-SE"/>
        </w:rPr>
        <w:instrText>erk Jan", "non-dropping-particle" : "", "parse-names" : false, "suffix" : "" }, { "dropping-particle" : "", "family" : "Casimir", "given" : "Gerda", "non-dropping-particle" : "", "parse-names" : false, "suffix" : "" }, { "dropping-particle" : "", "family" : "Borghuis", "given" : "Josine", "non-dropping-particle" : "", "parse-names" : false, "suffix" : "" }, { "dropping-particle" : "", "family" : "Marks", "given" : "Inge", "non-dropping-particle" : "", "parse-names" : false, "suffix" : "" }, { "dropping-particle" : "", "family" : "Meijer", "given" : "Laurens", "non-dropping-particle" : "", "parse-names" : false, "suffix" : "" }, { "dropping-particle" : "", "family" : "Zebeda", "given" : "Simone", "non-dropping-particle" : "", "parse-names" : false, "suffix" : "" } ], "container-title" : "International Journal of Consumer Studies", "id" : "ITEM-1", "issued" : { "date-parts" : [ [ "2007" ] ] }, "page" : "349-356", "title" : "Adolescents \u2019 attitudes towards organic food : a survey of 15- to 16-year old school children", "type" : "article-journal", "volume" : "31" }, "uris" : [ "http://www.mendeley.com/documents/?uuid=5b358d55-30f6-402e-954d-fafda214b098" ] } ], "mendeley" : { "formattedCitation" : "(Stobbelaar et al., 2007)", "plainTextFormattedCitation" : "(Stobbelaar et al., 2007)", "previouslyFormattedCitation" : "(Stobbelaar et al., 2007)" }, "properties" : { "noteIndex" : 0 }, "schema" : "https://github.com/citation-style-language/schema/raw/master/csl-citation.json" }</w:instrText>
      </w:r>
      <w:r w:rsidR="00846304" w:rsidRPr="00B0148D">
        <w:fldChar w:fldCharType="separate"/>
      </w:r>
      <w:r w:rsidR="00846304" w:rsidRPr="00B0148D">
        <w:rPr>
          <w:noProof/>
          <w:lang w:val="sv-SE"/>
        </w:rPr>
        <w:t>(Stobbelaar et al., 2007)</w:t>
      </w:r>
      <w:r w:rsidR="00846304" w:rsidRPr="00B0148D">
        <w:fldChar w:fldCharType="end"/>
      </w:r>
      <w:r w:rsidR="00846304" w:rsidRPr="00B0148D">
        <w:rPr>
          <w:lang w:val="sv-SE"/>
        </w:rPr>
        <w:t xml:space="preserve">. </w:t>
      </w:r>
      <w:r w:rsidR="00A05576" w:rsidRPr="00B0148D">
        <w:t xml:space="preserve">Robinson-O’Brien, Larson, Neumark-Sztainer, Hannan &amp; Story </w:t>
      </w:r>
      <w:r w:rsidR="00A05576" w:rsidRPr="00B0148D">
        <w:fldChar w:fldCharType="begin" w:fldLock="1"/>
      </w:r>
      <w:r w:rsidR="00A05576" w:rsidRPr="00B0148D">
        <w:instrText>ADDIN CSL_CITATION { "citationItems" : [ { "id" : "ITEM-1", "itemData" : { "DOI" : "10.1016/j.jneb.2008.03.007", "author" : [ { "dropping-particle" : "", "family" : "Robinson-Brien", "given" : "Ramona", "non-dropping-particle" : "", "parse-names" : false, "suffix" : "" }, { "dropping-particle" : "", "family" : "Larson", "given" : "Nicole", "non-dropping-particle" : "", "parse-names" : false, "suffix" : "" }, { "dropping-particle" : "", "family" : "Neumark-Sztainer", "given" : "Dianne", "non-dropping-particle" : "", "parse-names" : false, "suffix" : "" }, { "dropping-particle" : "", "family" : "Hannan", "given" : "Peter", "non-dropping-particle" : "", "parse-names" : false, "suffix" : "" }, { "dropping-particle" : "", "family" : "Story", "given" : "Mary", "non-dropping-particle" : "", "parse-names" : false, "suffix" : "" } ], "container-title" : "Journal of Nutrition Education and Behavior", "id" : "ITEM-1", "issue" : "1", "issued" : { "date-parts" : [ [ "2009" ] ] }, "page" : "11-18", "title" : "Characteristics and Dietary Patterns of Adolescents Who Value Eating Locally Grown , Organic , Nongenetically Engineered , and Nonprocessed Food", "type" : "article-journal", "volume" : "41" }, "uris" : [ "http://www.mendeley.com/documents/?uuid=9342888a-b38b-4928-9a1b-227cf696ce2c" ] } ], "mendeley" : { "formattedCitation" : "(Robinson-Brien, Larson, Neumark-Sztainer, Hannan, &amp; Story, 2009)", "manualFormatting" : "(2009)", "plainTextFormattedCitation" : "(Robinson-Brien, Larson, Neumark-Sztainer, Hannan, &amp; Story, 2009)", "previouslyFormattedCitation" : "(Robinson-Brien, Larson, Neumark-Sztainer, Hannan, &amp; Story, 2009)" }, "properties" : { "noteIndex" : 0 }, "schema" : "https://github.com/citation-style-language/schema/raw/master/csl-citation.json" }</w:instrText>
      </w:r>
      <w:r w:rsidR="00A05576" w:rsidRPr="00B0148D">
        <w:fldChar w:fldCharType="separate"/>
      </w:r>
      <w:r w:rsidR="00A05576" w:rsidRPr="00B0148D">
        <w:rPr>
          <w:noProof/>
        </w:rPr>
        <w:t>(2009)</w:t>
      </w:r>
      <w:r w:rsidR="00A05576" w:rsidRPr="00B0148D">
        <w:fldChar w:fldCharType="end"/>
      </w:r>
      <w:r w:rsidR="00A05576" w:rsidRPr="00B0148D">
        <w:t xml:space="preserve"> suggest that adolescents</w:t>
      </w:r>
      <w:r w:rsidR="00A24703" w:rsidRPr="00B0148D">
        <w:t xml:space="preserve"> that</w:t>
      </w:r>
      <w:r w:rsidR="00A05576" w:rsidRPr="00B0148D">
        <w:t xml:space="preserve"> valu</w:t>
      </w:r>
      <w:r w:rsidR="00A24703" w:rsidRPr="00B0148D">
        <w:t>e</w:t>
      </w:r>
      <w:r w:rsidR="00A05576" w:rsidRPr="00B0148D">
        <w:t xml:space="preserve"> local products may share similar values, yet there is little published data on the s</w:t>
      </w:r>
      <w:r w:rsidR="00A24703" w:rsidRPr="00B0148D">
        <w:t xml:space="preserve">ubject. A systematic understanding is lacking of whether values influence the response towards origin cues among adolescents, and whether it remains stable when </w:t>
      </w:r>
      <w:r w:rsidR="0068589B" w:rsidRPr="00B0148D">
        <w:t>young people</w:t>
      </w:r>
      <w:r w:rsidR="00A24703" w:rsidRPr="00B0148D">
        <w:t xml:space="preserve"> become adult</w:t>
      </w:r>
      <w:r w:rsidR="0068589B" w:rsidRPr="00B0148D">
        <w:t>s</w:t>
      </w:r>
      <w:r w:rsidR="00A24703" w:rsidRPr="00B0148D">
        <w:t>.</w:t>
      </w:r>
    </w:p>
    <w:p w14:paraId="43B0B815" w14:textId="6D92E6AD" w:rsidR="0054254A" w:rsidRPr="00B0148D" w:rsidRDefault="0054254A" w:rsidP="008179E7">
      <w:pPr>
        <w:jc w:val="both"/>
        <w:rPr>
          <w:b/>
        </w:rPr>
      </w:pPr>
      <w:r w:rsidRPr="00B0148D">
        <w:rPr>
          <w:b/>
        </w:rPr>
        <w:t>1.5 Research hypotheses</w:t>
      </w:r>
    </w:p>
    <w:p w14:paraId="027F9DAD" w14:textId="4D5E487C" w:rsidR="00A05576" w:rsidRPr="00B0148D" w:rsidRDefault="00BA78B2" w:rsidP="00A05576">
      <w:pPr>
        <w:jc w:val="both"/>
      </w:pPr>
      <w:r w:rsidRPr="00B0148D">
        <w:t>L</w:t>
      </w:r>
      <w:r w:rsidR="00A05576" w:rsidRPr="00B0148D">
        <w:t xml:space="preserve">ocality in the food context has several factors associated with altruistic values and ethics, </w:t>
      </w:r>
      <w:r w:rsidR="002B438A" w:rsidRPr="00B0148D">
        <w:t>as well as</w:t>
      </w:r>
      <w:r w:rsidR="00A05576" w:rsidRPr="00B0148D">
        <w:t xml:space="preserve"> with Conservation values such as security an</w:t>
      </w:r>
      <w:r w:rsidRPr="00B0148D">
        <w:t xml:space="preserve">d tradition. Based on this, </w:t>
      </w:r>
      <w:r w:rsidR="00A05576" w:rsidRPr="00B0148D">
        <w:t xml:space="preserve">hypotheses were formed to study </w:t>
      </w:r>
      <w:r w:rsidR="002B438A" w:rsidRPr="00B0148D">
        <w:t>whether</w:t>
      </w:r>
      <w:r w:rsidR="00A05576" w:rsidRPr="00B0148D">
        <w:t xml:space="preserve"> </w:t>
      </w:r>
      <w:r w:rsidRPr="00B0148D">
        <w:t>the effect of values is applicable</w:t>
      </w:r>
      <w:r w:rsidR="002B438A" w:rsidRPr="00B0148D">
        <w:t xml:space="preserve"> to </w:t>
      </w:r>
      <w:r w:rsidR="00A05576" w:rsidRPr="00B0148D">
        <w:t>food origin</w:t>
      </w:r>
      <w:r w:rsidR="002B438A" w:rsidRPr="00B0148D">
        <w:t>s</w:t>
      </w:r>
      <w:r w:rsidR="00A05576" w:rsidRPr="00B0148D">
        <w:t xml:space="preserve">. </w:t>
      </w:r>
      <w:r w:rsidR="006F3F70" w:rsidRPr="00B0148D">
        <w:t>To</w:t>
      </w:r>
      <w:r w:rsidRPr="00B0148D">
        <w:t xml:space="preserve"> some extent the values</w:t>
      </w:r>
      <w:r w:rsidR="00A05576" w:rsidRPr="00B0148D">
        <w:t xml:space="preserve"> seem to define the motivation to choose certain products when they represent the values we hold important </w:t>
      </w:r>
      <w:r w:rsidR="00A05576" w:rsidRPr="00B0148D">
        <w:fldChar w:fldCharType="begin" w:fldLock="1"/>
      </w:r>
      <w:r w:rsidR="00A05576" w:rsidRPr="00B0148D">
        <w:instrText>ADDIN CSL_CITATION { "citationItems" : [ { "id" : "ITEM-1", "itemData" : { "DOI" : "10.1016/j.foodpol.2013.12.001", "ISBN" : "0167-4870", "ISSN" : "03069192", "abstract" : "This study investigates the relationship between consumer motivation, understanding and use of sustainability labels on food products (both environmental and ethical labels), which are increasingly appearing on food products. Data was collected by means of an online survey implemented in the UK, France, Germany, Spain, Sweden, and Poland, with a total sample size of 4408 respondents. Respondents expressed medium high to high levels of concern with sustainability issues at the general level, but lower levels of concern in the context of concrete food product choices. Understanding of the concept of sustainability was limited, but understanding of four selected labels (Fair Trade, Rainforest Alliance, Carbon Footprint, and Animal Welfare) was better, as some of them seem to be self-explanatory. The results indicated a low level of use, no matter whether use was measured as self-reported use of different types of information available on food labels or as use inferred from the results of a choice-based conjoint analysis. Hierarchical regression indicated that use is related to both motivation and understanding, and that both motivation, understanding and use are affected by demographic characteristics, human values as measured by the Schwartz value domains, and country differences. The results imply that sustainability labels currently do not play a major role in consumers' food choices, and future use of these labels will depend on the extent to which consumers' general concern about sustainability can be turned into actual behaviour. ?? 2013 The Authors.", "author" : [ { "dropping-particle" : "", "family" : "Grunert", "given" : "Klaus G.", "non-dropping-particle" : "", "parse-names" : false, "suffix" : "" }, { "dropping-particle" : "", "family" : "Hieke", "given" : "Sophie", "non-dropping-particle" : "", "parse-names" : false, "suffix" : "" }, { "dropping-particle" : "", "family" : "Wills", "given" : "Josephine", "non-dropping-particle" : "", "parse-names" : false, "suffix" : "" } ], "container-title" : "Food Policy", "id" : "ITEM-1", "issued" : { "date-parts" : [ [ "2014" ] ] }, "page" : "177-189", "publisher" : "Elsevier Ltd", "title" : "Sustainability labels on food products: Consumer motivation, understanding and use", "type" : "article-journal", "volume" : "44" }, "uris" : [ "http://www.mendeley.com/documents/?uuid=91ebe63c-9565-41e4-8043-6e737beea07b" ] } ], "mendeley" : { "formattedCitation" : "(Grunert, Hieke, &amp; Wills, 2014)", "plainTextFormattedCitation" : "(Grunert, Hieke, &amp; Wills, 2014)", "previouslyFormattedCitation" : "(Grunert, Hieke, &amp; Wills, 2014)" }, "properties" : { "noteIndex" : 0 }, "schema" : "https://github.com/citation-style-language/schema/raw/master/csl-citation.json" }</w:instrText>
      </w:r>
      <w:r w:rsidR="00A05576" w:rsidRPr="00B0148D">
        <w:fldChar w:fldCharType="separate"/>
      </w:r>
      <w:r w:rsidR="00A05576" w:rsidRPr="00B0148D">
        <w:rPr>
          <w:noProof/>
        </w:rPr>
        <w:t>(Grunert, Hieke, &amp; Wills, 2014)</w:t>
      </w:r>
      <w:r w:rsidR="00A05576" w:rsidRPr="00B0148D">
        <w:fldChar w:fldCharType="end"/>
      </w:r>
      <w:r w:rsidR="00A05576" w:rsidRPr="00B0148D">
        <w:t xml:space="preserve">. When different types of descriptions are attached to </w:t>
      </w:r>
      <w:r w:rsidR="00330ABD" w:rsidRPr="00B0148D">
        <w:t>the</w:t>
      </w:r>
      <w:r w:rsidR="00A05576" w:rsidRPr="00B0148D">
        <w:t xml:space="preserve"> same food, the </w:t>
      </w:r>
      <w:r w:rsidR="00B51B4E" w:rsidRPr="00B0148D">
        <w:t xml:space="preserve">consumer </w:t>
      </w:r>
      <w:r w:rsidR="00A05576" w:rsidRPr="00B0148D">
        <w:t xml:space="preserve">response will show variation </w:t>
      </w:r>
      <w:r w:rsidR="00A05576" w:rsidRPr="00B0148D">
        <w:rPr>
          <w:lang w:val="fi-FI"/>
        </w:rPr>
        <w:fldChar w:fldCharType="begin" w:fldLock="1"/>
      </w:r>
      <w:r w:rsidR="00A05576" w:rsidRPr="00B0148D">
        <w:instrText>ADDIN CSL_CITATION { "citationItems" : [ { "id" : "ITEM-1", "itemData" : { "DOI" : "10.1016/j.foodqual.2014.09.013", "ISBN" : "09503293", "ISSN" : "09503293", "abstract" : "This article constitutes a state-of-the-art review of the literature on the effects of expectations on the sensory perception of food and drink by humans. In the 'Introduction', we summarize the theoretical models of expectations that have been put forward. In the 'Empirical research utilizing direct methods' section, we describe the influence that expectations created by a variety of product extrinsic cues have on sensory perception, hedonic appraisal, and intake/consumption. We critically evaluate the evidence that has emerged from both laboratory studies and real-world research conducted in the setting of the restaurant, canteen, and bar. This literature review is focused primarily on those studies that have demonstrated an effect on tasting. Crucially, this review goes beyond previous work in the area by highlighting the relevant cognitive neuroscience literature (see the section 'Applied research through the lens of cognitive neuroscience methods') and the postulated psychological mechanisms of expectation in terms of recent accounts of predictive coding and Bayesian decision theory (see the 'Predictive coding and expectations'section).", "author" : [ { "dropping-particle" : "", "family" : "Piqueras-Fiszman", "given" : "Betina", "non-dropping-particle" : "", "parse-names" : false, "suffix" : "" }, { "dropping-particle" : "", "family" : "Spence", "given" : "Charles", "non-dropping-particle" : "", "parse-names" : false, "suffix" : "" } ], "container-title" : "Food Quality and Preference", "id" : "ITEM-1", "issue" : "PA", "issued" : { "date-parts" : [ [ "2015" ] ] }, "page" : "165-179", "publisher" : "Elsevier Ltd", "title" : "Sensory expectations based on product-extrinsic food cues: An interdisciplinary review of the empirical evidence and theoretical accounts", "type" : "article-journal", "volume" : "40" }, "uris" : [ "http://www.mendeley.com/documents/?uuid=2e32e6da-16d2-4537-bc03-d3f08b61a03b" ] } ], "mendeley" : { "formattedCitation" : "(Piqueras-Fiszman &amp; Spence, 2015)", "plainTextFormattedCitation" : "(Piqueras-Fiszman &amp; Spence, 2015)", "previouslyFormattedCitation" : "(Piqueras-Fiszman &amp; Spence, 2015)" }, "properties" : { "noteIndex" : 0 }, "schema" : "https://github.com/citation-style-language/schema/raw/master/csl-citation.json" }</w:instrText>
      </w:r>
      <w:r w:rsidR="00A05576" w:rsidRPr="00B0148D">
        <w:rPr>
          <w:lang w:val="fi-FI"/>
        </w:rPr>
        <w:fldChar w:fldCharType="separate"/>
      </w:r>
      <w:r w:rsidR="00A05576" w:rsidRPr="00B0148D">
        <w:rPr>
          <w:noProof/>
        </w:rPr>
        <w:t>(Piqueras-Fiszman &amp; Spence, 2015)</w:t>
      </w:r>
      <w:r w:rsidR="00A05576" w:rsidRPr="00B0148D">
        <w:rPr>
          <w:lang w:val="fi-FI"/>
        </w:rPr>
        <w:fldChar w:fldCharType="end"/>
      </w:r>
      <w:r w:rsidR="00A05576" w:rsidRPr="00B0148D">
        <w:t xml:space="preserve">. It is also possible to segment young consumers based on their values </w:t>
      </w:r>
      <w:r w:rsidR="00A05576" w:rsidRPr="00B0148D">
        <w:fldChar w:fldCharType="begin" w:fldLock="1"/>
      </w:r>
      <w:r w:rsidR="00A05576" w:rsidRPr="00B0148D">
        <w:instrText>ADDIN CSL_CITATION { "citationItems" : [ { "id" : "ITEM-1", "itemData" : { "DOI" : "10.1016/j.foodqual.2006.03.023", "ISBN" : "0950-3293", "ISSN" : "09503293", "abstract" : "Five, quite different white pan breads were chosen from twelve samples using Principal Component Analysis. Milling, baking, sensory assessment and sample preparation are described in [Kihlberg, I., ??str??m, ??., Johansson, L., &amp; Risvik, E. (2006). Sensory qualities of plain white pan bread - influence of farming system, year of harvest and baking technique. Journal of Cereal Science, 43(1), 15-30]. A consumer acceptance test was conducted on 184 consumers of organic products in two age groups, ???30 and &gt;30 years. The selected breads were tasted and scored for liking. Subsequent to the tasting, the consumers responded to a questionnaire including a complete set of the 56 Schwartz values and 10 statements related to issues of specific interest. Results confirmed the main groups of the near universal structure of values suggested by Schwartz and revealed different segments among organic consumers. Consumption frequency was also related to the values. Consumer groups differed significantly in values and in liking of breads. Among the most liked breads were both organic and conventional breads. The majority of consumers considered that organic food tastes better than conventional and that consumption of organic bread should increase. Moreover, about 50% declared that they would not buy an organic food product that was appreciably higher in price than a corresponding conventional food product. ?? 2006 Elsevier Ltd. All rights reserved.", "author" : [ { "dropping-particle" : "", "family" : "Kihlberg", "given" : "Iwona", "non-dropping-particle" : "", "parse-names" : false, "suffix" : "" }, { "dropping-particle" : "", "family" : "Risvik", "given" : "Einar", "non-dropping-particle" : "", "parse-names" : false, "suffix" : "" } ], "container-title" : "Food Quality and Preference", "id" : "ITEM-1", "issue" : "3", "issued" : { "date-parts" : [ [ "2007" ] ] }, "page" : "471-481", "title" : "Consumers of organic foods - value segments and liking of bread", "type" : "article-journal", "volume" : "18" }, "uris" : [ "http://www.mendeley.com/documents/?uuid=6662c996-7df9-423a-964a-ff6051e2ed0d" ] } ], "mendeley" : { "formattedCitation" : "(Kihlberg &amp; Risvik, 2007)", "plainTextFormattedCitation" : "(Kihlberg &amp; Risvik, 2007)", "previouslyFormattedCitation" : "(Kihlberg &amp; Risvik, 2007)" }, "properties" : { "noteIndex" : 0 }, "schema" : "https://github.com/citation-style-language/schema/raw/master/csl-citation.json" }</w:instrText>
      </w:r>
      <w:r w:rsidR="00A05576" w:rsidRPr="00B0148D">
        <w:fldChar w:fldCharType="separate"/>
      </w:r>
      <w:r w:rsidR="00A05576" w:rsidRPr="00B0148D">
        <w:rPr>
          <w:noProof/>
        </w:rPr>
        <w:t>(Kihlberg &amp; Risvik, 2007)</w:t>
      </w:r>
      <w:r w:rsidR="00A05576" w:rsidRPr="00B0148D">
        <w:fldChar w:fldCharType="end"/>
      </w:r>
      <w:r w:rsidR="00A05576" w:rsidRPr="00B0148D">
        <w:t xml:space="preserve">. Moreover, values have been found to be associated with some food choices, in particular, the consumption of meat and vegetables. </w:t>
      </w:r>
      <w:r w:rsidR="00A60EF1" w:rsidRPr="00B0148D">
        <w:t>Regarding br</w:t>
      </w:r>
      <w:r w:rsidR="00CC0DD9" w:rsidRPr="00B0148D">
        <w:t>ead consumption, the consumers we</w:t>
      </w:r>
      <w:r w:rsidR="00A60EF1" w:rsidRPr="00B0148D">
        <w:t xml:space="preserve">re not willing to make compromises </w:t>
      </w:r>
      <w:r w:rsidR="00CC0DD9" w:rsidRPr="00B0148D">
        <w:t>with regard</w:t>
      </w:r>
      <w:r w:rsidR="00A60EF1" w:rsidRPr="00B0148D">
        <w:t xml:space="preserve"> to taste and </w:t>
      </w:r>
      <w:r w:rsidR="00650FD3" w:rsidRPr="00B0148D">
        <w:t>healt</w:t>
      </w:r>
      <w:r w:rsidR="00650FD3" w:rsidRPr="00B0148D">
        <w:rPr>
          <w:lang w:val="sv-SE"/>
        </w:rPr>
        <w:t>h</w:t>
      </w:r>
      <w:r w:rsidR="00DC0FD9" w:rsidRPr="00B0148D">
        <w:rPr>
          <w:lang w:val="sv-SE"/>
        </w:rPr>
        <w:t xml:space="preserve"> </w:t>
      </w:r>
      <w:r w:rsidR="00DC0FD9" w:rsidRPr="00B0148D">
        <w:fldChar w:fldCharType="begin" w:fldLock="1"/>
      </w:r>
      <w:r w:rsidR="00E512D2" w:rsidRPr="00B0148D">
        <w:rPr>
          <w:lang w:val="sv-SE"/>
        </w:rPr>
        <w:instrText>ADDIN CSL_CITATION { "citationItems" : [ { "id" : "ITEM-1", "itemData" : { "DOI" : "10.1016/j.foodqual.2016.05.002", "ISSN" : "0950-3293", "author" : [ { "dropping-particle" : "", "family" : "Teuber", "given" : "Ramona", "non-dropping-particle" : "", "parse-names" : false, "suffix" : "" }, { "dropping-particle" : "", "family" : "Dolgopolova", "given" : "Irina", "non-dropping-particle" : "", "parse-names" : false, "suffix" : "" }, { "dropping-particle" : "", "family" : "Nordstr\u00f6m", "given" : "Jonas", "non-dropping-particle" : "", "parse-names" : false, "suffix" : "" } ], "container-title" : "Food Quality and Preference", "id" : "ITEM-1", "issued" : { "date-parts" : [ [ "2016" ] ] }, "page" : "244-254", "publisher" : "Elsevier Ltd", "title" : "Some like it organic , some like it purple and some like it ancient: Consumer preferences and WTP for value-added attributes in whole grain bread", "type" : "article-journal", "volume" : "52" }, "uris" : [ "http://www.mendeley.com/documents/?uuid=c92a901f-010a-49c3-8254-12a003c3d2cb" ] } ], "mendeley" : { "formattedCitation" : "(Teuber, Dolgopolova, &amp; Nordstr\u00f6m, 2016)", "manualFormatting" : "(Teuber, Dolgopolova, &amp; Nordstr\u00f6m, 2016", "plainTextFormattedCitation" : "(Teuber, Dolgopolova, &amp; Nordstr\u00f6m, 2016)", "previouslyFormattedCitation" : "(Teuber, Dolgopolova, &amp; Nordstr\u00f6m, 2016)" }, "properties" : { "noteIndex" : 0 }, "schema" : "https://github.com/citation-style-language/schema/raw/master/csl-citation.json" }</w:instrText>
      </w:r>
      <w:r w:rsidR="00DC0FD9" w:rsidRPr="00B0148D">
        <w:fldChar w:fldCharType="separate"/>
      </w:r>
      <w:r w:rsidR="00DC0FD9" w:rsidRPr="00B0148D">
        <w:rPr>
          <w:noProof/>
          <w:lang w:val="sv-SE"/>
        </w:rPr>
        <w:t>(Teuber, Dolgopolova, &amp; Nordström, 2016</w:t>
      </w:r>
      <w:r w:rsidR="00DC0FD9" w:rsidRPr="00B0148D">
        <w:fldChar w:fldCharType="end"/>
      </w:r>
      <w:r w:rsidR="00E512D2" w:rsidRPr="00B0148D">
        <w:rPr>
          <w:lang w:val="sv-SE"/>
        </w:rPr>
        <w:t xml:space="preserve">; </w:t>
      </w:r>
      <w:r w:rsidR="00DC0FD9" w:rsidRPr="00B0148D">
        <w:fldChar w:fldCharType="begin" w:fldLock="1"/>
      </w:r>
      <w:r w:rsidR="00E512D2" w:rsidRPr="00B0148D">
        <w:rPr>
          <w:lang w:val="sv-SE"/>
        </w:rPr>
        <w:instrText>ADDIN CSL_CITATION { "citationItems" : [ { "id" : "ITEM-1", "itemData" : { "DOI" : "10.1016/j.foodpol.2012.02.005", "ISSN" : "0306-9192", "author" : [ { "dropping-particle" : "", "family" : "Hellyer", "given" : "Nicole Elizabeth", "non-dropping-particle" : "", "parse-names" : false, "suffix" : "" }, { "dropping-particle" : "", "family" : "Fraser", "given" : "Iain", "non-dropping-particle" : "", "parse-names" : false, "suffix" : "" }, { "dropping-particle" : "", "family" : "Haddock-Fraser", "given" : "Janet", "non-dropping-particle" : "", "parse-names" : false, "suffix" : "" } ], "container-title" : "Food Policy", "id" : "ITEM-1", "issue" : "3", "issued" : { "date-parts" : [ [ "2012" ] ] }, "page" : "232-245", "publisher" : "Elsevier Ltd", "title" : "Food choice , health information and functional ingredients: An experimental auction employing bread", "type" : "article-journal", "volume" : "37" }, "uris" : [ "http://www.mendeley.com/documents/?uuid=f760f90b-c4d5-4478-b77d-0184934562f8" ] } ], "mendeley" : { "formattedCitation" : "(Hellyer, Fraser, &amp; Haddock-Fraser, 2012)", "manualFormatting" : "Hellyer, Fraser, &amp; Haddock-Fraser, 2012)", "plainTextFormattedCitation" : "(Hellyer, Fraser, &amp; Haddock-Fraser, 2012)", "previouslyFormattedCitation" : "(Hellyer, Fraser, &amp; Haddock-Fraser, 2012)" }, "properties" : { "noteIndex" : 0 }, "schema" : "https://github.com/citation-style-language/schema/raw/master/csl-citation.json" }</w:instrText>
      </w:r>
      <w:r w:rsidR="00DC0FD9" w:rsidRPr="00B0148D">
        <w:fldChar w:fldCharType="separate"/>
      </w:r>
      <w:r w:rsidR="00DC0FD9" w:rsidRPr="00B0148D">
        <w:rPr>
          <w:noProof/>
          <w:lang w:val="sv-SE"/>
        </w:rPr>
        <w:t>Hellyer, Fraser, &amp; Haddock-Fraser, 2012)</w:t>
      </w:r>
      <w:r w:rsidR="00DC0FD9" w:rsidRPr="00B0148D">
        <w:fldChar w:fldCharType="end"/>
      </w:r>
      <w:r w:rsidR="00A60EF1" w:rsidRPr="00B0148D">
        <w:rPr>
          <w:lang w:val="sv-SE"/>
        </w:rPr>
        <w:t xml:space="preserve">. Pohjanheimo et al. </w:t>
      </w:r>
      <w:r w:rsidR="00DC0FD9" w:rsidRPr="00B0148D">
        <w:fldChar w:fldCharType="begin" w:fldLock="1"/>
      </w:r>
      <w:r w:rsidR="00A55451" w:rsidRPr="00B0148D">
        <w:rPr>
          <w:lang w:val="sv-SE"/>
        </w:rPr>
        <w:instrText>ADDIN CSL_CITATION { "citationItems" : [ { "id" : "ITEM-1", "itemData" : { "DOI" : "10.1016/j.appet.2009.10.004", "ISBN" : "1095-8304 (Electronic)\\r0195-6663 (Linking)", "ISSN" : "01956663", "PMID" : "19835923", "abstract" : "This study addresses the effect of personal values on consumers' food choice motives and on the liking of bread. A total of 224 consumers participated in the study in three groups: traditional and hedonistic consumers, who presented opposite value types according to the Schwartz value theory, and a control group. Three different rye breads were evaluated for liking and their sensory profiles were determined. The consumer groups' values, food choice motives measured with the Food Choice Questionnaire and a Concern scale, and liking of the breads differed significantly according to the analysis of variance and a partial least squares regression analysis. For hedonistic consumers, rye bread characterized by a soft and porous texture influenced liking positively, and food choice motives \"mood\" and \"price\" correlated positively with their values. Traditional consumers were more positive toward different types of rye bread, and food choice motives \"natural content\", \"familiarity\" and \"health concern\" were more important to them than to hedonists. Overall, this study demonstrated that values are connected to food choice motives and, to</w:instrText>
      </w:r>
      <w:r w:rsidR="00A55451" w:rsidRPr="00B0148D">
        <w:instrText xml:space="preserve"> some extent liking and, thus, values can be utilized both in product development and in advertising. \u00a9 2009 Elsevier Ltd. All rights reserved.", "author" : [ { "dropping-particle" : "", "family" : "Pohjanheimo", "given" : "Terhi", "non-dropping-particle" : "", "parse-names" : false, "suffix" : "" }, { "dropping-particle" : "", "family" : "Paasovaara", "given" : "Rami", "non-dropping-particle" : "", "parse-names" : false, "suffix" : "" }, { "dropping-particle" : "", "family" : "Luomala", "given" : "Harri", "non-dropping-particle" : "", "parse-names" : false, "suffix" : "" }, { "dropping-particle" : "", "family" : "Sandell", "given" : "Mari", "non-dropping-particle" : "", "parse-names" : false, "suffix" : "" } ], "container-title" : "Appetite", "id" : "ITEM-1", "issue" : "1", "issued" : { "date-parts" : [ [ "2010" ] ] }, "page" : "170-180", "title" : "Food choice motives and bread liking of consumers embracing hedonistic and traditional values", "type" : "article-journal", "volume" : "54" }, "uris" : [ "http://www.mendeley.com/documents/?uuid=5157ac56-e1fb-4c18-845a-a8bf06eb5132" ] } ], "mendeley" : { "formattedCitation" : "(Pohjanheimo, Paasovaara, et al., 2010)", "manualFormatting" : "(2010)", "plainTextFormattedCitation" : "(Pohjanheimo, Paasovaara, et al., 2010)", "previouslyFormattedCitation" : "(Pohjanheimo, Paasovaara, et al., 2010)" }, "properties" : { "noteIndex" : 0 }, "schema" : "https://github.com/citation-style-language/schema/raw/master/csl-citation.json" }</w:instrText>
      </w:r>
      <w:r w:rsidR="00DC0FD9" w:rsidRPr="00B0148D">
        <w:fldChar w:fldCharType="separate"/>
      </w:r>
      <w:r w:rsidR="00DC0FD9" w:rsidRPr="00B0148D">
        <w:rPr>
          <w:noProof/>
        </w:rPr>
        <w:t>(2010)</w:t>
      </w:r>
      <w:r w:rsidR="00DC0FD9" w:rsidRPr="00B0148D">
        <w:fldChar w:fldCharType="end"/>
      </w:r>
      <w:r w:rsidR="00A60EF1" w:rsidRPr="00B0148D">
        <w:t xml:space="preserve"> found that the </w:t>
      </w:r>
      <w:r w:rsidR="00630FC4" w:rsidRPr="00B0148D">
        <w:t xml:space="preserve">evaluated </w:t>
      </w:r>
      <w:r w:rsidR="00A60EF1" w:rsidRPr="00B0148D">
        <w:t>sensory quality of bread</w:t>
      </w:r>
      <w:r w:rsidR="00F92AC9" w:rsidRPr="00B0148D">
        <w:t xml:space="preserve"> did not differ </w:t>
      </w:r>
      <w:r w:rsidR="00A60EF1" w:rsidRPr="00B0148D">
        <w:t>between consumers with traditional and hedonistic</w:t>
      </w:r>
      <w:r w:rsidR="00E512D2" w:rsidRPr="00B0148D">
        <w:t xml:space="preserve"> values</w:t>
      </w:r>
      <w:r w:rsidR="00A60EF1" w:rsidRPr="00B0148D">
        <w:t xml:space="preserve">. </w:t>
      </w:r>
      <w:r w:rsidR="00A05576" w:rsidRPr="00B0148D">
        <w:t>Universalism, which</w:t>
      </w:r>
      <w:r w:rsidR="00CC0DD9" w:rsidRPr="00B0148D">
        <w:t xml:space="preserve"> is part of Self-T</w:t>
      </w:r>
      <w:r w:rsidR="00A05576" w:rsidRPr="00B0148D">
        <w:t xml:space="preserve">ranscendence values, has been found to be associated with an infrequent consumption of meat </w:t>
      </w:r>
      <w:r w:rsidR="005A6BD8" w:rsidRPr="00B0148D">
        <w:fldChar w:fldCharType="begin" w:fldLock="1"/>
      </w:r>
      <w:r w:rsidR="005A6BD8" w:rsidRPr="00B0148D">
        <w:instrText>ADDIN CSL_CITATION { "citationItems" : [ { "id" : "ITEM-1", "itemData" : { "DOI" : "10.1016/j.foodqual.2007.04.002", "ISBN" : "0950-3293", "ISSN" : "09503293", "abstract" : "This paper aims to improve our understanding of food choices that are more sustainable in terms of moral and health aspects of eating. The aim of sustainability may require that people in Western countries choose to eat smaller quantities of meat as well as types of meat that are produced in a more responsible way. Focusing on mediators of the relationship between broad universalistic values and meat choices, we examined how involvement in food can be separated into promotion-oriented and prevention-oriented motivational goals. In a survey among 1530 Dutch consumers we found that most of the basic human values were to a certain extent related to the direction of the food choice motives. However, giving priority to universalism appeared to be unique in its impact on food choices favouring less meat or free-range meat. This impact was weak but robust and it was mediated by prevention-oriented food choice motives together with a high level of involvement in food and motive-congruent animal friendly attitudes. ?? 2007 Elsevier Ltd. All rights reserved.", "author" : [ { "dropping-particle" : "", "family" : "Boer", "given" : "Joop", "non-dropping-particle" : "de", "parse-names" : false, "suffix" : "" }, { "dropping-particle" : "", "family" : "Hoogland", "given" : "Carolien T.", "non-dropping-particle" : "", "parse-names" : false, "suffix" : "" }, { "dropping-particle" : "", "family" : "Boersema", "given" : "Jan J.", "non-dropping-particle" : "", "parse-names" : false, "suffix" : "" } ], "container-title" : "Food Quality and Preference", "id" : "ITEM-1", "issue" : "7", "issued" : { "date-parts" : [ [ "2007" ] ] }, "page" : "985-996", "title" : "Towards more sustainable food choices: Value priorities and motivational orientations", "type" : "article-journal", "volume" : "18" }, "uris" : [ "http://www.mendeley.com/documents/?uuid=207873ca-7f65-4a70-b8c8-7f79822bcb1b" ] } ], "mendeley" : { "formattedCitation" : "(de Boer, Hoogland, &amp; Boersema, 2007)", "plainTextFormattedCitation" : "(de Boer, Hoogland, &amp; Boersema, 2007)", "previouslyFormattedCitation" : "(de Boer, Hoogland, &amp; Boersema, 2007)" }, "properties" : { "noteIndex" : 0 }, "schema" : "https://github.com/citation-style-language/schema/raw/master/csl-citation.json" }</w:instrText>
      </w:r>
      <w:r w:rsidR="005A6BD8" w:rsidRPr="00B0148D">
        <w:fldChar w:fldCharType="separate"/>
      </w:r>
      <w:r w:rsidR="005A6BD8" w:rsidRPr="00B0148D">
        <w:rPr>
          <w:noProof/>
        </w:rPr>
        <w:t>(de Boer, Hoogland, &amp; Boersema, 2007)</w:t>
      </w:r>
      <w:r w:rsidR="005A6BD8" w:rsidRPr="00B0148D">
        <w:fldChar w:fldCharType="end"/>
      </w:r>
      <w:r w:rsidR="005A6BD8" w:rsidRPr="00B0148D">
        <w:t xml:space="preserve"> </w:t>
      </w:r>
      <w:r w:rsidR="00A05576" w:rsidRPr="00B0148D">
        <w:t xml:space="preserve">and </w:t>
      </w:r>
      <w:r w:rsidR="00CC0DD9" w:rsidRPr="00B0148D">
        <w:t xml:space="preserve">a </w:t>
      </w:r>
      <w:r w:rsidR="00A05576" w:rsidRPr="00B0148D">
        <w:t>frequent cons</w:t>
      </w:r>
      <w:r w:rsidR="005A6BD8" w:rsidRPr="00B0148D">
        <w:t xml:space="preserve">umption of vegetables </w:t>
      </w:r>
      <w:r w:rsidR="005A6BD8" w:rsidRPr="00B0148D">
        <w:fldChar w:fldCharType="begin" w:fldLock="1"/>
      </w:r>
      <w:r w:rsidR="007B1502" w:rsidRPr="00B0148D">
        <w:instrText>ADDIN CSL_CITATION { "citationItems" : [ { "id" : "ITEM-1", "itemData" : { "DOI" : "10.1016/j.appet.2015.11.005", "ISSN" : "0195-6663", "author" : [ { "dropping-particle" : "", "family" : "Farragher", "given" : "Tahlia", "non-dropping-particle" : "", "parse-names" : false, "suffix" : "" }, { "dropping-particle" : "", "family" : "Wang", "given" : "Wei C", "non-dropping-particle" : "", "parse-names" : false, "suffix" : "" }, { "dropping-particle" : "", "family" : "Worsley", "given" : "Anthony", "non-dropping-particle" : "", "parse-names" : false, "suffix" : "" } ], "container-title" : "Appetite", "id" : "ITEM-1", "issued" : { "date-parts" : [ [ "2016" ] ] }, "page" : "29-36", "publisher" : "Elsevier Ltd", "title" : "The associations of vegetable consumption with food mavenism , personal values , food knowledge and demographic factors", "type" : "article-journal", "volume" : "97" }, "uris" : [ "http://www.mendeley.com/documents/?uuid=279aa34c-e2eb-402c-ba94-75f4db3cc39e" ] } ], "mendeley" : { "formattedCitation" : "(Farragher, Wang, &amp; Worsley, 2016)", "plainTextFormattedCitation" : "(Farragher, Wang, &amp; Worsley, 2016)", "previouslyFormattedCitation" : "(Farragher, Wang, &amp; Worsley, 2016)" }, "properties" : { "noteIndex" : 0 }, "schema" : "https://github.com/citation-style-language/schema/raw/master/csl-citation.json" }</w:instrText>
      </w:r>
      <w:r w:rsidR="005A6BD8" w:rsidRPr="00B0148D">
        <w:fldChar w:fldCharType="separate"/>
      </w:r>
      <w:r w:rsidR="005A6BD8" w:rsidRPr="00B0148D">
        <w:rPr>
          <w:noProof/>
        </w:rPr>
        <w:t xml:space="preserve">(Farragher, Wang, &amp; </w:t>
      </w:r>
      <w:r w:rsidR="005A6BD8" w:rsidRPr="00B0148D">
        <w:rPr>
          <w:noProof/>
        </w:rPr>
        <w:lastRenderedPageBreak/>
        <w:t>Worsley, 2016)</w:t>
      </w:r>
      <w:r w:rsidR="005A6BD8" w:rsidRPr="00B0148D">
        <w:fldChar w:fldCharType="end"/>
      </w:r>
      <w:r w:rsidR="00A05576" w:rsidRPr="00B0148D">
        <w:t xml:space="preserve">. Conservation and </w:t>
      </w:r>
      <w:r w:rsidR="00CC0DD9" w:rsidRPr="00B0148D">
        <w:t>Self-E</w:t>
      </w:r>
      <w:r w:rsidR="00A05576" w:rsidRPr="00B0148D">
        <w:t>nhancement values (power, security and conformity) have been associated with frequent consumpti</w:t>
      </w:r>
      <w:r w:rsidR="007B1502" w:rsidRPr="00B0148D">
        <w:t xml:space="preserve">on of meat </w:t>
      </w:r>
      <w:r w:rsidR="007B1502" w:rsidRPr="00B0148D">
        <w:fldChar w:fldCharType="begin" w:fldLock="1"/>
      </w:r>
      <w:r w:rsidR="0028161B" w:rsidRPr="00B0148D">
        <w:instrText>ADDIN CSL_CITATION { "citationItems" : [ { "id" : "ITEM-1", "itemData" : { "DOI" : "10.1016/j.appet.2014.10.002", "ISSN" : "0195-6663", "author" : [ { "dropping-particle" : "", "family" : "Hayley", "given" : "Alexa", "non-dropping-particle" : "", "parse-names" : false, "suffix" : "" }, { "dropping-particle" : "", "family" : "Zinkiewicz", "given" : "Lucy", "non-dropping-particle" : "", "parse-names" : false, "suffix" : "" }, { "dropping-particle" : "", "family" : "Hardiman", "given" : "Kate", "non-dropping-particle" : "", "parse-names" : false, "suffix" : "" } ], "container-title" : "Appetite", "id" : "ITEM-1", "issued" : { "date-parts" : [ [ "2015" ] ] }, "page" : "98-106", "title" : "Values , attitudes , and frequency of meat consumption . Predicting meat-reduced diet in Australians", "type" : "article-journal", "volume" : "84" }, "uris" : [ "http://www.mendeley.com/documents/?uuid=785b9d0a-1c34-4aae-99b0-fd5a9242a0f0" ] } ], "mendeley" : { "formattedCitation" : "(Hayley, Zinkiewicz, &amp; Hardiman, 2015)", "plainTextFormattedCitation" : "(Hayley, Zinkiewicz, &amp; Hardiman, 2015)", "previouslyFormattedCitation" : "(Hayley, Zinkiewicz, &amp; Hardiman, 2015)" }, "properties" : { "noteIndex" : 0 }, "schema" : "https://github.com/citation-style-language/schema/raw/master/csl-citation.json" }</w:instrText>
      </w:r>
      <w:r w:rsidR="007B1502" w:rsidRPr="00B0148D">
        <w:fldChar w:fldCharType="separate"/>
      </w:r>
      <w:r w:rsidR="007B1502" w:rsidRPr="00B0148D">
        <w:rPr>
          <w:noProof/>
        </w:rPr>
        <w:t>(Hayley, Zinkiewicz, &amp; Hardiman, 2015)</w:t>
      </w:r>
      <w:r w:rsidR="007B1502" w:rsidRPr="00B0148D">
        <w:fldChar w:fldCharType="end"/>
      </w:r>
      <w:r w:rsidR="00A05576" w:rsidRPr="00B0148D">
        <w:t xml:space="preserve">. Therefore we test the hypotheses with three different food products: vegetables and meat are expected to be associated with different sets of values, and bread is expected to represent a neutral food product that is not associated with values. </w:t>
      </w:r>
      <w:r w:rsidR="007A7B3C" w:rsidRPr="00B0148D">
        <w:t xml:space="preserve">To verify the effect of product type, </w:t>
      </w:r>
      <w:r w:rsidR="00CC0DD9" w:rsidRPr="00B0148D">
        <w:t xml:space="preserve">three product types with different functions in meals were chosen. </w:t>
      </w:r>
      <w:r w:rsidR="007A7B3C" w:rsidRPr="00B0148D">
        <w:t xml:space="preserve">The products </w:t>
      </w:r>
      <w:r w:rsidR="009537C7" w:rsidRPr="00B0148D">
        <w:t xml:space="preserve">are a staple part of </w:t>
      </w:r>
      <w:r w:rsidR="00CC0DD9" w:rsidRPr="00B0148D">
        <w:t xml:space="preserve">the </w:t>
      </w:r>
      <w:r w:rsidR="009537C7" w:rsidRPr="00B0148D">
        <w:t xml:space="preserve">Finnish diet and they </w:t>
      </w:r>
      <w:r w:rsidR="007A7B3C" w:rsidRPr="00B0148D">
        <w:t>were chosen to simulate</w:t>
      </w:r>
      <w:r w:rsidR="00630FC4" w:rsidRPr="00B0148D">
        <w:t xml:space="preserve"> </w:t>
      </w:r>
      <w:r w:rsidR="00CC0DD9" w:rsidRPr="00B0148D">
        <w:t xml:space="preserve">the </w:t>
      </w:r>
      <w:r w:rsidR="00630FC4" w:rsidRPr="00B0148D">
        <w:t>pr</w:t>
      </w:r>
      <w:r w:rsidR="00E512D2" w:rsidRPr="00B0148D">
        <w:t xml:space="preserve">otein, cereal (fiber) and </w:t>
      </w:r>
      <w:r w:rsidR="00630FC4" w:rsidRPr="00B0148D">
        <w:t>vegetable components</w:t>
      </w:r>
      <w:r w:rsidR="007A36D5" w:rsidRPr="00B0148D">
        <w:t xml:space="preserve"> o</w:t>
      </w:r>
      <w:r w:rsidR="00AE0E5A" w:rsidRPr="00B0148D">
        <w:t>f</w:t>
      </w:r>
      <w:r w:rsidR="007A36D5" w:rsidRPr="00B0148D">
        <w:t xml:space="preserve"> a typical Finnish lunch.</w:t>
      </w:r>
      <w:r w:rsidR="007A36D5" w:rsidRPr="00B0148D">
        <w:rPr>
          <w:rFonts w:ascii="Verdana" w:hAnsi="Verdana"/>
        </w:rPr>
        <w:t xml:space="preserve"> </w:t>
      </w:r>
      <w:r w:rsidRPr="00B0148D">
        <w:t xml:space="preserve">The aim of this study is to explore the effect of personal values </w:t>
      </w:r>
      <w:r w:rsidR="00AE0E5A" w:rsidRPr="00B0148D">
        <w:t>on the evaluated quality of food generated by the product origin</w:t>
      </w:r>
    </w:p>
    <w:p w14:paraId="0F8B1DEB" w14:textId="16E10242" w:rsidR="003F6A19" w:rsidRPr="00B0148D" w:rsidRDefault="00267C6B" w:rsidP="003F6A19">
      <w:pPr>
        <w:jc w:val="both"/>
      </w:pPr>
      <w:r w:rsidRPr="00B0148D">
        <w:t>The study concentrates on how personal values affect the quality experienced by young people based on the geographical origin of the food products</w:t>
      </w:r>
      <w:r w:rsidR="003F6A19" w:rsidRPr="00B0148D">
        <w:t>. Based on the literature, we propose following hypotheses concerning the effects of values on the experienced quality of food products.</w:t>
      </w:r>
    </w:p>
    <w:p w14:paraId="67078621" w14:textId="206B9848" w:rsidR="003F6A19" w:rsidRPr="00B0148D" w:rsidRDefault="003F6A19" w:rsidP="003F6A19">
      <w:pPr>
        <w:jc w:val="both"/>
      </w:pPr>
      <w:r w:rsidRPr="00B0148D">
        <w:t xml:space="preserve">H1: Information about </w:t>
      </w:r>
      <w:r w:rsidR="00267C6B" w:rsidRPr="00B0148D">
        <w:t xml:space="preserve">the </w:t>
      </w:r>
      <w:r w:rsidRPr="00B0148D">
        <w:t xml:space="preserve">product origin is positively associated with </w:t>
      </w:r>
      <w:r w:rsidR="00267C6B" w:rsidRPr="00B0148D">
        <w:t xml:space="preserve">the </w:t>
      </w:r>
      <w:r w:rsidRPr="00B0148D">
        <w:t xml:space="preserve">product </w:t>
      </w:r>
      <w:r w:rsidR="00267C6B" w:rsidRPr="00B0148D">
        <w:t xml:space="preserve">experience and the probability </w:t>
      </w:r>
      <w:r w:rsidRPr="00B0148D">
        <w:t>o</w:t>
      </w:r>
      <w:r w:rsidR="00267C6B" w:rsidRPr="00B0148D">
        <w:t>f choosing</w:t>
      </w:r>
      <w:r w:rsidRPr="00B0148D">
        <w:t xml:space="preserve"> the product.</w:t>
      </w:r>
    </w:p>
    <w:p w14:paraId="4E3AD88D" w14:textId="7458439D" w:rsidR="00F32447" w:rsidRPr="00B0148D" w:rsidRDefault="003F6A19" w:rsidP="003F6A19">
      <w:pPr>
        <w:jc w:val="both"/>
      </w:pPr>
      <w:r w:rsidRPr="00B0148D">
        <w:t>H2</w:t>
      </w:r>
      <w:r w:rsidR="00C45F33" w:rsidRPr="00B0148D">
        <w:t>a</w:t>
      </w:r>
      <w:r w:rsidRPr="00B0148D">
        <w:t xml:space="preserve">: The </w:t>
      </w:r>
      <w:r w:rsidR="00267C6B" w:rsidRPr="00B0148D">
        <w:t>S</w:t>
      </w:r>
      <w:r w:rsidR="00C45F33" w:rsidRPr="00B0148D">
        <w:t>elf-Transcendence value orientation</w:t>
      </w:r>
      <w:r w:rsidRPr="00B0148D">
        <w:t xml:space="preserve"> and </w:t>
      </w:r>
      <w:r w:rsidR="00267C6B" w:rsidRPr="00B0148D">
        <w:t xml:space="preserve">the </w:t>
      </w:r>
      <w:r w:rsidRPr="00B0148D">
        <w:t xml:space="preserve">product experience </w:t>
      </w:r>
      <w:r w:rsidR="00F32447" w:rsidRPr="00B0148D">
        <w:t>of vegetables are associated</w:t>
      </w:r>
      <w:r w:rsidR="00C45F33" w:rsidRPr="00B0148D">
        <w:t>.</w:t>
      </w:r>
    </w:p>
    <w:p w14:paraId="0AD01666" w14:textId="5DDFA9D3" w:rsidR="00F32447" w:rsidRPr="00B0148D" w:rsidRDefault="00F32447" w:rsidP="003F6A19">
      <w:pPr>
        <w:jc w:val="both"/>
      </w:pPr>
      <w:r w:rsidRPr="00B0148D">
        <w:t xml:space="preserve">H2b: The </w:t>
      </w:r>
      <w:r w:rsidR="00267C6B" w:rsidRPr="00B0148D">
        <w:t>C</w:t>
      </w:r>
      <w:r w:rsidR="00C45F33" w:rsidRPr="00B0148D">
        <w:t>onservation value orientation</w:t>
      </w:r>
      <w:r w:rsidRPr="00B0148D">
        <w:t xml:space="preserve"> and</w:t>
      </w:r>
      <w:r w:rsidR="00267C6B" w:rsidRPr="00B0148D">
        <w:t xml:space="preserve"> the</w:t>
      </w:r>
      <w:r w:rsidRPr="00B0148D">
        <w:t xml:space="preserve"> product experience of meat are associated</w:t>
      </w:r>
      <w:r w:rsidR="00C45F33" w:rsidRPr="00B0148D">
        <w:t>.</w:t>
      </w:r>
    </w:p>
    <w:p w14:paraId="26B17DF3" w14:textId="44AB3F87" w:rsidR="003F6A19" w:rsidRPr="00B0148D" w:rsidRDefault="00F32447" w:rsidP="003F6A19">
      <w:pPr>
        <w:jc w:val="both"/>
      </w:pPr>
      <w:r w:rsidRPr="00B0148D">
        <w:t xml:space="preserve">H2c: The value orientations and product experience of bread are </w:t>
      </w:r>
      <w:r w:rsidR="00C45F33" w:rsidRPr="00B0148D">
        <w:t xml:space="preserve">not </w:t>
      </w:r>
      <w:r w:rsidRPr="00B0148D">
        <w:t>associated</w:t>
      </w:r>
      <w:r w:rsidR="00C45F33" w:rsidRPr="00B0148D">
        <w:t>.</w:t>
      </w:r>
    </w:p>
    <w:p w14:paraId="0239A494" w14:textId="43534EB6" w:rsidR="003F6A19" w:rsidRPr="00B0148D" w:rsidRDefault="003F6A19" w:rsidP="003F6A19">
      <w:pPr>
        <w:jc w:val="both"/>
      </w:pPr>
      <w:r w:rsidRPr="00B0148D">
        <w:t>H3</w:t>
      </w:r>
      <w:r w:rsidR="00EC4664" w:rsidRPr="00B0148D">
        <w:t>a</w:t>
      </w:r>
      <w:r w:rsidRPr="00B0148D">
        <w:t xml:space="preserve">: </w:t>
      </w:r>
      <w:r w:rsidR="00267C6B" w:rsidRPr="00B0148D">
        <w:t xml:space="preserve">Individuals who have more conservative values place more emphasis on the product origin of vegetables. </w:t>
      </w:r>
      <w:r w:rsidRPr="00B0148D">
        <w:t>Conservative people value especially local products.</w:t>
      </w:r>
    </w:p>
    <w:p w14:paraId="1CAB8E71" w14:textId="5E6E5F39" w:rsidR="00EC4664" w:rsidRPr="00B0148D" w:rsidRDefault="00EC4664" w:rsidP="00267C6B">
      <w:pPr>
        <w:jc w:val="both"/>
        <w:outlineLvl w:val="0"/>
      </w:pPr>
      <w:r w:rsidRPr="00B0148D">
        <w:t xml:space="preserve">H3b: </w:t>
      </w:r>
      <w:r w:rsidR="00267C6B" w:rsidRPr="00B0148D">
        <w:t xml:space="preserve">Individuals who have more conservative values place more emphasis on the product origin of meat. </w:t>
      </w:r>
      <w:r w:rsidRPr="00B0148D">
        <w:t xml:space="preserve">Conservative people </w:t>
      </w:r>
      <w:r w:rsidR="00267C6B" w:rsidRPr="00B0148D">
        <w:t xml:space="preserve">especially </w:t>
      </w:r>
      <w:r w:rsidRPr="00B0148D">
        <w:t>value local products.</w:t>
      </w:r>
    </w:p>
    <w:p w14:paraId="5467A553" w14:textId="65B3686D" w:rsidR="00EC4664" w:rsidRPr="00B0148D" w:rsidRDefault="00EC4664" w:rsidP="003F6A19">
      <w:pPr>
        <w:jc w:val="both"/>
      </w:pPr>
      <w:r w:rsidRPr="00B0148D">
        <w:t xml:space="preserve">H3c: </w:t>
      </w:r>
      <w:r w:rsidR="00267C6B" w:rsidRPr="00B0148D">
        <w:t>Individuals who have more conservative values place more emphasis on the product origin of bread</w:t>
      </w:r>
      <w:r w:rsidRPr="00B0148D">
        <w:t xml:space="preserve">. </w:t>
      </w:r>
      <w:r w:rsidR="00267C6B" w:rsidRPr="00B0148D">
        <w:t>Conservative people especially value local products.</w:t>
      </w:r>
    </w:p>
    <w:p w14:paraId="786B784F" w14:textId="77E4C859" w:rsidR="003F6A19" w:rsidRPr="00B0148D" w:rsidRDefault="003F6A19" w:rsidP="003F6A19">
      <w:pPr>
        <w:jc w:val="both"/>
      </w:pPr>
      <w:r w:rsidRPr="00B0148D">
        <w:t>H4</w:t>
      </w:r>
      <w:r w:rsidR="00EC4664" w:rsidRPr="00B0148D">
        <w:t>a</w:t>
      </w:r>
      <w:r w:rsidR="00267C6B" w:rsidRPr="00B0148D">
        <w:t>: People who have</w:t>
      </w:r>
      <w:r w:rsidRPr="00B0148D">
        <w:t xml:space="preserve"> altruistic values (Self-Transcendence) appreciate domestic and local </w:t>
      </w:r>
      <w:r w:rsidR="00685DFA" w:rsidRPr="00B0148D">
        <w:t>vegetables</w:t>
      </w:r>
      <w:r w:rsidRPr="00B0148D">
        <w:t xml:space="preserve"> more than people </w:t>
      </w:r>
      <w:r w:rsidR="00267C6B" w:rsidRPr="00B0148D">
        <w:t xml:space="preserve">who </w:t>
      </w:r>
      <w:r w:rsidRPr="00B0148D">
        <w:t>lean towards selfish (Self-Enhancement) values.</w:t>
      </w:r>
    </w:p>
    <w:p w14:paraId="32E9C5AF" w14:textId="77B6BFDA" w:rsidR="00EC4664" w:rsidRPr="00B0148D" w:rsidRDefault="00267C6B" w:rsidP="00EC4664">
      <w:pPr>
        <w:jc w:val="both"/>
      </w:pPr>
      <w:r w:rsidRPr="00B0148D">
        <w:t>H4b: People who have</w:t>
      </w:r>
      <w:r w:rsidR="00EC4664" w:rsidRPr="00B0148D">
        <w:t xml:space="preserve"> altruistic values (Self-Transcendence) appre</w:t>
      </w:r>
      <w:r w:rsidR="00685DFA" w:rsidRPr="00B0148D">
        <w:t>ciate domestic and local meat</w:t>
      </w:r>
      <w:r w:rsidR="00EC4664" w:rsidRPr="00B0148D">
        <w:t xml:space="preserve"> more than people </w:t>
      </w:r>
      <w:r w:rsidRPr="00B0148D">
        <w:t xml:space="preserve">who </w:t>
      </w:r>
      <w:r w:rsidR="00EC4664" w:rsidRPr="00B0148D">
        <w:t>lean towards selfish (Self-Enhancement) values.</w:t>
      </w:r>
    </w:p>
    <w:p w14:paraId="0C123E39" w14:textId="0C092909" w:rsidR="00EC4664" w:rsidRPr="00B0148D" w:rsidRDefault="00267C6B" w:rsidP="003F6A19">
      <w:pPr>
        <w:jc w:val="both"/>
      </w:pPr>
      <w:r w:rsidRPr="00B0148D">
        <w:t>H4c: People who have</w:t>
      </w:r>
      <w:r w:rsidR="00EC4664" w:rsidRPr="00B0148D">
        <w:t xml:space="preserve"> altruistic values (Self-Transcendence) appreciate domestic and local </w:t>
      </w:r>
      <w:r w:rsidR="00685DFA" w:rsidRPr="00B0148D">
        <w:t>bread</w:t>
      </w:r>
      <w:r w:rsidR="00EC4664" w:rsidRPr="00B0148D">
        <w:t xml:space="preserve"> more than people </w:t>
      </w:r>
      <w:r w:rsidRPr="00B0148D">
        <w:t xml:space="preserve">who </w:t>
      </w:r>
      <w:r w:rsidR="00EC4664" w:rsidRPr="00B0148D">
        <w:t>lean towards selfish (Self-Enhancement) values.</w:t>
      </w:r>
    </w:p>
    <w:p w14:paraId="1AFF177C" w14:textId="6F44F76A" w:rsidR="003F529C" w:rsidRPr="00B0148D" w:rsidRDefault="003F6A19" w:rsidP="003F6A19">
      <w:pPr>
        <w:jc w:val="both"/>
      </w:pPr>
      <w:r w:rsidRPr="00B0148D">
        <w:t>The proposed hypotheses were tested with two separate studies that were conducted among young consumers</w:t>
      </w:r>
      <w:r w:rsidR="002B5155" w:rsidRPr="00B0148D">
        <w:t>.</w:t>
      </w:r>
      <w:r w:rsidR="00A86570" w:rsidRPr="00B0148D">
        <w:tab/>
      </w:r>
    </w:p>
    <w:p w14:paraId="3088FE5E" w14:textId="2085729A" w:rsidR="003F529C" w:rsidRPr="00B0148D" w:rsidRDefault="00C5107A" w:rsidP="00C00514">
      <w:pPr>
        <w:jc w:val="both"/>
        <w:rPr>
          <w:b/>
        </w:rPr>
      </w:pPr>
      <w:r w:rsidRPr="00B0148D">
        <w:rPr>
          <w:b/>
        </w:rPr>
        <w:t xml:space="preserve">2. </w:t>
      </w:r>
      <w:r w:rsidR="008B0CD6" w:rsidRPr="00B0148D">
        <w:rPr>
          <w:b/>
        </w:rPr>
        <w:t>STUDY 1</w:t>
      </w:r>
      <w:r w:rsidR="005C340F" w:rsidRPr="00B0148D">
        <w:rPr>
          <w:b/>
        </w:rPr>
        <w:t xml:space="preserve"> – The </w:t>
      </w:r>
      <w:r w:rsidR="00240ED3" w:rsidRPr="00B0148D">
        <w:rPr>
          <w:b/>
        </w:rPr>
        <w:t>product experience of vegetables</w:t>
      </w:r>
      <w:r w:rsidR="005C340F" w:rsidRPr="00B0148D">
        <w:rPr>
          <w:b/>
        </w:rPr>
        <w:t xml:space="preserve"> among adolescents</w:t>
      </w:r>
    </w:p>
    <w:p w14:paraId="7DC19F5C" w14:textId="576E67AA" w:rsidR="005263AC" w:rsidRPr="00B0148D" w:rsidRDefault="00AE0E5A" w:rsidP="005263AC">
      <w:pPr>
        <w:jc w:val="both"/>
      </w:pPr>
      <w:r w:rsidRPr="00B0148D">
        <w:t>The effect of personal values on the quality experienced by young people based on the geographical origin of the food products was</w:t>
      </w:r>
      <w:r w:rsidRPr="00B0148D" w:rsidDel="001208D8">
        <w:t xml:space="preserve"> </w:t>
      </w:r>
      <w:r w:rsidR="005263AC" w:rsidRPr="00B0148D">
        <w:t>studied among lower and upper secondary level students (7</w:t>
      </w:r>
      <w:r w:rsidR="005263AC" w:rsidRPr="00B0148D">
        <w:rPr>
          <w:vertAlign w:val="superscript"/>
        </w:rPr>
        <w:t>th</w:t>
      </w:r>
      <w:r w:rsidR="005263AC" w:rsidRPr="00B0148D">
        <w:t>-9</w:t>
      </w:r>
      <w:r w:rsidR="005263AC" w:rsidRPr="00B0148D">
        <w:rPr>
          <w:vertAlign w:val="superscript"/>
        </w:rPr>
        <w:t>th</w:t>
      </w:r>
      <w:r w:rsidR="005263AC" w:rsidRPr="00B0148D">
        <w:t xml:space="preserve"> and </w:t>
      </w:r>
      <w:r w:rsidR="005263AC" w:rsidRPr="00B0148D">
        <w:lastRenderedPageBreak/>
        <w:t>10</w:t>
      </w:r>
      <w:r w:rsidR="005263AC" w:rsidRPr="00B0148D">
        <w:rPr>
          <w:vertAlign w:val="superscript"/>
        </w:rPr>
        <w:t>th</w:t>
      </w:r>
      <w:r w:rsidR="005263AC" w:rsidRPr="00B0148D">
        <w:t>-12</w:t>
      </w:r>
      <w:r w:rsidR="005263AC" w:rsidRPr="00B0148D">
        <w:rPr>
          <w:vertAlign w:val="superscript"/>
        </w:rPr>
        <w:t>th</w:t>
      </w:r>
      <w:r w:rsidR="005263AC" w:rsidRPr="00B0148D">
        <w:t xml:space="preserve"> grades). In this study, the target food product was vegetables (salad buffet). </w:t>
      </w:r>
      <w:r w:rsidR="00372CCE" w:rsidRPr="00B0148D">
        <w:t>The study was conducted during spring 2016.</w:t>
      </w:r>
    </w:p>
    <w:p w14:paraId="1AAE3CF0" w14:textId="77777777" w:rsidR="008B0CD6" w:rsidRPr="00B0148D" w:rsidRDefault="008B0CD6" w:rsidP="008B0CD6">
      <w:pPr>
        <w:jc w:val="both"/>
        <w:rPr>
          <w:b/>
        </w:rPr>
      </w:pPr>
      <w:r w:rsidRPr="00B0148D">
        <w:rPr>
          <w:b/>
        </w:rPr>
        <w:t>2.1 PARTICIPANTS</w:t>
      </w:r>
    </w:p>
    <w:p w14:paraId="5EAB28E9" w14:textId="46C6B77F" w:rsidR="005263AC" w:rsidRPr="00B0148D" w:rsidRDefault="004714FC" w:rsidP="005263AC">
      <w:pPr>
        <w:jc w:val="both"/>
        <w:rPr>
          <w:b/>
        </w:rPr>
      </w:pPr>
      <w:r w:rsidRPr="00B0148D">
        <w:t>The study was conducted</w:t>
      </w:r>
      <w:r w:rsidR="005263AC" w:rsidRPr="00B0148D">
        <w:t xml:space="preserve"> in a middle-sized city in Central Finland. Eight hundred and sixty-one students participated</w:t>
      </w:r>
      <w:r w:rsidRPr="00B0148D">
        <w:t xml:space="preserve"> in</w:t>
      </w:r>
      <w:r w:rsidR="005263AC" w:rsidRPr="00B0148D">
        <w:t xml:space="preserve"> the study during t</w:t>
      </w:r>
      <w:r w:rsidRPr="00B0148D">
        <w:t>heir classes. Of the students in</w:t>
      </w:r>
      <w:r w:rsidR="005263AC" w:rsidRPr="00B0148D">
        <w:t xml:space="preserve"> the 7</w:t>
      </w:r>
      <w:r w:rsidR="005263AC" w:rsidRPr="00B0148D">
        <w:rPr>
          <w:vertAlign w:val="superscript"/>
        </w:rPr>
        <w:t>th</w:t>
      </w:r>
      <w:r w:rsidR="005263AC" w:rsidRPr="00B0148D">
        <w:t>-9</w:t>
      </w:r>
      <w:r w:rsidR="005263AC" w:rsidRPr="00B0148D">
        <w:rPr>
          <w:vertAlign w:val="superscript"/>
        </w:rPr>
        <w:t>th</w:t>
      </w:r>
      <w:r w:rsidR="005263AC" w:rsidRPr="00B0148D">
        <w:t xml:space="preserve"> grades (N=480) 46.0 % were male and 53.1 % female (</w:t>
      </w:r>
      <w:r w:rsidR="00AE0E5A" w:rsidRPr="00B0148D">
        <w:t>4 incomplete</w:t>
      </w:r>
      <w:r w:rsidR="005263AC" w:rsidRPr="00B0148D">
        <w:t>). The average age in this group was 15.2 year</w:t>
      </w:r>
      <w:r w:rsidRPr="00B0148D">
        <w:t>s (SD = 0.8). Of the students in</w:t>
      </w:r>
      <w:r w:rsidR="005263AC" w:rsidRPr="00B0148D">
        <w:t xml:space="preserve"> the 10</w:t>
      </w:r>
      <w:r w:rsidR="005263AC" w:rsidRPr="00B0148D">
        <w:rPr>
          <w:vertAlign w:val="superscript"/>
        </w:rPr>
        <w:t>th</w:t>
      </w:r>
      <w:r w:rsidR="005263AC" w:rsidRPr="00B0148D">
        <w:t>-12</w:t>
      </w:r>
      <w:r w:rsidR="005263AC" w:rsidRPr="00B0148D">
        <w:rPr>
          <w:vertAlign w:val="superscript"/>
        </w:rPr>
        <w:t>th</w:t>
      </w:r>
      <w:r w:rsidR="005263AC" w:rsidRPr="00B0148D">
        <w:t xml:space="preserve"> grades (N=381), 39.4 % were male and 59.8 % female (</w:t>
      </w:r>
      <w:r w:rsidR="00AE0E5A" w:rsidRPr="00B0148D">
        <w:t>3 incomplete</w:t>
      </w:r>
      <w:r w:rsidR="005263AC" w:rsidRPr="00B0148D">
        <w:t xml:space="preserve">). The average age in this group was 17.5 years (SD = 0.6). </w:t>
      </w:r>
      <w:r w:rsidR="00667436" w:rsidRPr="00B0148D">
        <w:rPr>
          <w:rFonts w:cs="AdvPSPAL-R"/>
        </w:rPr>
        <w:t xml:space="preserve">School sampling was conducted </w:t>
      </w:r>
      <w:r w:rsidR="00602013" w:rsidRPr="00B0148D">
        <w:rPr>
          <w:rFonts w:cs="AdvPSPAL-R"/>
        </w:rPr>
        <w:t xml:space="preserve">according to the </w:t>
      </w:r>
      <w:r w:rsidR="00667436" w:rsidRPr="00B0148D">
        <w:rPr>
          <w:rFonts w:cs="AdvPSPAL-R"/>
        </w:rPr>
        <w:t>principals’ agreement</w:t>
      </w:r>
      <w:r w:rsidR="002A733F" w:rsidRPr="00B0148D">
        <w:rPr>
          <w:rFonts w:cs="AdvPSPAL-R"/>
        </w:rPr>
        <w:t xml:space="preserve"> </w:t>
      </w:r>
      <w:r w:rsidR="00602013" w:rsidRPr="00B0148D">
        <w:rPr>
          <w:rFonts w:cs="AdvPSPAL-R"/>
        </w:rPr>
        <w:t>and</w:t>
      </w:r>
      <w:r w:rsidR="002A733F" w:rsidRPr="00B0148D">
        <w:rPr>
          <w:rFonts w:cs="AdvPSPAL-R"/>
        </w:rPr>
        <w:t xml:space="preserve"> normal school policy</w:t>
      </w:r>
      <w:r w:rsidR="00667436" w:rsidRPr="00B0148D">
        <w:rPr>
          <w:rFonts w:cs="AdvPSPAL-R"/>
        </w:rPr>
        <w:t>.</w:t>
      </w:r>
      <w:r w:rsidR="00667436" w:rsidRPr="00B0148D">
        <w:t xml:space="preserve"> </w:t>
      </w:r>
      <w:r w:rsidR="005263AC" w:rsidRPr="00B0148D">
        <w:t>All the respondents participated voluntarily</w:t>
      </w:r>
      <w:r w:rsidR="00667436" w:rsidRPr="00B0148D">
        <w:t xml:space="preserve">, </w:t>
      </w:r>
      <w:r w:rsidR="00602013" w:rsidRPr="00B0148D">
        <w:t>gave their consent as to the use of the study results</w:t>
      </w:r>
      <w:r w:rsidR="00667436" w:rsidRPr="00B0148D">
        <w:t>,</w:t>
      </w:r>
      <w:r w:rsidR="00602013" w:rsidRPr="00B0148D">
        <w:t xml:space="preserve"> and </w:t>
      </w:r>
      <w:r w:rsidR="005263AC" w:rsidRPr="00B0148D">
        <w:t>did not receive any compensation for their efforts. The study was approved by the Ethics Committee of the University of Turku. All the participants were Finnish and the questionnaire was formulated in Finnish.</w:t>
      </w:r>
    </w:p>
    <w:p w14:paraId="0D6E51D7" w14:textId="77777777" w:rsidR="008B0CD6" w:rsidRPr="00B0148D" w:rsidRDefault="008B0CD6" w:rsidP="008B0CD6">
      <w:pPr>
        <w:jc w:val="both"/>
        <w:rPr>
          <w:b/>
        </w:rPr>
      </w:pPr>
      <w:r w:rsidRPr="00B0148D">
        <w:rPr>
          <w:b/>
        </w:rPr>
        <w:t>2.2 STUDY DESIGN</w:t>
      </w:r>
    </w:p>
    <w:p w14:paraId="1933ACC3" w14:textId="6E4403DC" w:rsidR="005263AC" w:rsidRPr="00B0148D" w:rsidRDefault="004629F3" w:rsidP="005263AC">
      <w:pPr>
        <w:jc w:val="both"/>
      </w:pPr>
      <w:r w:rsidRPr="00B0148D">
        <w:t>The study was conducted</w:t>
      </w:r>
      <w:r w:rsidR="005263AC" w:rsidRPr="00B0148D">
        <w:t xml:space="preserve"> using three different conditions with </w:t>
      </w:r>
      <w:r w:rsidRPr="00B0148D">
        <w:t>varying</w:t>
      </w:r>
      <w:r w:rsidR="005263AC" w:rsidRPr="00B0148D">
        <w:t xml:space="preserve"> origin</w:t>
      </w:r>
      <w:r w:rsidRPr="00B0148D">
        <w:t>s</w:t>
      </w:r>
      <w:r w:rsidR="005263AC" w:rsidRPr="00B0148D">
        <w:t xml:space="preserve"> (Table 2). </w:t>
      </w:r>
      <w:r w:rsidRPr="00B0148D">
        <w:t>The participants were provided with a questionnaire containing brief information about the food product and were then asked to complete the questionnaire based on the information provided. The information included a product description containing one of the three types of origin (neutral, domestic, local). The objective of this study was to test the effect of the students’ personal values, when choosing a salad buffet, based on the information about the product’s origin.</w:t>
      </w:r>
    </w:p>
    <w:p w14:paraId="6E777460" w14:textId="03BBCEFC" w:rsidR="005263AC" w:rsidRPr="00B0148D" w:rsidRDefault="005263AC" w:rsidP="005263AC">
      <w:pPr>
        <w:jc w:val="both"/>
      </w:pPr>
      <w:r w:rsidRPr="00B0148D">
        <w:t>The participants were asked to give their response based only on</w:t>
      </w:r>
      <w:r w:rsidR="004629F3" w:rsidRPr="00B0148D">
        <w:t xml:space="preserve"> the product information combined</w:t>
      </w:r>
      <w:r w:rsidRPr="00B0148D">
        <w:t xml:space="preserve"> with a generic picture of the product. The respondents were completely randomized within each group into one of three conditions.</w:t>
      </w:r>
    </w:p>
    <w:p w14:paraId="1195FFBE" w14:textId="09450889" w:rsidR="008B0CD6" w:rsidRPr="00B0148D" w:rsidRDefault="00763751" w:rsidP="008B0CD6">
      <w:pPr>
        <w:jc w:val="both"/>
      </w:pPr>
      <w:r w:rsidRPr="00B0148D">
        <w:rPr>
          <w:b/>
        </w:rPr>
        <w:t>Table 2</w:t>
      </w:r>
      <w:r w:rsidR="008B0CD6" w:rsidRPr="00B0148D">
        <w:t>. The description of different types of product origin in Study 1</w:t>
      </w:r>
    </w:p>
    <w:tbl>
      <w:tblPr>
        <w:tblW w:w="7320" w:type="dxa"/>
        <w:tblCellMar>
          <w:left w:w="70" w:type="dxa"/>
          <w:right w:w="70" w:type="dxa"/>
        </w:tblCellMar>
        <w:tblLook w:val="04A0" w:firstRow="1" w:lastRow="0" w:firstColumn="1" w:lastColumn="0" w:noHBand="0" w:noVBand="1"/>
      </w:tblPr>
      <w:tblGrid>
        <w:gridCol w:w="1400"/>
        <w:gridCol w:w="5920"/>
      </w:tblGrid>
      <w:tr w:rsidR="00B0148D" w:rsidRPr="00B0148D" w14:paraId="3519F4CF" w14:textId="77777777" w:rsidTr="00173F66">
        <w:trPr>
          <w:trHeight w:val="288"/>
        </w:trPr>
        <w:tc>
          <w:tcPr>
            <w:tcW w:w="1400" w:type="dxa"/>
            <w:tcBorders>
              <w:top w:val="nil"/>
              <w:left w:val="nil"/>
              <w:bottom w:val="single" w:sz="4" w:space="0" w:color="auto"/>
              <w:right w:val="single" w:sz="4" w:space="0" w:color="auto"/>
            </w:tcBorders>
            <w:shd w:val="clear" w:color="000000" w:fill="FFFFFF"/>
            <w:noWrap/>
            <w:vAlign w:val="bottom"/>
            <w:hideMark/>
          </w:tcPr>
          <w:p w14:paraId="4280E681" w14:textId="77777777" w:rsidR="008B0CD6" w:rsidRPr="00B0148D" w:rsidRDefault="008B0CD6" w:rsidP="00173F66">
            <w:pPr>
              <w:spacing w:after="0" w:line="240" w:lineRule="auto"/>
              <w:rPr>
                <w:rFonts w:ascii="Calibri" w:eastAsia="Times New Roman" w:hAnsi="Calibri" w:cs="Times New Roman"/>
                <w:lang w:val="fi-FI" w:eastAsia="fi-FI"/>
              </w:rPr>
            </w:pPr>
            <w:r w:rsidRPr="00B0148D">
              <w:rPr>
                <w:rFonts w:ascii="Calibri" w:eastAsia="Times New Roman" w:hAnsi="Calibri" w:cs="Times New Roman"/>
                <w:lang w:val="fi-FI" w:eastAsia="fi-FI"/>
              </w:rPr>
              <w:t>Type of origin</w:t>
            </w:r>
          </w:p>
        </w:tc>
        <w:tc>
          <w:tcPr>
            <w:tcW w:w="5920" w:type="dxa"/>
            <w:tcBorders>
              <w:top w:val="nil"/>
              <w:left w:val="nil"/>
              <w:bottom w:val="single" w:sz="4" w:space="0" w:color="auto"/>
              <w:right w:val="nil"/>
            </w:tcBorders>
            <w:shd w:val="clear" w:color="000000" w:fill="FFFFFF"/>
            <w:noWrap/>
            <w:vAlign w:val="bottom"/>
            <w:hideMark/>
          </w:tcPr>
          <w:p w14:paraId="6617AB78" w14:textId="77777777" w:rsidR="008B0CD6" w:rsidRPr="00B0148D" w:rsidRDefault="008B0CD6" w:rsidP="00173F66">
            <w:pPr>
              <w:spacing w:after="0" w:line="240" w:lineRule="auto"/>
              <w:rPr>
                <w:rFonts w:ascii="Calibri" w:eastAsia="Times New Roman" w:hAnsi="Calibri" w:cs="Times New Roman"/>
                <w:lang w:val="fi-FI" w:eastAsia="fi-FI"/>
              </w:rPr>
            </w:pPr>
            <w:r w:rsidRPr="00B0148D">
              <w:rPr>
                <w:rFonts w:ascii="Calibri" w:eastAsia="Times New Roman" w:hAnsi="Calibri" w:cs="Times New Roman"/>
                <w:lang w:val="fi-FI" w:eastAsia="fi-FI"/>
              </w:rPr>
              <w:t>Description</w:t>
            </w:r>
          </w:p>
        </w:tc>
      </w:tr>
      <w:tr w:rsidR="00B0148D" w:rsidRPr="00B0148D" w14:paraId="62A04AC8" w14:textId="77777777" w:rsidTr="00173F66">
        <w:trPr>
          <w:trHeight w:val="600"/>
        </w:trPr>
        <w:tc>
          <w:tcPr>
            <w:tcW w:w="1400" w:type="dxa"/>
            <w:tcBorders>
              <w:top w:val="nil"/>
              <w:left w:val="nil"/>
              <w:bottom w:val="nil"/>
              <w:right w:val="single" w:sz="4" w:space="0" w:color="auto"/>
            </w:tcBorders>
            <w:shd w:val="clear" w:color="000000" w:fill="FFFFFF"/>
            <w:noWrap/>
            <w:vAlign w:val="center"/>
            <w:hideMark/>
          </w:tcPr>
          <w:p w14:paraId="3FD1775A" w14:textId="77777777" w:rsidR="008B0CD6" w:rsidRPr="00B0148D" w:rsidRDefault="008B0CD6" w:rsidP="00173F66">
            <w:pPr>
              <w:spacing w:after="0" w:line="240" w:lineRule="auto"/>
              <w:rPr>
                <w:rFonts w:ascii="Calibri" w:eastAsia="Times New Roman" w:hAnsi="Calibri" w:cs="Times New Roman"/>
                <w:lang w:val="fi-FI" w:eastAsia="fi-FI"/>
              </w:rPr>
            </w:pPr>
            <w:r w:rsidRPr="00B0148D">
              <w:rPr>
                <w:rFonts w:ascii="Calibri" w:eastAsia="Times New Roman" w:hAnsi="Calibri" w:cs="Times New Roman"/>
                <w:lang w:val="fi-FI" w:eastAsia="fi-FI"/>
              </w:rPr>
              <w:t>Neutral</w:t>
            </w:r>
          </w:p>
        </w:tc>
        <w:tc>
          <w:tcPr>
            <w:tcW w:w="5920" w:type="dxa"/>
            <w:tcBorders>
              <w:top w:val="nil"/>
              <w:left w:val="nil"/>
              <w:bottom w:val="nil"/>
              <w:right w:val="nil"/>
            </w:tcBorders>
            <w:shd w:val="clear" w:color="000000" w:fill="FFFFFF"/>
            <w:noWrap/>
            <w:vAlign w:val="center"/>
            <w:hideMark/>
          </w:tcPr>
          <w:p w14:paraId="61DC7C7A" w14:textId="3BE8E8D2" w:rsidR="008B0CD6" w:rsidRPr="00B0148D" w:rsidRDefault="008B27F9" w:rsidP="00173F66">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The lunch serving included a salad buffet.</w:t>
            </w:r>
          </w:p>
        </w:tc>
      </w:tr>
      <w:tr w:rsidR="00B0148D" w:rsidRPr="00B0148D" w14:paraId="4B08D7DB" w14:textId="77777777" w:rsidTr="00173F66">
        <w:trPr>
          <w:trHeight w:val="600"/>
        </w:trPr>
        <w:tc>
          <w:tcPr>
            <w:tcW w:w="1400" w:type="dxa"/>
            <w:tcBorders>
              <w:top w:val="nil"/>
              <w:left w:val="nil"/>
              <w:bottom w:val="nil"/>
              <w:right w:val="single" w:sz="4" w:space="0" w:color="auto"/>
            </w:tcBorders>
            <w:shd w:val="clear" w:color="000000" w:fill="FFFFFF"/>
            <w:noWrap/>
            <w:vAlign w:val="center"/>
            <w:hideMark/>
          </w:tcPr>
          <w:p w14:paraId="3A61BB2A" w14:textId="77777777" w:rsidR="008B0CD6" w:rsidRPr="00B0148D" w:rsidRDefault="008B0CD6" w:rsidP="00173F66">
            <w:pPr>
              <w:spacing w:after="0" w:line="240" w:lineRule="auto"/>
              <w:rPr>
                <w:rFonts w:ascii="Calibri" w:eastAsia="Times New Roman" w:hAnsi="Calibri" w:cs="Times New Roman"/>
                <w:lang w:val="fi-FI" w:eastAsia="fi-FI"/>
              </w:rPr>
            </w:pPr>
            <w:r w:rsidRPr="00B0148D">
              <w:rPr>
                <w:rFonts w:ascii="Calibri" w:eastAsia="Times New Roman" w:hAnsi="Calibri" w:cs="Times New Roman"/>
                <w:lang w:val="fi-FI" w:eastAsia="fi-FI"/>
              </w:rPr>
              <w:t>Domestic</w:t>
            </w:r>
          </w:p>
        </w:tc>
        <w:tc>
          <w:tcPr>
            <w:tcW w:w="5920" w:type="dxa"/>
            <w:tcBorders>
              <w:top w:val="nil"/>
              <w:left w:val="nil"/>
              <w:bottom w:val="nil"/>
              <w:right w:val="nil"/>
            </w:tcBorders>
            <w:shd w:val="clear" w:color="000000" w:fill="FFFFFF"/>
            <w:vAlign w:val="center"/>
            <w:hideMark/>
          </w:tcPr>
          <w:p w14:paraId="5256124C" w14:textId="706E698E" w:rsidR="008B0CD6" w:rsidRPr="00B0148D" w:rsidRDefault="008B27F9" w:rsidP="00173F66">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The lunch serving included a salad buffet in which all the ingredients were domestically grown.</w:t>
            </w:r>
          </w:p>
        </w:tc>
      </w:tr>
      <w:tr w:rsidR="00B0148D" w:rsidRPr="00B0148D" w14:paraId="433C9541" w14:textId="77777777" w:rsidTr="00173F66">
        <w:trPr>
          <w:trHeight w:val="600"/>
        </w:trPr>
        <w:tc>
          <w:tcPr>
            <w:tcW w:w="1400" w:type="dxa"/>
            <w:tcBorders>
              <w:top w:val="nil"/>
              <w:left w:val="nil"/>
              <w:bottom w:val="nil"/>
              <w:right w:val="single" w:sz="4" w:space="0" w:color="auto"/>
            </w:tcBorders>
            <w:shd w:val="clear" w:color="000000" w:fill="FFFFFF"/>
            <w:noWrap/>
            <w:vAlign w:val="center"/>
            <w:hideMark/>
          </w:tcPr>
          <w:p w14:paraId="2D4DDC21" w14:textId="77777777" w:rsidR="008B0CD6" w:rsidRPr="00B0148D" w:rsidRDefault="008B0CD6" w:rsidP="00173F66">
            <w:pPr>
              <w:spacing w:after="0" w:line="240" w:lineRule="auto"/>
              <w:rPr>
                <w:rFonts w:ascii="Calibri" w:eastAsia="Times New Roman" w:hAnsi="Calibri" w:cs="Times New Roman"/>
                <w:lang w:val="fi-FI" w:eastAsia="fi-FI"/>
              </w:rPr>
            </w:pPr>
            <w:r w:rsidRPr="00B0148D">
              <w:rPr>
                <w:rFonts w:ascii="Calibri" w:eastAsia="Times New Roman" w:hAnsi="Calibri" w:cs="Times New Roman"/>
                <w:lang w:val="fi-FI" w:eastAsia="fi-FI"/>
              </w:rPr>
              <w:t>Local</w:t>
            </w:r>
          </w:p>
        </w:tc>
        <w:tc>
          <w:tcPr>
            <w:tcW w:w="5920" w:type="dxa"/>
            <w:tcBorders>
              <w:top w:val="nil"/>
              <w:left w:val="nil"/>
              <w:bottom w:val="nil"/>
              <w:right w:val="nil"/>
            </w:tcBorders>
            <w:shd w:val="clear" w:color="000000" w:fill="FFFFFF"/>
            <w:vAlign w:val="center"/>
            <w:hideMark/>
          </w:tcPr>
          <w:p w14:paraId="1F02A339" w14:textId="333C8E93" w:rsidR="008B0CD6" w:rsidRPr="00B0148D" w:rsidRDefault="008B27F9" w:rsidP="00173F66">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The lunch serving included a salad buffet in which all the ingredients were locally grown.*</w:t>
            </w:r>
          </w:p>
        </w:tc>
      </w:tr>
    </w:tbl>
    <w:p w14:paraId="0636A666" w14:textId="77777777" w:rsidR="008B0CD6" w:rsidRPr="00B0148D" w:rsidRDefault="008B0CD6" w:rsidP="008B0CD6">
      <w:pPr>
        <w:jc w:val="both"/>
        <w:rPr>
          <w:b/>
        </w:rPr>
      </w:pPr>
    </w:p>
    <w:p w14:paraId="28847701" w14:textId="0ACAC672" w:rsidR="00BB3D45" w:rsidRPr="00B0148D" w:rsidRDefault="00BB3D45" w:rsidP="008B0CD6">
      <w:pPr>
        <w:jc w:val="both"/>
      </w:pPr>
      <w:r w:rsidRPr="00B0148D">
        <w:t xml:space="preserve">* </w:t>
      </w:r>
      <w:r w:rsidR="00FB4F6A" w:rsidRPr="00B0148D">
        <w:t>To clarify the concept of locality to the respondents, the d</w:t>
      </w:r>
      <w:r w:rsidRPr="00B0148D">
        <w:t>escription of the local origin was complemented with examples of the tow</w:t>
      </w:r>
      <w:r w:rsidR="008B27F9" w:rsidRPr="00B0148D">
        <w:t xml:space="preserve">ns where the vegetables were </w:t>
      </w:r>
      <w:r w:rsidRPr="00B0148D">
        <w:t>grown. The maximum distance from the place of consumption was approximately 15 miles.</w:t>
      </w:r>
    </w:p>
    <w:p w14:paraId="799A4AFA" w14:textId="77777777" w:rsidR="008B0CD6" w:rsidRPr="00B0148D" w:rsidRDefault="008B0CD6" w:rsidP="008B0CD6">
      <w:pPr>
        <w:jc w:val="both"/>
        <w:rPr>
          <w:b/>
        </w:rPr>
      </w:pPr>
      <w:r w:rsidRPr="00B0148D">
        <w:rPr>
          <w:b/>
        </w:rPr>
        <w:t>2.3 PROCEDURE</w:t>
      </w:r>
    </w:p>
    <w:p w14:paraId="2F3B544E" w14:textId="1D09287A" w:rsidR="008B0CD6" w:rsidRPr="00B0148D" w:rsidRDefault="00DA5C9B" w:rsidP="008B0CD6">
      <w:pPr>
        <w:jc w:val="both"/>
      </w:pPr>
      <w:r w:rsidRPr="00B0148D">
        <w:t>T</w:t>
      </w:r>
      <w:r w:rsidR="008B0CD6" w:rsidRPr="00B0148D">
        <w:t xml:space="preserve">he </w:t>
      </w:r>
      <w:r w:rsidRPr="00B0148D">
        <w:t>respondents</w:t>
      </w:r>
      <w:r w:rsidR="008B0CD6" w:rsidRPr="00B0148D">
        <w:t xml:space="preserve"> were </w:t>
      </w:r>
      <w:r w:rsidRPr="00B0148D">
        <w:t>advised</w:t>
      </w:r>
      <w:r w:rsidR="008B0CD6" w:rsidRPr="00B0148D">
        <w:t xml:space="preserve"> to fill out the que</w:t>
      </w:r>
      <w:r w:rsidR="008B27F9" w:rsidRPr="00B0148D">
        <w:t xml:space="preserve">stionnaire </w:t>
      </w:r>
      <w:r w:rsidR="008B0CD6" w:rsidRPr="00B0148D">
        <w:t>based</w:t>
      </w:r>
      <w:r w:rsidRPr="00B0148D">
        <w:t xml:space="preserve"> </w:t>
      </w:r>
      <w:r w:rsidR="008B27F9" w:rsidRPr="00B0148D">
        <w:t xml:space="preserve">only </w:t>
      </w:r>
      <w:r w:rsidRPr="00B0148D">
        <w:t xml:space="preserve">on the </w:t>
      </w:r>
      <w:r w:rsidR="008B0CD6" w:rsidRPr="00B0148D">
        <w:t>information</w:t>
      </w:r>
      <w:r w:rsidRPr="00B0148D">
        <w:t xml:space="preserve"> </w:t>
      </w:r>
      <w:r w:rsidR="008B27F9" w:rsidRPr="00B0148D">
        <w:t>about</w:t>
      </w:r>
      <w:r w:rsidRPr="00B0148D">
        <w:t xml:space="preserve"> the product</w:t>
      </w:r>
      <w:r w:rsidR="008B0CD6" w:rsidRPr="00B0148D">
        <w:t xml:space="preserve">. </w:t>
      </w:r>
      <w:r w:rsidR="008B27F9" w:rsidRPr="00B0148D">
        <w:t xml:space="preserve">The respondents filled in the questionnaires independently during their classes with no possibility to interact with the other students. The participants were told that the data was gathered only if consent was given and that the responses were confidential and used only for research </w:t>
      </w:r>
      <w:r w:rsidR="008B27F9" w:rsidRPr="00B0148D">
        <w:lastRenderedPageBreak/>
        <w:t>purposes. According to the approval given by the ethical committee, the questionnaire</w:t>
      </w:r>
      <w:r w:rsidR="0067291E" w:rsidRPr="00B0148D">
        <w:t>s without consent were disposed</w:t>
      </w:r>
      <w:r w:rsidR="008B27F9" w:rsidRPr="00B0148D">
        <w:t>.</w:t>
      </w:r>
    </w:p>
    <w:p w14:paraId="121DF501" w14:textId="3EE21BDE" w:rsidR="008B0CD6" w:rsidRPr="00B0148D" w:rsidRDefault="008B0CD6" w:rsidP="008B0CD6">
      <w:pPr>
        <w:jc w:val="both"/>
      </w:pPr>
      <w:r w:rsidRPr="00B0148D">
        <w:t>Based on th</w:t>
      </w:r>
      <w:r w:rsidR="008B27F9" w:rsidRPr="00B0148D">
        <w:t xml:space="preserve">e </w:t>
      </w:r>
      <w:r w:rsidRPr="00B0148D">
        <w:t>product information</w:t>
      </w:r>
      <w:r w:rsidR="008B27F9" w:rsidRPr="00B0148D">
        <w:t xml:space="preserve"> provided</w:t>
      </w:r>
      <w:r w:rsidRPr="00B0148D">
        <w:t xml:space="preserve">, participants evaluated the product properties in the context of the lunch serving; meaning that the described product was available as a part of the lunch buffet served in the school cafeteria. The task was to evaluate the product described in the questionnaire in relation to the </w:t>
      </w:r>
      <w:r w:rsidR="00212DF5" w:rsidRPr="00B0148D">
        <w:t>following attributes:</w:t>
      </w:r>
      <w:r w:rsidRPr="00B0148D">
        <w:t xml:space="preserve"> </w:t>
      </w:r>
      <w:r w:rsidR="00212DF5" w:rsidRPr="00B0148D">
        <w:t>t</w:t>
      </w:r>
      <w:r w:rsidRPr="00B0148D">
        <w:t>he product’s pleasantness was evaluated on a 7-point hedonic scale (1 = extremely unpl</w:t>
      </w:r>
      <w:r w:rsidR="008B27F9" w:rsidRPr="00B0148D">
        <w:t>easant, 7 = extremely pleasant);</w:t>
      </w:r>
      <w:r w:rsidRPr="00B0148D">
        <w:t xml:space="preserve"> the probability that they would choose the product (‘How probable would it be for you to choose this kind of product as a part of lunch serving?’) on 7-point scale (1 = highly improbable, 7 = highly probable)</w:t>
      </w:r>
      <w:r w:rsidR="008B27F9" w:rsidRPr="00B0148D">
        <w:t>;</w:t>
      </w:r>
      <w:r w:rsidRPr="00B0148D">
        <w:t xml:space="preserve"> and the overall quality of the product on a 7-point scale (1 = extremely low quality, 7 = extremely high quality).</w:t>
      </w:r>
      <w:r w:rsidR="006420B4" w:rsidRPr="00B0148D">
        <w:t xml:space="preserve"> </w:t>
      </w:r>
      <w:r w:rsidR="008B27F9" w:rsidRPr="00B0148D">
        <w:t>To verify the continuity of the scale, a new variable was generated by calculating the mean value of the three aforementioned scales; this new variable was identified as product perception. The new scale showed good internal consistency as the Cronbach’s alpha was 0.827.</w:t>
      </w:r>
    </w:p>
    <w:p w14:paraId="305980C5" w14:textId="426D77B5" w:rsidR="00321ADD" w:rsidRPr="00B0148D" w:rsidRDefault="00321ADD" w:rsidP="00321ADD">
      <w:pPr>
        <w:jc w:val="both"/>
      </w:pPr>
      <w:r w:rsidRPr="00B0148D">
        <w:t>To measure the personal values</w:t>
      </w:r>
      <w:r w:rsidR="0003515A" w:rsidRPr="00B0148D">
        <w:t xml:space="preserve"> of individ</w:t>
      </w:r>
      <w:r w:rsidR="00101C33" w:rsidRPr="00B0148D">
        <w:t>ual consumers</w:t>
      </w:r>
      <w:r w:rsidR="00212DF5" w:rsidRPr="00B0148D">
        <w:t>,</w:t>
      </w:r>
      <w:r w:rsidR="00101C33" w:rsidRPr="00B0148D">
        <w:t xml:space="preserve"> the </w:t>
      </w:r>
      <w:r w:rsidRPr="00B0148D">
        <w:t>Short Schwarz Value Survey</w:t>
      </w:r>
      <w:r w:rsidR="00BE56E9" w:rsidRPr="00B0148D">
        <w:t xml:space="preserve"> </w:t>
      </w:r>
      <w:r w:rsidR="00BE56E9" w:rsidRPr="00B0148D">
        <w:fldChar w:fldCharType="begin" w:fldLock="1"/>
      </w:r>
      <w:r w:rsidR="00DE0ED9" w:rsidRPr="00B0148D">
        <w:instrText>ADDIN CSL_CITATION { "citationItems" : [ { "id" : "ITEM-1", "itemData" : { "author" : [ { "dropping-particle" : "", "family" : "Lindeman", "given" : "Marjaana", "non-dropping-particle" : "", "parse-names" : false, "suffix" : "" }, { "dropping-particle" : "", "family" : "Verkasalo", "given" : "Markku", "non-dropping-particle" : "", "parse-names" : false, "suffix" : "" } ], "container-title" : "Journal of Personality Assessment", "id" : "ITEM-1", "issue" : "2", "issued" : { "date-parts" : [ [ "2005" ] ] }, "page" : "170-178", "title" : "Measuring Values With the Short Schwartz", "type" : "article-journal", "volume" : "85" }, "uris" : [ "http://www.mendeley.com/documents/?uuid=6ccf6611-71cc-47a9-beee-20f70a1b0252" ] } ], "mendeley" : { "formattedCitation" : "(Lindeman &amp; Verkasalo, 2005)", "plainTextFormattedCitation" : "(Lindeman &amp; Verkasalo, 2005)", "previouslyFormattedCitation" : "(Lindeman &amp; Verkasalo, 2005)" }, "properties" : { "noteIndex" : 0 }, "schema" : "https://github.com/citation-style-language/schema/raw/master/csl-citation.json" }</w:instrText>
      </w:r>
      <w:r w:rsidR="00BE56E9" w:rsidRPr="00B0148D">
        <w:fldChar w:fldCharType="separate"/>
      </w:r>
      <w:r w:rsidR="00BE56E9" w:rsidRPr="00B0148D">
        <w:rPr>
          <w:noProof/>
        </w:rPr>
        <w:t>(Lindeman &amp; Verkasalo, 2005)</w:t>
      </w:r>
      <w:r w:rsidR="00BE56E9" w:rsidRPr="00B0148D">
        <w:fldChar w:fldCharType="end"/>
      </w:r>
      <w:r w:rsidR="00212DF5" w:rsidRPr="00B0148D">
        <w:t xml:space="preserve"> was used</w:t>
      </w:r>
      <w:r w:rsidRPr="00B0148D">
        <w:t>. The short version of the scale consists of the names of ten values (Power, Achievement, Hedonism, Stimulation, Self-direction, Universalism, Benevolence, Tradition, Conformism, and Security)</w:t>
      </w:r>
      <w:r w:rsidR="00101C33" w:rsidRPr="00B0148D">
        <w:t xml:space="preserve"> with a</w:t>
      </w:r>
      <w:r w:rsidR="00CB7156" w:rsidRPr="00B0148D">
        <w:t>n</w:t>
      </w:r>
      <w:r w:rsidR="00101C33" w:rsidRPr="00B0148D">
        <w:t xml:space="preserve"> attached description of each value</w:t>
      </w:r>
      <w:r w:rsidRPr="00B0148D">
        <w:t>. The participants were asked to evaluate the importance of each value as a life-guiding principle. To evaluate the importance of the values, a 9-point scale was use</w:t>
      </w:r>
      <w:r w:rsidR="00723CB4" w:rsidRPr="00B0148D">
        <w:t>d</w:t>
      </w:r>
      <w:r w:rsidRPr="00B0148D">
        <w:t xml:space="preserve"> (0 = opposed to my principles, 1 = not important, 4 = important, 8 = of supreme importance)</w:t>
      </w:r>
      <w:r w:rsidR="00BE56E9" w:rsidRPr="00B0148D">
        <w:t>.  In their article</w:t>
      </w:r>
      <w:r w:rsidR="008B27F9" w:rsidRPr="00B0148D">
        <w:t>,</w:t>
      </w:r>
      <w:r w:rsidR="00BE56E9" w:rsidRPr="00B0148D">
        <w:t xml:space="preserve"> Lindeman &amp;</w:t>
      </w:r>
      <w:r w:rsidRPr="00B0148D">
        <w:t xml:space="preserve"> Verkasalo </w:t>
      </w:r>
      <w:r w:rsidR="0003515A" w:rsidRPr="00B0148D">
        <w:fldChar w:fldCharType="begin" w:fldLock="1"/>
      </w:r>
      <w:r w:rsidR="00DE0ED9" w:rsidRPr="00B0148D">
        <w:instrText>ADDIN CSL_CITATION { "citationItems" : [ { "id" : "ITEM-1", "itemData" : { "author" : [ { "dropping-particle" : "", "family" : "Lindeman", "given" : "Marjaana", "non-dropping-particle" : "", "parse-names" : false, "suffix" : "" }, { "dropping-particle" : "", "family" : "Verkasalo", "given" : "Markku", "non-dropping-particle" : "", "parse-names" : false, "suffix" : "" } ], "container-title" : "Journal of Personality Assessment", "id" : "ITEM-1", "issue" : "2", "issued" : { "date-parts" : [ [ "2005" ] ] }, "page" : "170-178", "title" : "Measuring Values With the Short Schwartz", "type" : "article-journal", "volume" : "85" }, "uris" : [ "http://www.mendeley.com/documents/?uuid=6ccf6611-71cc-47a9-beee-20f70a1b0252" ] } ], "mendeley" : { "formattedCitation" : "(Lindeman &amp; Verkasalo, 2005)", "manualFormatting" : "(2005)", "plainTextFormattedCitation" : "(Lindeman &amp; Verkasalo, 2005)", "previouslyFormattedCitation" : "(Lindeman &amp; Verkasalo, 2005)" }, "properties" : { "noteIndex" : 0 }, "schema" : "https://github.com/citation-style-language/schema/raw/master/csl-citation.json" }</w:instrText>
      </w:r>
      <w:r w:rsidR="0003515A" w:rsidRPr="00B0148D">
        <w:fldChar w:fldCharType="separate"/>
      </w:r>
      <w:r w:rsidR="0003515A" w:rsidRPr="00B0148D">
        <w:rPr>
          <w:noProof/>
        </w:rPr>
        <w:t>(2005)</w:t>
      </w:r>
      <w:r w:rsidR="0003515A" w:rsidRPr="00B0148D">
        <w:fldChar w:fldCharType="end"/>
      </w:r>
      <w:r w:rsidRPr="00B0148D">
        <w:t xml:space="preserve"> introduced a method to c</w:t>
      </w:r>
      <w:r w:rsidR="00101C33" w:rsidRPr="00B0148D">
        <w:t>ompute the weighted average for</w:t>
      </w:r>
      <w:r w:rsidRPr="00B0148D">
        <w:t xml:space="preserve"> two value dimensions</w:t>
      </w:r>
      <w:r w:rsidR="00101C33" w:rsidRPr="00B0148D">
        <w:t>: Openness to change vs. Conservation and Self-Transcendence vs. Self-Enhancement</w:t>
      </w:r>
      <w:r w:rsidRPr="00B0148D">
        <w:t xml:space="preserve"> using standard equations</w:t>
      </w:r>
      <w:r w:rsidR="00635147" w:rsidRPr="00B0148D">
        <w:rPr>
          <w:rStyle w:val="FootnoteReference"/>
        </w:rPr>
        <w:footnoteReference w:id="1"/>
      </w:r>
      <w:r w:rsidRPr="00B0148D">
        <w:t>. For each respondent th</w:t>
      </w:r>
      <w:r w:rsidR="00101C33" w:rsidRPr="00B0148D">
        <w:t xml:space="preserve">e importance </w:t>
      </w:r>
      <w:r w:rsidR="004D5DD3" w:rsidRPr="00B0148D">
        <w:t xml:space="preserve">of </w:t>
      </w:r>
      <w:r w:rsidR="00101C33" w:rsidRPr="00B0148D">
        <w:t>b</w:t>
      </w:r>
      <w:r w:rsidR="00635147" w:rsidRPr="00B0148D">
        <w:t>oth these two dimensions was</w:t>
      </w:r>
      <w:r w:rsidR="00101C33" w:rsidRPr="00B0148D">
        <w:t xml:space="preserve"> computed</w:t>
      </w:r>
      <w:r w:rsidR="000345F0" w:rsidRPr="00B0148D">
        <w:t>.</w:t>
      </w:r>
    </w:p>
    <w:p w14:paraId="487F963D" w14:textId="77777777" w:rsidR="00A32480" w:rsidRPr="00B0148D" w:rsidRDefault="00A32480" w:rsidP="008B0CD6">
      <w:pPr>
        <w:jc w:val="both"/>
      </w:pPr>
      <w:r w:rsidRPr="00B0148D">
        <w:t>The basic demographic information was included in the questionnaire (gender and year of birth).</w:t>
      </w:r>
    </w:p>
    <w:p w14:paraId="780CEBF1" w14:textId="61B38DAE" w:rsidR="008B0CD6" w:rsidRPr="00B0148D" w:rsidRDefault="008B0CD6" w:rsidP="008B0CD6">
      <w:pPr>
        <w:jc w:val="both"/>
        <w:rPr>
          <w:b/>
        </w:rPr>
      </w:pPr>
      <w:r w:rsidRPr="00B0148D">
        <w:rPr>
          <w:b/>
        </w:rPr>
        <w:t>2.4 DATA ANALYSIS</w:t>
      </w:r>
    </w:p>
    <w:p w14:paraId="35304893" w14:textId="482F8269" w:rsidR="00317133" w:rsidRPr="00B0148D" w:rsidRDefault="007479CF" w:rsidP="00317133">
      <w:pPr>
        <w:jc w:val="both"/>
      </w:pPr>
      <w:r w:rsidRPr="00B0148D">
        <w:t>Ordinal</w:t>
      </w:r>
      <w:r w:rsidR="004D5DD3" w:rsidRPr="00B0148D">
        <w:t xml:space="preserve"> regression </w:t>
      </w:r>
      <w:r w:rsidRPr="00B0148D">
        <w:t>analyses were</w:t>
      </w:r>
      <w:r w:rsidR="004D5DD3" w:rsidRPr="00B0148D">
        <w:t xml:space="preserve"> used for testing the hypotheses</w:t>
      </w:r>
      <w:r w:rsidRPr="00B0148D">
        <w:t xml:space="preserve"> using pleasantness, probability-to-choose, overall quality, and product perception as dependent values</w:t>
      </w:r>
      <w:r w:rsidR="004D5DD3" w:rsidRPr="00B0148D">
        <w:t xml:space="preserve">. A </w:t>
      </w:r>
      <w:r w:rsidR="00FD3176" w:rsidRPr="00B0148D">
        <w:t>Breusch-Pagan test was used to test heteroskedasticity</w:t>
      </w:r>
      <w:r w:rsidR="00BE4E87" w:rsidRPr="00B0148D">
        <w:t xml:space="preserve"> </w:t>
      </w:r>
      <w:r w:rsidR="00BE4E87" w:rsidRPr="00B0148D">
        <w:fldChar w:fldCharType="begin" w:fldLock="1"/>
      </w:r>
      <w:r w:rsidR="00EB25E4" w:rsidRPr="00B0148D">
        <w:instrText>ADDIN CSL_CITATION { "citationItems" : [ { "id" : "ITEM-1", "itemData" : { "author" : [ { "dropping-particle" : "", "family" : "Breusch", "given" : "T S", "non-dropping-particle" : "", "parse-names" : false, "suffix" : "" }, { "dropping-particle" : "", "family" : "Pagan", "given" : "A R", "non-dropping-particle" : "", "parse-names" : false, "suffix" : "" } ], "container-title" : "Econometrica", "id" : "ITEM-1", "issue" : "5", "issued" : { "date-parts" : [ [ "1979" ] ] }, "page" : "1287-1294", "title" : "A Simple Test for Heteroscedasticity and Random Coefficient Variation", "type" : "article-journal", "volume" : "47" }, "uris" : [ "http://www.mendeley.com/documents/?uuid=4c3a2a59-a65a-4859-bc47-94cdd944e3f9" ] } ], "mendeley" : { "formattedCitation" : "(Breusch &amp; Pagan, 1979)", "plainTextFormattedCitation" : "(Breusch &amp; Pagan, 1979)", "previouslyFormattedCitation" : "(Breusch &amp; Pagan, 1979)" }, "properties" : { "noteIndex" : 0 }, "schema" : "https://github.com/citation-style-language/schema/raw/master/csl-citation.json" }</w:instrText>
      </w:r>
      <w:r w:rsidR="00BE4E87" w:rsidRPr="00B0148D">
        <w:fldChar w:fldCharType="separate"/>
      </w:r>
      <w:r w:rsidR="00BE4E87" w:rsidRPr="00B0148D">
        <w:rPr>
          <w:noProof/>
        </w:rPr>
        <w:t>(Breusch &amp; Pagan, 1979)</w:t>
      </w:r>
      <w:r w:rsidR="00BE4E87" w:rsidRPr="00B0148D">
        <w:fldChar w:fldCharType="end"/>
      </w:r>
      <w:r w:rsidR="00FD3176" w:rsidRPr="00B0148D">
        <w:t xml:space="preserve">. </w:t>
      </w:r>
      <w:r w:rsidR="00901C75" w:rsidRPr="00B0148D">
        <w:t>If the test indicated heteroskedasticity, the variable was translated followed by a log transformation.</w:t>
      </w:r>
    </w:p>
    <w:p w14:paraId="185CFBC2" w14:textId="28F39C9C" w:rsidR="00317133" w:rsidRPr="00B0148D" w:rsidRDefault="00317133" w:rsidP="00317133">
      <w:pPr>
        <w:jc w:val="both"/>
      </w:pPr>
      <w:r w:rsidRPr="00B0148D">
        <w:t>Correlations coefficients (Pearson’s r) were calculated between</w:t>
      </w:r>
      <w:r w:rsidR="001F4100" w:rsidRPr="00B0148D">
        <w:t xml:space="preserve"> the</w:t>
      </w:r>
      <w:r w:rsidRPr="00B0148D">
        <w:t xml:space="preserve"> test conditions (neutral, domestic, local) and </w:t>
      </w:r>
      <w:r w:rsidR="001F4100" w:rsidRPr="00B0148D">
        <w:t xml:space="preserve">the </w:t>
      </w:r>
      <w:r w:rsidRPr="00B0148D">
        <w:t>main value dimensions (Conservation/Openness to change and Self- Transcendence/Self-Enhancement).</w:t>
      </w:r>
    </w:p>
    <w:p w14:paraId="3EF6501A" w14:textId="4861CEC0" w:rsidR="008B0CD6" w:rsidRPr="00B0148D" w:rsidRDefault="008B0CD6" w:rsidP="008B0CD6">
      <w:pPr>
        <w:jc w:val="both"/>
      </w:pPr>
      <w:r w:rsidRPr="00B0148D">
        <w:t>For all the statistical analys</w:t>
      </w:r>
      <w:r w:rsidR="001F4100" w:rsidRPr="00B0148D">
        <w:t>e</w:t>
      </w:r>
      <w:r w:rsidRPr="00B0148D">
        <w:t>s an IBM SPSS Statistics 23 was used.</w:t>
      </w:r>
    </w:p>
    <w:p w14:paraId="124BF850" w14:textId="2EEF76F1" w:rsidR="008B0CD6" w:rsidRPr="00B0148D" w:rsidRDefault="008B0CD6" w:rsidP="008B0CD6">
      <w:pPr>
        <w:jc w:val="both"/>
        <w:rPr>
          <w:b/>
        </w:rPr>
      </w:pPr>
      <w:r w:rsidRPr="00B0148D">
        <w:rPr>
          <w:b/>
        </w:rPr>
        <w:lastRenderedPageBreak/>
        <w:t>2.5 RESULTS</w:t>
      </w:r>
    </w:p>
    <w:p w14:paraId="4F6557F3" w14:textId="37C81FF7" w:rsidR="001D6C58" w:rsidRPr="00B0148D" w:rsidRDefault="009D5003" w:rsidP="00A32480">
      <w:pPr>
        <w:jc w:val="both"/>
      </w:pPr>
      <w:r w:rsidRPr="00B0148D">
        <w:t>Conservation seemed</w:t>
      </w:r>
      <w:r w:rsidR="001D6C58" w:rsidRPr="00B0148D">
        <w:t xml:space="preserve"> to be negatively associated with age and positively with gender i</w:t>
      </w:r>
      <w:r w:rsidRPr="00B0148D">
        <w:t>.e. male and older respondents we</w:t>
      </w:r>
      <w:r w:rsidR="001D6C58" w:rsidRPr="00B0148D">
        <w:t>re more conservative (Table 3). Self-Transcendence correlate</w:t>
      </w:r>
      <w:r w:rsidRPr="00B0148D">
        <w:t>d</w:t>
      </w:r>
      <w:r w:rsidR="001D6C58" w:rsidRPr="00B0148D">
        <w:t xml:space="preserve"> negatively with age and gender meaning that younge</w:t>
      </w:r>
      <w:r w:rsidRPr="00B0148D">
        <w:t>r female respondents hold</w:t>
      </w:r>
      <w:r w:rsidR="00A32480" w:rsidRPr="00B0148D">
        <w:t xml:space="preserve"> more altruistic values.</w:t>
      </w:r>
    </w:p>
    <w:p w14:paraId="438134A2" w14:textId="3EF17013" w:rsidR="00763751" w:rsidRPr="00B0148D" w:rsidRDefault="00763751">
      <w:r w:rsidRPr="00B0148D">
        <w:rPr>
          <w:b/>
        </w:rPr>
        <w:t>Table 3</w:t>
      </w:r>
      <w:r w:rsidRPr="00B0148D">
        <w:t xml:space="preserve">. </w:t>
      </w:r>
      <w:r w:rsidR="00F417A4" w:rsidRPr="00B0148D">
        <w:t>Mean scores (SD) and intercorrelations of age, gender, Conservation, and Self-Transcendence in the study population (N=861)</w:t>
      </w:r>
    </w:p>
    <w:tbl>
      <w:tblPr>
        <w:tblW w:w="7600" w:type="dxa"/>
        <w:tblCellMar>
          <w:left w:w="70" w:type="dxa"/>
          <w:right w:w="70" w:type="dxa"/>
        </w:tblCellMar>
        <w:tblLook w:val="04A0" w:firstRow="1" w:lastRow="0" w:firstColumn="1" w:lastColumn="0" w:noHBand="0" w:noVBand="1"/>
      </w:tblPr>
      <w:tblGrid>
        <w:gridCol w:w="400"/>
        <w:gridCol w:w="2420"/>
        <w:gridCol w:w="1600"/>
        <w:gridCol w:w="1060"/>
        <w:gridCol w:w="1060"/>
        <w:gridCol w:w="1060"/>
      </w:tblGrid>
      <w:tr w:rsidR="00B0148D" w:rsidRPr="00B0148D" w14:paraId="25EFE2AC" w14:textId="77777777" w:rsidTr="006A378D">
        <w:trPr>
          <w:trHeight w:val="288"/>
        </w:trPr>
        <w:tc>
          <w:tcPr>
            <w:tcW w:w="400" w:type="dxa"/>
            <w:tcBorders>
              <w:top w:val="nil"/>
              <w:left w:val="nil"/>
              <w:bottom w:val="single" w:sz="4" w:space="0" w:color="auto"/>
              <w:right w:val="nil"/>
            </w:tcBorders>
            <w:shd w:val="clear" w:color="000000" w:fill="FFFFFF"/>
            <w:noWrap/>
            <w:vAlign w:val="bottom"/>
            <w:hideMark/>
          </w:tcPr>
          <w:p w14:paraId="1CE780F4" w14:textId="77777777" w:rsidR="006A378D" w:rsidRPr="00B0148D" w:rsidRDefault="006A378D" w:rsidP="006A378D">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2420" w:type="dxa"/>
            <w:tcBorders>
              <w:top w:val="nil"/>
              <w:left w:val="nil"/>
              <w:bottom w:val="single" w:sz="4" w:space="0" w:color="auto"/>
              <w:right w:val="nil"/>
            </w:tcBorders>
            <w:shd w:val="clear" w:color="000000" w:fill="FFFFFF"/>
            <w:noWrap/>
            <w:vAlign w:val="bottom"/>
            <w:hideMark/>
          </w:tcPr>
          <w:p w14:paraId="784AE502" w14:textId="77777777" w:rsidR="006A378D" w:rsidRPr="00B0148D" w:rsidRDefault="006A378D" w:rsidP="006A378D">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1600" w:type="dxa"/>
            <w:tcBorders>
              <w:top w:val="nil"/>
              <w:left w:val="nil"/>
              <w:bottom w:val="single" w:sz="4" w:space="0" w:color="auto"/>
              <w:right w:val="nil"/>
            </w:tcBorders>
            <w:shd w:val="clear" w:color="000000" w:fill="FFFFFF"/>
            <w:noWrap/>
            <w:vAlign w:val="bottom"/>
            <w:hideMark/>
          </w:tcPr>
          <w:p w14:paraId="6C406BCB" w14:textId="607BC9CC" w:rsidR="006A378D" w:rsidRPr="00B0148D" w:rsidRDefault="001D6C58" w:rsidP="001D6C58">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Mean (SD)</w:t>
            </w:r>
          </w:p>
        </w:tc>
        <w:tc>
          <w:tcPr>
            <w:tcW w:w="1060" w:type="dxa"/>
            <w:tcBorders>
              <w:top w:val="nil"/>
              <w:left w:val="nil"/>
              <w:bottom w:val="single" w:sz="4" w:space="0" w:color="auto"/>
              <w:right w:val="nil"/>
            </w:tcBorders>
            <w:shd w:val="clear" w:color="000000" w:fill="FFFFFF"/>
            <w:noWrap/>
            <w:vAlign w:val="bottom"/>
            <w:hideMark/>
          </w:tcPr>
          <w:p w14:paraId="7E744480"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w:t>
            </w:r>
          </w:p>
        </w:tc>
        <w:tc>
          <w:tcPr>
            <w:tcW w:w="1060" w:type="dxa"/>
            <w:tcBorders>
              <w:top w:val="nil"/>
              <w:left w:val="nil"/>
              <w:bottom w:val="single" w:sz="4" w:space="0" w:color="auto"/>
              <w:right w:val="nil"/>
            </w:tcBorders>
            <w:shd w:val="clear" w:color="000000" w:fill="FFFFFF"/>
            <w:noWrap/>
            <w:vAlign w:val="bottom"/>
            <w:hideMark/>
          </w:tcPr>
          <w:p w14:paraId="4D74E925"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2</w:t>
            </w:r>
          </w:p>
        </w:tc>
        <w:tc>
          <w:tcPr>
            <w:tcW w:w="1060" w:type="dxa"/>
            <w:tcBorders>
              <w:top w:val="nil"/>
              <w:left w:val="nil"/>
              <w:bottom w:val="single" w:sz="4" w:space="0" w:color="auto"/>
              <w:right w:val="nil"/>
            </w:tcBorders>
            <w:shd w:val="clear" w:color="000000" w:fill="FFFFFF"/>
            <w:noWrap/>
            <w:vAlign w:val="bottom"/>
            <w:hideMark/>
          </w:tcPr>
          <w:p w14:paraId="19211A05"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3</w:t>
            </w:r>
          </w:p>
        </w:tc>
      </w:tr>
      <w:tr w:rsidR="00B0148D" w:rsidRPr="00B0148D" w14:paraId="70FD2BFC" w14:textId="77777777" w:rsidTr="006A378D">
        <w:trPr>
          <w:trHeight w:val="288"/>
        </w:trPr>
        <w:tc>
          <w:tcPr>
            <w:tcW w:w="400" w:type="dxa"/>
            <w:tcBorders>
              <w:top w:val="nil"/>
              <w:left w:val="nil"/>
              <w:bottom w:val="nil"/>
              <w:right w:val="nil"/>
            </w:tcBorders>
            <w:shd w:val="clear" w:color="000000" w:fill="FFFFFF"/>
            <w:noWrap/>
            <w:vAlign w:val="bottom"/>
            <w:hideMark/>
          </w:tcPr>
          <w:p w14:paraId="7ED7A471" w14:textId="77777777" w:rsidR="006A378D" w:rsidRPr="00B0148D" w:rsidRDefault="006A378D" w:rsidP="006A378D">
            <w:pPr>
              <w:spacing w:after="0" w:line="240" w:lineRule="auto"/>
              <w:jc w:val="right"/>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w:t>
            </w:r>
          </w:p>
        </w:tc>
        <w:tc>
          <w:tcPr>
            <w:tcW w:w="2420" w:type="dxa"/>
            <w:tcBorders>
              <w:top w:val="nil"/>
              <w:left w:val="nil"/>
              <w:bottom w:val="nil"/>
              <w:right w:val="nil"/>
            </w:tcBorders>
            <w:shd w:val="clear" w:color="000000" w:fill="FFFFFF"/>
            <w:noWrap/>
            <w:vAlign w:val="bottom"/>
            <w:hideMark/>
          </w:tcPr>
          <w:p w14:paraId="31CC7997" w14:textId="063303D7" w:rsidR="006A378D" w:rsidRPr="00B0148D" w:rsidRDefault="0044182E"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Age</w:t>
            </w:r>
          </w:p>
        </w:tc>
        <w:tc>
          <w:tcPr>
            <w:tcW w:w="1600" w:type="dxa"/>
            <w:tcBorders>
              <w:top w:val="nil"/>
              <w:left w:val="nil"/>
              <w:bottom w:val="nil"/>
              <w:right w:val="nil"/>
            </w:tcBorders>
            <w:shd w:val="clear" w:color="000000" w:fill="FFFFFF"/>
            <w:noWrap/>
            <w:vAlign w:val="bottom"/>
            <w:hideMark/>
          </w:tcPr>
          <w:p w14:paraId="0C61571F"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16.2 (1.4)</w:t>
            </w:r>
          </w:p>
        </w:tc>
        <w:tc>
          <w:tcPr>
            <w:tcW w:w="1060" w:type="dxa"/>
            <w:tcBorders>
              <w:top w:val="nil"/>
              <w:left w:val="nil"/>
              <w:bottom w:val="nil"/>
              <w:right w:val="nil"/>
            </w:tcBorders>
            <w:shd w:val="clear" w:color="000000" w:fill="FFFFFF"/>
            <w:noWrap/>
            <w:vAlign w:val="bottom"/>
            <w:hideMark/>
          </w:tcPr>
          <w:p w14:paraId="0D57FBC2"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c>
          <w:tcPr>
            <w:tcW w:w="1060" w:type="dxa"/>
            <w:tcBorders>
              <w:top w:val="nil"/>
              <w:left w:val="nil"/>
              <w:bottom w:val="nil"/>
              <w:right w:val="nil"/>
            </w:tcBorders>
            <w:shd w:val="clear" w:color="000000" w:fill="FFFFFF"/>
            <w:noWrap/>
            <w:vAlign w:val="bottom"/>
            <w:hideMark/>
          </w:tcPr>
          <w:p w14:paraId="0361FD80"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c>
          <w:tcPr>
            <w:tcW w:w="1060" w:type="dxa"/>
            <w:tcBorders>
              <w:top w:val="nil"/>
              <w:left w:val="nil"/>
              <w:bottom w:val="nil"/>
              <w:right w:val="nil"/>
            </w:tcBorders>
            <w:shd w:val="clear" w:color="000000" w:fill="FFFFFF"/>
            <w:noWrap/>
            <w:vAlign w:val="bottom"/>
            <w:hideMark/>
          </w:tcPr>
          <w:p w14:paraId="6146B791"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r>
      <w:tr w:rsidR="00B0148D" w:rsidRPr="00B0148D" w14:paraId="188D63D4" w14:textId="77777777" w:rsidTr="006A378D">
        <w:trPr>
          <w:trHeight w:val="288"/>
        </w:trPr>
        <w:tc>
          <w:tcPr>
            <w:tcW w:w="400" w:type="dxa"/>
            <w:tcBorders>
              <w:top w:val="nil"/>
              <w:left w:val="nil"/>
              <w:bottom w:val="nil"/>
              <w:right w:val="nil"/>
            </w:tcBorders>
            <w:shd w:val="clear" w:color="000000" w:fill="FFFFFF"/>
            <w:noWrap/>
            <w:vAlign w:val="bottom"/>
            <w:hideMark/>
          </w:tcPr>
          <w:p w14:paraId="3B8D5B7B" w14:textId="77777777" w:rsidR="006A378D" w:rsidRPr="00B0148D" w:rsidRDefault="006A378D" w:rsidP="006A378D">
            <w:pPr>
              <w:spacing w:after="0" w:line="240" w:lineRule="auto"/>
              <w:jc w:val="right"/>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2.</w:t>
            </w:r>
          </w:p>
        </w:tc>
        <w:tc>
          <w:tcPr>
            <w:tcW w:w="2420" w:type="dxa"/>
            <w:tcBorders>
              <w:top w:val="nil"/>
              <w:left w:val="nil"/>
              <w:bottom w:val="nil"/>
              <w:right w:val="nil"/>
            </w:tcBorders>
            <w:shd w:val="clear" w:color="000000" w:fill="FFFFFF"/>
            <w:noWrap/>
            <w:vAlign w:val="bottom"/>
            <w:hideMark/>
          </w:tcPr>
          <w:p w14:paraId="38FB5E1E" w14:textId="511AFF3E"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Gender</w:t>
            </w:r>
            <w:r w:rsidR="0044182E" w:rsidRPr="00B0148D">
              <w:rPr>
                <w:rFonts w:ascii="Times New Roman" w:eastAsia="Times New Roman" w:hAnsi="Times New Roman" w:cs="Times New Roman"/>
                <w:sz w:val="20"/>
                <w:szCs w:val="20"/>
                <w:lang w:val="fi-FI" w:eastAsia="fi-FI"/>
              </w:rPr>
              <w:t xml:space="preserve"> (</w:t>
            </w:r>
            <w:r w:rsidR="00FA2C18" w:rsidRPr="00B0148D">
              <w:rPr>
                <w:rFonts w:ascii="Times New Roman" w:eastAsia="Times New Roman" w:hAnsi="Times New Roman" w:cs="Times New Roman"/>
                <w:sz w:val="20"/>
                <w:szCs w:val="20"/>
                <w:lang w:val="fi-FI" w:eastAsia="fi-FI"/>
              </w:rPr>
              <w:t xml:space="preserve">ref: </w:t>
            </w:r>
            <w:r w:rsidR="0044182E" w:rsidRPr="00B0148D">
              <w:rPr>
                <w:rFonts w:ascii="Times New Roman" w:eastAsia="Times New Roman" w:hAnsi="Times New Roman" w:cs="Times New Roman"/>
                <w:sz w:val="20"/>
                <w:szCs w:val="20"/>
                <w:lang w:val="fi-FI" w:eastAsia="fi-FI"/>
              </w:rPr>
              <w:t>male)</w:t>
            </w:r>
          </w:p>
        </w:tc>
        <w:tc>
          <w:tcPr>
            <w:tcW w:w="1600" w:type="dxa"/>
            <w:tcBorders>
              <w:top w:val="nil"/>
              <w:left w:val="nil"/>
              <w:bottom w:val="nil"/>
              <w:right w:val="nil"/>
            </w:tcBorders>
            <w:shd w:val="clear" w:color="000000" w:fill="FFFFFF"/>
            <w:noWrap/>
            <w:vAlign w:val="bottom"/>
            <w:hideMark/>
          </w:tcPr>
          <w:p w14:paraId="1E5675F9" w14:textId="299F1B2C" w:rsidR="006A378D" w:rsidRPr="00B0148D" w:rsidRDefault="0044182E" w:rsidP="0044182E">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w:t>
            </w:r>
            <w:r w:rsidR="006A378D" w:rsidRPr="00B0148D">
              <w:rPr>
                <w:rFonts w:ascii="Times New Roman" w:eastAsia="Times New Roman" w:hAnsi="Times New Roman" w:cs="Times New Roman"/>
                <w:sz w:val="20"/>
                <w:szCs w:val="20"/>
                <w:lang w:val="fi-FI" w:eastAsia="fi-FI"/>
              </w:rPr>
              <w:t>43</w:t>
            </w:r>
          </w:p>
        </w:tc>
        <w:tc>
          <w:tcPr>
            <w:tcW w:w="1060" w:type="dxa"/>
            <w:tcBorders>
              <w:top w:val="nil"/>
              <w:left w:val="nil"/>
              <w:bottom w:val="nil"/>
              <w:right w:val="nil"/>
            </w:tcBorders>
            <w:shd w:val="clear" w:color="000000" w:fill="FFFFFF"/>
            <w:noWrap/>
            <w:vAlign w:val="bottom"/>
            <w:hideMark/>
          </w:tcPr>
          <w:p w14:paraId="75F89976" w14:textId="00B8F143" w:rsidR="006A378D" w:rsidRPr="00B0148D" w:rsidRDefault="002C40F7"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w:t>
            </w:r>
            <w:r w:rsidR="006A378D" w:rsidRPr="00B0148D">
              <w:rPr>
                <w:rFonts w:ascii="Times New Roman" w:eastAsia="Times New Roman" w:hAnsi="Times New Roman" w:cs="Times New Roman"/>
                <w:sz w:val="20"/>
                <w:szCs w:val="20"/>
                <w:lang w:val="fi-FI" w:eastAsia="fi-FI"/>
              </w:rPr>
              <w:t>0.050</w:t>
            </w:r>
          </w:p>
        </w:tc>
        <w:tc>
          <w:tcPr>
            <w:tcW w:w="1060" w:type="dxa"/>
            <w:tcBorders>
              <w:top w:val="nil"/>
              <w:left w:val="nil"/>
              <w:bottom w:val="nil"/>
              <w:right w:val="nil"/>
            </w:tcBorders>
            <w:shd w:val="clear" w:color="000000" w:fill="FFFFFF"/>
            <w:noWrap/>
            <w:vAlign w:val="bottom"/>
            <w:hideMark/>
          </w:tcPr>
          <w:p w14:paraId="5D24330F"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c>
          <w:tcPr>
            <w:tcW w:w="1060" w:type="dxa"/>
            <w:tcBorders>
              <w:top w:val="nil"/>
              <w:left w:val="nil"/>
              <w:bottom w:val="nil"/>
              <w:right w:val="nil"/>
            </w:tcBorders>
            <w:shd w:val="clear" w:color="000000" w:fill="FFFFFF"/>
            <w:noWrap/>
            <w:vAlign w:val="bottom"/>
            <w:hideMark/>
          </w:tcPr>
          <w:p w14:paraId="50C7B591"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r>
      <w:tr w:rsidR="00B0148D" w:rsidRPr="00B0148D" w14:paraId="56221FCC" w14:textId="77777777" w:rsidTr="006A378D">
        <w:trPr>
          <w:trHeight w:val="288"/>
        </w:trPr>
        <w:tc>
          <w:tcPr>
            <w:tcW w:w="400" w:type="dxa"/>
            <w:tcBorders>
              <w:top w:val="nil"/>
              <w:left w:val="nil"/>
              <w:bottom w:val="nil"/>
              <w:right w:val="nil"/>
            </w:tcBorders>
            <w:shd w:val="clear" w:color="000000" w:fill="FFFFFF"/>
            <w:noWrap/>
            <w:vAlign w:val="bottom"/>
            <w:hideMark/>
          </w:tcPr>
          <w:p w14:paraId="033B81EE" w14:textId="77777777" w:rsidR="006A378D" w:rsidRPr="00B0148D" w:rsidRDefault="006A378D" w:rsidP="006A378D">
            <w:pPr>
              <w:spacing w:after="0" w:line="240" w:lineRule="auto"/>
              <w:jc w:val="right"/>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3.</w:t>
            </w:r>
          </w:p>
        </w:tc>
        <w:tc>
          <w:tcPr>
            <w:tcW w:w="2420" w:type="dxa"/>
            <w:tcBorders>
              <w:top w:val="nil"/>
              <w:left w:val="nil"/>
              <w:bottom w:val="nil"/>
              <w:right w:val="nil"/>
            </w:tcBorders>
            <w:shd w:val="clear" w:color="000000" w:fill="FFFFFF"/>
            <w:vAlign w:val="bottom"/>
            <w:hideMark/>
          </w:tcPr>
          <w:p w14:paraId="1CF426A2" w14:textId="6972A19C" w:rsidR="006A378D" w:rsidRPr="00B0148D" w:rsidRDefault="0044182E"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Conservation</w:t>
            </w:r>
          </w:p>
        </w:tc>
        <w:tc>
          <w:tcPr>
            <w:tcW w:w="1600" w:type="dxa"/>
            <w:tcBorders>
              <w:top w:val="nil"/>
              <w:left w:val="nil"/>
              <w:bottom w:val="nil"/>
              <w:right w:val="nil"/>
            </w:tcBorders>
            <w:shd w:val="clear" w:color="000000" w:fill="FFFFFF"/>
            <w:noWrap/>
            <w:vAlign w:val="bottom"/>
            <w:hideMark/>
          </w:tcPr>
          <w:p w14:paraId="5D7ADDE8"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1.26 (0.75)</w:t>
            </w:r>
          </w:p>
        </w:tc>
        <w:tc>
          <w:tcPr>
            <w:tcW w:w="1060" w:type="dxa"/>
            <w:tcBorders>
              <w:top w:val="nil"/>
              <w:left w:val="nil"/>
              <w:bottom w:val="nil"/>
              <w:right w:val="nil"/>
            </w:tcBorders>
            <w:shd w:val="clear" w:color="000000" w:fill="FFFFFF"/>
            <w:noWrap/>
            <w:vAlign w:val="bottom"/>
            <w:hideMark/>
          </w:tcPr>
          <w:p w14:paraId="4DA001F2"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-0.083*</w:t>
            </w:r>
          </w:p>
        </w:tc>
        <w:tc>
          <w:tcPr>
            <w:tcW w:w="1060" w:type="dxa"/>
            <w:tcBorders>
              <w:top w:val="nil"/>
              <w:left w:val="nil"/>
              <w:bottom w:val="nil"/>
              <w:right w:val="nil"/>
            </w:tcBorders>
            <w:shd w:val="clear" w:color="000000" w:fill="FFFFFF"/>
            <w:noWrap/>
            <w:vAlign w:val="bottom"/>
            <w:hideMark/>
          </w:tcPr>
          <w:p w14:paraId="0E7773A3" w14:textId="1C3817F3"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0.180***</w:t>
            </w:r>
          </w:p>
        </w:tc>
        <w:tc>
          <w:tcPr>
            <w:tcW w:w="1060" w:type="dxa"/>
            <w:tcBorders>
              <w:top w:val="nil"/>
              <w:left w:val="nil"/>
              <w:bottom w:val="nil"/>
              <w:right w:val="nil"/>
            </w:tcBorders>
            <w:shd w:val="clear" w:color="000000" w:fill="FFFFFF"/>
            <w:noWrap/>
            <w:vAlign w:val="bottom"/>
            <w:hideMark/>
          </w:tcPr>
          <w:p w14:paraId="179BFC13"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r>
      <w:tr w:rsidR="00B0148D" w:rsidRPr="00B0148D" w14:paraId="30D1FBC0" w14:textId="77777777" w:rsidTr="006A378D">
        <w:trPr>
          <w:trHeight w:val="288"/>
        </w:trPr>
        <w:tc>
          <w:tcPr>
            <w:tcW w:w="400" w:type="dxa"/>
            <w:tcBorders>
              <w:top w:val="nil"/>
              <w:left w:val="nil"/>
              <w:bottom w:val="single" w:sz="4" w:space="0" w:color="auto"/>
              <w:right w:val="nil"/>
            </w:tcBorders>
            <w:shd w:val="clear" w:color="000000" w:fill="FFFFFF"/>
            <w:noWrap/>
            <w:vAlign w:val="bottom"/>
            <w:hideMark/>
          </w:tcPr>
          <w:p w14:paraId="762AA61B" w14:textId="77777777" w:rsidR="006A378D" w:rsidRPr="00B0148D" w:rsidRDefault="006A378D" w:rsidP="006A378D">
            <w:pPr>
              <w:spacing w:after="0" w:line="240" w:lineRule="auto"/>
              <w:jc w:val="right"/>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4.</w:t>
            </w:r>
          </w:p>
        </w:tc>
        <w:tc>
          <w:tcPr>
            <w:tcW w:w="2420" w:type="dxa"/>
            <w:tcBorders>
              <w:top w:val="nil"/>
              <w:left w:val="nil"/>
              <w:bottom w:val="single" w:sz="4" w:space="0" w:color="auto"/>
              <w:right w:val="nil"/>
            </w:tcBorders>
            <w:shd w:val="clear" w:color="000000" w:fill="FFFFFF"/>
            <w:vAlign w:val="bottom"/>
            <w:hideMark/>
          </w:tcPr>
          <w:p w14:paraId="5D334135" w14:textId="65974DAB" w:rsidR="006A378D" w:rsidRPr="00B0148D" w:rsidRDefault="0044182E"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Self-Transcendence</w:t>
            </w:r>
          </w:p>
        </w:tc>
        <w:tc>
          <w:tcPr>
            <w:tcW w:w="1600" w:type="dxa"/>
            <w:tcBorders>
              <w:top w:val="nil"/>
              <w:left w:val="nil"/>
              <w:bottom w:val="single" w:sz="4" w:space="0" w:color="auto"/>
              <w:right w:val="nil"/>
            </w:tcBorders>
            <w:shd w:val="clear" w:color="000000" w:fill="FFFFFF"/>
            <w:noWrap/>
            <w:vAlign w:val="bottom"/>
            <w:hideMark/>
          </w:tcPr>
          <w:p w14:paraId="12598192"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-1.06 (0.75)</w:t>
            </w:r>
          </w:p>
        </w:tc>
        <w:tc>
          <w:tcPr>
            <w:tcW w:w="1060" w:type="dxa"/>
            <w:tcBorders>
              <w:top w:val="nil"/>
              <w:left w:val="nil"/>
              <w:bottom w:val="single" w:sz="4" w:space="0" w:color="auto"/>
              <w:right w:val="nil"/>
            </w:tcBorders>
            <w:shd w:val="clear" w:color="000000" w:fill="FFFFFF"/>
            <w:noWrap/>
            <w:vAlign w:val="bottom"/>
            <w:hideMark/>
          </w:tcPr>
          <w:p w14:paraId="0ECC866C"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-0.030</w:t>
            </w:r>
          </w:p>
        </w:tc>
        <w:tc>
          <w:tcPr>
            <w:tcW w:w="1060" w:type="dxa"/>
            <w:tcBorders>
              <w:top w:val="nil"/>
              <w:left w:val="nil"/>
              <w:bottom w:val="single" w:sz="4" w:space="0" w:color="auto"/>
              <w:right w:val="nil"/>
            </w:tcBorders>
            <w:shd w:val="clear" w:color="000000" w:fill="FFFFFF"/>
            <w:noWrap/>
            <w:vAlign w:val="bottom"/>
            <w:hideMark/>
          </w:tcPr>
          <w:p w14:paraId="574DA28B" w14:textId="6312F172" w:rsidR="006A378D" w:rsidRPr="00B0148D" w:rsidRDefault="002C40F7"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w:t>
            </w:r>
            <w:r w:rsidR="006A378D" w:rsidRPr="00B0148D">
              <w:rPr>
                <w:rFonts w:ascii="Times New Roman" w:eastAsia="Times New Roman" w:hAnsi="Times New Roman" w:cs="Times New Roman"/>
                <w:sz w:val="20"/>
                <w:szCs w:val="20"/>
                <w:lang w:val="fi-FI" w:eastAsia="fi-FI"/>
              </w:rPr>
              <w:t>0.231***</w:t>
            </w:r>
          </w:p>
        </w:tc>
        <w:tc>
          <w:tcPr>
            <w:tcW w:w="1060" w:type="dxa"/>
            <w:tcBorders>
              <w:top w:val="nil"/>
              <w:left w:val="nil"/>
              <w:bottom w:val="single" w:sz="4" w:space="0" w:color="auto"/>
              <w:right w:val="nil"/>
            </w:tcBorders>
            <w:shd w:val="clear" w:color="000000" w:fill="FFFFFF"/>
            <w:noWrap/>
            <w:vAlign w:val="bottom"/>
            <w:hideMark/>
          </w:tcPr>
          <w:p w14:paraId="58618902"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0.098**</w:t>
            </w:r>
          </w:p>
        </w:tc>
      </w:tr>
    </w:tbl>
    <w:p w14:paraId="52C48D14" w14:textId="637F957F" w:rsidR="001A1E97" w:rsidRPr="00B0148D" w:rsidRDefault="00F5316D" w:rsidP="001A1E97">
      <w:pPr>
        <w:jc w:val="both"/>
      </w:pPr>
      <w:r w:rsidRPr="00B0148D">
        <w:rPr>
          <w:sz w:val="16"/>
          <w:szCs w:val="16"/>
        </w:rPr>
        <w:t>T</w:t>
      </w:r>
      <w:r w:rsidR="001A1E97" w:rsidRPr="00B0148D">
        <w:rPr>
          <w:sz w:val="16"/>
          <w:szCs w:val="16"/>
        </w:rPr>
        <w:t>he statistically significant differences are marked with *</w:t>
      </w:r>
      <w:r w:rsidR="001A1E97" w:rsidRPr="00B0148D">
        <w:t xml:space="preserve"> </w:t>
      </w:r>
      <w:r w:rsidR="001A1E97" w:rsidRPr="00B0148D">
        <w:rPr>
          <w:sz w:val="16"/>
          <w:szCs w:val="16"/>
        </w:rPr>
        <w:t>(p &lt; 0.05), ** (p &lt; 0.01), *** (p &lt; 0.001)</w:t>
      </w:r>
    </w:p>
    <w:p w14:paraId="4EC2EC09" w14:textId="6502F40E" w:rsidR="0093103D" w:rsidRPr="00B0148D" w:rsidRDefault="0093103D" w:rsidP="001D6C58">
      <w:r w:rsidRPr="00B0148D">
        <w:rPr>
          <w:b/>
        </w:rPr>
        <w:t>Table 4.</w:t>
      </w:r>
      <w:r w:rsidRPr="00B0148D">
        <w:t xml:space="preserve"> </w:t>
      </w:r>
      <w:r w:rsidR="00FA2C18" w:rsidRPr="00B0148D">
        <w:t>Odds ratios (OR)</w:t>
      </w:r>
      <w:r w:rsidRPr="00B0148D">
        <w:t xml:space="preserve"> of the </w:t>
      </w:r>
      <w:r w:rsidR="007479CF" w:rsidRPr="00B0148D">
        <w:t>ordinal</w:t>
      </w:r>
      <w:r w:rsidRPr="00B0148D">
        <w:t xml:space="preserve"> regressions predicting pleasantn</w:t>
      </w:r>
      <w:r w:rsidR="004A239D" w:rsidRPr="00B0148D">
        <w:t xml:space="preserve">ess, probability-to-choose, </w:t>
      </w:r>
      <w:r w:rsidRPr="00B0148D">
        <w:t>overall quality</w:t>
      </w:r>
      <w:r w:rsidR="004A239D" w:rsidRPr="00B0148D">
        <w:t>, and product perception</w:t>
      </w:r>
    </w:p>
    <w:tbl>
      <w:tblPr>
        <w:tblW w:w="9780" w:type="dxa"/>
        <w:tblCellMar>
          <w:left w:w="70" w:type="dxa"/>
          <w:right w:w="70" w:type="dxa"/>
        </w:tblCellMar>
        <w:tblLook w:val="04A0" w:firstRow="1" w:lastRow="0" w:firstColumn="1" w:lastColumn="0" w:noHBand="0" w:noVBand="1"/>
      </w:tblPr>
      <w:tblGrid>
        <w:gridCol w:w="2036"/>
        <w:gridCol w:w="2060"/>
        <w:gridCol w:w="2060"/>
        <w:gridCol w:w="2060"/>
        <w:gridCol w:w="2060"/>
      </w:tblGrid>
      <w:tr w:rsidR="00B0148D" w:rsidRPr="00B0148D" w14:paraId="792EBCD9" w14:textId="77777777" w:rsidTr="00AB674D">
        <w:trPr>
          <w:trHeight w:val="288"/>
        </w:trPr>
        <w:tc>
          <w:tcPr>
            <w:tcW w:w="2036" w:type="dxa"/>
            <w:tcBorders>
              <w:top w:val="nil"/>
              <w:left w:val="nil"/>
              <w:bottom w:val="single" w:sz="4" w:space="0" w:color="auto"/>
              <w:right w:val="nil"/>
            </w:tcBorders>
            <w:shd w:val="clear" w:color="000000" w:fill="FFFFFF"/>
            <w:noWrap/>
            <w:vAlign w:val="bottom"/>
            <w:hideMark/>
          </w:tcPr>
          <w:p w14:paraId="56C7FE81" w14:textId="77777777" w:rsidR="00AB674D" w:rsidRPr="00B0148D" w:rsidRDefault="00AB674D" w:rsidP="00AB674D">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c>
          <w:tcPr>
            <w:tcW w:w="1936" w:type="dxa"/>
            <w:tcBorders>
              <w:top w:val="nil"/>
              <w:left w:val="nil"/>
              <w:bottom w:val="single" w:sz="4" w:space="0" w:color="auto"/>
              <w:right w:val="nil"/>
            </w:tcBorders>
            <w:shd w:val="clear" w:color="000000" w:fill="FFFFFF"/>
            <w:noWrap/>
            <w:vAlign w:val="bottom"/>
            <w:hideMark/>
          </w:tcPr>
          <w:p w14:paraId="517B7A05"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Pleasantness</w:t>
            </w:r>
          </w:p>
        </w:tc>
        <w:tc>
          <w:tcPr>
            <w:tcW w:w="1936" w:type="dxa"/>
            <w:tcBorders>
              <w:top w:val="nil"/>
              <w:left w:val="nil"/>
              <w:bottom w:val="single" w:sz="4" w:space="0" w:color="auto"/>
              <w:right w:val="nil"/>
            </w:tcBorders>
            <w:shd w:val="clear" w:color="000000" w:fill="FFFFFF"/>
            <w:noWrap/>
            <w:vAlign w:val="bottom"/>
            <w:hideMark/>
          </w:tcPr>
          <w:p w14:paraId="090505E2"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Probability-to-choose</w:t>
            </w:r>
          </w:p>
        </w:tc>
        <w:tc>
          <w:tcPr>
            <w:tcW w:w="1936" w:type="dxa"/>
            <w:tcBorders>
              <w:top w:val="nil"/>
              <w:left w:val="nil"/>
              <w:bottom w:val="single" w:sz="4" w:space="0" w:color="auto"/>
              <w:right w:val="nil"/>
            </w:tcBorders>
            <w:shd w:val="clear" w:color="000000" w:fill="FFFFFF"/>
            <w:noWrap/>
            <w:vAlign w:val="bottom"/>
            <w:hideMark/>
          </w:tcPr>
          <w:p w14:paraId="20BF7071"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Overall quality</w:t>
            </w:r>
          </w:p>
        </w:tc>
        <w:tc>
          <w:tcPr>
            <w:tcW w:w="1936" w:type="dxa"/>
            <w:tcBorders>
              <w:top w:val="nil"/>
              <w:left w:val="nil"/>
              <w:bottom w:val="single" w:sz="4" w:space="0" w:color="auto"/>
              <w:right w:val="nil"/>
            </w:tcBorders>
            <w:shd w:val="clear" w:color="000000" w:fill="FFFFFF"/>
            <w:noWrap/>
            <w:vAlign w:val="bottom"/>
            <w:hideMark/>
          </w:tcPr>
          <w:p w14:paraId="6B496183"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Product perception</w:t>
            </w:r>
          </w:p>
        </w:tc>
      </w:tr>
      <w:tr w:rsidR="00B0148D" w:rsidRPr="00B0148D" w14:paraId="427AEB9B" w14:textId="77777777" w:rsidTr="00AB674D">
        <w:trPr>
          <w:trHeight w:val="288"/>
        </w:trPr>
        <w:tc>
          <w:tcPr>
            <w:tcW w:w="2036" w:type="dxa"/>
            <w:tcBorders>
              <w:top w:val="nil"/>
              <w:left w:val="nil"/>
              <w:bottom w:val="single" w:sz="4" w:space="0" w:color="auto"/>
              <w:right w:val="nil"/>
            </w:tcBorders>
            <w:shd w:val="clear" w:color="000000" w:fill="FFFFFF"/>
            <w:noWrap/>
            <w:vAlign w:val="bottom"/>
            <w:hideMark/>
          </w:tcPr>
          <w:p w14:paraId="110FBE28"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Factor/Co-variate</w:t>
            </w:r>
          </w:p>
        </w:tc>
        <w:tc>
          <w:tcPr>
            <w:tcW w:w="1936" w:type="dxa"/>
            <w:tcBorders>
              <w:top w:val="nil"/>
              <w:left w:val="nil"/>
              <w:bottom w:val="nil"/>
              <w:right w:val="nil"/>
            </w:tcBorders>
            <w:shd w:val="clear" w:color="auto" w:fill="auto"/>
            <w:noWrap/>
            <w:vAlign w:val="bottom"/>
            <w:hideMark/>
          </w:tcPr>
          <w:p w14:paraId="23FEB89C" w14:textId="127C05B6" w:rsidR="00AB674D" w:rsidRPr="00B0148D" w:rsidRDefault="00AB674D" w:rsidP="00AB674D">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535808" behindDoc="0" locked="0" layoutInCell="1" allowOverlap="1" wp14:anchorId="7F8A1D79" wp14:editId="701937BB">
                      <wp:simplePos x="0" y="0"/>
                      <wp:positionH relativeFrom="column">
                        <wp:posOffset>0</wp:posOffset>
                      </wp:positionH>
                      <wp:positionV relativeFrom="paragraph">
                        <wp:posOffset>0</wp:posOffset>
                      </wp:positionV>
                      <wp:extent cx="7620" cy="7620"/>
                      <wp:effectExtent l="0" t="0" r="0" b="0"/>
                      <wp:wrapNone/>
                      <wp:docPr id="1056" name="Rectangle 1056"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875BA34" id="Rectangle 1056" o:spid="_x0000_s1026" alt="https://d.adroll.com/cm/aol/out" style="position:absolute;margin-left:0;margin-top:0;width:.6pt;height:.6pt;z-index:25253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DHdcgX&#10;FwIAACk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37856" behindDoc="0" locked="0" layoutInCell="1" allowOverlap="1" wp14:anchorId="7099B845" wp14:editId="7EDCC763">
                  <wp:simplePos x="0" y="0"/>
                  <wp:positionH relativeFrom="column">
                    <wp:posOffset>30480</wp:posOffset>
                  </wp:positionH>
                  <wp:positionV relativeFrom="paragraph">
                    <wp:posOffset>0</wp:posOffset>
                  </wp:positionV>
                  <wp:extent cx="7620" cy="7620"/>
                  <wp:effectExtent l="0" t="0" r="0" b="0"/>
                  <wp:wrapNone/>
                  <wp:docPr id="1055" name="Picture 1055" descr="https://d.adroll.com/cm/n/out"/>
                  <wp:cNvGraphicFramePr/>
                  <a:graphic xmlns:a="http://schemas.openxmlformats.org/drawingml/2006/main">
                    <a:graphicData uri="http://schemas.openxmlformats.org/drawingml/2006/picture">
                      <pic:pic xmlns:pic="http://schemas.openxmlformats.org/drawingml/2006/picture">
                        <pic:nvPicPr>
                          <pic:cNvPr id="100" name="Picture 99"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538880" behindDoc="0" locked="0" layoutInCell="1" allowOverlap="1" wp14:anchorId="543F1F15" wp14:editId="0D7E776E">
                      <wp:simplePos x="0" y="0"/>
                      <wp:positionH relativeFrom="column">
                        <wp:posOffset>45720</wp:posOffset>
                      </wp:positionH>
                      <wp:positionV relativeFrom="paragraph">
                        <wp:posOffset>0</wp:posOffset>
                      </wp:positionV>
                      <wp:extent cx="7620" cy="7620"/>
                      <wp:effectExtent l="0" t="0" r="0" b="0"/>
                      <wp:wrapNone/>
                      <wp:docPr id="1054" name="Rectangle 1054"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7AFD231" id="Rectangle 1054" o:spid="_x0000_s1026" alt="https://d.adroll.com/cm/outbrain/out" style="position:absolute;margin-left:3.6pt;margin-top:0;width:.6pt;height:.6pt;z-index:25253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avKQph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39904" behindDoc="0" locked="0" layoutInCell="1" allowOverlap="1" wp14:anchorId="149857C0" wp14:editId="6EDA5A38">
                      <wp:simplePos x="0" y="0"/>
                      <wp:positionH relativeFrom="column">
                        <wp:posOffset>60960</wp:posOffset>
                      </wp:positionH>
                      <wp:positionV relativeFrom="paragraph">
                        <wp:posOffset>0</wp:posOffset>
                      </wp:positionV>
                      <wp:extent cx="7620" cy="7620"/>
                      <wp:effectExtent l="0" t="0" r="0" b="0"/>
                      <wp:wrapNone/>
                      <wp:docPr id="1053" name="Rectangle 1053"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67FCB1D" id="Rectangle 1053" o:spid="_x0000_s1026" alt="https://d.adroll.com/cm/pubmatic/out" style="position:absolute;margin-left:4.8pt;margin-top:0;width:.6pt;height:.6pt;z-index:25253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unkllRsCAAAu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40928" behindDoc="0" locked="0" layoutInCell="1" allowOverlap="1" wp14:anchorId="336B228A" wp14:editId="678895AD">
                      <wp:simplePos x="0" y="0"/>
                      <wp:positionH relativeFrom="column">
                        <wp:posOffset>76200</wp:posOffset>
                      </wp:positionH>
                      <wp:positionV relativeFrom="paragraph">
                        <wp:posOffset>0</wp:posOffset>
                      </wp:positionV>
                      <wp:extent cx="7620" cy="7620"/>
                      <wp:effectExtent l="0" t="0" r="0" b="0"/>
                      <wp:wrapNone/>
                      <wp:docPr id="1052" name="Rectangle 1052"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8DA49B7" id="Rectangle 1052" o:spid="_x0000_s1026" alt="https://d.adroll.com/cm/taboola/out" style="position:absolute;margin-left:6pt;margin-top:0;width:.6pt;height:.6pt;z-index:25254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pE9Vpx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36832" behindDoc="0" locked="0" layoutInCell="1" allowOverlap="1" wp14:anchorId="3018CE0B" wp14:editId="6307B9DB">
                  <wp:simplePos x="0" y="0"/>
                  <wp:positionH relativeFrom="column">
                    <wp:posOffset>15240</wp:posOffset>
                  </wp:positionH>
                  <wp:positionV relativeFrom="paragraph">
                    <wp:posOffset>0</wp:posOffset>
                  </wp:positionV>
                  <wp:extent cx="7620" cy="7620"/>
                  <wp:effectExtent l="0" t="0" r="0" b="0"/>
                  <wp:wrapNone/>
                  <wp:docPr id="1051" name="Picture 1051" descr="https://d.adroll.com/cm/index/out"/>
                  <wp:cNvGraphicFramePr/>
                  <a:graphic xmlns:a="http://schemas.openxmlformats.org/drawingml/2006/main">
                    <a:graphicData uri="http://schemas.openxmlformats.org/drawingml/2006/picture">
                      <pic:pic xmlns:pic="http://schemas.openxmlformats.org/drawingml/2006/picture">
                        <pic:nvPicPr>
                          <pic:cNvPr id="99" name="Picture 98"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6C5DCF91"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7DFCF55C"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65F0E556" w14:textId="77777777" w:rsidR="00AB674D" w:rsidRPr="00B0148D" w:rsidRDefault="00AB674D" w:rsidP="00AB674D">
            <w:pPr>
              <w:spacing w:after="0" w:line="240" w:lineRule="auto"/>
              <w:rPr>
                <w:rFonts w:ascii="Calibri" w:eastAsia="Times New Roman" w:hAnsi="Calibri" w:cs="Times New Roman"/>
                <w:lang w:val="fi-FI" w:eastAsia="fi-FI"/>
              </w:rPr>
            </w:pPr>
          </w:p>
        </w:tc>
        <w:tc>
          <w:tcPr>
            <w:tcW w:w="1936" w:type="dxa"/>
            <w:tcBorders>
              <w:top w:val="nil"/>
              <w:left w:val="nil"/>
              <w:bottom w:val="nil"/>
              <w:right w:val="nil"/>
            </w:tcBorders>
            <w:shd w:val="clear" w:color="auto" w:fill="auto"/>
            <w:noWrap/>
            <w:vAlign w:val="bottom"/>
            <w:hideMark/>
          </w:tcPr>
          <w:p w14:paraId="659AF13A" w14:textId="0BC57CB8" w:rsidR="00AB674D" w:rsidRPr="00B0148D" w:rsidRDefault="00AB674D" w:rsidP="00AB674D">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548096" behindDoc="0" locked="0" layoutInCell="1" allowOverlap="1" wp14:anchorId="42A54188" wp14:editId="281D6C03">
                      <wp:simplePos x="0" y="0"/>
                      <wp:positionH relativeFrom="column">
                        <wp:posOffset>0</wp:posOffset>
                      </wp:positionH>
                      <wp:positionV relativeFrom="paragraph">
                        <wp:posOffset>0</wp:posOffset>
                      </wp:positionV>
                      <wp:extent cx="7620" cy="7620"/>
                      <wp:effectExtent l="0" t="0" r="0" b="0"/>
                      <wp:wrapNone/>
                      <wp:docPr id="1050" name="Rectangle 1050"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BCB65F2" id="Rectangle 1050" o:spid="_x0000_s1026" alt="https://d.adroll.com/cm/aol/out" style="position:absolute;margin-left:0;margin-top:0;width:.6pt;height:.6pt;z-index:25254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DPqqf0&#10;FwIAACk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66528" behindDoc="0" locked="0" layoutInCell="1" allowOverlap="1" wp14:anchorId="58CFC776" wp14:editId="4FA13C60">
                      <wp:simplePos x="0" y="0"/>
                      <wp:positionH relativeFrom="column">
                        <wp:posOffset>0</wp:posOffset>
                      </wp:positionH>
                      <wp:positionV relativeFrom="paragraph">
                        <wp:posOffset>0</wp:posOffset>
                      </wp:positionV>
                      <wp:extent cx="7620" cy="7620"/>
                      <wp:effectExtent l="0" t="0" r="0" b="0"/>
                      <wp:wrapNone/>
                      <wp:docPr id="1049" name="Rectangle 1049"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FBCA3E0" id="Rectangle 1049" o:spid="_x0000_s1026" alt="https://d.adroll.com/cm/aol/out" style="position:absolute;margin-left:0;margin-top:0;width:.6pt;height:.6pt;z-index:25256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Cfj52U&#10;FwIAACk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50144" behindDoc="0" locked="0" layoutInCell="1" allowOverlap="1" wp14:anchorId="3623D787" wp14:editId="41C66EEF">
                  <wp:simplePos x="0" y="0"/>
                  <wp:positionH relativeFrom="column">
                    <wp:posOffset>30480</wp:posOffset>
                  </wp:positionH>
                  <wp:positionV relativeFrom="paragraph">
                    <wp:posOffset>0</wp:posOffset>
                  </wp:positionV>
                  <wp:extent cx="7620" cy="7620"/>
                  <wp:effectExtent l="0" t="0" r="0" b="0"/>
                  <wp:wrapNone/>
                  <wp:docPr id="1048" name="Picture 1048" descr="https://d.adroll.com/cm/n/out"/>
                  <wp:cNvGraphicFramePr/>
                  <a:graphic xmlns:a="http://schemas.openxmlformats.org/drawingml/2006/main">
                    <a:graphicData uri="http://schemas.openxmlformats.org/drawingml/2006/picture">
                      <pic:pic xmlns:pic="http://schemas.openxmlformats.org/drawingml/2006/picture">
                        <pic:nvPicPr>
                          <pic:cNvPr id="112" name="Picture 111"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551168" behindDoc="0" locked="0" layoutInCell="1" allowOverlap="1" wp14:anchorId="181031D5" wp14:editId="06F4617F">
                      <wp:simplePos x="0" y="0"/>
                      <wp:positionH relativeFrom="column">
                        <wp:posOffset>45720</wp:posOffset>
                      </wp:positionH>
                      <wp:positionV relativeFrom="paragraph">
                        <wp:posOffset>0</wp:posOffset>
                      </wp:positionV>
                      <wp:extent cx="7620" cy="7620"/>
                      <wp:effectExtent l="0" t="0" r="0" b="0"/>
                      <wp:wrapNone/>
                      <wp:docPr id="1047" name="Rectangle 1047"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3B9C566A" id="Rectangle 1047" o:spid="_x0000_s1026" alt="https://d.adroll.com/cm/outbrain/out" style="position:absolute;margin-left:3.6pt;margin-top:0;width:.6pt;height:.6pt;z-index:25255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CDvOzB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68576" behindDoc="0" locked="0" layoutInCell="1" allowOverlap="1" wp14:anchorId="40547F69" wp14:editId="4DEC53DA">
                  <wp:simplePos x="0" y="0"/>
                  <wp:positionH relativeFrom="column">
                    <wp:posOffset>30480</wp:posOffset>
                  </wp:positionH>
                  <wp:positionV relativeFrom="paragraph">
                    <wp:posOffset>0</wp:posOffset>
                  </wp:positionV>
                  <wp:extent cx="7620" cy="7620"/>
                  <wp:effectExtent l="0" t="0" r="0" b="0"/>
                  <wp:wrapNone/>
                  <wp:docPr id="1046" name="Picture 1046" descr="https://d.adroll.com/cm/n/out"/>
                  <wp:cNvGraphicFramePr/>
                  <a:graphic xmlns:a="http://schemas.openxmlformats.org/drawingml/2006/main">
                    <a:graphicData uri="http://schemas.openxmlformats.org/drawingml/2006/picture">
                      <pic:pic xmlns:pic="http://schemas.openxmlformats.org/drawingml/2006/picture">
                        <pic:nvPicPr>
                          <pic:cNvPr id="130" name="Picture 129"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569600" behindDoc="0" locked="0" layoutInCell="1" allowOverlap="1" wp14:anchorId="04A8C07B" wp14:editId="3511098B">
                      <wp:simplePos x="0" y="0"/>
                      <wp:positionH relativeFrom="column">
                        <wp:posOffset>45720</wp:posOffset>
                      </wp:positionH>
                      <wp:positionV relativeFrom="paragraph">
                        <wp:posOffset>0</wp:posOffset>
                      </wp:positionV>
                      <wp:extent cx="7620" cy="7620"/>
                      <wp:effectExtent l="0" t="0" r="0" b="0"/>
                      <wp:wrapNone/>
                      <wp:docPr id="1045" name="Rectangle 1045"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C6EB2F4" id="Rectangle 1045" o:spid="_x0000_s1026" alt="https://d.adroll.com/cm/outbrain/out" style="position:absolute;margin-left:3.6pt;margin-top:0;width:.6pt;height:.6pt;z-index:25256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I4NrUh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52192" behindDoc="0" locked="0" layoutInCell="1" allowOverlap="1" wp14:anchorId="58ECE049" wp14:editId="03DEF2CB">
                      <wp:simplePos x="0" y="0"/>
                      <wp:positionH relativeFrom="column">
                        <wp:posOffset>60960</wp:posOffset>
                      </wp:positionH>
                      <wp:positionV relativeFrom="paragraph">
                        <wp:posOffset>0</wp:posOffset>
                      </wp:positionV>
                      <wp:extent cx="7620" cy="7620"/>
                      <wp:effectExtent l="0" t="0" r="0" b="0"/>
                      <wp:wrapNone/>
                      <wp:docPr id="1044" name="Rectangle 1044"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F1E9BDE" id="Rectangle 1044" o:spid="_x0000_s1026" alt="https://d.adroll.com/cm/pubmatic/out" style="position:absolute;margin-left:4.8pt;margin-top:0;width:.6pt;height:.6pt;z-index:25255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z8ZBGRsCAAAu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53216" behindDoc="0" locked="0" layoutInCell="1" allowOverlap="1" wp14:anchorId="126533CD" wp14:editId="76314232">
                      <wp:simplePos x="0" y="0"/>
                      <wp:positionH relativeFrom="column">
                        <wp:posOffset>76200</wp:posOffset>
                      </wp:positionH>
                      <wp:positionV relativeFrom="paragraph">
                        <wp:posOffset>0</wp:posOffset>
                      </wp:positionV>
                      <wp:extent cx="7620" cy="7620"/>
                      <wp:effectExtent l="0" t="0" r="0" b="0"/>
                      <wp:wrapNone/>
                      <wp:docPr id="1043" name="Rectangle 1043"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33E595CA" id="Rectangle 1043" o:spid="_x0000_s1026" alt="https://d.adroll.com/cm/taboola/out" style="position:absolute;margin-left:6pt;margin-top:0;width:.6pt;height:.6pt;z-index:25255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sleRiB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70624" behindDoc="0" locked="0" layoutInCell="1" allowOverlap="1" wp14:anchorId="4F810CCC" wp14:editId="7AB37CAD">
                      <wp:simplePos x="0" y="0"/>
                      <wp:positionH relativeFrom="column">
                        <wp:posOffset>60960</wp:posOffset>
                      </wp:positionH>
                      <wp:positionV relativeFrom="paragraph">
                        <wp:posOffset>0</wp:posOffset>
                      </wp:positionV>
                      <wp:extent cx="7620" cy="7620"/>
                      <wp:effectExtent l="0" t="0" r="0" b="0"/>
                      <wp:wrapNone/>
                      <wp:docPr id="1042" name="Rectangle 1042"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578E2B35" id="Rectangle 1042" o:spid="_x0000_s1026" alt="https://d.adroll.com/cm/pubmatic/out" style="position:absolute;margin-left:4.8pt;margin-top:0;width:.6pt;height:.6pt;z-index:25257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8wjeYRsCAAAu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71648" behindDoc="0" locked="0" layoutInCell="1" allowOverlap="1" wp14:anchorId="24D4D955" wp14:editId="4FBD5DC1">
                      <wp:simplePos x="0" y="0"/>
                      <wp:positionH relativeFrom="column">
                        <wp:posOffset>76200</wp:posOffset>
                      </wp:positionH>
                      <wp:positionV relativeFrom="paragraph">
                        <wp:posOffset>0</wp:posOffset>
                      </wp:positionV>
                      <wp:extent cx="7620" cy="7620"/>
                      <wp:effectExtent l="0" t="0" r="0" b="0"/>
                      <wp:wrapNone/>
                      <wp:docPr id="1041" name="Rectangle 1041"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2F614AB" id="Rectangle 1041" o:spid="_x0000_s1026" alt="https://d.adroll.com/cm/taboola/out" style="position:absolute;margin-left:6pt;margin-top:0;width:.6pt;height:.6pt;z-index:25257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td+8SR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49120" behindDoc="0" locked="0" layoutInCell="1" allowOverlap="1" wp14:anchorId="14A268F3" wp14:editId="7B979F74">
                  <wp:simplePos x="0" y="0"/>
                  <wp:positionH relativeFrom="column">
                    <wp:posOffset>15240</wp:posOffset>
                  </wp:positionH>
                  <wp:positionV relativeFrom="paragraph">
                    <wp:posOffset>0</wp:posOffset>
                  </wp:positionV>
                  <wp:extent cx="7620" cy="7620"/>
                  <wp:effectExtent l="0" t="0" r="0" b="0"/>
                  <wp:wrapNone/>
                  <wp:docPr id="1040" name="Picture 1040" descr="https://d.adroll.com/cm/index/out"/>
                  <wp:cNvGraphicFramePr/>
                  <a:graphic xmlns:a="http://schemas.openxmlformats.org/drawingml/2006/main">
                    <a:graphicData uri="http://schemas.openxmlformats.org/drawingml/2006/picture">
                      <pic:pic xmlns:pic="http://schemas.openxmlformats.org/drawingml/2006/picture">
                        <pic:nvPicPr>
                          <pic:cNvPr id="111" name="Picture 110"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67552" behindDoc="0" locked="0" layoutInCell="1" allowOverlap="1" wp14:anchorId="35A0E84D" wp14:editId="34BE2857">
                  <wp:simplePos x="0" y="0"/>
                  <wp:positionH relativeFrom="column">
                    <wp:posOffset>15240</wp:posOffset>
                  </wp:positionH>
                  <wp:positionV relativeFrom="paragraph">
                    <wp:posOffset>0</wp:posOffset>
                  </wp:positionV>
                  <wp:extent cx="7620" cy="7620"/>
                  <wp:effectExtent l="0" t="0" r="0" b="0"/>
                  <wp:wrapNone/>
                  <wp:docPr id="1039" name="Picture 1039" descr="https://d.adroll.com/cm/index/out"/>
                  <wp:cNvGraphicFramePr/>
                  <a:graphic xmlns:a="http://schemas.openxmlformats.org/drawingml/2006/main">
                    <a:graphicData uri="http://schemas.openxmlformats.org/drawingml/2006/picture">
                      <pic:pic xmlns:pic="http://schemas.openxmlformats.org/drawingml/2006/picture">
                        <pic:nvPicPr>
                          <pic:cNvPr id="129" name="Picture 128"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20775BC6"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042527DF"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1E087287" w14:textId="77777777" w:rsidR="00AB674D" w:rsidRPr="00B0148D" w:rsidRDefault="00AB674D" w:rsidP="00AB674D">
            <w:pPr>
              <w:spacing w:after="0" w:line="240" w:lineRule="auto"/>
              <w:rPr>
                <w:rFonts w:ascii="Calibri" w:eastAsia="Times New Roman" w:hAnsi="Calibri" w:cs="Times New Roman"/>
                <w:lang w:val="fi-FI" w:eastAsia="fi-FI"/>
              </w:rPr>
            </w:pPr>
          </w:p>
        </w:tc>
        <w:tc>
          <w:tcPr>
            <w:tcW w:w="1936" w:type="dxa"/>
            <w:tcBorders>
              <w:top w:val="nil"/>
              <w:left w:val="nil"/>
              <w:bottom w:val="nil"/>
              <w:right w:val="nil"/>
            </w:tcBorders>
            <w:shd w:val="clear" w:color="auto" w:fill="auto"/>
            <w:noWrap/>
            <w:vAlign w:val="bottom"/>
            <w:hideMark/>
          </w:tcPr>
          <w:p w14:paraId="451E7657" w14:textId="090D366F" w:rsidR="00AB674D" w:rsidRPr="00B0148D" w:rsidRDefault="00AB674D" w:rsidP="00AB674D">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554240" behindDoc="0" locked="0" layoutInCell="1" allowOverlap="1" wp14:anchorId="78FCAA63" wp14:editId="320BC83A">
                      <wp:simplePos x="0" y="0"/>
                      <wp:positionH relativeFrom="column">
                        <wp:posOffset>0</wp:posOffset>
                      </wp:positionH>
                      <wp:positionV relativeFrom="paragraph">
                        <wp:posOffset>0</wp:posOffset>
                      </wp:positionV>
                      <wp:extent cx="7620" cy="7620"/>
                      <wp:effectExtent l="0" t="0" r="0" b="0"/>
                      <wp:wrapNone/>
                      <wp:docPr id="1038" name="Rectangle 1038"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EA3AEE9" id="Rectangle 1038" o:spid="_x0000_s1026" alt="https://d.adroll.com/cm/aol/out" style="position:absolute;margin-left:0;margin-top:0;width:.6pt;height:.6pt;z-index:25255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C8YlTs&#10;FwIAACk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72672" behindDoc="0" locked="0" layoutInCell="1" allowOverlap="1" wp14:anchorId="10217EB2" wp14:editId="20C31794">
                      <wp:simplePos x="0" y="0"/>
                      <wp:positionH relativeFrom="column">
                        <wp:posOffset>0</wp:posOffset>
                      </wp:positionH>
                      <wp:positionV relativeFrom="paragraph">
                        <wp:posOffset>0</wp:posOffset>
                      </wp:positionV>
                      <wp:extent cx="7620" cy="7620"/>
                      <wp:effectExtent l="0" t="0" r="0" b="0"/>
                      <wp:wrapNone/>
                      <wp:docPr id="1037" name="Rectangle 1037"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69B196E0" id="Rectangle 1037" o:spid="_x0000_s1026" alt="https://d.adroll.com/cm/aol/out" style="position:absolute;margin-left:0;margin-top:0;width:.6pt;height:.6pt;z-index:25257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56288" behindDoc="0" locked="0" layoutInCell="1" allowOverlap="1" wp14:anchorId="70062756" wp14:editId="4B4A0919">
                  <wp:simplePos x="0" y="0"/>
                  <wp:positionH relativeFrom="column">
                    <wp:posOffset>30480</wp:posOffset>
                  </wp:positionH>
                  <wp:positionV relativeFrom="paragraph">
                    <wp:posOffset>0</wp:posOffset>
                  </wp:positionV>
                  <wp:extent cx="7620" cy="7620"/>
                  <wp:effectExtent l="0" t="0" r="0" b="0"/>
                  <wp:wrapNone/>
                  <wp:docPr id="1036" name="Picture 1036" descr="https://d.adroll.com/cm/n/out"/>
                  <wp:cNvGraphicFramePr/>
                  <a:graphic xmlns:a="http://schemas.openxmlformats.org/drawingml/2006/main">
                    <a:graphicData uri="http://schemas.openxmlformats.org/drawingml/2006/picture">
                      <pic:pic xmlns:pic="http://schemas.openxmlformats.org/drawingml/2006/picture">
                        <pic:nvPicPr>
                          <pic:cNvPr id="118" name="Picture 117"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557312" behindDoc="0" locked="0" layoutInCell="1" allowOverlap="1" wp14:anchorId="372002AE" wp14:editId="34C8C73B">
                      <wp:simplePos x="0" y="0"/>
                      <wp:positionH relativeFrom="column">
                        <wp:posOffset>45720</wp:posOffset>
                      </wp:positionH>
                      <wp:positionV relativeFrom="paragraph">
                        <wp:posOffset>0</wp:posOffset>
                      </wp:positionV>
                      <wp:extent cx="7620" cy="7620"/>
                      <wp:effectExtent l="0" t="0" r="0" b="0"/>
                      <wp:wrapNone/>
                      <wp:docPr id="1035" name="Rectangle 1035"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38CDBE6" id="Rectangle 1035" o:spid="_x0000_s1026" alt="https://d.adroll.com/cm/outbrain/out" style="position:absolute;margin-left:3.6pt;margin-top:0;width:.6pt;height:.6pt;z-index:25255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74720" behindDoc="0" locked="0" layoutInCell="1" allowOverlap="1" wp14:anchorId="6213B18A" wp14:editId="759922A9">
                  <wp:simplePos x="0" y="0"/>
                  <wp:positionH relativeFrom="column">
                    <wp:posOffset>30480</wp:posOffset>
                  </wp:positionH>
                  <wp:positionV relativeFrom="paragraph">
                    <wp:posOffset>0</wp:posOffset>
                  </wp:positionV>
                  <wp:extent cx="7620" cy="7620"/>
                  <wp:effectExtent l="0" t="0" r="0" b="0"/>
                  <wp:wrapNone/>
                  <wp:docPr id="1034" name="Picture 1034" descr="https://d.adroll.com/cm/n/out"/>
                  <wp:cNvGraphicFramePr/>
                  <a:graphic xmlns:a="http://schemas.openxmlformats.org/drawingml/2006/main">
                    <a:graphicData uri="http://schemas.openxmlformats.org/drawingml/2006/picture">
                      <pic:pic xmlns:pic="http://schemas.openxmlformats.org/drawingml/2006/picture">
                        <pic:nvPicPr>
                          <pic:cNvPr id="136" name="Picture 135"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575744" behindDoc="0" locked="0" layoutInCell="1" allowOverlap="1" wp14:anchorId="288EDD4A" wp14:editId="0BA95F8B">
                      <wp:simplePos x="0" y="0"/>
                      <wp:positionH relativeFrom="column">
                        <wp:posOffset>45720</wp:posOffset>
                      </wp:positionH>
                      <wp:positionV relativeFrom="paragraph">
                        <wp:posOffset>0</wp:posOffset>
                      </wp:positionV>
                      <wp:extent cx="7620" cy="7620"/>
                      <wp:effectExtent l="0" t="0" r="0" b="0"/>
                      <wp:wrapNone/>
                      <wp:docPr id="1033" name="Rectangle 1033"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3AE42EF7" id="Rectangle 1033" o:spid="_x0000_s1026" alt="https://d.adroll.com/cm/outbrain/out" style="position:absolute;margin-left:3.6pt;margin-top:0;width:.6pt;height:.6pt;z-index:25257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KoDyUx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58336" behindDoc="0" locked="0" layoutInCell="1" allowOverlap="1" wp14:anchorId="0BCC37C7" wp14:editId="3D4E30BE">
                      <wp:simplePos x="0" y="0"/>
                      <wp:positionH relativeFrom="column">
                        <wp:posOffset>60960</wp:posOffset>
                      </wp:positionH>
                      <wp:positionV relativeFrom="paragraph">
                        <wp:posOffset>0</wp:posOffset>
                      </wp:positionV>
                      <wp:extent cx="7620" cy="7620"/>
                      <wp:effectExtent l="0" t="0" r="0" b="0"/>
                      <wp:wrapNone/>
                      <wp:docPr id="1032" name="Rectangle 1032"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04B9176" id="Rectangle 1032" o:spid="_x0000_s1026" alt="https://d.adroll.com/cm/pubmatic/out" style="position:absolute;margin-left:4.8pt;margin-top:0;width:.6pt;height:.6pt;z-index:25255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xsXYGBsCAAAu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59360" behindDoc="0" locked="0" layoutInCell="1" allowOverlap="1" wp14:anchorId="3484833E" wp14:editId="0E492CED">
                      <wp:simplePos x="0" y="0"/>
                      <wp:positionH relativeFrom="column">
                        <wp:posOffset>76200</wp:posOffset>
                      </wp:positionH>
                      <wp:positionV relativeFrom="paragraph">
                        <wp:posOffset>0</wp:posOffset>
                      </wp:positionV>
                      <wp:extent cx="7620" cy="7620"/>
                      <wp:effectExtent l="0" t="0" r="0" b="0"/>
                      <wp:wrapNone/>
                      <wp:docPr id="1031" name="Rectangle 1031"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5723FE90" id="Rectangle 1031" o:spid="_x0000_s1026" alt="https://d.adroll.com/cm/taboola/out" style="position:absolute;margin-left:6pt;margin-top:0;width:.6pt;height:.6pt;z-index:25255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vE7Jkx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76768" behindDoc="0" locked="0" layoutInCell="1" allowOverlap="1" wp14:anchorId="5AABB2F8" wp14:editId="3A66B3F0">
                      <wp:simplePos x="0" y="0"/>
                      <wp:positionH relativeFrom="column">
                        <wp:posOffset>60960</wp:posOffset>
                      </wp:positionH>
                      <wp:positionV relativeFrom="paragraph">
                        <wp:posOffset>0</wp:posOffset>
                      </wp:positionV>
                      <wp:extent cx="7620" cy="7620"/>
                      <wp:effectExtent l="0" t="0" r="0" b="0"/>
                      <wp:wrapNone/>
                      <wp:docPr id="1027" name="Rectangle 1027"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9589967" id="Rectangle 1027" o:spid="_x0000_s1026" alt="https://d.adroll.com/cm/pubmatic/out" style="position:absolute;margin-left:4.8pt;margin-top:0;width:.6pt;height:.6pt;z-index:25257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mMIZChsCAAAu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77792" behindDoc="0" locked="0" layoutInCell="1" allowOverlap="1" wp14:anchorId="07FDBEF2" wp14:editId="6D1F2EDF">
                      <wp:simplePos x="0" y="0"/>
                      <wp:positionH relativeFrom="column">
                        <wp:posOffset>76200</wp:posOffset>
                      </wp:positionH>
                      <wp:positionV relativeFrom="paragraph">
                        <wp:posOffset>0</wp:posOffset>
                      </wp:positionV>
                      <wp:extent cx="7620" cy="7620"/>
                      <wp:effectExtent l="0" t="0" r="0" b="0"/>
                      <wp:wrapNone/>
                      <wp:docPr id="1026" name="Rectangle 1026"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997B008" id="Rectangle 1026" o:spid="_x0000_s1026" alt="https://d.adroll.com/cm/taboola/out" style="position:absolute;margin-left:6pt;margin-top:0;width:.6pt;height:.6pt;z-index:25257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4sgKJB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55264" behindDoc="0" locked="0" layoutInCell="1" allowOverlap="1" wp14:anchorId="2C92FE24" wp14:editId="7D5016D4">
                  <wp:simplePos x="0" y="0"/>
                  <wp:positionH relativeFrom="column">
                    <wp:posOffset>15240</wp:posOffset>
                  </wp:positionH>
                  <wp:positionV relativeFrom="paragraph">
                    <wp:posOffset>0</wp:posOffset>
                  </wp:positionV>
                  <wp:extent cx="7620" cy="7620"/>
                  <wp:effectExtent l="0" t="0" r="0" b="0"/>
                  <wp:wrapNone/>
                  <wp:docPr id="1024" name="Picture 1024" descr="https://d.adroll.com/cm/index/out"/>
                  <wp:cNvGraphicFramePr/>
                  <a:graphic xmlns:a="http://schemas.openxmlformats.org/drawingml/2006/main">
                    <a:graphicData uri="http://schemas.openxmlformats.org/drawingml/2006/picture">
                      <pic:pic xmlns:pic="http://schemas.openxmlformats.org/drawingml/2006/picture">
                        <pic:nvPicPr>
                          <pic:cNvPr id="117" name="Picture 116"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73696" behindDoc="0" locked="0" layoutInCell="1" allowOverlap="1" wp14:anchorId="1E2C75B6" wp14:editId="47A236C4">
                  <wp:simplePos x="0" y="0"/>
                  <wp:positionH relativeFrom="column">
                    <wp:posOffset>15240</wp:posOffset>
                  </wp:positionH>
                  <wp:positionV relativeFrom="paragraph">
                    <wp:posOffset>0</wp:posOffset>
                  </wp:positionV>
                  <wp:extent cx="7620" cy="7620"/>
                  <wp:effectExtent l="0" t="0" r="0" b="0"/>
                  <wp:wrapNone/>
                  <wp:docPr id="159" name="Picture 159" descr="https://d.adroll.com/cm/index/out"/>
                  <wp:cNvGraphicFramePr/>
                  <a:graphic xmlns:a="http://schemas.openxmlformats.org/drawingml/2006/main">
                    <a:graphicData uri="http://schemas.openxmlformats.org/drawingml/2006/picture">
                      <pic:pic xmlns:pic="http://schemas.openxmlformats.org/drawingml/2006/picture">
                        <pic:nvPicPr>
                          <pic:cNvPr id="135" name="Picture 134"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17B5DEC9"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3CAEC484"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37308EE6" w14:textId="77777777" w:rsidR="00AB674D" w:rsidRPr="00B0148D" w:rsidRDefault="00AB674D" w:rsidP="00AB674D">
            <w:pPr>
              <w:spacing w:after="0" w:line="240" w:lineRule="auto"/>
              <w:rPr>
                <w:rFonts w:ascii="Calibri" w:eastAsia="Times New Roman" w:hAnsi="Calibri" w:cs="Times New Roman"/>
                <w:lang w:val="fi-FI" w:eastAsia="fi-FI"/>
              </w:rPr>
            </w:pPr>
          </w:p>
        </w:tc>
        <w:tc>
          <w:tcPr>
            <w:tcW w:w="1936" w:type="dxa"/>
            <w:tcBorders>
              <w:top w:val="nil"/>
              <w:left w:val="nil"/>
              <w:bottom w:val="nil"/>
              <w:right w:val="nil"/>
            </w:tcBorders>
            <w:shd w:val="clear" w:color="auto" w:fill="auto"/>
            <w:noWrap/>
            <w:vAlign w:val="bottom"/>
            <w:hideMark/>
          </w:tcPr>
          <w:p w14:paraId="5CE6EB24" w14:textId="3FE4F6CC" w:rsidR="00AB674D" w:rsidRPr="00B0148D" w:rsidRDefault="00AB674D" w:rsidP="00AB674D">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560384" behindDoc="0" locked="0" layoutInCell="1" allowOverlap="1" wp14:anchorId="2AAC774C" wp14:editId="252963C3">
                      <wp:simplePos x="0" y="0"/>
                      <wp:positionH relativeFrom="column">
                        <wp:posOffset>0</wp:posOffset>
                      </wp:positionH>
                      <wp:positionV relativeFrom="paragraph">
                        <wp:posOffset>0</wp:posOffset>
                      </wp:positionV>
                      <wp:extent cx="7620" cy="7620"/>
                      <wp:effectExtent l="0" t="0" r="0" b="0"/>
                      <wp:wrapNone/>
                      <wp:docPr id="158" name="Rectangle 158"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DEF9764" id="Rectangle 158" o:spid="_x0000_s1026" alt="https://d.adroll.com/cm/aol/out" style="position:absolute;margin-left:0;margin-top:0;width:.6pt;height:.6pt;z-index:25256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78816" behindDoc="0" locked="0" layoutInCell="1" allowOverlap="1" wp14:anchorId="35697095" wp14:editId="2F8E09D4">
                      <wp:simplePos x="0" y="0"/>
                      <wp:positionH relativeFrom="column">
                        <wp:posOffset>0</wp:posOffset>
                      </wp:positionH>
                      <wp:positionV relativeFrom="paragraph">
                        <wp:posOffset>0</wp:posOffset>
                      </wp:positionV>
                      <wp:extent cx="7620" cy="7620"/>
                      <wp:effectExtent l="0" t="0" r="0" b="0"/>
                      <wp:wrapNone/>
                      <wp:docPr id="157" name="Rectangle 157"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A7DE3E0" id="Rectangle 157" o:spid="_x0000_s1026" alt="https://d.adroll.com/cm/aol/out" style="position:absolute;margin-left:0;margin-top:0;width:.6pt;height:.6pt;z-index:25257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62432" behindDoc="0" locked="0" layoutInCell="1" allowOverlap="1" wp14:anchorId="2910D308" wp14:editId="6B48E96D">
                  <wp:simplePos x="0" y="0"/>
                  <wp:positionH relativeFrom="column">
                    <wp:posOffset>30480</wp:posOffset>
                  </wp:positionH>
                  <wp:positionV relativeFrom="paragraph">
                    <wp:posOffset>0</wp:posOffset>
                  </wp:positionV>
                  <wp:extent cx="7620" cy="7620"/>
                  <wp:effectExtent l="0" t="0" r="0" b="0"/>
                  <wp:wrapNone/>
                  <wp:docPr id="156" name="Picture 156" descr="https://d.adroll.com/cm/n/out"/>
                  <wp:cNvGraphicFramePr/>
                  <a:graphic xmlns:a="http://schemas.openxmlformats.org/drawingml/2006/main">
                    <a:graphicData uri="http://schemas.openxmlformats.org/drawingml/2006/picture">
                      <pic:pic xmlns:pic="http://schemas.openxmlformats.org/drawingml/2006/picture">
                        <pic:nvPicPr>
                          <pic:cNvPr id="124" name="Picture 123"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563456" behindDoc="0" locked="0" layoutInCell="1" allowOverlap="1" wp14:anchorId="057C97A7" wp14:editId="6A720F55">
                      <wp:simplePos x="0" y="0"/>
                      <wp:positionH relativeFrom="column">
                        <wp:posOffset>45720</wp:posOffset>
                      </wp:positionH>
                      <wp:positionV relativeFrom="paragraph">
                        <wp:posOffset>0</wp:posOffset>
                      </wp:positionV>
                      <wp:extent cx="7620" cy="7620"/>
                      <wp:effectExtent l="0" t="0" r="0" b="0"/>
                      <wp:wrapNone/>
                      <wp:docPr id="155" name="Rectangle 155"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23E1087" id="Rectangle 155" o:spid="_x0000_s1026" alt="https://d.adroll.com/cm/outbrain/out" style="position:absolute;margin-left:3.6pt;margin-top:0;width:.6pt;height:.6pt;z-index:25256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80864" behindDoc="0" locked="0" layoutInCell="1" allowOverlap="1" wp14:anchorId="17D2888F" wp14:editId="14B2C969">
                  <wp:simplePos x="0" y="0"/>
                  <wp:positionH relativeFrom="column">
                    <wp:posOffset>30480</wp:posOffset>
                  </wp:positionH>
                  <wp:positionV relativeFrom="paragraph">
                    <wp:posOffset>0</wp:posOffset>
                  </wp:positionV>
                  <wp:extent cx="7620" cy="7620"/>
                  <wp:effectExtent l="0" t="0" r="0" b="0"/>
                  <wp:wrapNone/>
                  <wp:docPr id="154" name="Picture 154" descr="https://d.adroll.com/cm/n/out"/>
                  <wp:cNvGraphicFramePr/>
                  <a:graphic xmlns:a="http://schemas.openxmlformats.org/drawingml/2006/main">
                    <a:graphicData uri="http://schemas.openxmlformats.org/drawingml/2006/picture">
                      <pic:pic xmlns:pic="http://schemas.openxmlformats.org/drawingml/2006/picture">
                        <pic:nvPicPr>
                          <pic:cNvPr id="142" name="Picture 141"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581888" behindDoc="0" locked="0" layoutInCell="1" allowOverlap="1" wp14:anchorId="02CD93D8" wp14:editId="409A6ACE">
                      <wp:simplePos x="0" y="0"/>
                      <wp:positionH relativeFrom="column">
                        <wp:posOffset>45720</wp:posOffset>
                      </wp:positionH>
                      <wp:positionV relativeFrom="paragraph">
                        <wp:posOffset>0</wp:posOffset>
                      </wp:positionV>
                      <wp:extent cx="7620" cy="7620"/>
                      <wp:effectExtent l="0" t="0" r="0" b="0"/>
                      <wp:wrapNone/>
                      <wp:docPr id="153" name="Rectangle 153"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2511823" id="Rectangle 153" o:spid="_x0000_s1026" alt="https://d.adroll.com/cm/outbrain/out" style="position:absolute;margin-left:3.6pt;margin-top:0;width:.6pt;height:.6pt;z-index:25258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64480" behindDoc="0" locked="0" layoutInCell="1" allowOverlap="1" wp14:anchorId="23AD7A4C" wp14:editId="1E51E0E0">
                      <wp:simplePos x="0" y="0"/>
                      <wp:positionH relativeFrom="column">
                        <wp:posOffset>60960</wp:posOffset>
                      </wp:positionH>
                      <wp:positionV relativeFrom="paragraph">
                        <wp:posOffset>0</wp:posOffset>
                      </wp:positionV>
                      <wp:extent cx="7620" cy="7620"/>
                      <wp:effectExtent l="0" t="0" r="0" b="0"/>
                      <wp:wrapNone/>
                      <wp:docPr id="152" name="Rectangle 152"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7EAD686" id="Rectangle 152" o:spid="_x0000_s1026" alt="https://d.adroll.com/cm/pubmatic/out" style="position:absolute;margin-left:4.8pt;margin-top:0;width:.6pt;height:.6pt;z-index:25256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65504" behindDoc="0" locked="0" layoutInCell="1" allowOverlap="1" wp14:anchorId="51396B42" wp14:editId="1D043CD2">
                      <wp:simplePos x="0" y="0"/>
                      <wp:positionH relativeFrom="column">
                        <wp:posOffset>76200</wp:posOffset>
                      </wp:positionH>
                      <wp:positionV relativeFrom="paragraph">
                        <wp:posOffset>0</wp:posOffset>
                      </wp:positionV>
                      <wp:extent cx="7620" cy="7620"/>
                      <wp:effectExtent l="0" t="0" r="0" b="0"/>
                      <wp:wrapNone/>
                      <wp:docPr id="151" name="Rectangle 151"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7CE48FA" id="Rectangle 151" o:spid="_x0000_s1026" alt="https://d.adroll.com/cm/taboola/out" style="position:absolute;margin-left:6pt;margin-top:0;width:.6pt;height:.6pt;z-index:25256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82912" behindDoc="0" locked="0" layoutInCell="1" allowOverlap="1" wp14:anchorId="22D4B5EB" wp14:editId="61F2E637">
                      <wp:simplePos x="0" y="0"/>
                      <wp:positionH relativeFrom="column">
                        <wp:posOffset>60960</wp:posOffset>
                      </wp:positionH>
                      <wp:positionV relativeFrom="paragraph">
                        <wp:posOffset>0</wp:posOffset>
                      </wp:positionV>
                      <wp:extent cx="7620" cy="7620"/>
                      <wp:effectExtent l="0" t="0" r="0" b="0"/>
                      <wp:wrapNone/>
                      <wp:docPr id="150" name="Rectangle 150"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B363C1F" id="Rectangle 150" o:spid="_x0000_s1026" alt="https://d.adroll.com/cm/pubmatic/out" style="position:absolute;margin-left:4.8pt;margin-top:0;width:.6pt;height:.6pt;z-index:25258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83936" behindDoc="0" locked="0" layoutInCell="1" allowOverlap="1" wp14:anchorId="5553C446" wp14:editId="5ACCC13E">
                      <wp:simplePos x="0" y="0"/>
                      <wp:positionH relativeFrom="column">
                        <wp:posOffset>76200</wp:posOffset>
                      </wp:positionH>
                      <wp:positionV relativeFrom="paragraph">
                        <wp:posOffset>0</wp:posOffset>
                      </wp:positionV>
                      <wp:extent cx="7620" cy="7620"/>
                      <wp:effectExtent l="0" t="0" r="0" b="0"/>
                      <wp:wrapNone/>
                      <wp:docPr id="149" name="Rectangle 149"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62C8D020" id="Rectangle 149" o:spid="_x0000_s1026" alt="https://d.adroll.com/cm/taboola/out" style="position:absolute;margin-left:6pt;margin-top:0;width:.6pt;height:.6pt;z-index:25258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61408" behindDoc="0" locked="0" layoutInCell="1" allowOverlap="1" wp14:anchorId="099D8B59" wp14:editId="2292664C">
                  <wp:simplePos x="0" y="0"/>
                  <wp:positionH relativeFrom="column">
                    <wp:posOffset>15240</wp:posOffset>
                  </wp:positionH>
                  <wp:positionV relativeFrom="paragraph">
                    <wp:posOffset>0</wp:posOffset>
                  </wp:positionV>
                  <wp:extent cx="7620" cy="7620"/>
                  <wp:effectExtent l="0" t="0" r="0" b="0"/>
                  <wp:wrapNone/>
                  <wp:docPr id="148" name="Picture 148" descr="https://d.adroll.com/cm/index/out"/>
                  <wp:cNvGraphicFramePr/>
                  <a:graphic xmlns:a="http://schemas.openxmlformats.org/drawingml/2006/main">
                    <a:graphicData uri="http://schemas.openxmlformats.org/drawingml/2006/picture">
                      <pic:pic xmlns:pic="http://schemas.openxmlformats.org/drawingml/2006/picture">
                        <pic:nvPicPr>
                          <pic:cNvPr id="123" name="Picture 122"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79840" behindDoc="0" locked="0" layoutInCell="1" allowOverlap="1" wp14:anchorId="7BF7879B" wp14:editId="2575DCA4">
                  <wp:simplePos x="0" y="0"/>
                  <wp:positionH relativeFrom="column">
                    <wp:posOffset>15240</wp:posOffset>
                  </wp:positionH>
                  <wp:positionV relativeFrom="paragraph">
                    <wp:posOffset>0</wp:posOffset>
                  </wp:positionV>
                  <wp:extent cx="7620" cy="7620"/>
                  <wp:effectExtent l="0" t="0" r="0" b="0"/>
                  <wp:wrapNone/>
                  <wp:docPr id="147" name="Picture 147" descr="https://d.adroll.com/cm/index/out"/>
                  <wp:cNvGraphicFramePr/>
                  <a:graphic xmlns:a="http://schemas.openxmlformats.org/drawingml/2006/main">
                    <a:graphicData uri="http://schemas.openxmlformats.org/drawingml/2006/picture">
                      <pic:pic xmlns:pic="http://schemas.openxmlformats.org/drawingml/2006/picture">
                        <pic:nvPicPr>
                          <pic:cNvPr id="141" name="Picture 140"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67117AB5"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21D798E6"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249D52B7" w14:textId="77777777" w:rsidR="00AB674D" w:rsidRPr="00B0148D" w:rsidRDefault="00AB674D" w:rsidP="00AB674D">
            <w:pPr>
              <w:spacing w:after="0" w:line="240" w:lineRule="auto"/>
              <w:rPr>
                <w:rFonts w:ascii="Calibri" w:eastAsia="Times New Roman" w:hAnsi="Calibri" w:cs="Times New Roman"/>
                <w:lang w:val="fi-FI" w:eastAsia="fi-FI"/>
              </w:rPr>
            </w:pPr>
          </w:p>
        </w:tc>
      </w:tr>
      <w:tr w:rsidR="00B0148D" w:rsidRPr="00B0148D" w14:paraId="32D83C97" w14:textId="77777777" w:rsidTr="00AB674D">
        <w:trPr>
          <w:trHeight w:val="639"/>
        </w:trPr>
        <w:tc>
          <w:tcPr>
            <w:tcW w:w="2036" w:type="dxa"/>
            <w:tcBorders>
              <w:top w:val="nil"/>
              <w:left w:val="nil"/>
              <w:bottom w:val="nil"/>
              <w:right w:val="nil"/>
            </w:tcBorders>
            <w:shd w:val="clear" w:color="000000" w:fill="FFFFFF"/>
            <w:noWrap/>
            <w:vAlign w:val="center"/>
            <w:hideMark/>
          </w:tcPr>
          <w:p w14:paraId="00AD6AD6" w14:textId="77777777" w:rsidR="00AB674D" w:rsidRPr="00B0148D" w:rsidRDefault="00AB674D" w:rsidP="00AB674D">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Conservation</w:t>
            </w:r>
          </w:p>
        </w:tc>
        <w:tc>
          <w:tcPr>
            <w:tcW w:w="1936"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1DC17057" w14:textId="77777777">
              <w:trPr>
                <w:trHeight w:val="639"/>
                <w:tblCellSpacing w:w="0" w:type="dxa"/>
              </w:trPr>
              <w:tc>
                <w:tcPr>
                  <w:tcW w:w="1920" w:type="dxa"/>
                  <w:tcBorders>
                    <w:top w:val="nil"/>
                    <w:left w:val="nil"/>
                    <w:bottom w:val="nil"/>
                    <w:right w:val="nil"/>
                  </w:tcBorders>
                  <w:shd w:val="clear" w:color="000000" w:fill="FFFFFF"/>
                  <w:vAlign w:val="center"/>
                  <w:hideMark/>
                </w:tcPr>
                <w:p w14:paraId="42D919D9" w14:textId="3AF3C580"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Calibri" w:eastAsia="Times New Roman" w:hAnsi="Calibri" w:cs="Times New Roman"/>
                      <w:noProof/>
                      <w:lang w:val="fi-FI" w:eastAsia="fi-FI"/>
                    </w:rPr>
                    <w:drawing>
                      <wp:anchor distT="0" distB="0" distL="114300" distR="114300" simplePos="0" relativeHeight="252541952" behindDoc="0" locked="0" layoutInCell="1" allowOverlap="1" wp14:anchorId="621A40F0" wp14:editId="66DACAE3">
                        <wp:simplePos x="0" y="0"/>
                        <wp:positionH relativeFrom="column">
                          <wp:posOffset>0</wp:posOffset>
                        </wp:positionH>
                        <wp:positionV relativeFrom="paragraph">
                          <wp:posOffset>0</wp:posOffset>
                        </wp:positionV>
                        <wp:extent cx="7620" cy="7620"/>
                        <wp:effectExtent l="0" t="0" r="0" b="0"/>
                        <wp:wrapNone/>
                        <wp:docPr id="146" name="Picture 146" descr="https://d.adroll.com/cm/r/out"/>
                        <wp:cNvGraphicFramePr/>
                        <a:graphic xmlns:a="http://schemas.openxmlformats.org/drawingml/2006/main">
                          <a:graphicData uri="http://schemas.openxmlformats.org/drawingml/2006/picture">
                            <pic:pic xmlns:pic="http://schemas.openxmlformats.org/drawingml/2006/picture">
                              <pic:nvPicPr>
                                <pic:cNvPr id="104" name="Picture 103" descr="https://d.adroll.com/cm/r/ou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44000" behindDoc="0" locked="0" layoutInCell="1" allowOverlap="1" wp14:anchorId="243A2C4D" wp14:editId="5A088361">
                        <wp:simplePos x="0" y="0"/>
                        <wp:positionH relativeFrom="column">
                          <wp:posOffset>30480</wp:posOffset>
                        </wp:positionH>
                        <wp:positionV relativeFrom="paragraph">
                          <wp:posOffset>0</wp:posOffset>
                        </wp:positionV>
                        <wp:extent cx="7620" cy="7620"/>
                        <wp:effectExtent l="0" t="0" r="0" b="0"/>
                        <wp:wrapNone/>
                        <wp:docPr id="7" name="Picture 7" descr="https://d.adroll.com/cm/x/out"/>
                        <wp:cNvGraphicFramePr/>
                        <a:graphic xmlns:a="http://schemas.openxmlformats.org/drawingml/2006/main">
                          <a:graphicData uri="http://schemas.openxmlformats.org/drawingml/2006/picture">
                            <pic:pic xmlns:pic="http://schemas.openxmlformats.org/drawingml/2006/picture">
                              <pic:nvPicPr>
                                <pic:cNvPr id="106" name="Picture 105" descr="https://d.adroll.com/cm/x/ou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45024" behindDoc="0" locked="0" layoutInCell="1" allowOverlap="1" wp14:anchorId="66C25C23" wp14:editId="232FCD87">
                        <wp:simplePos x="0" y="0"/>
                        <wp:positionH relativeFrom="column">
                          <wp:posOffset>45720</wp:posOffset>
                        </wp:positionH>
                        <wp:positionV relativeFrom="paragraph">
                          <wp:posOffset>0</wp:posOffset>
                        </wp:positionV>
                        <wp:extent cx="7620" cy="7620"/>
                        <wp:effectExtent l="0" t="0" r="0" b="0"/>
                        <wp:wrapNone/>
                        <wp:docPr id="6" name="Picture 6" descr="https://d.adroll.com/cm/l/out"/>
                        <wp:cNvGraphicFramePr/>
                        <a:graphic xmlns:a="http://schemas.openxmlformats.org/drawingml/2006/main">
                          <a:graphicData uri="http://schemas.openxmlformats.org/drawingml/2006/picture">
                            <pic:pic xmlns:pic="http://schemas.openxmlformats.org/drawingml/2006/picture">
                              <pic:nvPicPr>
                                <pic:cNvPr id="107" name="Picture 106" descr="https://d.adroll.com/cm/l/ou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46048" behindDoc="0" locked="0" layoutInCell="1" allowOverlap="1" wp14:anchorId="4955A692" wp14:editId="0F37628D">
                        <wp:simplePos x="0" y="0"/>
                        <wp:positionH relativeFrom="column">
                          <wp:posOffset>60960</wp:posOffset>
                        </wp:positionH>
                        <wp:positionV relativeFrom="paragraph">
                          <wp:posOffset>0</wp:posOffset>
                        </wp:positionV>
                        <wp:extent cx="7620" cy="7620"/>
                        <wp:effectExtent l="0" t="0" r="0" b="0"/>
                        <wp:wrapNone/>
                        <wp:docPr id="5" name="Picture 5" descr="https://d.adroll.com/cm/o/out"/>
                        <wp:cNvGraphicFramePr/>
                        <a:graphic xmlns:a="http://schemas.openxmlformats.org/drawingml/2006/main">
                          <a:graphicData uri="http://schemas.openxmlformats.org/drawingml/2006/picture">
                            <pic:pic xmlns:pic="http://schemas.openxmlformats.org/drawingml/2006/picture">
                              <pic:nvPicPr>
                                <pic:cNvPr id="108" name="Picture 107" descr="https://d.adroll.com/cm/o/ou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47072" behindDoc="0" locked="0" layoutInCell="1" allowOverlap="1" wp14:anchorId="75E4128A" wp14:editId="5F30F15C">
                        <wp:simplePos x="0" y="0"/>
                        <wp:positionH relativeFrom="column">
                          <wp:posOffset>76200</wp:posOffset>
                        </wp:positionH>
                        <wp:positionV relativeFrom="paragraph">
                          <wp:posOffset>0</wp:posOffset>
                        </wp:positionV>
                        <wp:extent cx="7620" cy="7620"/>
                        <wp:effectExtent l="0" t="0" r="0" b="0"/>
                        <wp:wrapNone/>
                        <wp:docPr id="2" name="Picture 2" descr="https://d.adroll.com/cm/g/out?google_nid=adroll4"/>
                        <wp:cNvGraphicFramePr/>
                        <a:graphic xmlns:a="http://schemas.openxmlformats.org/drawingml/2006/main">
                          <a:graphicData uri="http://schemas.openxmlformats.org/drawingml/2006/picture">
                            <pic:pic xmlns:pic="http://schemas.openxmlformats.org/drawingml/2006/picture">
                              <pic:nvPicPr>
                                <pic:cNvPr id="109" name="Picture 108" descr="https://d.adroll.com/cm/g/out?google_nid=adroll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42976" behindDoc="0" locked="0" layoutInCell="1" allowOverlap="1" wp14:anchorId="49A840BA" wp14:editId="65C128AA">
                        <wp:simplePos x="0" y="0"/>
                        <wp:positionH relativeFrom="column">
                          <wp:posOffset>15240</wp:posOffset>
                        </wp:positionH>
                        <wp:positionV relativeFrom="paragraph">
                          <wp:posOffset>0</wp:posOffset>
                        </wp:positionV>
                        <wp:extent cx="7620" cy="7620"/>
                        <wp:effectExtent l="0" t="0" r="0" b="0"/>
                        <wp:wrapNone/>
                        <wp:docPr id="1" name="Picture 1" descr="https://d.adroll.com/cm/b/out"/>
                        <wp:cNvGraphicFramePr/>
                        <a:graphic xmlns:a="http://schemas.openxmlformats.org/drawingml/2006/main">
                          <a:graphicData uri="http://schemas.openxmlformats.org/drawingml/2006/picture">
                            <pic:pic xmlns:pic="http://schemas.openxmlformats.org/drawingml/2006/picture">
                              <pic:nvPicPr>
                                <pic:cNvPr id="105" name="Picture 104" descr="https://d.adroll.com/cm/b/ou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Times New Roman" w:eastAsia="Times New Roman" w:hAnsi="Times New Roman" w:cs="Times New Roman"/>
                      <w:sz w:val="20"/>
                      <w:szCs w:val="20"/>
                      <w:lang w:val="fi-FI" w:eastAsia="fi-FI"/>
                    </w:rPr>
                    <w:t>1.15                         (0.96-1.37)</w:t>
                  </w:r>
                </w:p>
              </w:tc>
            </w:tr>
          </w:tbl>
          <w:p w14:paraId="20FF74F3" w14:textId="77777777" w:rsidR="00AB674D" w:rsidRPr="00B0148D" w:rsidRDefault="00AB674D" w:rsidP="00AB674D">
            <w:pPr>
              <w:spacing w:after="0" w:line="240" w:lineRule="auto"/>
              <w:rPr>
                <w:rFonts w:ascii="Calibri" w:eastAsia="Times New Roman" w:hAnsi="Calibri" w:cs="Times New Roman"/>
                <w:lang w:val="fi-FI" w:eastAsia="fi-FI"/>
              </w:rPr>
            </w:pPr>
          </w:p>
        </w:tc>
        <w:tc>
          <w:tcPr>
            <w:tcW w:w="1936" w:type="dxa"/>
            <w:tcBorders>
              <w:top w:val="nil"/>
              <w:left w:val="nil"/>
              <w:bottom w:val="nil"/>
              <w:right w:val="nil"/>
            </w:tcBorders>
            <w:shd w:val="clear" w:color="000000" w:fill="FFFFFF"/>
            <w:vAlign w:val="center"/>
            <w:hideMark/>
          </w:tcPr>
          <w:p w14:paraId="033662BA"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1.14                         (0.96-1.36)</w:t>
            </w:r>
          </w:p>
        </w:tc>
        <w:tc>
          <w:tcPr>
            <w:tcW w:w="1936" w:type="dxa"/>
            <w:tcBorders>
              <w:top w:val="nil"/>
              <w:left w:val="nil"/>
              <w:bottom w:val="nil"/>
              <w:right w:val="nil"/>
            </w:tcBorders>
            <w:shd w:val="clear" w:color="000000" w:fill="FFFFFF"/>
            <w:vAlign w:val="center"/>
            <w:hideMark/>
          </w:tcPr>
          <w:p w14:paraId="587621E1"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1.00                         (0.84-1.19)</w:t>
            </w:r>
          </w:p>
        </w:tc>
        <w:tc>
          <w:tcPr>
            <w:tcW w:w="1936" w:type="dxa"/>
            <w:tcBorders>
              <w:top w:val="nil"/>
              <w:left w:val="nil"/>
              <w:bottom w:val="nil"/>
              <w:right w:val="nil"/>
            </w:tcBorders>
            <w:shd w:val="clear" w:color="000000" w:fill="FFFFFF"/>
            <w:vAlign w:val="center"/>
            <w:hideMark/>
          </w:tcPr>
          <w:p w14:paraId="46FEAA4E"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1.10                         (0.93-1.30)</w:t>
            </w:r>
          </w:p>
        </w:tc>
      </w:tr>
      <w:tr w:rsidR="00B0148D" w:rsidRPr="00B0148D" w14:paraId="4F5BE883" w14:textId="77777777" w:rsidTr="00AB674D">
        <w:trPr>
          <w:trHeight w:val="639"/>
        </w:trPr>
        <w:tc>
          <w:tcPr>
            <w:tcW w:w="2036" w:type="dxa"/>
            <w:tcBorders>
              <w:top w:val="nil"/>
              <w:left w:val="nil"/>
              <w:bottom w:val="nil"/>
              <w:right w:val="nil"/>
            </w:tcBorders>
            <w:shd w:val="clear" w:color="000000" w:fill="FFFFFF"/>
            <w:noWrap/>
            <w:vAlign w:val="center"/>
            <w:hideMark/>
          </w:tcPr>
          <w:p w14:paraId="2C9946EC" w14:textId="77777777" w:rsidR="00AB674D" w:rsidRPr="00B0148D" w:rsidRDefault="00AB674D" w:rsidP="00AB674D">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Self-transcendence</w:t>
            </w:r>
          </w:p>
        </w:tc>
        <w:tc>
          <w:tcPr>
            <w:tcW w:w="1936" w:type="dxa"/>
            <w:tcBorders>
              <w:top w:val="nil"/>
              <w:left w:val="nil"/>
              <w:bottom w:val="nil"/>
              <w:right w:val="nil"/>
            </w:tcBorders>
            <w:shd w:val="clear" w:color="000000" w:fill="FFFFFF"/>
            <w:vAlign w:val="center"/>
            <w:hideMark/>
          </w:tcPr>
          <w:p w14:paraId="0F428BF4"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0.81                         (0.68-0.97)*</w:t>
            </w:r>
          </w:p>
        </w:tc>
        <w:tc>
          <w:tcPr>
            <w:tcW w:w="1936" w:type="dxa"/>
            <w:tcBorders>
              <w:top w:val="nil"/>
              <w:left w:val="nil"/>
              <w:bottom w:val="nil"/>
              <w:right w:val="nil"/>
            </w:tcBorders>
            <w:shd w:val="clear" w:color="000000" w:fill="FFFFFF"/>
            <w:vAlign w:val="center"/>
            <w:hideMark/>
          </w:tcPr>
          <w:p w14:paraId="06FFB64F"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0.80                         (0.67-0.95)*</w:t>
            </w:r>
          </w:p>
        </w:tc>
        <w:tc>
          <w:tcPr>
            <w:tcW w:w="1936" w:type="dxa"/>
            <w:tcBorders>
              <w:top w:val="nil"/>
              <w:left w:val="nil"/>
              <w:bottom w:val="nil"/>
              <w:right w:val="nil"/>
            </w:tcBorders>
            <w:shd w:val="clear" w:color="000000" w:fill="FFFFFF"/>
            <w:vAlign w:val="center"/>
            <w:hideMark/>
          </w:tcPr>
          <w:p w14:paraId="1B019DB0"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0.87                         (0.73-1.04)</w:t>
            </w:r>
          </w:p>
        </w:tc>
        <w:tc>
          <w:tcPr>
            <w:tcW w:w="1936" w:type="dxa"/>
            <w:tcBorders>
              <w:top w:val="nil"/>
              <w:left w:val="nil"/>
              <w:bottom w:val="nil"/>
              <w:right w:val="nil"/>
            </w:tcBorders>
            <w:shd w:val="clear" w:color="000000" w:fill="FFFFFF"/>
            <w:vAlign w:val="center"/>
            <w:hideMark/>
          </w:tcPr>
          <w:p w14:paraId="280B2A20"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0.80                         (0.68-0.95)*</w:t>
            </w:r>
          </w:p>
        </w:tc>
      </w:tr>
      <w:tr w:rsidR="00B0148D" w:rsidRPr="00B0148D" w14:paraId="67D2D507" w14:textId="77777777" w:rsidTr="00AB674D">
        <w:trPr>
          <w:trHeight w:val="639"/>
        </w:trPr>
        <w:tc>
          <w:tcPr>
            <w:tcW w:w="2036" w:type="dxa"/>
            <w:tcBorders>
              <w:top w:val="nil"/>
              <w:left w:val="nil"/>
              <w:bottom w:val="nil"/>
              <w:right w:val="nil"/>
            </w:tcBorders>
            <w:shd w:val="clear" w:color="000000" w:fill="FFFFFF"/>
            <w:noWrap/>
            <w:vAlign w:val="center"/>
            <w:hideMark/>
          </w:tcPr>
          <w:p w14:paraId="13F3D018" w14:textId="77777777" w:rsidR="00AB674D" w:rsidRPr="00B0148D" w:rsidRDefault="00AB674D" w:rsidP="00AB674D">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Higher education level</w:t>
            </w:r>
          </w:p>
        </w:tc>
        <w:tc>
          <w:tcPr>
            <w:tcW w:w="1936" w:type="dxa"/>
            <w:tcBorders>
              <w:top w:val="nil"/>
              <w:left w:val="nil"/>
              <w:bottom w:val="nil"/>
              <w:right w:val="nil"/>
            </w:tcBorders>
            <w:shd w:val="clear" w:color="000000" w:fill="FFFFFF"/>
            <w:vAlign w:val="center"/>
            <w:hideMark/>
          </w:tcPr>
          <w:p w14:paraId="0B82EEC8"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0.42                               (0.32-0.54)***</w:t>
            </w:r>
          </w:p>
        </w:tc>
        <w:tc>
          <w:tcPr>
            <w:tcW w:w="1936" w:type="dxa"/>
            <w:tcBorders>
              <w:top w:val="nil"/>
              <w:left w:val="nil"/>
              <w:bottom w:val="nil"/>
              <w:right w:val="nil"/>
            </w:tcBorders>
            <w:shd w:val="clear" w:color="000000" w:fill="FFFFFF"/>
            <w:vAlign w:val="center"/>
            <w:hideMark/>
          </w:tcPr>
          <w:p w14:paraId="390F1BC4"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0.32                              (0.25-0.42)***</w:t>
            </w:r>
          </w:p>
        </w:tc>
        <w:tc>
          <w:tcPr>
            <w:tcW w:w="1936" w:type="dxa"/>
            <w:tcBorders>
              <w:top w:val="nil"/>
              <w:left w:val="nil"/>
              <w:bottom w:val="nil"/>
              <w:right w:val="nil"/>
            </w:tcBorders>
            <w:shd w:val="clear" w:color="000000" w:fill="FFFFFF"/>
            <w:vAlign w:val="center"/>
            <w:hideMark/>
          </w:tcPr>
          <w:p w14:paraId="13A8EF05"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0.37                               (0.29-0.49)***</w:t>
            </w:r>
          </w:p>
        </w:tc>
        <w:tc>
          <w:tcPr>
            <w:tcW w:w="1936" w:type="dxa"/>
            <w:tcBorders>
              <w:top w:val="nil"/>
              <w:left w:val="nil"/>
              <w:bottom w:val="nil"/>
              <w:right w:val="nil"/>
            </w:tcBorders>
            <w:shd w:val="clear" w:color="000000" w:fill="FFFFFF"/>
            <w:vAlign w:val="center"/>
            <w:hideMark/>
          </w:tcPr>
          <w:p w14:paraId="52E64ADD"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0.33                               (0.26-0.43)***</w:t>
            </w:r>
          </w:p>
        </w:tc>
      </w:tr>
      <w:tr w:rsidR="00B0148D" w:rsidRPr="00B0148D" w14:paraId="41C42ABD" w14:textId="77777777" w:rsidTr="00AB674D">
        <w:trPr>
          <w:trHeight w:val="639"/>
        </w:trPr>
        <w:tc>
          <w:tcPr>
            <w:tcW w:w="2036" w:type="dxa"/>
            <w:tcBorders>
              <w:top w:val="nil"/>
              <w:left w:val="nil"/>
              <w:bottom w:val="nil"/>
              <w:right w:val="nil"/>
            </w:tcBorders>
            <w:shd w:val="clear" w:color="000000" w:fill="FFFFFF"/>
            <w:noWrap/>
            <w:vAlign w:val="center"/>
            <w:hideMark/>
          </w:tcPr>
          <w:p w14:paraId="1E435818" w14:textId="77777777" w:rsidR="00AB674D" w:rsidRPr="00B0148D" w:rsidRDefault="00AB674D" w:rsidP="00AB674D">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Male gender</w:t>
            </w:r>
          </w:p>
        </w:tc>
        <w:tc>
          <w:tcPr>
            <w:tcW w:w="1936" w:type="dxa"/>
            <w:tcBorders>
              <w:top w:val="nil"/>
              <w:left w:val="nil"/>
              <w:bottom w:val="nil"/>
              <w:right w:val="nil"/>
            </w:tcBorders>
            <w:shd w:val="clear" w:color="000000" w:fill="FFFFFF"/>
            <w:vAlign w:val="center"/>
            <w:hideMark/>
          </w:tcPr>
          <w:p w14:paraId="18974F70"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1.62                               (1.24-2.12)***</w:t>
            </w:r>
          </w:p>
        </w:tc>
        <w:tc>
          <w:tcPr>
            <w:tcW w:w="1936" w:type="dxa"/>
            <w:tcBorders>
              <w:top w:val="nil"/>
              <w:left w:val="nil"/>
              <w:bottom w:val="nil"/>
              <w:right w:val="nil"/>
            </w:tcBorders>
            <w:shd w:val="clear" w:color="000000" w:fill="FFFFFF"/>
            <w:vAlign w:val="center"/>
            <w:hideMark/>
          </w:tcPr>
          <w:p w14:paraId="7FCF306F"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2.61                               (1.99-3.42)***</w:t>
            </w:r>
          </w:p>
        </w:tc>
        <w:tc>
          <w:tcPr>
            <w:tcW w:w="1936" w:type="dxa"/>
            <w:tcBorders>
              <w:top w:val="nil"/>
              <w:left w:val="nil"/>
              <w:bottom w:val="nil"/>
              <w:right w:val="nil"/>
            </w:tcBorders>
            <w:shd w:val="clear" w:color="000000" w:fill="FFFFFF"/>
            <w:vAlign w:val="center"/>
            <w:hideMark/>
          </w:tcPr>
          <w:p w14:paraId="4A820DBB"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1.75                               (1.34-2.29)***</w:t>
            </w:r>
          </w:p>
        </w:tc>
        <w:tc>
          <w:tcPr>
            <w:tcW w:w="1936" w:type="dxa"/>
            <w:tcBorders>
              <w:top w:val="nil"/>
              <w:left w:val="nil"/>
              <w:bottom w:val="nil"/>
              <w:right w:val="nil"/>
            </w:tcBorders>
            <w:shd w:val="clear" w:color="000000" w:fill="FFFFFF"/>
            <w:vAlign w:val="center"/>
            <w:hideMark/>
          </w:tcPr>
          <w:p w14:paraId="7A559F10"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2.26                               (1.74-2.93)***</w:t>
            </w:r>
          </w:p>
        </w:tc>
      </w:tr>
      <w:tr w:rsidR="00B0148D" w:rsidRPr="00B0148D" w14:paraId="180C1301" w14:textId="77777777" w:rsidTr="00AB674D">
        <w:trPr>
          <w:trHeight w:val="639"/>
        </w:trPr>
        <w:tc>
          <w:tcPr>
            <w:tcW w:w="2036" w:type="dxa"/>
            <w:tcBorders>
              <w:top w:val="nil"/>
              <w:left w:val="nil"/>
              <w:bottom w:val="nil"/>
              <w:right w:val="nil"/>
            </w:tcBorders>
            <w:shd w:val="clear" w:color="000000" w:fill="FFFFFF"/>
            <w:noWrap/>
            <w:vAlign w:val="center"/>
            <w:hideMark/>
          </w:tcPr>
          <w:p w14:paraId="1DA86D4E" w14:textId="77777777" w:rsidR="00AB674D" w:rsidRPr="00B0148D" w:rsidRDefault="00AB674D" w:rsidP="00AB674D">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Domestic origin</w:t>
            </w:r>
          </w:p>
        </w:tc>
        <w:tc>
          <w:tcPr>
            <w:tcW w:w="1936" w:type="dxa"/>
            <w:tcBorders>
              <w:top w:val="nil"/>
              <w:left w:val="nil"/>
              <w:bottom w:val="nil"/>
              <w:right w:val="nil"/>
            </w:tcBorders>
            <w:shd w:val="clear" w:color="000000" w:fill="FFFFFF"/>
            <w:vAlign w:val="bottom"/>
            <w:hideMark/>
          </w:tcPr>
          <w:p w14:paraId="6175F83D"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1.06                      (0.78-1.44)</w:t>
            </w:r>
          </w:p>
        </w:tc>
        <w:tc>
          <w:tcPr>
            <w:tcW w:w="1936" w:type="dxa"/>
            <w:tcBorders>
              <w:top w:val="nil"/>
              <w:left w:val="nil"/>
              <w:bottom w:val="nil"/>
              <w:right w:val="nil"/>
            </w:tcBorders>
            <w:shd w:val="clear" w:color="000000" w:fill="FFFFFF"/>
            <w:vAlign w:val="bottom"/>
            <w:hideMark/>
          </w:tcPr>
          <w:p w14:paraId="05C13121"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0.80                            (0.59-1.08)</w:t>
            </w:r>
          </w:p>
        </w:tc>
        <w:tc>
          <w:tcPr>
            <w:tcW w:w="1936" w:type="dxa"/>
            <w:tcBorders>
              <w:top w:val="nil"/>
              <w:left w:val="nil"/>
              <w:bottom w:val="nil"/>
              <w:right w:val="nil"/>
            </w:tcBorders>
            <w:shd w:val="clear" w:color="000000" w:fill="FFFFFF"/>
            <w:vAlign w:val="bottom"/>
            <w:hideMark/>
          </w:tcPr>
          <w:p w14:paraId="5F8660DB"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1.01                              (0.74-1.37)</w:t>
            </w:r>
          </w:p>
        </w:tc>
        <w:tc>
          <w:tcPr>
            <w:tcW w:w="1936" w:type="dxa"/>
            <w:tcBorders>
              <w:top w:val="nil"/>
              <w:left w:val="nil"/>
              <w:bottom w:val="nil"/>
              <w:right w:val="nil"/>
            </w:tcBorders>
            <w:shd w:val="clear" w:color="000000" w:fill="FFFFFF"/>
            <w:vAlign w:val="bottom"/>
            <w:hideMark/>
          </w:tcPr>
          <w:p w14:paraId="413E8F4B"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0.93                               (0.69-1.25)</w:t>
            </w:r>
          </w:p>
        </w:tc>
      </w:tr>
      <w:tr w:rsidR="00B0148D" w:rsidRPr="00B0148D" w14:paraId="494536C6" w14:textId="77777777" w:rsidTr="00AB674D">
        <w:trPr>
          <w:trHeight w:val="639"/>
        </w:trPr>
        <w:tc>
          <w:tcPr>
            <w:tcW w:w="2036" w:type="dxa"/>
            <w:tcBorders>
              <w:top w:val="nil"/>
              <w:left w:val="nil"/>
              <w:bottom w:val="single" w:sz="4" w:space="0" w:color="auto"/>
              <w:right w:val="nil"/>
            </w:tcBorders>
            <w:shd w:val="clear" w:color="000000" w:fill="FFFFFF"/>
            <w:noWrap/>
            <w:vAlign w:val="center"/>
            <w:hideMark/>
          </w:tcPr>
          <w:p w14:paraId="2241D047" w14:textId="77777777" w:rsidR="00AB674D" w:rsidRPr="00B0148D" w:rsidRDefault="00AB674D" w:rsidP="00AB674D">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Local origin</w:t>
            </w:r>
          </w:p>
        </w:tc>
        <w:tc>
          <w:tcPr>
            <w:tcW w:w="1936" w:type="dxa"/>
            <w:tcBorders>
              <w:top w:val="nil"/>
              <w:left w:val="nil"/>
              <w:bottom w:val="single" w:sz="4" w:space="0" w:color="auto"/>
              <w:right w:val="nil"/>
            </w:tcBorders>
            <w:shd w:val="clear" w:color="000000" w:fill="FFFFFF"/>
            <w:vAlign w:val="center"/>
            <w:hideMark/>
          </w:tcPr>
          <w:p w14:paraId="51DFEF23"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1.00                         (0.74-1.36)</w:t>
            </w:r>
          </w:p>
        </w:tc>
        <w:tc>
          <w:tcPr>
            <w:tcW w:w="1936" w:type="dxa"/>
            <w:tcBorders>
              <w:top w:val="nil"/>
              <w:left w:val="nil"/>
              <w:bottom w:val="single" w:sz="4" w:space="0" w:color="auto"/>
              <w:right w:val="nil"/>
            </w:tcBorders>
            <w:shd w:val="clear" w:color="000000" w:fill="FFFFFF"/>
            <w:vAlign w:val="center"/>
            <w:hideMark/>
          </w:tcPr>
          <w:p w14:paraId="16E5E629"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0.76                               (0.56-1.02)</w:t>
            </w:r>
          </w:p>
        </w:tc>
        <w:tc>
          <w:tcPr>
            <w:tcW w:w="1936" w:type="dxa"/>
            <w:tcBorders>
              <w:top w:val="nil"/>
              <w:left w:val="nil"/>
              <w:bottom w:val="single" w:sz="4" w:space="0" w:color="auto"/>
              <w:right w:val="nil"/>
            </w:tcBorders>
            <w:shd w:val="clear" w:color="000000" w:fill="FFFFFF"/>
            <w:vAlign w:val="center"/>
            <w:hideMark/>
          </w:tcPr>
          <w:p w14:paraId="0CBB8193"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0.81                               (0.59-1.10)</w:t>
            </w:r>
          </w:p>
        </w:tc>
        <w:tc>
          <w:tcPr>
            <w:tcW w:w="1936" w:type="dxa"/>
            <w:tcBorders>
              <w:top w:val="nil"/>
              <w:left w:val="nil"/>
              <w:bottom w:val="single" w:sz="4" w:space="0" w:color="auto"/>
              <w:right w:val="nil"/>
            </w:tcBorders>
            <w:shd w:val="clear" w:color="000000" w:fill="FFFFFF"/>
            <w:vAlign w:val="center"/>
            <w:hideMark/>
          </w:tcPr>
          <w:p w14:paraId="10668D3E"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0.83                               (0.62-1.11)</w:t>
            </w:r>
          </w:p>
        </w:tc>
      </w:tr>
      <w:tr w:rsidR="00B0148D" w:rsidRPr="00B0148D" w14:paraId="389FC730" w14:textId="77777777" w:rsidTr="00AB674D">
        <w:trPr>
          <w:trHeight w:val="324"/>
        </w:trPr>
        <w:tc>
          <w:tcPr>
            <w:tcW w:w="2036" w:type="dxa"/>
            <w:tcBorders>
              <w:top w:val="nil"/>
              <w:left w:val="nil"/>
              <w:bottom w:val="nil"/>
              <w:right w:val="nil"/>
            </w:tcBorders>
            <w:shd w:val="clear" w:color="000000" w:fill="FFFFFF"/>
            <w:noWrap/>
            <w:vAlign w:val="bottom"/>
            <w:hideMark/>
          </w:tcPr>
          <w:p w14:paraId="7F532D0E" w14:textId="77777777" w:rsidR="00AB674D" w:rsidRPr="00B0148D" w:rsidRDefault="00AB674D" w:rsidP="00AB674D">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Pseudo R</w:t>
            </w:r>
            <w:r w:rsidRPr="00B0148D">
              <w:rPr>
                <w:rFonts w:ascii="Times New Roman" w:eastAsia="Times New Roman" w:hAnsi="Times New Roman" w:cs="Times New Roman"/>
                <w:sz w:val="20"/>
                <w:szCs w:val="20"/>
                <w:vertAlign w:val="superscript"/>
                <w:lang w:val="fi-FI" w:eastAsia="fi-FI"/>
              </w:rPr>
              <w:t>2</w:t>
            </w:r>
            <w:r w:rsidRPr="00B0148D">
              <w:rPr>
                <w:rFonts w:ascii="Times New Roman" w:eastAsia="Times New Roman" w:hAnsi="Times New Roman" w:cs="Times New Roman"/>
                <w:sz w:val="20"/>
                <w:szCs w:val="20"/>
                <w:lang w:val="fi-FI" w:eastAsia="fi-FI"/>
              </w:rPr>
              <w:t xml:space="preserve"> (Nagelkerke)</w:t>
            </w:r>
          </w:p>
        </w:tc>
        <w:tc>
          <w:tcPr>
            <w:tcW w:w="1936" w:type="dxa"/>
            <w:tcBorders>
              <w:top w:val="nil"/>
              <w:left w:val="nil"/>
              <w:bottom w:val="nil"/>
              <w:right w:val="nil"/>
            </w:tcBorders>
            <w:shd w:val="clear" w:color="000000" w:fill="FFFFFF"/>
            <w:noWrap/>
            <w:vAlign w:val="bottom"/>
            <w:hideMark/>
          </w:tcPr>
          <w:p w14:paraId="34F47E34"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0.095</w:t>
            </w:r>
          </w:p>
        </w:tc>
        <w:tc>
          <w:tcPr>
            <w:tcW w:w="1936" w:type="dxa"/>
            <w:tcBorders>
              <w:top w:val="nil"/>
              <w:left w:val="nil"/>
              <w:bottom w:val="nil"/>
              <w:right w:val="nil"/>
            </w:tcBorders>
            <w:shd w:val="clear" w:color="000000" w:fill="FFFFFF"/>
            <w:noWrap/>
            <w:vAlign w:val="bottom"/>
            <w:hideMark/>
          </w:tcPr>
          <w:p w14:paraId="229A5E25"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0.178</w:t>
            </w:r>
          </w:p>
        </w:tc>
        <w:tc>
          <w:tcPr>
            <w:tcW w:w="1936" w:type="dxa"/>
            <w:tcBorders>
              <w:top w:val="nil"/>
              <w:left w:val="nil"/>
              <w:bottom w:val="nil"/>
              <w:right w:val="nil"/>
            </w:tcBorders>
            <w:shd w:val="clear" w:color="000000" w:fill="FFFFFF"/>
            <w:noWrap/>
            <w:vAlign w:val="bottom"/>
            <w:hideMark/>
          </w:tcPr>
          <w:p w14:paraId="171A6F56"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0.103</w:t>
            </w:r>
          </w:p>
        </w:tc>
        <w:tc>
          <w:tcPr>
            <w:tcW w:w="1936" w:type="dxa"/>
            <w:tcBorders>
              <w:top w:val="nil"/>
              <w:left w:val="nil"/>
              <w:bottom w:val="nil"/>
              <w:right w:val="nil"/>
            </w:tcBorders>
            <w:shd w:val="clear" w:color="000000" w:fill="FFFFFF"/>
            <w:noWrap/>
            <w:vAlign w:val="bottom"/>
            <w:hideMark/>
          </w:tcPr>
          <w:p w14:paraId="6C2DEB10" w14:textId="77777777" w:rsidR="00AB674D" w:rsidRPr="00B0148D" w:rsidRDefault="00AB674D" w:rsidP="00AB674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0.158</w:t>
            </w:r>
          </w:p>
        </w:tc>
      </w:tr>
    </w:tbl>
    <w:p w14:paraId="75925B5E" w14:textId="2C7D3B26" w:rsidR="0093103D" w:rsidRPr="00B0148D" w:rsidRDefault="007479CF" w:rsidP="00422880">
      <w:pPr>
        <w:jc w:val="both"/>
        <w:rPr>
          <w:sz w:val="16"/>
          <w:szCs w:val="16"/>
        </w:rPr>
      </w:pPr>
      <w:r w:rsidRPr="00B0148D">
        <w:rPr>
          <w:sz w:val="16"/>
          <w:szCs w:val="16"/>
        </w:rPr>
        <w:t>The statistically significant differences are marked with *</w:t>
      </w:r>
      <w:r w:rsidRPr="00B0148D">
        <w:t xml:space="preserve"> </w:t>
      </w:r>
      <w:r w:rsidRPr="00B0148D">
        <w:rPr>
          <w:sz w:val="16"/>
          <w:szCs w:val="16"/>
        </w:rPr>
        <w:t>(p &lt; 0.05), ** (p &lt; 0.01), *** (p &lt; 0.001)</w:t>
      </w:r>
    </w:p>
    <w:p w14:paraId="666E11A6" w14:textId="0D6395AB" w:rsidR="00D714D2" w:rsidRPr="00B0148D" w:rsidRDefault="00D714D2" w:rsidP="00422880">
      <w:pPr>
        <w:jc w:val="both"/>
        <w:rPr>
          <w:sz w:val="16"/>
          <w:szCs w:val="16"/>
        </w:rPr>
      </w:pPr>
      <w:r w:rsidRPr="00B0148D">
        <w:rPr>
          <w:sz w:val="16"/>
          <w:szCs w:val="16"/>
        </w:rPr>
        <w:t>All the variables were transformed. Due to this, high values indicate low endorsement.</w:t>
      </w:r>
    </w:p>
    <w:p w14:paraId="31144B97" w14:textId="34EC83B0" w:rsidR="00CD169B" w:rsidRPr="00B0148D" w:rsidRDefault="00CD169B" w:rsidP="00CD169B">
      <w:pPr>
        <w:jc w:val="both"/>
        <w:rPr>
          <w:strike/>
        </w:rPr>
      </w:pPr>
      <w:r w:rsidRPr="00B0148D">
        <w:t xml:space="preserve">Gender and education level had a significant effect on all of the evaluated properties (Table 4). Male respondents evaluated the properties consistently lower and the upper education level predicted significantly higher evaluations. Domestic or local origin did not predict any significant increases in the evaluated qualities. Our data supports H1. Conservation </w:t>
      </w:r>
      <w:r w:rsidR="000578B4" w:rsidRPr="00B0148D">
        <w:t>did not</w:t>
      </w:r>
      <w:r w:rsidRPr="00B0148D">
        <w:t xml:space="preserve"> predict</w:t>
      </w:r>
      <w:r w:rsidR="000578B4" w:rsidRPr="00B0148D">
        <w:t xml:space="preserve"> any</w:t>
      </w:r>
      <w:r w:rsidRPr="00B0148D">
        <w:t xml:space="preserve"> of the other properties. The importance of Self-Transcendence on the other hand significantly predicted pleasantness, probability-to-choose, and product perception, but not overall quality. Individuals placing more importance on the Self-Transcendence values evaluated the salad buffet more positively, and therefore our data supports H2a.</w:t>
      </w:r>
    </w:p>
    <w:p w14:paraId="3ACA84B0" w14:textId="30A36ACF" w:rsidR="0048576B" w:rsidRPr="00B0148D" w:rsidRDefault="00960A22" w:rsidP="0048576B">
      <w:pPr>
        <w:jc w:val="both"/>
      </w:pPr>
      <w:r w:rsidRPr="00B0148D">
        <w:rPr>
          <w:b/>
        </w:rPr>
        <w:lastRenderedPageBreak/>
        <w:t>Table 5</w:t>
      </w:r>
      <w:r w:rsidRPr="00B0148D">
        <w:t xml:space="preserve">. Correlation coefficients </w:t>
      </w:r>
      <w:r w:rsidR="00614CD6" w:rsidRPr="00B0148D">
        <w:t xml:space="preserve">(Pearson’s r) </w:t>
      </w:r>
      <w:r w:rsidRPr="00B0148D">
        <w:t>between test conditions (neutral, domestic, local) and main value dimensions (Conservation and Self- Transcendence)</w:t>
      </w:r>
      <w:r w:rsidR="0048576B" w:rsidRPr="00B0148D">
        <w:t xml:space="preserve"> </w:t>
      </w:r>
    </w:p>
    <w:tbl>
      <w:tblPr>
        <w:tblW w:w="12047" w:type="dxa"/>
        <w:tblCellMar>
          <w:left w:w="70" w:type="dxa"/>
          <w:right w:w="70" w:type="dxa"/>
        </w:tblCellMar>
        <w:tblLook w:val="04A0" w:firstRow="1" w:lastRow="0" w:firstColumn="1" w:lastColumn="0" w:noHBand="0" w:noVBand="1"/>
      </w:tblPr>
      <w:tblGrid>
        <w:gridCol w:w="1100"/>
        <w:gridCol w:w="949"/>
        <w:gridCol w:w="900"/>
        <w:gridCol w:w="900"/>
        <w:gridCol w:w="900"/>
        <w:gridCol w:w="949"/>
        <w:gridCol w:w="900"/>
        <w:gridCol w:w="900"/>
        <w:gridCol w:w="900"/>
        <w:gridCol w:w="949"/>
        <w:gridCol w:w="900"/>
        <w:gridCol w:w="900"/>
        <w:gridCol w:w="900"/>
      </w:tblGrid>
      <w:tr w:rsidR="00B0148D" w:rsidRPr="00B0148D" w14:paraId="67E60016" w14:textId="77777777" w:rsidTr="00FA2C18">
        <w:trPr>
          <w:trHeight w:val="39"/>
        </w:trPr>
        <w:tc>
          <w:tcPr>
            <w:tcW w:w="1100" w:type="dxa"/>
            <w:tcBorders>
              <w:top w:val="nil"/>
              <w:left w:val="nil"/>
              <w:bottom w:val="single" w:sz="4" w:space="0" w:color="auto"/>
              <w:right w:val="nil"/>
            </w:tcBorders>
            <w:shd w:val="clear" w:color="000000" w:fill="FFFFFF"/>
            <w:noWrap/>
            <w:vAlign w:val="bottom"/>
            <w:hideMark/>
          </w:tcPr>
          <w:p w14:paraId="52561204"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49" w:type="dxa"/>
            <w:tcBorders>
              <w:top w:val="nil"/>
              <w:left w:val="nil"/>
              <w:bottom w:val="single" w:sz="4" w:space="0" w:color="auto"/>
              <w:right w:val="nil"/>
            </w:tcBorders>
            <w:shd w:val="clear" w:color="000000" w:fill="FFFFFF"/>
            <w:noWrap/>
            <w:vAlign w:val="bottom"/>
            <w:hideMark/>
          </w:tcPr>
          <w:p w14:paraId="4AFDFDE4"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0D01F6E3"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1F691AE3"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1E3947B1"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49" w:type="dxa"/>
            <w:tcBorders>
              <w:top w:val="nil"/>
              <w:left w:val="nil"/>
              <w:bottom w:val="single" w:sz="4" w:space="0" w:color="auto"/>
              <w:right w:val="nil"/>
            </w:tcBorders>
            <w:shd w:val="clear" w:color="000000" w:fill="FFFFFF"/>
            <w:noWrap/>
            <w:vAlign w:val="bottom"/>
            <w:hideMark/>
          </w:tcPr>
          <w:p w14:paraId="168000E2"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47AE9EB1"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110AB5CF"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62ED80F1"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49" w:type="dxa"/>
            <w:tcBorders>
              <w:top w:val="nil"/>
              <w:left w:val="nil"/>
              <w:bottom w:val="single" w:sz="4" w:space="0" w:color="auto"/>
              <w:right w:val="nil"/>
            </w:tcBorders>
            <w:shd w:val="clear" w:color="000000" w:fill="FFFFFF"/>
            <w:noWrap/>
            <w:vAlign w:val="bottom"/>
            <w:hideMark/>
          </w:tcPr>
          <w:p w14:paraId="4C7886F9"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46DEEE1A"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716127A5"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373ADABB"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r>
      <w:tr w:rsidR="00B0148D" w:rsidRPr="00B0148D" w14:paraId="0CFC8D49" w14:textId="77777777" w:rsidTr="00FA2C18">
        <w:trPr>
          <w:trHeight w:val="459"/>
        </w:trPr>
        <w:tc>
          <w:tcPr>
            <w:tcW w:w="1100" w:type="dxa"/>
            <w:tcBorders>
              <w:top w:val="nil"/>
              <w:left w:val="nil"/>
              <w:bottom w:val="nil"/>
              <w:right w:val="nil"/>
            </w:tcBorders>
            <w:shd w:val="clear" w:color="000000" w:fill="FFFFFF"/>
            <w:noWrap/>
            <w:vAlign w:val="bottom"/>
            <w:hideMark/>
          </w:tcPr>
          <w:p w14:paraId="7D9E491E"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3649" w:type="dxa"/>
            <w:gridSpan w:val="4"/>
            <w:tcBorders>
              <w:top w:val="nil"/>
              <w:left w:val="nil"/>
              <w:bottom w:val="single" w:sz="4" w:space="0" w:color="auto"/>
              <w:right w:val="nil"/>
            </w:tcBorders>
            <w:shd w:val="clear" w:color="000000" w:fill="FFFFFF"/>
            <w:noWrap/>
            <w:hideMark/>
          </w:tcPr>
          <w:p w14:paraId="3C681124" w14:textId="77777777" w:rsidR="00EC4D33" w:rsidRPr="00B0148D" w:rsidRDefault="00EC4D33" w:rsidP="00EC4D33">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Neutral</w:t>
            </w:r>
          </w:p>
        </w:tc>
        <w:tc>
          <w:tcPr>
            <w:tcW w:w="3649" w:type="dxa"/>
            <w:gridSpan w:val="4"/>
            <w:tcBorders>
              <w:top w:val="nil"/>
              <w:left w:val="nil"/>
              <w:bottom w:val="single" w:sz="4" w:space="0" w:color="auto"/>
              <w:right w:val="nil"/>
            </w:tcBorders>
            <w:shd w:val="clear" w:color="000000" w:fill="FFFFFF"/>
            <w:noWrap/>
            <w:hideMark/>
          </w:tcPr>
          <w:p w14:paraId="7F6654B0" w14:textId="77777777" w:rsidR="00EC4D33" w:rsidRPr="00B0148D" w:rsidRDefault="00EC4D33" w:rsidP="00EC4D33">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Domestic</w:t>
            </w:r>
          </w:p>
        </w:tc>
        <w:tc>
          <w:tcPr>
            <w:tcW w:w="3649" w:type="dxa"/>
            <w:gridSpan w:val="4"/>
            <w:tcBorders>
              <w:top w:val="nil"/>
              <w:left w:val="nil"/>
              <w:bottom w:val="single" w:sz="4" w:space="0" w:color="auto"/>
              <w:right w:val="nil"/>
            </w:tcBorders>
            <w:shd w:val="clear" w:color="000000" w:fill="FFFFFF"/>
            <w:noWrap/>
            <w:hideMark/>
          </w:tcPr>
          <w:p w14:paraId="13CBD023" w14:textId="77777777" w:rsidR="00EC4D33" w:rsidRPr="00B0148D" w:rsidRDefault="00EC4D33" w:rsidP="00EC4D33">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Local</w:t>
            </w:r>
          </w:p>
        </w:tc>
      </w:tr>
      <w:tr w:rsidR="00B0148D" w:rsidRPr="00B0148D" w14:paraId="6E9023DC" w14:textId="77777777" w:rsidTr="00FA2C18">
        <w:trPr>
          <w:trHeight w:val="459"/>
        </w:trPr>
        <w:tc>
          <w:tcPr>
            <w:tcW w:w="1100" w:type="dxa"/>
            <w:tcBorders>
              <w:top w:val="nil"/>
              <w:left w:val="nil"/>
              <w:bottom w:val="single" w:sz="4" w:space="0" w:color="auto"/>
              <w:right w:val="nil"/>
            </w:tcBorders>
            <w:shd w:val="clear" w:color="000000" w:fill="FFFFFF"/>
            <w:noWrap/>
            <w:vAlign w:val="bottom"/>
            <w:hideMark/>
          </w:tcPr>
          <w:p w14:paraId="4FC4D055"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 </w:t>
            </w:r>
          </w:p>
        </w:tc>
        <w:tc>
          <w:tcPr>
            <w:tcW w:w="949" w:type="dxa"/>
            <w:tcBorders>
              <w:top w:val="nil"/>
              <w:left w:val="nil"/>
              <w:bottom w:val="single" w:sz="4" w:space="0" w:color="auto"/>
              <w:right w:val="nil"/>
            </w:tcBorders>
            <w:shd w:val="clear" w:color="000000" w:fill="FFFFFF"/>
            <w:vAlign w:val="bottom"/>
            <w:hideMark/>
          </w:tcPr>
          <w:p w14:paraId="4C792A2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Pleasantness</w:t>
            </w:r>
          </w:p>
        </w:tc>
        <w:tc>
          <w:tcPr>
            <w:tcW w:w="900" w:type="dxa"/>
            <w:tcBorders>
              <w:top w:val="nil"/>
              <w:left w:val="nil"/>
              <w:bottom w:val="single" w:sz="4" w:space="0" w:color="auto"/>
              <w:right w:val="nil"/>
            </w:tcBorders>
            <w:shd w:val="clear" w:color="000000" w:fill="FFFFFF"/>
            <w:vAlign w:val="bottom"/>
            <w:hideMark/>
          </w:tcPr>
          <w:p w14:paraId="5F536C91"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Probability to choose</w:t>
            </w:r>
          </w:p>
        </w:tc>
        <w:tc>
          <w:tcPr>
            <w:tcW w:w="900" w:type="dxa"/>
            <w:tcBorders>
              <w:top w:val="nil"/>
              <w:left w:val="nil"/>
              <w:bottom w:val="single" w:sz="4" w:space="0" w:color="auto"/>
              <w:right w:val="nil"/>
            </w:tcBorders>
            <w:shd w:val="clear" w:color="000000" w:fill="FFFFFF"/>
            <w:vAlign w:val="bottom"/>
            <w:hideMark/>
          </w:tcPr>
          <w:p w14:paraId="1E78D251"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Overall quality</w:t>
            </w:r>
          </w:p>
        </w:tc>
        <w:tc>
          <w:tcPr>
            <w:tcW w:w="900" w:type="dxa"/>
            <w:tcBorders>
              <w:top w:val="nil"/>
              <w:left w:val="nil"/>
              <w:bottom w:val="single" w:sz="4" w:space="0" w:color="auto"/>
              <w:right w:val="nil"/>
            </w:tcBorders>
            <w:shd w:val="clear" w:color="000000" w:fill="FFFFFF"/>
            <w:vAlign w:val="bottom"/>
            <w:hideMark/>
          </w:tcPr>
          <w:p w14:paraId="1C292686"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Product perception</w:t>
            </w:r>
          </w:p>
        </w:tc>
        <w:tc>
          <w:tcPr>
            <w:tcW w:w="949" w:type="dxa"/>
            <w:tcBorders>
              <w:top w:val="nil"/>
              <w:left w:val="nil"/>
              <w:bottom w:val="single" w:sz="4" w:space="0" w:color="auto"/>
              <w:right w:val="nil"/>
            </w:tcBorders>
            <w:shd w:val="clear" w:color="000000" w:fill="FFFFFF"/>
            <w:vAlign w:val="bottom"/>
            <w:hideMark/>
          </w:tcPr>
          <w:p w14:paraId="71B7A5E3"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Pleasantness</w:t>
            </w:r>
          </w:p>
        </w:tc>
        <w:tc>
          <w:tcPr>
            <w:tcW w:w="900" w:type="dxa"/>
            <w:tcBorders>
              <w:top w:val="nil"/>
              <w:left w:val="nil"/>
              <w:bottom w:val="single" w:sz="4" w:space="0" w:color="auto"/>
              <w:right w:val="nil"/>
            </w:tcBorders>
            <w:shd w:val="clear" w:color="000000" w:fill="FFFFFF"/>
            <w:vAlign w:val="bottom"/>
            <w:hideMark/>
          </w:tcPr>
          <w:p w14:paraId="2D63F30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Probability to choose</w:t>
            </w:r>
          </w:p>
        </w:tc>
        <w:tc>
          <w:tcPr>
            <w:tcW w:w="900" w:type="dxa"/>
            <w:tcBorders>
              <w:top w:val="nil"/>
              <w:left w:val="nil"/>
              <w:bottom w:val="single" w:sz="4" w:space="0" w:color="auto"/>
              <w:right w:val="nil"/>
            </w:tcBorders>
            <w:shd w:val="clear" w:color="000000" w:fill="FFFFFF"/>
            <w:vAlign w:val="bottom"/>
            <w:hideMark/>
          </w:tcPr>
          <w:p w14:paraId="6E6FD751"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Overall quality</w:t>
            </w:r>
          </w:p>
        </w:tc>
        <w:tc>
          <w:tcPr>
            <w:tcW w:w="900" w:type="dxa"/>
            <w:tcBorders>
              <w:top w:val="nil"/>
              <w:left w:val="nil"/>
              <w:bottom w:val="single" w:sz="4" w:space="0" w:color="auto"/>
              <w:right w:val="nil"/>
            </w:tcBorders>
            <w:shd w:val="clear" w:color="000000" w:fill="FFFFFF"/>
            <w:vAlign w:val="bottom"/>
            <w:hideMark/>
          </w:tcPr>
          <w:p w14:paraId="53A434F6"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Product perception</w:t>
            </w:r>
          </w:p>
        </w:tc>
        <w:tc>
          <w:tcPr>
            <w:tcW w:w="949" w:type="dxa"/>
            <w:tcBorders>
              <w:top w:val="nil"/>
              <w:left w:val="nil"/>
              <w:bottom w:val="single" w:sz="4" w:space="0" w:color="auto"/>
              <w:right w:val="nil"/>
            </w:tcBorders>
            <w:shd w:val="clear" w:color="000000" w:fill="FFFFFF"/>
            <w:vAlign w:val="bottom"/>
            <w:hideMark/>
          </w:tcPr>
          <w:p w14:paraId="5D90A8FE"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Pleasantness</w:t>
            </w:r>
          </w:p>
        </w:tc>
        <w:tc>
          <w:tcPr>
            <w:tcW w:w="900" w:type="dxa"/>
            <w:tcBorders>
              <w:top w:val="nil"/>
              <w:left w:val="nil"/>
              <w:bottom w:val="single" w:sz="4" w:space="0" w:color="auto"/>
              <w:right w:val="nil"/>
            </w:tcBorders>
            <w:shd w:val="clear" w:color="000000" w:fill="FFFFFF"/>
            <w:vAlign w:val="bottom"/>
            <w:hideMark/>
          </w:tcPr>
          <w:p w14:paraId="11AFFA22"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Probability to choose</w:t>
            </w:r>
          </w:p>
        </w:tc>
        <w:tc>
          <w:tcPr>
            <w:tcW w:w="900" w:type="dxa"/>
            <w:tcBorders>
              <w:top w:val="nil"/>
              <w:left w:val="nil"/>
              <w:bottom w:val="single" w:sz="4" w:space="0" w:color="auto"/>
              <w:right w:val="nil"/>
            </w:tcBorders>
            <w:shd w:val="clear" w:color="000000" w:fill="FFFFFF"/>
            <w:vAlign w:val="bottom"/>
            <w:hideMark/>
          </w:tcPr>
          <w:p w14:paraId="271BA65F"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Overall quality</w:t>
            </w:r>
          </w:p>
        </w:tc>
        <w:tc>
          <w:tcPr>
            <w:tcW w:w="900" w:type="dxa"/>
            <w:tcBorders>
              <w:top w:val="nil"/>
              <w:left w:val="nil"/>
              <w:bottom w:val="single" w:sz="4" w:space="0" w:color="auto"/>
              <w:right w:val="nil"/>
            </w:tcBorders>
            <w:shd w:val="clear" w:color="000000" w:fill="FFFFFF"/>
            <w:vAlign w:val="bottom"/>
            <w:hideMark/>
          </w:tcPr>
          <w:p w14:paraId="6ACA50F1"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Product perception</w:t>
            </w:r>
          </w:p>
        </w:tc>
      </w:tr>
      <w:tr w:rsidR="00B0148D" w:rsidRPr="00B0148D" w14:paraId="7B8C60B6" w14:textId="77777777" w:rsidTr="00FA2C18">
        <w:trPr>
          <w:trHeight w:val="501"/>
        </w:trPr>
        <w:tc>
          <w:tcPr>
            <w:tcW w:w="1100" w:type="dxa"/>
            <w:tcBorders>
              <w:top w:val="nil"/>
              <w:left w:val="nil"/>
              <w:bottom w:val="nil"/>
              <w:right w:val="nil"/>
            </w:tcBorders>
            <w:shd w:val="clear" w:color="000000" w:fill="FFFFFF"/>
            <w:vAlign w:val="center"/>
            <w:hideMark/>
          </w:tcPr>
          <w:p w14:paraId="2ABCA7EF"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Conservation</w:t>
            </w:r>
          </w:p>
        </w:tc>
        <w:tc>
          <w:tcPr>
            <w:tcW w:w="949" w:type="dxa"/>
            <w:tcBorders>
              <w:top w:val="nil"/>
              <w:left w:val="nil"/>
              <w:bottom w:val="nil"/>
              <w:right w:val="nil"/>
            </w:tcBorders>
            <w:shd w:val="clear" w:color="000000" w:fill="FFFFFF"/>
            <w:noWrap/>
            <w:vAlign w:val="bottom"/>
            <w:hideMark/>
          </w:tcPr>
          <w:p w14:paraId="22833CC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-0.071</w:t>
            </w:r>
          </w:p>
        </w:tc>
        <w:tc>
          <w:tcPr>
            <w:tcW w:w="900" w:type="dxa"/>
            <w:tcBorders>
              <w:top w:val="nil"/>
              <w:left w:val="nil"/>
              <w:bottom w:val="nil"/>
              <w:right w:val="nil"/>
            </w:tcBorders>
            <w:shd w:val="clear" w:color="000000" w:fill="FFFFFF"/>
            <w:noWrap/>
            <w:vAlign w:val="bottom"/>
            <w:hideMark/>
          </w:tcPr>
          <w:p w14:paraId="1FBFD75E"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-0.142*</w:t>
            </w:r>
          </w:p>
        </w:tc>
        <w:tc>
          <w:tcPr>
            <w:tcW w:w="900" w:type="dxa"/>
            <w:tcBorders>
              <w:top w:val="nil"/>
              <w:left w:val="nil"/>
              <w:bottom w:val="nil"/>
              <w:right w:val="nil"/>
            </w:tcBorders>
            <w:shd w:val="clear" w:color="000000" w:fill="FFFFFF"/>
            <w:noWrap/>
            <w:vAlign w:val="bottom"/>
            <w:hideMark/>
          </w:tcPr>
          <w:p w14:paraId="1DB5FDA7"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-0.022</w:t>
            </w:r>
          </w:p>
        </w:tc>
        <w:tc>
          <w:tcPr>
            <w:tcW w:w="900" w:type="dxa"/>
            <w:tcBorders>
              <w:top w:val="nil"/>
              <w:left w:val="nil"/>
              <w:bottom w:val="nil"/>
              <w:right w:val="nil"/>
            </w:tcBorders>
            <w:shd w:val="clear" w:color="000000" w:fill="FFFFFF"/>
            <w:noWrap/>
            <w:vAlign w:val="bottom"/>
            <w:hideMark/>
          </w:tcPr>
          <w:p w14:paraId="69D0B49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-0.104</w:t>
            </w:r>
          </w:p>
        </w:tc>
        <w:tc>
          <w:tcPr>
            <w:tcW w:w="949" w:type="dxa"/>
            <w:tcBorders>
              <w:top w:val="nil"/>
              <w:left w:val="nil"/>
              <w:bottom w:val="nil"/>
              <w:right w:val="nil"/>
            </w:tcBorders>
            <w:shd w:val="clear" w:color="000000" w:fill="FFFFFF"/>
            <w:noWrap/>
            <w:vAlign w:val="bottom"/>
            <w:hideMark/>
          </w:tcPr>
          <w:p w14:paraId="06AD55F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-0.013</w:t>
            </w:r>
          </w:p>
        </w:tc>
        <w:tc>
          <w:tcPr>
            <w:tcW w:w="900" w:type="dxa"/>
            <w:tcBorders>
              <w:top w:val="nil"/>
              <w:left w:val="nil"/>
              <w:bottom w:val="nil"/>
              <w:right w:val="nil"/>
            </w:tcBorders>
            <w:shd w:val="clear" w:color="000000" w:fill="FFFFFF"/>
            <w:noWrap/>
            <w:vAlign w:val="bottom"/>
            <w:hideMark/>
          </w:tcPr>
          <w:p w14:paraId="42C85673"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0.013</w:t>
            </w:r>
          </w:p>
        </w:tc>
        <w:tc>
          <w:tcPr>
            <w:tcW w:w="900" w:type="dxa"/>
            <w:tcBorders>
              <w:top w:val="nil"/>
              <w:left w:val="nil"/>
              <w:bottom w:val="nil"/>
              <w:right w:val="nil"/>
            </w:tcBorders>
            <w:shd w:val="clear" w:color="000000" w:fill="FFFFFF"/>
            <w:noWrap/>
            <w:vAlign w:val="bottom"/>
            <w:hideMark/>
          </w:tcPr>
          <w:p w14:paraId="1AA95292"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-0.011</w:t>
            </w:r>
          </w:p>
        </w:tc>
        <w:tc>
          <w:tcPr>
            <w:tcW w:w="900" w:type="dxa"/>
            <w:tcBorders>
              <w:top w:val="nil"/>
              <w:left w:val="nil"/>
              <w:bottom w:val="nil"/>
              <w:right w:val="nil"/>
            </w:tcBorders>
            <w:shd w:val="clear" w:color="000000" w:fill="FFFFFF"/>
            <w:noWrap/>
            <w:vAlign w:val="bottom"/>
            <w:hideMark/>
          </w:tcPr>
          <w:p w14:paraId="6CD167E1"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-0.003</w:t>
            </w:r>
          </w:p>
        </w:tc>
        <w:tc>
          <w:tcPr>
            <w:tcW w:w="949" w:type="dxa"/>
            <w:tcBorders>
              <w:top w:val="nil"/>
              <w:left w:val="nil"/>
              <w:bottom w:val="nil"/>
              <w:right w:val="nil"/>
            </w:tcBorders>
            <w:shd w:val="clear" w:color="000000" w:fill="FFFFFF"/>
            <w:noWrap/>
            <w:vAlign w:val="bottom"/>
            <w:hideMark/>
          </w:tcPr>
          <w:p w14:paraId="388B0F76"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-0.127*</w:t>
            </w:r>
          </w:p>
        </w:tc>
        <w:tc>
          <w:tcPr>
            <w:tcW w:w="900" w:type="dxa"/>
            <w:tcBorders>
              <w:top w:val="nil"/>
              <w:left w:val="nil"/>
              <w:bottom w:val="nil"/>
              <w:right w:val="nil"/>
            </w:tcBorders>
            <w:shd w:val="clear" w:color="000000" w:fill="FFFFFF"/>
            <w:noWrap/>
            <w:vAlign w:val="bottom"/>
            <w:hideMark/>
          </w:tcPr>
          <w:p w14:paraId="49DCEAE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-0.153*</w:t>
            </w:r>
          </w:p>
        </w:tc>
        <w:tc>
          <w:tcPr>
            <w:tcW w:w="900" w:type="dxa"/>
            <w:tcBorders>
              <w:top w:val="nil"/>
              <w:left w:val="nil"/>
              <w:bottom w:val="nil"/>
              <w:right w:val="nil"/>
            </w:tcBorders>
            <w:shd w:val="clear" w:color="000000" w:fill="FFFFFF"/>
            <w:noWrap/>
            <w:vAlign w:val="bottom"/>
            <w:hideMark/>
          </w:tcPr>
          <w:p w14:paraId="3B2D3D65"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-0.099</w:t>
            </w:r>
          </w:p>
        </w:tc>
        <w:tc>
          <w:tcPr>
            <w:tcW w:w="900" w:type="dxa"/>
            <w:tcBorders>
              <w:top w:val="nil"/>
              <w:left w:val="nil"/>
              <w:bottom w:val="nil"/>
              <w:right w:val="nil"/>
            </w:tcBorders>
            <w:shd w:val="clear" w:color="000000" w:fill="FFFFFF"/>
            <w:noWrap/>
            <w:vAlign w:val="bottom"/>
            <w:hideMark/>
          </w:tcPr>
          <w:p w14:paraId="5199277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-0.150*</w:t>
            </w:r>
          </w:p>
        </w:tc>
      </w:tr>
      <w:tr w:rsidR="00B0148D" w:rsidRPr="00B0148D" w14:paraId="54B0BDBC" w14:textId="77777777" w:rsidTr="00FA2C18">
        <w:trPr>
          <w:trHeight w:val="501"/>
        </w:trPr>
        <w:tc>
          <w:tcPr>
            <w:tcW w:w="1100" w:type="dxa"/>
            <w:tcBorders>
              <w:top w:val="nil"/>
              <w:left w:val="nil"/>
              <w:bottom w:val="single" w:sz="4" w:space="0" w:color="auto"/>
              <w:right w:val="nil"/>
            </w:tcBorders>
            <w:shd w:val="clear" w:color="000000" w:fill="FFFFFF"/>
            <w:vAlign w:val="center"/>
            <w:hideMark/>
          </w:tcPr>
          <w:p w14:paraId="53672DD0"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Self-Transcendence</w:t>
            </w:r>
          </w:p>
        </w:tc>
        <w:tc>
          <w:tcPr>
            <w:tcW w:w="949" w:type="dxa"/>
            <w:tcBorders>
              <w:top w:val="nil"/>
              <w:left w:val="nil"/>
              <w:bottom w:val="single" w:sz="4" w:space="0" w:color="auto"/>
              <w:right w:val="nil"/>
            </w:tcBorders>
            <w:shd w:val="clear" w:color="000000" w:fill="FFFFFF"/>
            <w:noWrap/>
            <w:vAlign w:val="bottom"/>
            <w:hideMark/>
          </w:tcPr>
          <w:p w14:paraId="38555C9B"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0.057</w:t>
            </w:r>
          </w:p>
        </w:tc>
        <w:tc>
          <w:tcPr>
            <w:tcW w:w="900" w:type="dxa"/>
            <w:tcBorders>
              <w:top w:val="nil"/>
              <w:left w:val="nil"/>
              <w:bottom w:val="single" w:sz="4" w:space="0" w:color="auto"/>
              <w:right w:val="nil"/>
            </w:tcBorders>
            <w:shd w:val="clear" w:color="000000" w:fill="FFFFFF"/>
            <w:noWrap/>
            <w:vAlign w:val="bottom"/>
            <w:hideMark/>
          </w:tcPr>
          <w:p w14:paraId="3DCE6A32"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0.064</w:t>
            </w:r>
          </w:p>
        </w:tc>
        <w:tc>
          <w:tcPr>
            <w:tcW w:w="900" w:type="dxa"/>
            <w:tcBorders>
              <w:top w:val="nil"/>
              <w:left w:val="nil"/>
              <w:bottom w:val="single" w:sz="4" w:space="0" w:color="auto"/>
              <w:right w:val="nil"/>
            </w:tcBorders>
            <w:shd w:val="clear" w:color="000000" w:fill="FFFFFF"/>
            <w:noWrap/>
            <w:vAlign w:val="bottom"/>
            <w:hideMark/>
          </w:tcPr>
          <w:p w14:paraId="32CCC95F"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0.067</w:t>
            </w:r>
          </w:p>
        </w:tc>
        <w:tc>
          <w:tcPr>
            <w:tcW w:w="900" w:type="dxa"/>
            <w:tcBorders>
              <w:top w:val="nil"/>
              <w:left w:val="nil"/>
              <w:bottom w:val="single" w:sz="4" w:space="0" w:color="auto"/>
              <w:right w:val="nil"/>
            </w:tcBorders>
            <w:shd w:val="clear" w:color="000000" w:fill="FFFFFF"/>
            <w:noWrap/>
            <w:vAlign w:val="bottom"/>
            <w:hideMark/>
          </w:tcPr>
          <w:p w14:paraId="755606BE"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0.070</w:t>
            </w:r>
          </w:p>
        </w:tc>
        <w:tc>
          <w:tcPr>
            <w:tcW w:w="949" w:type="dxa"/>
            <w:tcBorders>
              <w:top w:val="nil"/>
              <w:left w:val="nil"/>
              <w:bottom w:val="single" w:sz="4" w:space="0" w:color="auto"/>
              <w:right w:val="nil"/>
            </w:tcBorders>
            <w:shd w:val="clear" w:color="000000" w:fill="FFFFFF"/>
            <w:noWrap/>
            <w:vAlign w:val="bottom"/>
            <w:hideMark/>
          </w:tcPr>
          <w:p w14:paraId="004DA0F0"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0.146*</w:t>
            </w:r>
          </w:p>
        </w:tc>
        <w:tc>
          <w:tcPr>
            <w:tcW w:w="900" w:type="dxa"/>
            <w:tcBorders>
              <w:top w:val="nil"/>
              <w:left w:val="nil"/>
              <w:bottom w:val="single" w:sz="4" w:space="0" w:color="auto"/>
              <w:right w:val="nil"/>
            </w:tcBorders>
            <w:shd w:val="clear" w:color="000000" w:fill="FFFFFF"/>
            <w:noWrap/>
            <w:vAlign w:val="bottom"/>
            <w:hideMark/>
          </w:tcPr>
          <w:p w14:paraId="3D23B8AE"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0.181**</w:t>
            </w:r>
          </w:p>
        </w:tc>
        <w:tc>
          <w:tcPr>
            <w:tcW w:w="900" w:type="dxa"/>
            <w:tcBorders>
              <w:top w:val="nil"/>
              <w:left w:val="nil"/>
              <w:bottom w:val="single" w:sz="4" w:space="0" w:color="auto"/>
              <w:right w:val="nil"/>
            </w:tcBorders>
            <w:shd w:val="clear" w:color="000000" w:fill="FFFFFF"/>
            <w:noWrap/>
            <w:vAlign w:val="bottom"/>
            <w:hideMark/>
          </w:tcPr>
          <w:p w14:paraId="1E70CC79"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0.075</w:t>
            </w:r>
          </w:p>
        </w:tc>
        <w:tc>
          <w:tcPr>
            <w:tcW w:w="900" w:type="dxa"/>
            <w:tcBorders>
              <w:top w:val="nil"/>
              <w:left w:val="nil"/>
              <w:bottom w:val="single" w:sz="4" w:space="0" w:color="auto"/>
              <w:right w:val="nil"/>
            </w:tcBorders>
            <w:shd w:val="clear" w:color="000000" w:fill="FFFFFF"/>
            <w:noWrap/>
            <w:vAlign w:val="bottom"/>
            <w:hideMark/>
          </w:tcPr>
          <w:p w14:paraId="6860F6F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0.153*</w:t>
            </w:r>
          </w:p>
        </w:tc>
        <w:tc>
          <w:tcPr>
            <w:tcW w:w="949" w:type="dxa"/>
            <w:tcBorders>
              <w:top w:val="nil"/>
              <w:left w:val="nil"/>
              <w:bottom w:val="single" w:sz="4" w:space="0" w:color="auto"/>
              <w:right w:val="nil"/>
            </w:tcBorders>
            <w:shd w:val="clear" w:color="000000" w:fill="FFFFFF"/>
            <w:noWrap/>
            <w:vAlign w:val="bottom"/>
            <w:hideMark/>
          </w:tcPr>
          <w:p w14:paraId="6AEFB76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0.157**</w:t>
            </w:r>
          </w:p>
        </w:tc>
        <w:tc>
          <w:tcPr>
            <w:tcW w:w="900" w:type="dxa"/>
            <w:tcBorders>
              <w:top w:val="nil"/>
              <w:left w:val="nil"/>
              <w:bottom w:val="single" w:sz="4" w:space="0" w:color="auto"/>
              <w:right w:val="nil"/>
            </w:tcBorders>
            <w:shd w:val="clear" w:color="000000" w:fill="FFFFFF"/>
            <w:noWrap/>
            <w:vAlign w:val="bottom"/>
            <w:hideMark/>
          </w:tcPr>
          <w:p w14:paraId="095CABF0"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0.166**</w:t>
            </w:r>
          </w:p>
        </w:tc>
        <w:tc>
          <w:tcPr>
            <w:tcW w:w="900" w:type="dxa"/>
            <w:tcBorders>
              <w:top w:val="nil"/>
              <w:left w:val="nil"/>
              <w:bottom w:val="single" w:sz="4" w:space="0" w:color="auto"/>
              <w:right w:val="nil"/>
            </w:tcBorders>
            <w:shd w:val="clear" w:color="000000" w:fill="FFFFFF"/>
            <w:noWrap/>
            <w:vAlign w:val="bottom"/>
            <w:hideMark/>
          </w:tcPr>
          <w:p w14:paraId="433CD9D9"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0.124*</w:t>
            </w:r>
          </w:p>
        </w:tc>
        <w:tc>
          <w:tcPr>
            <w:tcW w:w="900" w:type="dxa"/>
            <w:tcBorders>
              <w:top w:val="nil"/>
              <w:left w:val="nil"/>
              <w:bottom w:val="single" w:sz="4" w:space="0" w:color="auto"/>
              <w:right w:val="nil"/>
            </w:tcBorders>
            <w:shd w:val="clear" w:color="000000" w:fill="FFFFFF"/>
            <w:noWrap/>
            <w:vAlign w:val="bottom"/>
            <w:hideMark/>
          </w:tcPr>
          <w:p w14:paraId="107E3480"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0.179**</w:t>
            </w:r>
          </w:p>
        </w:tc>
      </w:tr>
    </w:tbl>
    <w:p w14:paraId="4831D9AA" w14:textId="362C0079" w:rsidR="0048576B" w:rsidRPr="00B0148D" w:rsidRDefault="00FA2C18" w:rsidP="00422880">
      <w:pPr>
        <w:jc w:val="both"/>
      </w:pPr>
      <w:r w:rsidRPr="00B0148D">
        <w:rPr>
          <w:sz w:val="16"/>
          <w:szCs w:val="16"/>
        </w:rPr>
        <w:t>The statistically significant differences are marked with *</w:t>
      </w:r>
      <w:r w:rsidRPr="00B0148D">
        <w:t xml:space="preserve"> </w:t>
      </w:r>
      <w:r w:rsidRPr="00B0148D">
        <w:rPr>
          <w:sz w:val="16"/>
          <w:szCs w:val="16"/>
        </w:rPr>
        <w:t>(p &lt; 0.05), ** (p &lt; 0.01), *** (p &lt; 0.001)</w:t>
      </w:r>
    </w:p>
    <w:p w14:paraId="628DC9A1" w14:textId="77777777" w:rsidR="00CD169B" w:rsidRPr="00B0148D" w:rsidRDefault="00CD169B" w:rsidP="00CD169B">
      <w:pPr>
        <w:jc w:val="both"/>
      </w:pPr>
      <w:r w:rsidRPr="00B0148D">
        <w:t>The two value dimensions differentiate the respondents: Conservation dimension correlates negatively and Self-Transcendence correlates positively with the evaluated properties (Table 5). These effects of the value dimensions on the evaluated properties are most observable in the local condition. This finding supports our hypothesis that the effect of information about product origin on the product experience and choosing the product are dependent on adolescents’ value orientation. However, our data does not support Hypothesis 3a stating that a Conservative orientation is positively associated with valuing local products. Self-Transcendence was positively associated with the perception of the product origin and therefore the data supports Hypothesis 4a.</w:t>
      </w:r>
    </w:p>
    <w:p w14:paraId="10D0C4A1" w14:textId="212C892F" w:rsidR="008B0CD6" w:rsidRPr="00B0148D" w:rsidRDefault="005C340F" w:rsidP="00C00514">
      <w:pPr>
        <w:jc w:val="both"/>
        <w:rPr>
          <w:b/>
        </w:rPr>
      </w:pPr>
      <w:r w:rsidRPr="00B0148D">
        <w:rPr>
          <w:b/>
        </w:rPr>
        <w:t xml:space="preserve">3. </w:t>
      </w:r>
      <w:r w:rsidR="008B0CD6" w:rsidRPr="00B0148D">
        <w:rPr>
          <w:b/>
        </w:rPr>
        <w:t>STUDY 2</w:t>
      </w:r>
      <w:r w:rsidRPr="00B0148D">
        <w:rPr>
          <w:b/>
        </w:rPr>
        <w:t xml:space="preserve"> – The</w:t>
      </w:r>
      <w:r w:rsidR="00B173F3" w:rsidRPr="00B0148D">
        <w:rPr>
          <w:b/>
        </w:rPr>
        <w:t xml:space="preserve"> product experience of bread and meat</w:t>
      </w:r>
      <w:r w:rsidRPr="00B0148D">
        <w:rPr>
          <w:b/>
        </w:rPr>
        <w:t xml:space="preserve"> among young adults</w:t>
      </w:r>
    </w:p>
    <w:p w14:paraId="10C3A34E" w14:textId="77777777" w:rsidR="00AE0E5A" w:rsidRPr="00B0148D" w:rsidRDefault="00AE0E5A" w:rsidP="00AE0E5A">
      <w:pPr>
        <w:pStyle w:val="CommentText"/>
        <w:spacing w:line="276" w:lineRule="auto"/>
        <w:jc w:val="both"/>
        <w:rPr>
          <w:sz w:val="22"/>
          <w:szCs w:val="22"/>
        </w:rPr>
      </w:pPr>
      <w:r w:rsidRPr="00B0148D">
        <w:rPr>
          <w:sz w:val="22"/>
          <w:szCs w:val="22"/>
        </w:rPr>
        <w:t>Because only one type of product was used and the study was conducted among adolescents, Study 1 could not establish whether the relation between product origin and the participants’ value orientations were dependent on participants’ age and product type. Therefore, we conducted another study where we examined the effect of personal values on the quality experienced based on the geographical origin among young adults (university students) with two types of products: bread and meat. The different products were selected in order to study whether the product type had an effect on origin-based evaluations. As in Study 1, the products were evaluated in the context of a lunch serving. The study was conducted during autumn 2015.</w:t>
      </w:r>
    </w:p>
    <w:p w14:paraId="5F74AD46" w14:textId="77777777" w:rsidR="008B0CD6" w:rsidRPr="00B0148D" w:rsidRDefault="008B0CD6" w:rsidP="008B0CD6">
      <w:pPr>
        <w:jc w:val="both"/>
        <w:rPr>
          <w:b/>
        </w:rPr>
      </w:pPr>
      <w:r w:rsidRPr="00B0148D">
        <w:rPr>
          <w:b/>
        </w:rPr>
        <w:t>3.1 PARTICIPANTS</w:t>
      </w:r>
    </w:p>
    <w:p w14:paraId="689BC1FE" w14:textId="4D804D5C" w:rsidR="004E7DDC" w:rsidRPr="00B0148D" w:rsidRDefault="004E7DDC" w:rsidP="004E7DDC">
      <w:pPr>
        <w:jc w:val="both"/>
      </w:pPr>
      <w:r w:rsidRPr="00B0148D">
        <w:t xml:space="preserve">Six hundred and thirty university students participated in the study during their classes. Of the respondents 47.6 % were male and 52.4 % female with an average age of 22.9 years (SD = 4.7). </w:t>
      </w:r>
      <w:r w:rsidR="00F34113" w:rsidRPr="00B0148D">
        <w:t>Of the college students, 207 were from School of Technology, 171 from Sc</w:t>
      </w:r>
      <w:r w:rsidR="00933262" w:rsidRPr="00B0148D">
        <w:t>hool of Health Care and Social W</w:t>
      </w:r>
      <w:r w:rsidR="00F34113" w:rsidRPr="00B0148D">
        <w:t xml:space="preserve">ork, 120 from School of Food and Agriculture, and 132 from School of Business and Culture. </w:t>
      </w:r>
      <w:r w:rsidRPr="00B0148D">
        <w:t>All the respondents participated voluntarily, gave their consent as to the use the study results, and did not receive any compensation for their efforts. The study was approved by the Ethics Committee of the University of Turku. All the participants were Finnish and the questionnaire was formulated in Finnish.</w:t>
      </w:r>
    </w:p>
    <w:p w14:paraId="14184A00" w14:textId="5E27C16D" w:rsidR="008B0CD6" w:rsidRPr="00B0148D" w:rsidRDefault="008B0CD6" w:rsidP="008B0CD6">
      <w:pPr>
        <w:jc w:val="both"/>
        <w:rPr>
          <w:b/>
        </w:rPr>
      </w:pPr>
      <w:r w:rsidRPr="00B0148D">
        <w:rPr>
          <w:b/>
        </w:rPr>
        <w:t>3.2 STUDY DESIGN</w:t>
      </w:r>
      <w:r w:rsidR="000345F0" w:rsidRPr="00B0148D">
        <w:rPr>
          <w:b/>
        </w:rPr>
        <w:t xml:space="preserve"> AND PROCEDURE</w:t>
      </w:r>
    </w:p>
    <w:p w14:paraId="165D5698" w14:textId="56D4B7F9" w:rsidR="008B0CD6" w:rsidRPr="00B0148D" w:rsidRDefault="008B0CD6" w:rsidP="008B0CD6">
      <w:pPr>
        <w:jc w:val="both"/>
      </w:pPr>
      <w:r w:rsidRPr="00B0148D">
        <w:t xml:space="preserve">The same </w:t>
      </w:r>
      <w:r w:rsidR="00A111D6" w:rsidRPr="00B0148D">
        <w:t>design was applied</w:t>
      </w:r>
      <w:r w:rsidRPr="00B0148D">
        <w:t xml:space="preserve"> as in Study 1</w:t>
      </w:r>
      <w:r w:rsidR="00A111D6" w:rsidRPr="00B0148D">
        <w:t xml:space="preserve"> with the exception that</w:t>
      </w:r>
      <w:r w:rsidRPr="00B0148D">
        <w:t xml:space="preserve"> two types of product </w:t>
      </w:r>
      <w:r w:rsidR="00F90FC7" w:rsidRPr="00B0148D">
        <w:t xml:space="preserve">were used </w:t>
      </w:r>
      <w:r w:rsidRPr="00B0148D">
        <w:t xml:space="preserve">(bread and meat) in order to test </w:t>
      </w:r>
      <w:r w:rsidR="00A111D6" w:rsidRPr="00B0148D">
        <w:t xml:space="preserve">if </w:t>
      </w:r>
      <w:r w:rsidRPr="00B0148D">
        <w:t xml:space="preserve">the </w:t>
      </w:r>
      <w:r w:rsidR="00A111D6" w:rsidRPr="00B0148D">
        <w:t>product type has an effect</w:t>
      </w:r>
      <w:r w:rsidR="000345F0" w:rsidRPr="00B0148D">
        <w:t>.</w:t>
      </w:r>
      <w:r w:rsidR="007F7ECE" w:rsidRPr="00B0148D">
        <w:t xml:space="preserve"> To clarify the concept of locality to the respondents, the description of the local origin was complemented with examples of the tow</w:t>
      </w:r>
      <w:r w:rsidR="00917879" w:rsidRPr="00B0148D">
        <w:t xml:space="preserve">ns </w:t>
      </w:r>
      <w:r w:rsidR="00917879" w:rsidRPr="00B0148D">
        <w:lastRenderedPageBreak/>
        <w:t>where the vegetables were</w:t>
      </w:r>
      <w:r w:rsidR="007F7ECE" w:rsidRPr="00B0148D">
        <w:t xml:space="preserve"> grown. The maximum distance from the place of consumption was approximately 25 miles.</w:t>
      </w:r>
    </w:p>
    <w:p w14:paraId="60857E34" w14:textId="77777777" w:rsidR="00A9727C" w:rsidRPr="00B0148D" w:rsidRDefault="00A9727C" w:rsidP="00A9727C">
      <w:pPr>
        <w:jc w:val="both"/>
      </w:pPr>
      <w:r w:rsidRPr="00B0148D">
        <w:t xml:space="preserve">Similar to Study 1, the participants evaluated the product pleasantness, probability to choose the product, and overall quality on a 7-point hedonic scale. To verify the continuity of the scale, a new variable was generated by calculating the mean value of the three aforementioned scales; it was identified as product perception. The new scale showed good internal consistency as the Cronbach’s alpha was 0.805. In addition, the Short Schwarz Value Survey with a 9-point scale was used. The equations to compute the weighted averages for the two value dimensions were used as in Study 1 </w:t>
      </w:r>
      <w:r w:rsidRPr="00B0148D">
        <w:fldChar w:fldCharType="begin" w:fldLock="1"/>
      </w:r>
      <w:r w:rsidRPr="00B0148D">
        <w:instrText>ADDIN CSL_CITATION { "citationItems" : [ { "id" : "ITEM-1", "itemData" : { "author" : [ { "dropping-particle" : "", "family" : "Lindeman", "given" : "Marjaana", "non-dropping-particle" : "", "parse-names" : false, "suffix" : "" }, { "dropping-particle" : "", "family" : "Verkasalo", "given" : "Markku", "non-dropping-particle" : "", "parse-names" : false, "suffix" : "" } ], "container-title" : "Journal of Personality Assessment", "id" : "ITEM-1", "issue" : "2", "issued" : { "date-parts" : [ [ "2005" ] ] }, "page" : "170-178", "title" : "Measuring Values With the Short Schwartz", "type" : "article-journal", "volume" : "85" }, "uris" : [ "http://www.mendeley.com/documents/?uuid=6ccf6611-71cc-47a9-beee-20f70a1b0252" ] } ], "mendeley" : { "formattedCitation" : "(Lindeman &amp; Verkasalo, 2005)", "manualFormatting" : "(Lindeman and Verkasalo 2005)", "plainTextFormattedCitation" : "(Lindeman &amp; Verkasalo, 2005)", "previouslyFormattedCitation" : "(Lindeman &amp; Verkasalo, 2005)" }, "properties" : { "noteIndex" : 0 }, "schema" : "https://github.com/citation-style-language/schema/raw/master/csl-citation.json" }</w:instrText>
      </w:r>
      <w:r w:rsidRPr="00B0148D">
        <w:fldChar w:fldCharType="separate"/>
      </w:r>
      <w:r w:rsidRPr="00B0148D">
        <w:rPr>
          <w:noProof/>
        </w:rPr>
        <w:t>(Lindeman and Verkasalo 2005)</w:t>
      </w:r>
      <w:r w:rsidRPr="00B0148D">
        <w:fldChar w:fldCharType="end"/>
      </w:r>
      <w:r w:rsidRPr="00B0148D">
        <w:t>.  The basic demographic information was included in the questionnaire (gender and year of birth).</w:t>
      </w:r>
    </w:p>
    <w:p w14:paraId="05C0D2FE" w14:textId="109028EA" w:rsidR="008B0CD6" w:rsidRPr="00B0148D" w:rsidRDefault="008B0CD6" w:rsidP="008B0CD6">
      <w:pPr>
        <w:jc w:val="both"/>
        <w:rPr>
          <w:b/>
        </w:rPr>
      </w:pPr>
      <w:r w:rsidRPr="00B0148D">
        <w:rPr>
          <w:b/>
        </w:rPr>
        <w:t>3</w:t>
      </w:r>
      <w:r w:rsidR="000345F0" w:rsidRPr="00B0148D">
        <w:rPr>
          <w:b/>
        </w:rPr>
        <w:t>.3</w:t>
      </w:r>
      <w:r w:rsidRPr="00B0148D">
        <w:rPr>
          <w:b/>
        </w:rPr>
        <w:t xml:space="preserve"> DATA ANALYSIS</w:t>
      </w:r>
    </w:p>
    <w:p w14:paraId="5CD481D0" w14:textId="0FB26994" w:rsidR="008B0CD6" w:rsidRPr="00B0148D" w:rsidRDefault="008B0CD6" w:rsidP="00C00514">
      <w:pPr>
        <w:jc w:val="both"/>
      </w:pPr>
      <w:r w:rsidRPr="00B0148D">
        <w:t>The same methods were applied to the statistical analysis as in Study 1.</w:t>
      </w:r>
    </w:p>
    <w:p w14:paraId="69FC7C54" w14:textId="583ACEE0" w:rsidR="00852847" w:rsidRPr="00B0148D" w:rsidRDefault="008B0CD6" w:rsidP="00C00514">
      <w:pPr>
        <w:jc w:val="both"/>
        <w:rPr>
          <w:b/>
        </w:rPr>
      </w:pPr>
      <w:r w:rsidRPr="00B0148D">
        <w:rPr>
          <w:b/>
        </w:rPr>
        <w:t>3.</w:t>
      </w:r>
      <w:r w:rsidR="000345F0" w:rsidRPr="00B0148D">
        <w:rPr>
          <w:b/>
        </w:rPr>
        <w:t>4</w:t>
      </w:r>
      <w:r w:rsidRPr="00B0148D">
        <w:rPr>
          <w:b/>
        </w:rPr>
        <w:t xml:space="preserve"> </w:t>
      </w:r>
      <w:r w:rsidR="00852847" w:rsidRPr="00B0148D">
        <w:rPr>
          <w:b/>
        </w:rPr>
        <w:t>RESULTS</w:t>
      </w:r>
    </w:p>
    <w:p w14:paraId="56D8D550" w14:textId="77777777" w:rsidR="0053544E" w:rsidRPr="00B0148D" w:rsidRDefault="0053544E" w:rsidP="0053544E">
      <w:pPr>
        <w:jc w:val="both"/>
        <w:rPr>
          <w:b/>
        </w:rPr>
      </w:pPr>
      <w:r w:rsidRPr="00B0148D">
        <w:t>Conservation is associated negatively with age and positively with gender and vice versa for Self-Transcendence (Table 6). In practice male respondents have more conservative and less altruistic values than female and conservatism decreases and altruism increases with age.</w:t>
      </w:r>
      <w:r w:rsidRPr="00B0148D" w:rsidDel="001208D8">
        <w:t xml:space="preserve"> </w:t>
      </w:r>
    </w:p>
    <w:p w14:paraId="3D4F34B2" w14:textId="42CD5DF4" w:rsidR="00537CB8" w:rsidRPr="00B0148D" w:rsidRDefault="000345F0" w:rsidP="00537CB8">
      <w:pPr>
        <w:jc w:val="both"/>
      </w:pPr>
      <w:r w:rsidRPr="00B0148D">
        <w:rPr>
          <w:b/>
        </w:rPr>
        <w:t xml:space="preserve">Table </w:t>
      </w:r>
      <w:r w:rsidR="0081356E" w:rsidRPr="00B0148D">
        <w:rPr>
          <w:b/>
        </w:rPr>
        <w:t>6</w:t>
      </w:r>
      <w:r w:rsidR="00537CB8" w:rsidRPr="00B0148D">
        <w:rPr>
          <w:b/>
        </w:rPr>
        <w:t>.</w:t>
      </w:r>
      <w:r w:rsidR="00537CB8" w:rsidRPr="00B0148D">
        <w:t xml:space="preserve"> </w:t>
      </w:r>
      <w:r w:rsidRPr="00B0148D">
        <w:t xml:space="preserve">Mean scores (SD) and intercorrelations of age, gender, Conservation, and Self-Transcendence </w:t>
      </w:r>
      <w:r w:rsidR="00E34E61" w:rsidRPr="00B0148D">
        <w:t>in the study population (N=630</w:t>
      </w:r>
      <w:r w:rsidRPr="00B0148D">
        <w:t>)</w:t>
      </w:r>
    </w:p>
    <w:tbl>
      <w:tblPr>
        <w:tblW w:w="7600" w:type="dxa"/>
        <w:tblCellMar>
          <w:left w:w="70" w:type="dxa"/>
          <w:right w:w="70" w:type="dxa"/>
        </w:tblCellMar>
        <w:tblLook w:val="04A0" w:firstRow="1" w:lastRow="0" w:firstColumn="1" w:lastColumn="0" w:noHBand="0" w:noVBand="1"/>
      </w:tblPr>
      <w:tblGrid>
        <w:gridCol w:w="400"/>
        <w:gridCol w:w="2420"/>
        <w:gridCol w:w="1600"/>
        <w:gridCol w:w="1060"/>
        <w:gridCol w:w="1060"/>
        <w:gridCol w:w="1060"/>
      </w:tblGrid>
      <w:tr w:rsidR="00B0148D" w:rsidRPr="00B0148D" w14:paraId="2E2B2284" w14:textId="77777777" w:rsidTr="006A378D">
        <w:trPr>
          <w:trHeight w:val="288"/>
        </w:trPr>
        <w:tc>
          <w:tcPr>
            <w:tcW w:w="400" w:type="dxa"/>
            <w:tcBorders>
              <w:top w:val="nil"/>
              <w:left w:val="nil"/>
              <w:bottom w:val="single" w:sz="4" w:space="0" w:color="auto"/>
              <w:right w:val="nil"/>
            </w:tcBorders>
            <w:shd w:val="clear" w:color="000000" w:fill="FFFFFF"/>
            <w:noWrap/>
            <w:vAlign w:val="bottom"/>
            <w:hideMark/>
          </w:tcPr>
          <w:p w14:paraId="503E4B14" w14:textId="77777777" w:rsidR="006A378D" w:rsidRPr="00B0148D" w:rsidRDefault="006A378D" w:rsidP="006A378D">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2420" w:type="dxa"/>
            <w:tcBorders>
              <w:top w:val="nil"/>
              <w:left w:val="nil"/>
              <w:bottom w:val="single" w:sz="4" w:space="0" w:color="auto"/>
              <w:right w:val="nil"/>
            </w:tcBorders>
            <w:shd w:val="clear" w:color="000000" w:fill="FFFFFF"/>
            <w:noWrap/>
            <w:vAlign w:val="bottom"/>
            <w:hideMark/>
          </w:tcPr>
          <w:p w14:paraId="00D32D8A" w14:textId="77777777" w:rsidR="006A378D" w:rsidRPr="00B0148D" w:rsidRDefault="006A378D" w:rsidP="006A378D">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1600" w:type="dxa"/>
            <w:tcBorders>
              <w:top w:val="nil"/>
              <w:left w:val="nil"/>
              <w:bottom w:val="single" w:sz="4" w:space="0" w:color="auto"/>
              <w:right w:val="nil"/>
            </w:tcBorders>
            <w:shd w:val="clear" w:color="000000" w:fill="FFFFFF"/>
            <w:noWrap/>
            <w:vAlign w:val="bottom"/>
            <w:hideMark/>
          </w:tcPr>
          <w:p w14:paraId="4086B07E" w14:textId="169E9E97" w:rsidR="006A378D" w:rsidRPr="00B0148D" w:rsidRDefault="00E05A2A" w:rsidP="00E05A2A">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Mean (SD)</w:t>
            </w:r>
          </w:p>
        </w:tc>
        <w:tc>
          <w:tcPr>
            <w:tcW w:w="1060" w:type="dxa"/>
            <w:tcBorders>
              <w:top w:val="nil"/>
              <w:left w:val="nil"/>
              <w:bottom w:val="single" w:sz="4" w:space="0" w:color="auto"/>
              <w:right w:val="nil"/>
            </w:tcBorders>
            <w:shd w:val="clear" w:color="000000" w:fill="FFFFFF"/>
            <w:noWrap/>
            <w:vAlign w:val="bottom"/>
            <w:hideMark/>
          </w:tcPr>
          <w:p w14:paraId="0A2DB5CF"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w:t>
            </w:r>
          </w:p>
        </w:tc>
        <w:tc>
          <w:tcPr>
            <w:tcW w:w="1060" w:type="dxa"/>
            <w:tcBorders>
              <w:top w:val="nil"/>
              <w:left w:val="nil"/>
              <w:bottom w:val="single" w:sz="4" w:space="0" w:color="auto"/>
              <w:right w:val="nil"/>
            </w:tcBorders>
            <w:shd w:val="clear" w:color="000000" w:fill="FFFFFF"/>
            <w:noWrap/>
            <w:vAlign w:val="bottom"/>
            <w:hideMark/>
          </w:tcPr>
          <w:p w14:paraId="16A47196"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2</w:t>
            </w:r>
          </w:p>
        </w:tc>
        <w:tc>
          <w:tcPr>
            <w:tcW w:w="1060" w:type="dxa"/>
            <w:tcBorders>
              <w:top w:val="nil"/>
              <w:left w:val="nil"/>
              <w:bottom w:val="single" w:sz="4" w:space="0" w:color="auto"/>
              <w:right w:val="nil"/>
            </w:tcBorders>
            <w:shd w:val="clear" w:color="000000" w:fill="FFFFFF"/>
            <w:noWrap/>
            <w:vAlign w:val="bottom"/>
            <w:hideMark/>
          </w:tcPr>
          <w:p w14:paraId="3DA6417D"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3</w:t>
            </w:r>
          </w:p>
        </w:tc>
      </w:tr>
      <w:tr w:rsidR="00B0148D" w:rsidRPr="00B0148D" w14:paraId="452132CE" w14:textId="77777777" w:rsidTr="006A378D">
        <w:trPr>
          <w:trHeight w:val="288"/>
        </w:trPr>
        <w:tc>
          <w:tcPr>
            <w:tcW w:w="400" w:type="dxa"/>
            <w:tcBorders>
              <w:top w:val="nil"/>
              <w:left w:val="nil"/>
              <w:bottom w:val="nil"/>
              <w:right w:val="nil"/>
            </w:tcBorders>
            <w:shd w:val="clear" w:color="000000" w:fill="FFFFFF"/>
            <w:noWrap/>
            <w:vAlign w:val="bottom"/>
            <w:hideMark/>
          </w:tcPr>
          <w:p w14:paraId="47D7EE15" w14:textId="77777777" w:rsidR="006A378D" w:rsidRPr="00B0148D" w:rsidRDefault="006A378D" w:rsidP="006A378D">
            <w:pPr>
              <w:spacing w:after="0" w:line="240" w:lineRule="auto"/>
              <w:jc w:val="right"/>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w:t>
            </w:r>
          </w:p>
        </w:tc>
        <w:tc>
          <w:tcPr>
            <w:tcW w:w="2420" w:type="dxa"/>
            <w:tcBorders>
              <w:top w:val="nil"/>
              <w:left w:val="nil"/>
              <w:bottom w:val="nil"/>
              <w:right w:val="nil"/>
            </w:tcBorders>
            <w:shd w:val="clear" w:color="000000" w:fill="FFFFFF"/>
            <w:noWrap/>
            <w:vAlign w:val="bottom"/>
            <w:hideMark/>
          </w:tcPr>
          <w:p w14:paraId="41D56416" w14:textId="19C4E305" w:rsidR="006A378D" w:rsidRPr="00B0148D" w:rsidRDefault="00FA2C18"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Age</w:t>
            </w:r>
          </w:p>
        </w:tc>
        <w:tc>
          <w:tcPr>
            <w:tcW w:w="1600" w:type="dxa"/>
            <w:tcBorders>
              <w:top w:val="nil"/>
              <w:left w:val="nil"/>
              <w:bottom w:val="nil"/>
              <w:right w:val="nil"/>
            </w:tcBorders>
            <w:shd w:val="clear" w:color="000000" w:fill="FFFFFF"/>
            <w:noWrap/>
            <w:vAlign w:val="bottom"/>
            <w:hideMark/>
          </w:tcPr>
          <w:p w14:paraId="326D6C45"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22.9 (4.7)</w:t>
            </w:r>
          </w:p>
        </w:tc>
        <w:tc>
          <w:tcPr>
            <w:tcW w:w="1060" w:type="dxa"/>
            <w:tcBorders>
              <w:top w:val="nil"/>
              <w:left w:val="nil"/>
              <w:bottom w:val="nil"/>
              <w:right w:val="nil"/>
            </w:tcBorders>
            <w:shd w:val="clear" w:color="000000" w:fill="FFFFFF"/>
            <w:noWrap/>
            <w:vAlign w:val="bottom"/>
            <w:hideMark/>
          </w:tcPr>
          <w:p w14:paraId="2ADF6976"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c>
          <w:tcPr>
            <w:tcW w:w="1060" w:type="dxa"/>
            <w:tcBorders>
              <w:top w:val="nil"/>
              <w:left w:val="nil"/>
              <w:bottom w:val="nil"/>
              <w:right w:val="nil"/>
            </w:tcBorders>
            <w:shd w:val="clear" w:color="000000" w:fill="FFFFFF"/>
            <w:noWrap/>
            <w:vAlign w:val="bottom"/>
            <w:hideMark/>
          </w:tcPr>
          <w:p w14:paraId="57DD97E7"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c>
          <w:tcPr>
            <w:tcW w:w="1060" w:type="dxa"/>
            <w:tcBorders>
              <w:top w:val="nil"/>
              <w:left w:val="nil"/>
              <w:bottom w:val="nil"/>
              <w:right w:val="nil"/>
            </w:tcBorders>
            <w:shd w:val="clear" w:color="000000" w:fill="FFFFFF"/>
            <w:noWrap/>
            <w:vAlign w:val="bottom"/>
            <w:hideMark/>
          </w:tcPr>
          <w:p w14:paraId="6B19500F"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r>
      <w:tr w:rsidR="00B0148D" w:rsidRPr="00B0148D" w14:paraId="73598FE3" w14:textId="77777777" w:rsidTr="006A378D">
        <w:trPr>
          <w:trHeight w:val="288"/>
        </w:trPr>
        <w:tc>
          <w:tcPr>
            <w:tcW w:w="400" w:type="dxa"/>
            <w:tcBorders>
              <w:top w:val="nil"/>
              <w:left w:val="nil"/>
              <w:bottom w:val="nil"/>
              <w:right w:val="nil"/>
            </w:tcBorders>
            <w:shd w:val="clear" w:color="000000" w:fill="FFFFFF"/>
            <w:noWrap/>
            <w:vAlign w:val="bottom"/>
            <w:hideMark/>
          </w:tcPr>
          <w:p w14:paraId="25A6DD48" w14:textId="77777777" w:rsidR="006A378D" w:rsidRPr="00B0148D" w:rsidRDefault="006A378D" w:rsidP="006A378D">
            <w:pPr>
              <w:spacing w:after="0" w:line="240" w:lineRule="auto"/>
              <w:jc w:val="right"/>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2.</w:t>
            </w:r>
          </w:p>
        </w:tc>
        <w:tc>
          <w:tcPr>
            <w:tcW w:w="2420" w:type="dxa"/>
            <w:tcBorders>
              <w:top w:val="nil"/>
              <w:left w:val="nil"/>
              <w:bottom w:val="nil"/>
              <w:right w:val="nil"/>
            </w:tcBorders>
            <w:shd w:val="clear" w:color="000000" w:fill="FFFFFF"/>
            <w:noWrap/>
            <w:vAlign w:val="bottom"/>
            <w:hideMark/>
          </w:tcPr>
          <w:p w14:paraId="0D83E1D6" w14:textId="3145EFEA"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Gender</w:t>
            </w:r>
            <w:r w:rsidR="00FA2C18" w:rsidRPr="00B0148D">
              <w:rPr>
                <w:rFonts w:ascii="Times New Roman" w:eastAsia="Times New Roman" w:hAnsi="Times New Roman" w:cs="Times New Roman"/>
                <w:sz w:val="20"/>
                <w:szCs w:val="20"/>
                <w:lang w:val="fi-FI" w:eastAsia="fi-FI"/>
              </w:rPr>
              <w:t xml:space="preserve"> (ref: male)</w:t>
            </w:r>
          </w:p>
        </w:tc>
        <w:tc>
          <w:tcPr>
            <w:tcW w:w="1600" w:type="dxa"/>
            <w:tcBorders>
              <w:top w:val="nil"/>
              <w:left w:val="nil"/>
              <w:bottom w:val="nil"/>
              <w:right w:val="nil"/>
            </w:tcBorders>
            <w:shd w:val="clear" w:color="000000" w:fill="FFFFFF"/>
            <w:noWrap/>
            <w:vAlign w:val="bottom"/>
            <w:hideMark/>
          </w:tcPr>
          <w:p w14:paraId="177B7795" w14:textId="09A7D052" w:rsidR="006A378D" w:rsidRPr="00B0148D" w:rsidRDefault="00FA2C18" w:rsidP="00FA2C18">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0.48</w:t>
            </w:r>
          </w:p>
        </w:tc>
        <w:tc>
          <w:tcPr>
            <w:tcW w:w="1060" w:type="dxa"/>
            <w:tcBorders>
              <w:top w:val="nil"/>
              <w:left w:val="nil"/>
              <w:bottom w:val="nil"/>
              <w:right w:val="nil"/>
            </w:tcBorders>
            <w:shd w:val="clear" w:color="000000" w:fill="FFFFFF"/>
            <w:noWrap/>
            <w:vAlign w:val="bottom"/>
            <w:hideMark/>
          </w:tcPr>
          <w:p w14:paraId="76A74260" w14:textId="4942FDA9" w:rsidR="006A378D" w:rsidRPr="00B0148D" w:rsidRDefault="006A378D"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0.167***</w:t>
            </w:r>
          </w:p>
        </w:tc>
        <w:tc>
          <w:tcPr>
            <w:tcW w:w="1060" w:type="dxa"/>
            <w:tcBorders>
              <w:top w:val="nil"/>
              <w:left w:val="nil"/>
              <w:bottom w:val="nil"/>
              <w:right w:val="nil"/>
            </w:tcBorders>
            <w:shd w:val="clear" w:color="000000" w:fill="FFFFFF"/>
            <w:noWrap/>
            <w:vAlign w:val="bottom"/>
            <w:hideMark/>
          </w:tcPr>
          <w:p w14:paraId="09AA665F"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1060" w:type="dxa"/>
            <w:tcBorders>
              <w:top w:val="nil"/>
              <w:left w:val="nil"/>
              <w:bottom w:val="nil"/>
              <w:right w:val="nil"/>
            </w:tcBorders>
            <w:shd w:val="clear" w:color="000000" w:fill="FFFFFF"/>
            <w:noWrap/>
            <w:vAlign w:val="bottom"/>
            <w:hideMark/>
          </w:tcPr>
          <w:p w14:paraId="692609F9"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r>
      <w:tr w:rsidR="00B0148D" w:rsidRPr="00B0148D" w14:paraId="0FA7DB1A" w14:textId="77777777" w:rsidTr="006A378D">
        <w:trPr>
          <w:trHeight w:val="288"/>
        </w:trPr>
        <w:tc>
          <w:tcPr>
            <w:tcW w:w="400" w:type="dxa"/>
            <w:tcBorders>
              <w:top w:val="nil"/>
              <w:left w:val="nil"/>
              <w:bottom w:val="nil"/>
              <w:right w:val="nil"/>
            </w:tcBorders>
            <w:shd w:val="clear" w:color="000000" w:fill="FFFFFF"/>
            <w:noWrap/>
            <w:vAlign w:val="bottom"/>
            <w:hideMark/>
          </w:tcPr>
          <w:p w14:paraId="4DF1F006" w14:textId="77777777" w:rsidR="006A378D" w:rsidRPr="00B0148D" w:rsidRDefault="006A378D" w:rsidP="006A378D">
            <w:pPr>
              <w:spacing w:after="0" w:line="240" w:lineRule="auto"/>
              <w:jc w:val="right"/>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3.</w:t>
            </w:r>
          </w:p>
        </w:tc>
        <w:tc>
          <w:tcPr>
            <w:tcW w:w="2420" w:type="dxa"/>
            <w:tcBorders>
              <w:top w:val="nil"/>
              <w:left w:val="nil"/>
              <w:bottom w:val="nil"/>
              <w:right w:val="nil"/>
            </w:tcBorders>
            <w:shd w:val="clear" w:color="000000" w:fill="FFFFFF"/>
            <w:vAlign w:val="bottom"/>
            <w:hideMark/>
          </w:tcPr>
          <w:p w14:paraId="5591FA0F" w14:textId="53448D47" w:rsidR="006A378D" w:rsidRPr="00B0148D" w:rsidRDefault="00FA2C18"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Conservation</w:t>
            </w:r>
          </w:p>
        </w:tc>
        <w:tc>
          <w:tcPr>
            <w:tcW w:w="1600" w:type="dxa"/>
            <w:tcBorders>
              <w:top w:val="nil"/>
              <w:left w:val="nil"/>
              <w:bottom w:val="nil"/>
              <w:right w:val="nil"/>
            </w:tcBorders>
            <w:shd w:val="clear" w:color="000000" w:fill="FFFFFF"/>
            <w:noWrap/>
            <w:vAlign w:val="bottom"/>
            <w:hideMark/>
          </w:tcPr>
          <w:p w14:paraId="5C32F028"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1.52 (0.78)</w:t>
            </w:r>
          </w:p>
        </w:tc>
        <w:tc>
          <w:tcPr>
            <w:tcW w:w="1060" w:type="dxa"/>
            <w:tcBorders>
              <w:top w:val="nil"/>
              <w:left w:val="nil"/>
              <w:bottom w:val="nil"/>
              <w:right w:val="nil"/>
            </w:tcBorders>
            <w:shd w:val="clear" w:color="000000" w:fill="FFFFFF"/>
            <w:noWrap/>
            <w:vAlign w:val="bottom"/>
            <w:hideMark/>
          </w:tcPr>
          <w:p w14:paraId="29341F26"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-0.041</w:t>
            </w:r>
          </w:p>
        </w:tc>
        <w:tc>
          <w:tcPr>
            <w:tcW w:w="1060" w:type="dxa"/>
            <w:tcBorders>
              <w:top w:val="nil"/>
              <w:left w:val="nil"/>
              <w:bottom w:val="nil"/>
              <w:right w:val="nil"/>
            </w:tcBorders>
            <w:shd w:val="clear" w:color="000000" w:fill="FFFFFF"/>
            <w:noWrap/>
            <w:vAlign w:val="bottom"/>
            <w:hideMark/>
          </w:tcPr>
          <w:p w14:paraId="4F9BCEDE" w14:textId="2A0A1902" w:rsidR="006A378D" w:rsidRPr="00B0148D" w:rsidRDefault="006A378D"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0.158***</w:t>
            </w:r>
          </w:p>
        </w:tc>
        <w:tc>
          <w:tcPr>
            <w:tcW w:w="1060" w:type="dxa"/>
            <w:tcBorders>
              <w:top w:val="nil"/>
              <w:left w:val="nil"/>
              <w:bottom w:val="nil"/>
              <w:right w:val="nil"/>
            </w:tcBorders>
            <w:shd w:val="clear" w:color="000000" w:fill="FFFFFF"/>
            <w:noWrap/>
            <w:vAlign w:val="bottom"/>
            <w:hideMark/>
          </w:tcPr>
          <w:p w14:paraId="275C013A"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r>
      <w:tr w:rsidR="00B0148D" w:rsidRPr="00B0148D" w14:paraId="53BF951A" w14:textId="77777777" w:rsidTr="006A378D">
        <w:trPr>
          <w:trHeight w:val="288"/>
        </w:trPr>
        <w:tc>
          <w:tcPr>
            <w:tcW w:w="400" w:type="dxa"/>
            <w:tcBorders>
              <w:top w:val="nil"/>
              <w:left w:val="nil"/>
              <w:bottom w:val="single" w:sz="4" w:space="0" w:color="auto"/>
              <w:right w:val="nil"/>
            </w:tcBorders>
            <w:shd w:val="clear" w:color="000000" w:fill="FFFFFF"/>
            <w:noWrap/>
            <w:vAlign w:val="bottom"/>
            <w:hideMark/>
          </w:tcPr>
          <w:p w14:paraId="358D1D6F" w14:textId="77777777" w:rsidR="006A378D" w:rsidRPr="00B0148D" w:rsidRDefault="006A378D" w:rsidP="006A378D">
            <w:pPr>
              <w:spacing w:after="0" w:line="240" w:lineRule="auto"/>
              <w:jc w:val="right"/>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4.</w:t>
            </w:r>
          </w:p>
        </w:tc>
        <w:tc>
          <w:tcPr>
            <w:tcW w:w="2420" w:type="dxa"/>
            <w:tcBorders>
              <w:top w:val="nil"/>
              <w:left w:val="nil"/>
              <w:bottom w:val="single" w:sz="4" w:space="0" w:color="auto"/>
              <w:right w:val="nil"/>
            </w:tcBorders>
            <w:shd w:val="clear" w:color="000000" w:fill="FFFFFF"/>
            <w:vAlign w:val="bottom"/>
            <w:hideMark/>
          </w:tcPr>
          <w:p w14:paraId="01AEEC84" w14:textId="20C24408" w:rsidR="006A378D" w:rsidRPr="00B0148D" w:rsidRDefault="00FA2C18"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Self-Transcendence</w:t>
            </w:r>
          </w:p>
        </w:tc>
        <w:tc>
          <w:tcPr>
            <w:tcW w:w="1600" w:type="dxa"/>
            <w:tcBorders>
              <w:top w:val="nil"/>
              <w:left w:val="nil"/>
              <w:bottom w:val="single" w:sz="4" w:space="0" w:color="auto"/>
              <w:right w:val="nil"/>
            </w:tcBorders>
            <w:shd w:val="clear" w:color="000000" w:fill="FFFFFF"/>
            <w:noWrap/>
            <w:vAlign w:val="bottom"/>
            <w:hideMark/>
          </w:tcPr>
          <w:p w14:paraId="2EB4387B"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-0.90 (0.77)</w:t>
            </w:r>
          </w:p>
        </w:tc>
        <w:tc>
          <w:tcPr>
            <w:tcW w:w="1060" w:type="dxa"/>
            <w:tcBorders>
              <w:top w:val="nil"/>
              <w:left w:val="nil"/>
              <w:bottom w:val="single" w:sz="4" w:space="0" w:color="auto"/>
              <w:right w:val="nil"/>
            </w:tcBorders>
            <w:shd w:val="clear" w:color="000000" w:fill="FFFFFF"/>
            <w:noWrap/>
            <w:vAlign w:val="bottom"/>
            <w:hideMark/>
          </w:tcPr>
          <w:p w14:paraId="52E786D3"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0.068</w:t>
            </w:r>
          </w:p>
        </w:tc>
        <w:tc>
          <w:tcPr>
            <w:tcW w:w="1060" w:type="dxa"/>
            <w:tcBorders>
              <w:top w:val="nil"/>
              <w:left w:val="nil"/>
              <w:bottom w:val="single" w:sz="4" w:space="0" w:color="auto"/>
              <w:right w:val="nil"/>
            </w:tcBorders>
            <w:shd w:val="clear" w:color="000000" w:fill="FFFFFF"/>
            <w:noWrap/>
            <w:vAlign w:val="bottom"/>
            <w:hideMark/>
          </w:tcPr>
          <w:p w14:paraId="172C29B7" w14:textId="606E28AF" w:rsidR="006A378D" w:rsidRPr="00B0148D" w:rsidRDefault="000E6C31" w:rsidP="006A378D">
            <w:pPr>
              <w:spacing w:after="0" w:line="240" w:lineRule="auto"/>
              <w:jc w:val="center"/>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w:t>
            </w:r>
            <w:r w:rsidR="006A378D" w:rsidRPr="00B0148D">
              <w:rPr>
                <w:rFonts w:ascii="Times New Roman" w:eastAsia="Times New Roman" w:hAnsi="Times New Roman" w:cs="Times New Roman"/>
                <w:sz w:val="20"/>
                <w:szCs w:val="20"/>
                <w:lang w:eastAsia="fi-FI"/>
              </w:rPr>
              <w:t>0.254***</w:t>
            </w:r>
          </w:p>
        </w:tc>
        <w:tc>
          <w:tcPr>
            <w:tcW w:w="1060" w:type="dxa"/>
            <w:tcBorders>
              <w:top w:val="nil"/>
              <w:left w:val="nil"/>
              <w:bottom w:val="single" w:sz="4" w:space="0" w:color="auto"/>
              <w:right w:val="nil"/>
            </w:tcBorders>
            <w:shd w:val="clear" w:color="000000" w:fill="FFFFFF"/>
            <w:noWrap/>
            <w:vAlign w:val="bottom"/>
            <w:hideMark/>
          </w:tcPr>
          <w:p w14:paraId="14491BE3" w14:textId="77777777" w:rsidR="006A378D" w:rsidRPr="00B0148D" w:rsidRDefault="006A378D" w:rsidP="006A378D">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eastAsia="fi-FI"/>
              </w:rPr>
              <w:t>0.0</w:t>
            </w:r>
            <w:r w:rsidRPr="00B0148D">
              <w:rPr>
                <w:rFonts w:ascii="Times New Roman" w:eastAsia="Times New Roman" w:hAnsi="Times New Roman" w:cs="Times New Roman"/>
                <w:sz w:val="20"/>
                <w:szCs w:val="20"/>
                <w:lang w:val="fi-FI" w:eastAsia="fi-FI"/>
              </w:rPr>
              <w:t>09</w:t>
            </w:r>
          </w:p>
        </w:tc>
      </w:tr>
    </w:tbl>
    <w:p w14:paraId="307AFD55" w14:textId="20540AD9" w:rsidR="00D76B2A" w:rsidRPr="00B0148D" w:rsidRDefault="00F5316D" w:rsidP="00D76B2A">
      <w:pPr>
        <w:jc w:val="both"/>
      </w:pPr>
      <w:r w:rsidRPr="00B0148D">
        <w:rPr>
          <w:sz w:val="16"/>
          <w:szCs w:val="16"/>
        </w:rPr>
        <w:t>T</w:t>
      </w:r>
      <w:r w:rsidR="00D76B2A" w:rsidRPr="00B0148D">
        <w:rPr>
          <w:sz w:val="16"/>
          <w:szCs w:val="16"/>
        </w:rPr>
        <w:t>he statistically significant differences are marked with *</w:t>
      </w:r>
      <w:r w:rsidR="00D76B2A" w:rsidRPr="00B0148D">
        <w:t xml:space="preserve"> </w:t>
      </w:r>
      <w:r w:rsidR="00D76B2A" w:rsidRPr="00B0148D">
        <w:rPr>
          <w:sz w:val="16"/>
          <w:szCs w:val="16"/>
        </w:rPr>
        <w:t>(p &lt; 0.05), ** (p &lt; 0.01), *** (p &lt; 0.001)</w:t>
      </w:r>
    </w:p>
    <w:p w14:paraId="0A9B81A3" w14:textId="156CD8D1" w:rsidR="004F5EE5" w:rsidRPr="00B0148D" w:rsidRDefault="004F5EE5" w:rsidP="00C10064">
      <w:r w:rsidRPr="00B0148D">
        <w:rPr>
          <w:b/>
        </w:rPr>
        <w:t>Table 7</w:t>
      </w:r>
      <w:r w:rsidRPr="00B0148D">
        <w:t xml:space="preserve">. </w:t>
      </w:r>
      <w:r w:rsidR="00FA2C18" w:rsidRPr="00B0148D">
        <w:t>Odds ratios (OR)</w:t>
      </w:r>
      <w:r w:rsidR="000578B4" w:rsidRPr="00B0148D">
        <w:t xml:space="preserve"> of the ordinal regressions predicting pleasantness, probability-to-choose, overall quality, and product perception</w:t>
      </w:r>
      <w:r w:rsidR="00FA2C18" w:rsidRPr="00B0148D">
        <w:t xml:space="preserve"> for meat product</w:t>
      </w:r>
    </w:p>
    <w:tbl>
      <w:tblPr>
        <w:tblW w:w="9700" w:type="dxa"/>
        <w:tblCellMar>
          <w:left w:w="70" w:type="dxa"/>
          <w:right w:w="70" w:type="dxa"/>
        </w:tblCellMar>
        <w:tblLook w:val="04A0" w:firstRow="1" w:lastRow="0" w:firstColumn="1" w:lastColumn="0" w:noHBand="0" w:noVBand="1"/>
      </w:tblPr>
      <w:tblGrid>
        <w:gridCol w:w="2020"/>
        <w:gridCol w:w="2060"/>
        <w:gridCol w:w="2060"/>
        <w:gridCol w:w="2060"/>
        <w:gridCol w:w="2060"/>
      </w:tblGrid>
      <w:tr w:rsidR="00B0148D" w:rsidRPr="00B0148D" w14:paraId="55906F01" w14:textId="77777777" w:rsidTr="006E6567">
        <w:trPr>
          <w:trHeight w:val="288"/>
        </w:trPr>
        <w:tc>
          <w:tcPr>
            <w:tcW w:w="2020" w:type="dxa"/>
            <w:tcBorders>
              <w:top w:val="nil"/>
              <w:left w:val="nil"/>
              <w:bottom w:val="single" w:sz="4" w:space="0" w:color="auto"/>
              <w:right w:val="nil"/>
            </w:tcBorders>
            <w:shd w:val="clear" w:color="000000" w:fill="FFFFFF"/>
            <w:noWrap/>
            <w:vAlign w:val="bottom"/>
            <w:hideMark/>
          </w:tcPr>
          <w:p w14:paraId="3185FE38" w14:textId="77777777" w:rsidR="006E6567" w:rsidRPr="00B0148D" w:rsidRDefault="006E6567" w:rsidP="006E6567">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1920" w:type="dxa"/>
            <w:tcBorders>
              <w:top w:val="nil"/>
              <w:left w:val="nil"/>
              <w:bottom w:val="single" w:sz="4" w:space="0" w:color="auto"/>
              <w:right w:val="nil"/>
            </w:tcBorders>
            <w:shd w:val="clear" w:color="000000" w:fill="FFFFFF"/>
            <w:noWrap/>
            <w:vAlign w:val="bottom"/>
            <w:hideMark/>
          </w:tcPr>
          <w:p w14:paraId="7C7675CB"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Pleasantness</w:t>
            </w:r>
          </w:p>
        </w:tc>
        <w:tc>
          <w:tcPr>
            <w:tcW w:w="1920" w:type="dxa"/>
            <w:tcBorders>
              <w:top w:val="nil"/>
              <w:left w:val="nil"/>
              <w:bottom w:val="single" w:sz="4" w:space="0" w:color="auto"/>
              <w:right w:val="nil"/>
            </w:tcBorders>
            <w:shd w:val="clear" w:color="000000" w:fill="FFFFFF"/>
            <w:noWrap/>
            <w:vAlign w:val="bottom"/>
            <w:hideMark/>
          </w:tcPr>
          <w:p w14:paraId="6791E993"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Probability-to-choose</w:t>
            </w:r>
          </w:p>
        </w:tc>
        <w:tc>
          <w:tcPr>
            <w:tcW w:w="1920" w:type="dxa"/>
            <w:tcBorders>
              <w:top w:val="nil"/>
              <w:left w:val="nil"/>
              <w:bottom w:val="single" w:sz="4" w:space="0" w:color="auto"/>
              <w:right w:val="nil"/>
            </w:tcBorders>
            <w:shd w:val="clear" w:color="000000" w:fill="FFFFFF"/>
            <w:noWrap/>
            <w:vAlign w:val="bottom"/>
            <w:hideMark/>
          </w:tcPr>
          <w:p w14:paraId="63BA9DEB"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Overall quality</w:t>
            </w:r>
          </w:p>
        </w:tc>
        <w:tc>
          <w:tcPr>
            <w:tcW w:w="1920" w:type="dxa"/>
            <w:tcBorders>
              <w:top w:val="nil"/>
              <w:left w:val="nil"/>
              <w:bottom w:val="single" w:sz="4" w:space="0" w:color="auto"/>
              <w:right w:val="nil"/>
            </w:tcBorders>
            <w:shd w:val="clear" w:color="000000" w:fill="FFFFFF"/>
            <w:noWrap/>
            <w:vAlign w:val="bottom"/>
            <w:hideMark/>
          </w:tcPr>
          <w:p w14:paraId="09492155"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Product perception</w:t>
            </w:r>
          </w:p>
        </w:tc>
      </w:tr>
      <w:tr w:rsidR="00B0148D" w:rsidRPr="00B0148D" w14:paraId="1FC5856E" w14:textId="77777777" w:rsidTr="006E6567">
        <w:trPr>
          <w:trHeight w:val="288"/>
        </w:trPr>
        <w:tc>
          <w:tcPr>
            <w:tcW w:w="2020" w:type="dxa"/>
            <w:tcBorders>
              <w:top w:val="nil"/>
              <w:left w:val="nil"/>
              <w:bottom w:val="single" w:sz="4" w:space="0" w:color="auto"/>
              <w:right w:val="nil"/>
            </w:tcBorders>
            <w:shd w:val="clear" w:color="000000" w:fill="FFFFFF"/>
            <w:noWrap/>
            <w:vAlign w:val="bottom"/>
            <w:hideMark/>
          </w:tcPr>
          <w:p w14:paraId="20FF4AE3" w14:textId="77777777" w:rsidR="006E6567" w:rsidRPr="00B0148D" w:rsidRDefault="006E6567" w:rsidP="006E656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Factor/Co-variate</w:t>
            </w:r>
          </w:p>
        </w:tc>
        <w:tc>
          <w:tcPr>
            <w:tcW w:w="1920" w:type="dxa"/>
            <w:tcBorders>
              <w:top w:val="nil"/>
              <w:left w:val="nil"/>
              <w:bottom w:val="nil"/>
              <w:right w:val="nil"/>
            </w:tcBorders>
            <w:shd w:val="clear" w:color="auto" w:fill="auto"/>
            <w:noWrap/>
            <w:vAlign w:val="bottom"/>
            <w:hideMark/>
          </w:tcPr>
          <w:p w14:paraId="7CE8B1EA" w14:textId="1E9677EC" w:rsidR="006E6567" w:rsidRPr="00B0148D" w:rsidRDefault="006E6567" w:rsidP="006E6567">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435456" behindDoc="0" locked="0" layoutInCell="1" allowOverlap="1" wp14:anchorId="53A347E3" wp14:editId="145511BF">
                      <wp:simplePos x="0" y="0"/>
                      <wp:positionH relativeFrom="column">
                        <wp:posOffset>0</wp:posOffset>
                      </wp:positionH>
                      <wp:positionV relativeFrom="paragraph">
                        <wp:posOffset>0</wp:posOffset>
                      </wp:positionV>
                      <wp:extent cx="7620" cy="7620"/>
                      <wp:effectExtent l="0" t="0" r="0" b="0"/>
                      <wp:wrapNone/>
                      <wp:docPr id="50" name="Rectangle 50"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55DDF3F" id="Rectangle 50" o:spid="_x0000_s1026" alt="https://d.adroll.com/cm/aol/out" style="position:absolute;margin-left:0;margin-top:0;width:.6pt;height:.6pt;z-index:25243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37504" behindDoc="0" locked="0" layoutInCell="1" allowOverlap="1" wp14:anchorId="3A09C16E" wp14:editId="4B151136">
                  <wp:simplePos x="0" y="0"/>
                  <wp:positionH relativeFrom="column">
                    <wp:posOffset>30480</wp:posOffset>
                  </wp:positionH>
                  <wp:positionV relativeFrom="paragraph">
                    <wp:posOffset>0</wp:posOffset>
                  </wp:positionV>
                  <wp:extent cx="7620" cy="7620"/>
                  <wp:effectExtent l="0" t="0" r="0" b="0"/>
                  <wp:wrapNone/>
                  <wp:docPr id="52" name="Picture 52" descr="https://d.adroll.com/cm/n/out"/>
                  <wp:cNvGraphicFramePr/>
                  <a:graphic xmlns:a="http://schemas.openxmlformats.org/drawingml/2006/main">
                    <a:graphicData uri="http://schemas.openxmlformats.org/drawingml/2006/picture">
                      <pic:pic xmlns:pic="http://schemas.openxmlformats.org/drawingml/2006/picture">
                        <pic:nvPicPr>
                          <pic:cNvPr id="52" name="Picture 51"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438528" behindDoc="0" locked="0" layoutInCell="1" allowOverlap="1" wp14:anchorId="234E7D5E" wp14:editId="441EEAA6">
                      <wp:simplePos x="0" y="0"/>
                      <wp:positionH relativeFrom="column">
                        <wp:posOffset>45720</wp:posOffset>
                      </wp:positionH>
                      <wp:positionV relativeFrom="paragraph">
                        <wp:posOffset>0</wp:posOffset>
                      </wp:positionV>
                      <wp:extent cx="7620" cy="7620"/>
                      <wp:effectExtent l="0" t="0" r="0" b="0"/>
                      <wp:wrapNone/>
                      <wp:docPr id="53" name="Rectangle 53"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651E380" id="Rectangle 53" o:spid="_x0000_s1026" alt="https://d.adroll.com/cm/outbrain/out" style="position:absolute;margin-left:3.6pt;margin-top:0;width:.6pt;height:.6pt;z-index:25243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39552" behindDoc="0" locked="0" layoutInCell="1" allowOverlap="1" wp14:anchorId="152C41EA" wp14:editId="79234E2E">
                      <wp:simplePos x="0" y="0"/>
                      <wp:positionH relativeFrom="column">
                        <wp:posOffset>60960</wp:posOffset>
                      </wp:positionH>
                      <wp:positionV relativeFrom="paragraph">
                        <wp:posOffset>0</wp:posOffset>
                      </wp:positionV>
                      <wp:extent cx="7620" cy="7620"/>
                      <wp:effectExtent l="0" t="0" r="0" b="0"/>
                      <wp:wrapNone/>
                      <wp:docPr id="54" name="Rectangle 54"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29A1CF2" id="Rectangle 54" o:spid="_x0000_s1026" alt="https://d.adroll.com/cm/pubmatic/out" style="position:absolute;margin-left:4.8pt;margin-top:0;width:.6pt;height:.6pt;z-index:25243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Lhog2RsCAAAq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40576" behindDoc="0" locked="0" layoutInCell="1" allowOverlap="1" wp14:anchorId="5DE95B6A" wp14:editId="342CF455">
                      <wp:simplePos x="0" y="0"/>
                      <wp:positionH relativeFrom="column">
                        <wp:posOffset>76200</wp:posOffset>
                      </wp:positionH>
                      <wp:positionV relativeFrom="paragraph">
                        <wp:posOffset>0</wp:posOffset>
                      </wp:positionV>
                      <wp:extent cx="7620" cy="7620"/>
                      <wp:effectExtent l="0" t="0" r="0" b="0"/>
                      <wp:wrapNone/>
                      <wp:docPr id="55" name="Rectangle 55"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5050D1BE" id="Rectangle 55" o:spid="_x0000_s1026" alt="https://d.adroll.com/cm/taboola/out" style="position:absolute;margin-left:6pt;margin-top:0;width:.6pt;height:.6pt;z-index:25244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36480" behindDoc="0" locked="0" layoutInCell="1" allowOverlap="1" wp14:anchorId="5C64CE31" wp14:editId="6C3C728E">
                  <wp:simplePos x="0" y="0"/>
                  <wp:positionH relativeFrom="column">
                    <wp:posOffset>15240</wp:posOffset>
                  </wp:positionH>
                  <wp:positionV relativeFrom="paragraph">
                    <wp:posOffset>0</wp:posOffset>
                  </wp:positionV>
                  <wp:extent cx="7620" cy="7620"/>
                  <wp:effectExtent l="0" t="0" r="0" b="0"/>
                  <wp:wrapNone/>
                  <wp:docPr id="51" name="Picture 51" descr="https://d.adroll.com/cm/index/out"/>
                  <wp:cNvGraphicFramePr/>
                  <a:graphic xmlns:a="http://schemas.openxmlformats.org/drawingml/2006/main">
                    <a:graphicData uri="http://schemas.openxmlformats.org/drawingml/2006/picture">
                      <pic:pic xmlns:pic="http://schemas.openxmlformats.org/drawingml/2006/picture">
                        <pic:nvPicPr>
                          <pic:cNvPr id="51" name="Picture 50"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09EFB543"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05FE5AD8"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4C0985EF" w14:textId="77777777" w:rsidR="006E6567" w:rsidRPr="00B0148D" w:rsidRDefault="006E6567" w:rsidP="006E6567">
            <w:pPr>
              <w:spacing w:after="0" w:line="240" w:lineRule="auto"/>
              <w:rPr>
                <w:rFonts w:ascii="Calibri" w:eastAsia="Times New Roman" w:hAnsi="Calibri" w:cs="Times New Roman"/>
                <w:lang w:val="fi-FI" w:eastAsia="fi-FI"/>
              </w:rPr>
            </w:pPr>
          </w:p>
        </w:tc>
        <w:tc>
          <w:tcPr>
            <w:tcW w:w="1920" w:type="dxa"/>
            <w:tcBorders>
              <w:top w:val="nil"/>
              <w:left w:val="nil"/>
              <w:bottom w:val="nil"/>
              <w:right w:val="nil"/>
            </w:tcBorders>
            <w:shd w:val="clear" w:color="auto" w:fill="auto"/>
            <w:noWrap/>
            <w:vAlign w:val="bottom"/>
            <w:hideMark/>
          </w:tcPr>
          <w:p w14:paraId="2463FD50" w14:textId="7324A72E" w:rsidR="006E6567" w:rsidRPr="00B0148D" w:rsidRDefault="006E6567" w:rsidP="006E6567">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447744" behindDoc="0" locked="0" layoutInCell="1" allowOverlap="1" wp14:anchorId="22472217" wp14:editId="6CD99B38">
                      <wp:simplePos x="0" y="0"/>
                      <wp:positionH relativeFrom="column">
                        <wp:posOffset>0</wp:posOffset>
                      </wp:positionH>
                      <wp:positionV relativeFrom="paragraph">
                        <wp:posOffset>0</wp:posOffset>
                      </wp:positionV>
                      <wp:extent cx="7620" cy="7620"/>
                      <wp:effectExtent l="0" t="0" r="0" b="0"/>
                      <wp:wrapNone/>
                      <wp:docPr id="62" name="Rectangle 62"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DB470CC" id="Rectangle 62" o:spid="_x0000_s1026" alt="https://d.adroll.com/cm/aol/out" style="position:absolute;margin-left:0;margin-top:0;width:.6pt;height:.6pt;z-index:25244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D+Zc5M&#10;FwIAACU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66176" behindDoc="0" locked="0" layoutInCell="1" allowOverlap="1" wp14:anchorId="1DF3A29A" wp14:editId="0E6C91E7">
                      <wp:simplePos x="0" y="0"/>
                      <wp:positionH relativeFrom="column">
                        <wp:posOffset>0</wp:posOffset>
                      </wp:positionH>
                      <wp:positionV relativeFrom="paragraph">
                        <wp:posOffset>0</wp:posOffset>
                      </wp:positionV>
                      <wp:extent cx="7620" cy="7620"/>
                      <wp:effectExtent l="0" t="0" r="0" b="0"/>
                      <wp:wrapNone/>
                      <wp:docPr id="80" name="Rectangle 80"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2607A12" id="Rectangle 80" o:spid="_x0000_s1026" alt="https://d.adroll.com/cm/aol/out" style="position:absolute;margin-left:0;margin-top:0;width:.6pt;height:.6pt;z-index:25246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49792" behindDoc="0" locked="0" layoutInCell="1" allowOverlap="1" wp14:anchorId="26B1A40C" wp14:editId="148FF797">
                  <wp:simplePos x="0" y="0"/>
                  <wp:positionH relativeFrom="column">
                    <wp:posOffset>30480</wp:posOffset>
                  </wp:positionH>
                  <wp:positionV relativeFrom="paragraph">
                    <wp:posOffset>0</wp:posOffset>
                  </wp:positionV>
                  <wp:extent cx="7620" cy="7620"/>
                  <wp:effectExtent l="0" t="0" r="0" b="0"/>
                  <wp:wrapNone/>
                  <wp:docPr id="64" name="Picture 64" descr="https://d.adroll.com/cm/n/out"/>
                  <wp:cNvGraphicFramePr/>
                  <a:graphic xmlns:a="http://schemas.openxmlformats.org/drawingml/2006/main">
                    <a:graphicData uri="http://schemas.openxmlformats.org/drawingml/2006/picture">
                      <pic:pic xmlns:pic="http://schemas.openxmlformats.org/drawingml/2006/picture">
                        <pic:nvPicPr>
                          <pic:cNvPr id="64" name="Picture 63"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450816" behindDoc="0" locked="0" layoutInCell="1" allowOverlap="1" wp14:anchorId="07EF1962" wp14:editId="27B4DC6C">
                      <wp:simplePos x="0" y="0"/>
                      <wp:positionH relativeFrom="column">
                        <wp:posOffset>45720</wp:posOffset>
                      </wp:positionH>
                      <wp:positionV relativeFrom="paragraph">
                        <wp:posOffset>0</wp:posOffset>
                      </wp:positionV>
                      <wp:extent cx="7620" cy="7620"/>
                      <wp:effectExtent l="0" t="0" r="0" b="0"/>
                      <wp:wrapNone/>
                      <wp:docPr id="65" name="Rectangle 65"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87BF3EE" id="Rectangle 65" o:spid="_x0000_s1026" alt="https://d.adroll.com/cm/outbrain/out" style="position:absolute;margin-left:3.6pt;margin-top:0;width:.6pt;height:.6pt;z-index:25245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68224" behindDoc="0" locked="0" layoutInCell="1" allowOverlap="1" wp14:anchorId="7AAD80D7" wp14:editId="5C55A4DA">
                  <wp:simplePos x="0" y="0"/>
                  <wp:positionH relativeFrom="column">
                    <wp:posOffset>30480</wp:posOffset>
                  </wp:positionH>
                  <wp:positionV relativeFrom="paragraph">
                    <wp:posOffset>0</wp:posOffset>
                  </wp:positionV>
                  <wp:extent cx="7620" cy="7620"/>
                  <wp:effectExtent l="0" t="0" r="0" b="0"/>
                  <wp:wrapNone/>
                  <wp:docPr id="82" name="Picture 82" descr="https://d.adroll.com/cm/n/out"/>
                  <wp:cNvGraphicFramePr/>
                  <a:graphic xmlns:a="http://schemas.openxmlformats.org/drawingml/2006/main">
                    <a:graphicData uri="http://schemas.openxmlformats.org/drawingml/2006/picture">
                      <pic:pic xmlns:pic="http://schemas.openxmlformats.org/drawingml/2006/picture">
                        <pic:nvPicPr>
                          <pic:cNvPr id="82" name="Picture 81"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469248" behindDoc="0" locked="0" layoutInCell="1" allowOverlap="1" wp14:anchorId="6D34B9CE" wp14:editId="61CCF621">
                      <wp:simplePos x="0" y="0"/>
                      <wp:positionH relativeFrom="column">
                        <wp:posOffset>45720</wp:posOffset>
                      </wp:positionH>
                      <wp:positionV relativeFrom="paragraph">
                        <wp:posOffset>0</wp:posOffset>
                      </wp:positionV>
                      <wp:extent cx="7620" cy="7620"/>
                      <wp:effectExtent l="0" t="0" r="0" b="0"/>
                      <wp:wrapNone/>
                      <wp:docPr id="83" name="Rectangle 83"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62C0454B" id="Rectangle 83" o:spid="_x0000_s1026" alt="https://d.adroll.com/cm/outbrain/out" style="position:absolute;margin-left:3.6pt;margin-top:0;width:.6pt;height:.6pt;z-index:25246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51840" behindDoc="0" locked="0" layoutInCell="1" allowOverlap="1" wp14:anchorId="1AC8FDDD" wp14:editId="6FCFE0EA">
                      <wp:simplePos x="0" y="0"/>
                      <wp:positionH relativeFrom="column">
                        <wp:posOffset>60960</wp:posOffset>
                      </wp:positionH>
                      <wp:positionV relativeFrom="paragraph">
                        <wp:posOffset>0</wp:posOffset>
                      </wp:positionV>
                      <wp:extent cx="7620" cy="7620"/>
                      <wp:effectExtent l="0" t="0" r="0" b="0"/>
                      <wp:wrapNone/>
                      <wp:docPr id="66" name="Rectangle 66"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3EB8283" id="Rectangle 66" o:spid="_x0000_s1026" alt="https://d.adroll.com/cm/pubmatic/out" style="position:absolute;margin-left:4.8pt;margin-top:0;width:.6pt;height:.6pt;z-index:25245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2o2JHBsCAAAq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52864" behindDoc="0" locked="0" layoutInCell="1" allowOverlap="1" wp14:anchorId="2BBFBBA9" wp14:editId="555F6A30">
                      <wp:simplePos x="0" y="0"/>
                      <wp:positionH relativeFrom="column">
                        <wp:posOffset>76200</wp:posOffset>
                      </wp:positionH>
                      <wp:positionV relativeFrom="paragraph">
                        <wp:posOffset>0</wp:posOffset>
                      </wp:positionV>
                      <wp:extent cx="7620" cy="7620"/>
                      <wp:effectExtent l="0" t="0" r="0" b="0"/>
                      <wp:wrapNone/>
                      <wp:docPr id="67" name="Rectangle 67"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32DE63E5" id="Rectangle 67" o:spid="_x0000_s1026" alt="https://d.adroll.com/cm/taboola/out" style="position:absolute;margin-left:6pt;margin-top:0;width:.6pt;height:.6pt;z-index:25245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70272" behindDoc="0" locked="0" layoutInCell="1" allowOverlap="1" wp14:anchorId="758F1AF5" wp14:editId="5C4BC931">
                      <wp:simplePos x="0" y="0"/>
                      <wp:positionH relativeFrom="column">
                        <wp:posOffset>60960</wp:posOffset>
                      </wp:positionH>
                      <wp:positionV relativeFrom="paragraph">
                        <wp:posOffset>0</wp:posOffset>
                      </wp:positionV>
                      <wp:extent cx="7620" cy="7620"/>
                      <wp:effectExtent l="0" t="0" r="0" b="0"/>
                      <wp:wrapNone/>
                      <wp:docPr id="84" name="Rectangle 84"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CE634FA" id="Rectangle 84" o:spid="_x0000_s1026" alt="https://d.adroll.com/cm/pubmatic/out" style="position:absolute;margin-left:4.8pt;margin-top:0;width:.6pt;height:.6pt;z-index:25247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ANuvHBsCAAAq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71296" behindDoc="0" locked="0" layoutInCell="1" allowOverlap="1" wp14:anchorId="0E0A1DAC" wp14:editId="5F2091D3">
                      <wp:simplePos x="0" y="0"/>
                      <wp:positionH relativeFrom="column">
                        <wp:posOffset>76200</wp:posOffset>
                      </wp:positionH>
                      <wp:positionV relativeFrom="paragraph">
                        <wp:posOffset>0</wp:posOffset>
                      </wp:positionV>
                      <wp:extent cx="7620" cy="7620"/>
                      <wp:effectExtent l="0" t="0" r="0" b="0"/>
                      <wp:wrapNone/>
                      <wp:docPr id="85" name="Rectangle 85"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51AEACC2" id="Rectangle 85" o:spid="_x0000_s1026" alt="https://d.adroll.com/cm/taboola/out" style="position:absolute;margin-left:6pt;margin-top:0;width:.6pt;height:.6pt;z-index:25247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iyj9VxoCAAAp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48768" behindDoc="0" locked="0" layoutInCell="1" allowOverlap="1" wp14:anchorId="3520FBEB" wp14:editId="3735FFAA">
                  <wp:simplePos x="0" y="0"/>
                  <wp:positionH relativeFrom="column">
                    <wp:posOffset>15240</wp:posOffset>
                  </wp:positionH>
                  <wp:positionV relativeFrom="paragraph">
                    <wp:posOffset>0</wp:posOffset>
                  </wp:positionV>
                  <wp:extent cx="7620" cy="7620"/>
                  <wp:effectExtent l="0" t="0" r="0" b="0"/>
                  <wp:wrapNone/>
                  <wp:docPr id="63" name="Picture 63" descr="https://d.adroll.com/cm/index/out"/>
                  <wp:cNvGraphicFramePr/>
                  <a:graphic xmlns:a="http://schemas.openxmlformats.org/drawingml/2006/main">
                    <a:graphicData uri="http://schemas.openxmlformats.org/drawingml/2006/picture">
                      <pic:pic xmlns:pic="http://schemas.openxmlformats.org/drawingml/2006/picture">
                        <pic:nvPicPr>
                          <pic:cNvPr id="63" name="Picture 62"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467200" behindDoc="0" locked="0" layoutInCell="1" allowOverlap="1" wp14:anchorId="4D6D3532" wp14:editId="0B024C88">
                  <wp:simplePos x="0" y="0"/>
                  <wp:positionH relativeFrom="column">
                    <wp:posOffset>15240</wp:posOffset>
                  </wp:positionH>
                  <wp:positionV relativeFrom="paragraph">
                    <wp:posOffset>0</wp:posOffset>
                  </wp:positionV>
                  <wp:extent cx="7620" cy="7620"/>
                  <wp:effectExtent l="0" t="0" r="0" b="0"/>
                  <wp:wrapNone/>
                  <wp:docPr id="81" name="Picture 81" descr="https://d.adroll.com/cm/index/out"/>
                  <wp:cNvGraphicFramePr/>
                  <a:graphic xmlns:a="http://schemas.openxmlformats.org/drawingml/2006/main">
                    <a:graphicData uri="http://schemas.openxmlformats.org/drawingml/2006/picture">
                      <pic:pic xmlns:pic="http://schemas.openxmlformats.org/drawingml/2006/picture">
                        <pic:nvPicPr>
                          <pic:cNvPr id="81" name="Picture 80"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4904C0F2"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2AF9B796"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566ADA61" w14:textId="77777777" w:rsidR="006E6567" w:rsidRPr="00B0148D" w:rsidRDefault="006E6567" w:rsidP="006E6567">
            <w:pPr>
              <w:spacing w:after="0" w:line="240" w:lineRule="auto"/>
              <w:rPr>
                <w:rFonts w:ascii="Calibri" w:eastAsia="Times New Roman" w:hAnsi="Calibri" w:cs="Times New Roman"/>
                <w:lang w:val="fi-FI" w:eastAsia="fi-FI"/>
              </w:rPr>
            </w:pPr>
          </w:p>
        </w:tc>
        <w:tc>
          <w:tcPr>
            <w:tcW w:w="1920" w:type="dxa"/>
            <w:tcBorders>
              <w:top w:val="nil"/>
              <w:left w:val="nil"/>
              <w:bottom w:val="nil"/>
              <w:right w:val="nil"/>
            </w:tcBorders>
            <w:shd w:val="clear" w:color="auto" w:fill="auto"/>
            <w:noWrap/>
            <w:vAlign w:val="bottom"/>
            <w:hideMark/>
          </w:tcPr>
          <w:p w14:paraId="5C48AC9A" w14:textId="15C276F4" w:rsidR="006E6567" w:rsidRPr="00B0148D" w:rsidRDefault="006E6567" w:rsidP="006E6567">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453888" behindDoc="0" locked="0" layoutInCell="1" allowOverlap="1" wp14:anchorId="719E9C4C" wp14:editId="430AF0BE">
                      <wp:simplePos x="0" y="0"/>
                      <wp:positionH relativeFrom="column">
                        <wp:posOffset>0</wp:posOffset>
                      </wp:positionH>
                      <wp:positionV relativeFrom="paragraph">
                        <wp:posOffset>0</wp:posOffset>
                      </wp:positionV>
                      <wp:extent cx="7620" cy="7620"/>
                      <wp:effectExtent l="0" t="0" r="0" b="0"/>
                      <wp:wrapNone/>
                      <wp:docPr id="68" name="Rectangle 68"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48692CF" id="Rectangle 68" o:spid="_x0000_s1026" alt="https://d.adroll.com/cm/aol/out" style="position:absolute;margin-left:0;margin-top:0;width:.6pt;height:.6pt;z-index:25245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AiZI2L&#10;FwIAACU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72320" behindDoc="0" locked="0" layoutInCell="1" allowOverlap="1" wp14:anchorId="6CDF0758" wp14:editId="223BAD78">
                      <wp:simplePos x="0" y="0"/>
                      <wp:positionH relativeFrom="column">
                        <wp:posOffset>0</wp:posOffset>
                      </wp:positionH>
                      <wp:positionV relativeFrom="paragraph">
                        <wp:posOffset>0</wp:posOffset>
                      </wp:positionV>
                      <wp:extent cx="7620" cy="7620"/>
                      <wp:effectExtent l="0" t="0" r="0" b="0"/>
                      <wp:wrapNone/>
                      <wp:docPr id="86" name="Rectangle 86"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B46CDCA" id="Rectangle 86" o:spid="_x0000_s1026" alt="https://d.adroll.com/cm/aol/out" style="position:absolute;margin-left:0;margin-top:0;width:.6pt;height:.6pt;z-index:25247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A+nJk3&#10;FwIAACU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55936" behindDoc="0" locked="0" layoutInCell="1" allowOverlap="1" wp14:anchorId="43299F00" wp14:editId="46202000">
                  <wp:simplePos x="0" y="0"/>
                  <wp:positionH relativeFrom="column">
                    <wp:posOffset>30480</wp:posOffset>
                  </wp:positionH>
                  <wp:positionV relativeFrom="paragraph">
                    <wp:posOffset>0</wp:posOffset>
                  </wp:positionV>
                  <wp:extent cx="7620" cy="7620"/>
                  <wp:effectExtent l="0" t="0" r="0" b="0"/>
                  <wp:wrapNone/>
                  <wp:docPr id="70" name="Picture 70" descr="https://d.adroll.com/cm/n/out"/>
                  <wp:cNvGraphicFramePr/>
                  <a:graphic xmlns:a="http://schemas.openxmlformats.org/drawingml/2006/main">
                    <a:graphicData uri="http://schemas.openxmlformats.org/drawingml/2006/picture">
                      <pic:pic xmlns:pic="http://schemas.openxmlformats.org/drawingml/2006/picture">
                        <pic:nvPicPr>
                          <pic:cNvPr id="70" name="Picture 69"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456960" behindDoc="0" locked="0" layoutInCell="1" allowOverlap="1" wp14:anchorId="2EC5895C" wp14:editId="6FDD08AE">
                      <wp:simplePos x="0" y="0"/>
                      <wp:positionH relativeFrom="column">
                        <wp:posOffset>45720</wp:posOffset>
                      </wp:positionH>
                      <wp:positionV relativeFrom="paragraph">
                        <wp:posOffset>0</wp:posOffset>
                      </wp:positionV>
                      <wp:extent cx="7620" cy="7620"/>
                      <wp:effectExtent l="0" t="0" r="0" b="0"/>
                      <wp:wrapNone/>
                      <wp:docPr id="71" name="Rectangle 71"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A3872A5" id="Rectangle 71" o:spid="_x0000_s1026" alt="https://d.adroll.com/cm/outbrain/out" style="position:absolute;margin-left:3.6pt;margin-top:0;width:.6pt;height:.6pt;z-index:25245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74368" behindDoc="0" locked="0" layoutInCell="1" allowOverlap="1" wp14:anchorId="6B335766" wp14:editId="45D8CE1A">
                  <wp:simplePos x="0" y="0"/>
                  <wp:positionH relativeFrom="column">
                    <wp:posOffset>30480</wp:posOffset>
                  </wp:positionH>
                  <wp:positionV relativeFrom="paragraph">
                    <wp:posOffset>0</wp:posOffset>
                  </wp:positionV>
                  <wp:extent cx="7620" cy="7620"/>
                  <wp:effectExtent l="0" t="0" r="0" b="0"/>
                  <wp:wrapNone/>
                  <wp:docPr id="88" name="Picture 88" descr="https://d.adroll.com/cm/n/out"/>
                  <wp:cNvGraphicFramePr/>
                  <a:graphic xmlns:a="http://schemas.openxmlformats.org/drawingml/2006/main">
                    <a:graphicData uri="http://schemas.openxmlformats.org/drawingml/2006/picture">
                      <pic:pic xmlns:pic="http://schemas.openxmlformats.org/drawingml/2006/picture">
                        <pic:nvPicPr>
                          <pic:cNvPr id="88" name="Picture 87"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475392" behindDoc="0" locked="0" layoutInCell="1" allowOverlap="1" wp14:anchorId="2BACE11D" wp14:editId="5C218241">
                      <wp:simplePos x="0" y="0"/>
                      <wp:positionH relativeFrom="column">
                        <wp:posOffset>45720</wp:posOffset>
                      </wp:positionH>
                      <wp:positionV relativeFrom="paragraph">
                        <wp:posOffset>0</wp:posOffset>
                      </wp:positionV>
                      <wp:extent cx="7620" cy="7620"/>
                      <wp:effectExtent l="0" t="0" r="0" b="0"/>
                      <wp:wrapNone/>
                      <wp:docPr id="89" name="Rectangle 89"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5EB1A000" id="Rectangle 89" o:spid="_x0000_s1026" alt="https://d.adroll.com/cm/outbrain/out" style="position:absolute;margin-left:3.6pt;margin-top:0;width:.6pt;height:.6pt;z-index:25247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57984" behindDoc="0" locked="0" layoutInCell="1" allowOverlap="1" wp14:anchorId="2244CF28" wp14:editId="3F0786BB">
                      <wp:simplePos x="0" y="0"/>
                      <wp:positionH relativeFrom="column">
                        <wp:posOffset>60960</wp:posOffset>
                      </wp:positionH>
                      <wp:positionV relativeFrom="paragraph">
                        <wp:posOffset>0</wp:posOffset>
                      </wp:positionV>
                      <wp:extent cx="7620" cy="7620"/>
                      <wp:effectExtent l="0" t="0" r="0" b="0"/>
                      <wp:wrapNone/>
                      <wp:docPr id="72" name="Rectangle 72"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53903AF" id="Rectangle 72" o:spid="_x0000_s1026" alt="https://d.adroll.com/cm/pubmatic/out" style="position:absolute;margin-left:4.8pt;margin-top:0;width:.6pt;height:.6pt;z-index:25245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59008" behindDoc="0" locked="0" layoutInCell="1" allowOverlap="1" wp14:anchorId="44CBFF28" wp14:editId="43DE5537">
                      <wp:simplePos x="0" y="0"/>
                      <wp:positionH relativeFrom="column">
                        <wp:posOffset>76200</wp:posOffset>
                      </wp:positionH>
                      <wp:positionV relativeFrom="paragraph">
                        <wp:posOffset>0</wp:posOffset>
                      </wp:positionV>
                      <wp:extent cx="7620" cy="7620"/>
                      <wp:effectExtent l="0" t="0" r="0" b="0"/>
                      <wp:wrapNone/>
                      <wp:docPr id="73" name="Rectangle 73"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A601B3B" id="Rectangle 73" o:spid="_x0000_s1026" alt="https://d.adroll.com/cm/taboola/out" style="position:absolute;margin-left:6pt;margin-top:0;width:.6pt;height:.6pt;z-index:25245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76416" behindDoc="0" locked="0" layoutInCell="1" allowOverlap="1" wp14:anchorId="61088243" wp14:editId="68765A31">
                      <wp:simplePos x="0" y="0"/>
                      <wp:positionH relativeFrom="column">
                        <wp:posOffset>60960</wp:posOffset>
                      </wp:positionH>
                      <wp:positionV relativeFrom="paragraph">
                        <wp:posOffset>0</wp:posOffset>
                      </wp:positionV>
                      <wp:extent cx="7620" cy="7620"/>
                      <wp:effectExtent l="0" t="0" r="0" b="0"/>
                      <wp:wrapNone/>
                      <wp:docPr id="90" name="Rectangle 90"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1C2CB8A" id="Rectangle 90" o:spid="_x0000_s1026" alt="https://d.adroll.com/cm/pubmatic/out" style="position:absolute;margin-left:4.8pt;margin-top:0;width:.6pt;height:.6pt;z-index:25247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77440" behindDoc="0" locked="0" layoutInCell="1" allowOverlap="1" wp14:anchorId="1E7A314A" wp14:editId="29CF5E1B">
                      <wp:simplePos x="0" y="0"/>
                      <wp:positionH relativeFrom="column">
                        <wp:posOffset>76200</wp:posOffset>
                      </wp:positionH>
                      <wp:positionV relativeFrom="paragraph">
                        <wp:posOffset>0</wp:posOffset>
                      </wp:positionV>
                      <wp:extent cx="7620" cy="7620"/>
                      <wp:effectExtent l="0" t="0" r="0" b="0"/>
                      <wp:wrapNone/>
                      <wp:docPr id="91" name="Rectangle 91"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B615340" id="Rectangle 91" o:spid="_x0000_s1026" alt="https://d.adroll.com/cm/taboola/out" style="position:absolute;margin-left:6pt;margin-top:0;width:.6pt;height:.6pt;z-index:25247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54912" behindDoc="0" locked="0" layoutInCell="1" allowOverlap="1" wp14:anchorId="50C19B67" wp14:editId="382ACEEB">
                  <wp:simplePos x="0" y="0"/>
                  <wp:positionH relativeFrom="column">
                    <wp:posOffset>15240</wp:posOffset>
                  </wp:positionH>
                  <wp:positionV relativeFrom="paragraph">
                    <wp:posOffset>0</wp:posOffset>
                  </wp:positionV>
                  <wp:extent cx="7620" cy="7620"/>
                  <wp:effectExtent l="0" t="0" r="0" b="0"/>
                  <wp:wrapNone/>
                  <wp:docPr id="69" name="Picture 69" descr="https://d.adroll.com/cm/index/out"/>
                  <wp:cNvGraphicFramePr/>
                  <a:graphic xmlns:a="http://schemas.openxmlformats.org/drawingml/2006/main">
                    <a:graphicData uri="http://schemas.openxmlformats.org/drawingml/2006/picture">
                      <pic:pic xmlns:pic="http://schemas.openxmlformats.org/drawingml/2006/picture">
                        <pic:nvPicPr>
                          <pic:cNvPr id="69" name="Picture 68"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473344" behindDoc="0" locked="0" layoutInCell="1" allowOverlap="1" wp14:anchorId="2E73AF1D" wp14:editId="37DAD1AC">
                  <wp:simplePos x="0" y="0"/>
                  <wp:positionH relativeFrom="column">
                    <wp:posOffset>15240</wp:posOffset>
                  </wp:positionH>
                  <wp:positionV relativeFrom="paragraph">
                    <wp:posOffset>0</wp:posOffset>
                  </wp:positionV>
                  <wp:extent cx="7620" cy="7620"/>
                  <wp:effectExtent l="0" t="0" r="0" b="0"/>
                  <wp:wrapNone/>
                  <wp:docPr id="87" name="Picture 87" descr="https://d.adroll.com/cm/index/out"/>
                  <wp:cNvGraphicFramePr/>
                  <a:graphic xmlns:a="http://schemas.openxmlformats.org/drawingml/2006/main">
                    <a:graphicData uri="http://schemas.openxmlformats.org/drawingml/2006/picture">
                      <pic:pic xmlns:pic="http://schemas.openxmlformats.org/drawingml/2006/picture">
                        <pic:nvPicPr>
                          <pic:cNvPr id="87" name="Picture 86"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412B3F3F"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6B128954"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332624BC" w14:textId="77777777" w:rsidR="006E6567" w:rsidRPr="00B0148D" w:rsidRDefault="006E6567" w:rsidP="006E6567">
            <w:pPr>
              <w:spacing w:after="0" w:line="240" w:lineRule="auto"/>
              <w:rPr>
                <w:rFonts w:ascii="Calibri" w:eastAsia="Times New Roman" w:hAnsi="Calibri" w:cs="Times New Roman"/>
                <w:lang w:val="fi-FI" w:eastAsia="fi-FI"/>
              </w:rPr>
            </w:pPr>
          </w:p>
        </w:tc>
        <w:tc>
          <w:tcPr>
            <w:tcW w:w="1920" w:type="dxa"/>
            <w:tcBorders>
              <w:top w:val="nil"/>
              <w:left w:val="nil"/>
              <w:bottom w:val="nil"/>
              <w:right w:val="nil"/>
            </w:tcBorders>
            <w:shd w:val="clear" w:color="auto" w:fill="auto"/>
            <w:noWrap/>
            <w:vAlign w:val="bottom"/>
            <w:hideMark/>
          </w:tcPr>
          <w:p w14:paraId="595C19C3" w14:textId="5F593C52" w:rsidR="006E6567" w:rsidRPr="00B0148D" w:rsidRDefault="006E6567" w:rsidP="006E6567">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460032" behindDoc="0" locked="0" layoutInCell="1" allowOverlap="1" wp14:anchorId="2711A635" wp14:editId="43E911B6">
                      <wp:simplePos x="0" y="0"/>
                      <wp:positionH relativeFrom="column">
                        <wp:posOffset>0</wp:posOffset>
                      </wp:positionH>
                      <wp:positionV relativeFrom="paragraph">
                        <wp:posOffset>0</wp:posOffset>
                      </wp:positionV>
                      <wp:extent cx="7620" cy="7620"/>
                      <wp:effectExtent l="0" t="0" r="0" b="0"/>
                      <wp:wrapNone/>
                      <wp:docPr id="74" name="Rectangle 74"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323AA63B" id="Rectangle 74" o:spid="_x0000_s1026" alt="https://d.adroll.com/cm/aol/out" style="position:absolute;margin-left:0;margin-top:0;width:.6pt;height:.6pt;z-index:25246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BsLXp3&#10;FwIAACU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78464" behindDoc="0" locked="0" layoutInCell="1" allowOverlap="1" wp14:anchorId="6B21FB58" wp14:editId="053D0CDC">
                      <wp:simplePos x="0" y="0"/>
                      <wp:positionH relativeFrom="column">
                        <wp:posOffset>0</wp:posOffset>
                      </wp:positionH>
                      <wp:positionV relativeFrom="paragraph">
                        <wp:posOffset>0</wp:posOffset>
                      </wp:positionV>
                      <wp:extent cx="7620" cy="7620"/>
                      <wp:effectExtent l="0" t="0" r="0" b="0"/>
                      <wp:wrapNone/>
                      <wp:docPr id="92" name="Rectangle 92"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5220CB1" id="Rectangle 92" o:spid="_x0000_s1026" alt="https://d.adroll.com/cm/aol/out" style="position:absolute;margin-left:0;margin-top:0;width:.6pt;height:.6pt;z-index:25247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D/1r2E&#10;FwIAACU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62080" behindDoc="0" locked="0" layoutInCell="1" allowOverlap="1" wp14:anchorId="11B452BC" wp14:editId="26ECDF7E">
                  <wp:simplePos x="0" y="0"/>
                  <wp:positionH relativeFrom="column">
                    <wp:posOffset>30480</wp:posOffset>
                  </wp:positionH>
                  <wp:positionV relativeFrom="paragraph">
                    <wp:posOffset>0</wp:posOffset>
                  </wp:positionV>
                  <wp:extent cx="7620" cy="7620"/>
                  <wp:effectExtent l="0" t="0" r="0" b="0"/>
                  <wp:wrapNone/>
                  <wp:docPr id="76" name="Picture 76" descr="https://d.adroll.com/cm/n/out"/>
                  <wp:cNvGraphicFramePr/>
                  <a:graphic xmlns:a="http://schemas.openxmlformats.org/drawingml/2006/main">
                    <a:graphicData uri="http://schemas.openxmlformats.org/drawingml/2006/picture">
                      <pic:pic xmlns:pic="http://schemas.openxmlformats.org/drawingml/2006/picture">
                        <pic:nvPicPr>
                          <pic:cNvPr id="76" name="Picture 75"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463104" behindDoc="0" locked="0" layoutInCell="1" allowOverlap="1" wp14:anchorId="4DD6C233" wp14:editId="2306BF61">
                      <wp:simplePos x="0" y="0"/>
                      <wp:positionH relativeFrom="column">
                        <wp:posOffset>45720</wp:posOffset>
                      </wp:positionH>
                      <wp:positionV relativeFrom="paragraph">
                        <wp:posOffset>0</wp:posOffset>
                      </wp:positionV>
                      <wp:extent cx="7620" cy="7620"/>
                      <wp:effectExtent l="0" t="0" r="0" b="0"/>
                      <wp:wrapNone/>
                      <wp:docPr id="77" name="Rectangle 77"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C74A150" id="Rectangle 77" o:spid="_x0000_s1026" alt="https://d.adroll.com/cm/outbrain/out" style="position:absolute;margin-left:3.6pt;margin-top:0;width:.6pt;height:.6pt;z-index:25246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80512" behindDoc="0" locked="0" layoutInCell="1" allowOverlap="1" wp14:anchorId="42E4F871" wp14:editId="05E48288">
                  <wp:simplePos x="0" y="0"/>
                  <wp:positionH relativeFrom="column">
                    <wp:posOffset>30480</wp:posOffset>
                  </wp:positionH>
                  <wp:positionV relativeFrom="paragraph">
                    <wp:posOffset>0</wp:posOffset>
                  </wp:positionV>
                  <wp:extent cx="7620" cy="7620"/>
                  <wp:effectExtent l="0" t="0" r="0" b="0"/>
                  <wp:wrapNone/>
                  <wp:docPr id="94" name="Picture 94" descr="https://d.adroll.com/cm/n/out"/>
                  <wp:cNvGraphicFramePr/>
                  <a:graphic xmlns:a="http://schemas.openxmlformats.org/drawingml/2006/main">
                    <a:graphicData uri="http://schemas.openxmlformats.org/drawingml/2006/picture">
                      <pic:pic xmlns:pic="http://schemas.openxmlformats.org/drawingml/2006/picture">
                        <pic:nvPicPr>
                          <pic:cNvPr id="94" name="Picture 93"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481536" behindDoc="0" locked="0" layoutInCell="1" allowOverlap="1" wp14:anchorId="651BDFB0" wp14:editId="17817E3F">
                      <wp:simplePos x="0" y="0"/>
                      <wp:positionH relativeFrom="column">
                        <wp:posOffset>45720</wp:posOffset>
                      </wp:positionH>
                      <wp:positionV relativeFrom="paragraph">
                        <wp:posOffset>0</wp:posOffset>
                      </wp:positionV>
                      <wp:extent cx="7620" cy="7620"/>
                      <wp:effectExtent l="0" t="0" r="0" b="0"/>
                      <wp:wrapNone/>
                      <wp:docPr id="95" name="Rectangle 95"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9E00F77" id="Rectangle 95" o:spid="_x0000_s1026" alt="https://d.adroll.com/cm/outbrain/out" style="position:absolute;margin-left:3.6pt;margin-top:0;width:.6pt;height:.6pt;z-index:25248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64128" behindDoc="0" locked="0" layoutInCell="1" allowOverlap="1" wp14:anchorId="79615E91" wp14:editId="58FECE67">
                      <wp:simplePos x="0" y="0"/>
                      <wp:positionH relativeFrom="column">
                        <wp:posOffset>60960</wp:posOffset>
                      </wp:positionH>
                      <wp:positionV relativeFrom="paragraph">
                        <wp:posOffset>0</wp:posOffset>
                      </wp:positionV>
                      <wp:extent cx="7620" cy="7620"/>
                      <wp:effectExtent l="0" t="0" r="0" b="0"/>
                      <wp:wrapNone/>
                      <wp:docPr id="78" name="Rectangle 78"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EC811DD" id="Rectangle 78" o:spid="_x0000_s1026" alt="https://d.adroll.com/cm/pubmatic/out" style="position:absolute;margin-left:4.8pt;margin-top:0;width:.6pt;height:.6pt;z-index:25246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65152" behindDoc="0" locked="0" layoutInCell="1" allowOverlap="1" wp14:anchorId="2775D5A4" wp14:editId="77DE383D">
                      <wp:simplePos x="0" y="0"/>
                      <wp:positionH relativeFrom="column">
                        <wp:posOffset>76200</wp:posOffset>
                      </wp:positionH>
                      <wp:positionV relativeFrom="paragraph">
                        <wp:posOffset>0</wp:posOffset>
                      </wp:positionV>
                      <wp:extent cx="7620" cy="7620"/>
                      <wp:effectExtent l="0" t="0" r="0" b="0"/>
                      <wp:wrapNone/>
                      <wp:docPr id="79" name="Rectangle 79"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F9C76AB" id="Rectangle 79" o:spid="_x0000_s1026" alt="https://d.adroll.com/cm/taboola/out" style="position:absolute;margin-left:6pt;margin-top:0;width:.6pt;height:.6pt;z-index:25246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82560" behindDoc="0" locked="0" layoutInCell="1" allowOverlap="1" wp14:anchorId="6E91BCE2" wp14:editId="6627453A">
                      <wp:simplePos x="0" y="0"/>
                      <wp:positionH relativeFrom="column">
                        <wp:posOffset>60960</wp:posOffset>
                      </wp:positionH>
                      <wp:positionV relativeFrom="paragraph">
                        <wp:posOffset>0</wp:posOffset>
                      </wp:positionV>
                      <wp:extent cx="7620" cy="7620"/>
                      <wp:effectExtent l="0" t="0" r="0" b="0"/>
                      <wp:wrapNone/>
                      <wp:docPr id="96" name="Rectangle 96"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59B00D5D" id="Rectangle 96" o:spid="_x0000_s1026" alt="https://d.adroll.com/cm/pubmatic/out" style="position:absolute;margin-left:4.8pt;margin-top:0;width:.6pt;height:.6pt;z-index:25248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483584" behindDoc="0" locked="0" layoutInCell="1" allowOverlap="1" wp14:anchorId="68080ECE" wp14:editId="361BB024">
                      <wp:simplePos x="0" y="0"/>
                      <wp:positionH relativeFrom="column">
                        <wp:posOffset>76200</wp:posOffset>
                      </wp:positionH>
                      <wp:positionV relativeFrom="paragraph">
                        <wp:posOffset>0</wp:posOffset>
                      </wp:positionV>
                      <wp:extent cx="7620" cy="7620"/>
                      <wp:effectExtent l="0" t="0" r="0" b="0"/>
                      <wp:wrapNone/>
                      <wp:docPr id="97" name="Rectangle 97"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550FE6E" id="Rectangle 97" o:spid="_x0000_s1026" alt="https://d.adroll.com/cm/taboola/out" style="position:absolute;margin-left:6pt;margin-top:0;width:.6pt;height:.6pt;z-index:25248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461056" behindDoc="0" locked="0" layoutInCell="1" allowOverlap="1" wp14:anchorId="182CD379" wp14:editId="5D13164C">
                  <wp:simplePos x="0" y="0"/>
                  <wp:positionH relativeFrom="column">
                    <wp:posOffset>15240</wp:posOffset>
                  </wp:positionH>
                  <wp:positionV relativeFrom="paragraph">
                    <wp:posOffset>0</wp:posOffset>
                  </wp:positionV>
                  <wp:extent cx="7620" cy="7620"/>
                  <wp:effectExtent l="0" t="0" r="0" b="0"/>
                  <wp:wrapNone/>
                  <wp:docPr id="75" name="Picture 75" descr="https://d.adroll.com/cm/index/out"/>
                  <wp:cNvGraphicFramePr/>
                  <a:graphic xmlns:a="http://schemas.openxmlformats.org/drawingml/2006/main">
                    <a:graphicData uri="http://schemas.openxmlformats.org/drawingml/2006/picture">
                      <pic:pic xmlns:pic="http://schemas.openxmlformats.org/drawingml/2006/picture">
                        <pic:nvPicPr>
                          <pic:cNvPr id="75" name="Picture 74"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479488" behindDoc="0" locked="0" layoutInCell="1" allowOverlap="1" wp14:anchorId="0AB98C3F" wp14:editId="1C4FCCFE">
                  <wp:simplePos x="0" y="0"/>
                  <wp:positionH relativeFrom="column">
                    <wp:posOffset>15240</wp:posOffset>
                  </wp:positionH>
                  <wp:positionV relativeFrom="paragraph">
                    <wp:posOffset>0</wp:posOffset>
                  </wp:positionV>
                  <wp:extent cx="7620" cy="7620"/>
                  <wp:effectExtent l="0" t="0" r="0" b="0"/>
                  <wp:wrapNone/>
                  <wp:docPr id="93" name="Picture 93" descr="https://d.adroll.com/cm/index/out"/>
                  <wp:cNvGraphicFramePr/>
                  <a:graphic xmlns:a="http://schemas.openxmlformats.org/drawingml/2006/main">
                    <a:graphicData uri="http://schemas.openxmlformats.org/drawingml/2006/picture">
                      <pic:pic xmlns:pic="http://schemas.openxmlformats.org/drawingml/2006/picture">
                        <pic:nvPicPr>
                          <pic:cNvPr id="93" name="Picture 92"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062DD7E8"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3D552309"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27C08546" w14:textId="77777777" w:rsidR="006E6567" w:rsidRPr="00B0148D" w:rsidRDefault="006E6567" w:rsidP="006E6567">
            <w:pPr>
              <w:spacing w:after="0" w:line="240" w:lineRule="auto"/>
              <w:rPr>
                <w:rFonts w:ascii="Calibri" w:eastAsia="Times New Roman" w:hAnsi="Calibri" w:cs="Times New Roman"/>
                <w:lang w:val="fi-FI" w:eastAsia="fi-FI"/>
              </w:rPr>
            </w:pPr>
          </w:p>
        </w:tc>
      </w:tr>
      <w:tr w:rsidR="00B0148D" w:rsidRPr="00B0148D" w14:paraId="37030D4D" w14:textId="77777777" w:rsidTr="006E6567">
        <w:trPr>
          <w:trHeight w:val="639"/>
        </w:trPr>
        <w:tc>
          <w:tcPr>
            <w:tcW w:w="2020" w:type="dxa"/>
            <w:tcBorders>
              <w:top w:val="nil"/>
              <w:left w:val="nil"/>
              <w:bottom w:val="nil"/>
              <w:right w:val="nil"/>
            </w:tcBorders>
            <w:shd w:val="clear" w:color="000000" w:fill="FFFFFF"/>
            <w:noWrap/>
            <w:vAlign w:val="center"/>
            <w:hideMark/>
          </w:tcPr>
          <w:p w14:paraId="779C8CDF" w14:textId="77777777" w:rsidR="006E6567" w:rsidRPr="00B0148D" w:rsidRDefault="006E6567" w:rsidP="006E656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Conservation</w:t>
            </w:r>
          </w:p>
        </w:tc>
        <w:tc>
          <w:tcPr>
            <w:tcW w:w="1920"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305F3F73" w14:textId="77777777">
              <w:trPr>
                <w:trHeight w:val="639"/>
                <w:tblCellSpacing w:w="0" w:type="dxa"/>
              </w:trPr>
              <w:tc>
                <w:tcPr>
                  <w:tcW w:w="1920" w:type="dxa"/>
                  <w:tcBorders>
                    <w:top w:val="nil"/>
                    <w:left w:val="nil"/>
                    <w:bottom w:val="nil"/>
                    <w:right w:val="nil"/>
                  </w:tcBorders>
                  <w:shd w:val="clear" w:color="000000" w:fill="FFFFFF"/>
                  <w:vAlign w:val="center"/>
                  <w:hideMark/>
                </w:tcPr>
                <w:p w14:paraId="4FC0BEA9" w14:textId="0D8360AB"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Calibri" w:eastAsia="Times New Roman" w:hAnsi="Calibri" w:cs="Times New Roman"/>
                      <w:noProof/>
                      <w:lang w:val="fi-FI" w:eastAsia="fi-FI"/>
                    </w:rPr>
                    <w:drawing>
                      <wp:anchor distT="0" distB="0" distL="114300" distR="114300" simplePos="0" relativeHeight="252441600" behindDoc="0" locked="0" layoutInCell="1" allowOverlap="1" wp14:anchorId="0B4604B6" wp14:editId="0E5A8773">
                        <wp:simplePos x="0" y="0"/>
                        <wp:positionH relativeFrom="column">
                          <wp:posOffset>0</wp:posOffset>
                        </wp:positionH>
                        <wp:positionV relativeFrom="paragraph">
                          <wp:posOffset>0</wp:posOffset>
                        </wp:positionV>
                        <wp:extent cx="7620" cy="7620"/>
                        <wp:effectExtent l="0" t="0" r="0" b="0"/>
                        <wp:wrapNone/>
                        <wp:docPr id="56" name="Picture 56" descr="https://d.adroll.com/cm/r/out"/>
                        <wp:cNvGraphicFramePr/>
                        <a:graphic xmlns:a="http://schemas.openxmlformats.org/drawingml/2006/main">
                          <a:graphicData uri="http://schemas.openxmlformats.org/drawingml/2006/picture">
                            <pic:pic xmlns:pic="http://schemas.openxmlformats.org/drawingml/2006/picture">
                              <pic:nvPicPr>
                                <pic:cNvPr id="56" name="Picture 55" descr="https://d.adroll.com/cm/r/ou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443648" behindDoc="0" locked="0" layoutInCell="1" allowOverlap="1" wp14:anchorId="182F79F5" wp14:editId="2A008A76">
                        <wp:simplePos x="0" y="0"/>
                        <wp:positionH relativeFrom="column">
                          <wp:posOffset>30480</wp:posOffset>
                        </wp:positionH>
                        <wp:positionV relativeFrom="paragraph">
                          <wp:posOffset>0</wp:posOffset>
                        </wp:positionV>
                        <wp:extent cx="7620" cy="7620"/>
                        <wp:effectExtent l="0" t="0" r="0" b="0"/>
                        <wp:wrapNone/>
                        <wp:docPr id="58" name="Picture 58" descr="https://d.adroll.com/cm/x/out"/>
                        <wp:cNvGraphicFramePr/>
                        <a:graphic xmlns:a="http://schemas.openxmlformats.org/drawingml/2006/main">
                          <a:graphicData uri="http://schemas.openxmlformats.org/drawingml/2006/picture">
                            <pic:pic xmlns:pic="http://schemas.openxmlformats.org/drawingml/2006/picture">
                              <pic:nvPicPr>
                                <pic:cNvPr id="58" name="Picture 57" descr="https://d.adroll.com/cm/x/ou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444672" behindDoc="0" locked="0" layoutInCell="1" allowOverlap="1" wp14:anchorId="70667C8D" wp14:editId="2BD4C76E">
                        <wp:simplePos x="0" y="0"/>
                        <wp:positionH relativeFrom="column">
                          <wp:posOffset>45720</wp:posOffset>
                        </wp:positionH>
                        <wp:positionV relativeFrom="paragraph">
                          <wp:posOffset>0</wp:posOffset>
                        </wp:positionV>
                        <wp:extent cx="7620" cy="7620"/>
                        <wp:effectExtent l="0" t="0" r="0" b="0"/>
                        <wp:wrapNone/>
                        <wp:docPr id="59" name="Picture 59" descr="https://d.adroll.com/cm/l/out"/>
                        <wp:cNvGraphicFramePr/>
                        <a:graphic xmlns:a="http://schemas.openxmlformats.org/drawingml/2006/main">
                          <a:graphicData uri="http://schemas.openxmlformats.org/drawingml/2006/picture">
                            <pic:pic xmlns:pic="http://schemas.openxmlformats.org/drawingml/2006/picture">
                              <pic:nvPicPr>
                                <pic:cNvPr id="59" name="Picture 58" descr="https://d.adroll.com/cm/l/ou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445696" behindDoc="0" locked="0" layoutInCell="1" allowOverlap="1" wp14:anchorId="26C5112E" wp14:editId="33EA359D">
                        <wp:simplePos x="0" y="0"/>
                        <wp:positionH relativeFrom="column">
                          <wp:posOffset>60960</wp:posOffset>
                        </wp:positionH>
                        <wp:positionV relativeFrom="paragraph">
                          <wp:posOffset>0</wp:posOffset>
                        </wp:positionV>
                        <wp:extent cx="7620" cy="7620"/>
                        <wp:effectExtent l="0" t="0" r="0" b="0"/>
                        <wp:wrapNone/>
                        <wp:docPr id="60" name="Picture 60" descr="https://d.adroll.com/cm/o/out"/>
                        <wp:cNvGraphicFramePr/>
                        <a:graphic xmlns:a="http://schemas.openxmlformats.org/drawingml/2006/main">
                          <a:graphicData uri="http://schemas.openxmlformats.org/drawingml/2006/picture">
                            <pic:pic xmlns:pic="http://schemas.openxmlformats.org/drawingml/2006/picture">
                              <pic:nvPicPr>
                                <pic:cNvPr id="60" name="Picture 59" descr="https://d.adroll.com/cm/o/ou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446720" behindDoc="0" locked="0" layoutInCell="1" allowOverlap="1" wp14:anchorId="7130D12C" wp14:editId="5B442C6C">
                        <wp:simplePos x="0" y="0"/>
                        <wp:positionH relativeFrom="column">
                          <wp:posOffset>76200</wp:posOffset>
                        </wp:positionH>
                        <wp:positionV relativeFrom="paragraph">
                          <wp:posOffset>0</wp:posOffset>
                        </wp:positionV>
                        <wp:extent cx="7620" cy="7620"/>
                        <wp:effectExtent l="0" t="0" r="0" b="0"/>
                        <wp:wrapNone/>
                        <wp:docPr id="61" name="Picture 61" descr="https://d.adroll.com/cm/g/out?google_nid=adroll4"/>
                        <wp:cNvGraphicFramePr/>
                        <a:graphic xmlns:a="http://schemas.openxmlformats.org/drawingml/2006/main">
                          <a:graphicData uri="http://schemas.openxmlformats.org/drawingml/2006/picture">
                            <pic:pic xmlns:pic="http://schemas.openxmlformats.org/drawingml/2006/picture">
                              <pic:nvPicPr>
                                <pic:cNvPr id="61" name="Picture 60" descr="https://d.adroll.com/cm/g/out?google_nid=adroll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442624" behindDoc="0" locked="0" layoutInCell="1" allowOverlap="1" wp14:anchorId="78D57F6A" wp14:editId="703F22D1">
                        <wp:simplePos x="0" y="0"/>
                        <wp:positionH relativeFrom="column">
                          <wp:posOffset>15240</wp:posOffset>
                        </wp:positionH>
                        <wp:positionV relativeFrom="paragraph">
                          <wp:posOffset>0</wp:posOffset>
                        </wp:positionV>
                        <wp:extent cx="7620" cy="7620"/>
                        <wp:effectExtent l="0" t="0" r="0" b="0"/>
                        <wp:wrapNone/>
                        <wp:docPr id="57" name="Picture 57" descr="https://d.adroll.com/cm/b/out"/>
                        <wp:cNvGraphicFramePr/>
                        <a:graphic xmlns:a="http://schemas.openxmlformats.org/drawingml/2006/main">
                          <a:graphicData uri="http://schemas.openxmlformats.org/drawingml/2006/picture">
                            <pic:pic xmlns:pic="http://schemas.openxmlformats.org/drawingml/2006/picture">
                              <pic:nvPicPr>
                                <pic:cNvPr id="57" name="Picture 56" descr="https://d.adroll.com/cm/b/ou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Times New Roman" w:eastAsia="Times New Roman" w:hAnsi="Times New Roman" w:cs="Times New Roman"/>
                      <w:sz w:val="20"/>
                      <w:szCs w:val="20"/>
                      <w:lang w:val="fi-FI" w:eastAsia="fi-FI"/>
                    </w:rPr>
                    <w:t>0.79                                  (0.61-1.04)</w:t>
                  </w:r>
                </w:p>
              </w:tc>
            </w:tr>
          </w:tbl>
          <w:p w14:paraId="5111E163" w14:textId="77777777" w:rsidR="006E6567" w:rsidRPr="00B0148D" w:rsidRDefault="006E6567" w:rsidP="006E6567">
            <w:pPr>
              <w:spacing w:after="0" w:line="240" w:lineRule="auto"/>
              <w:rPr>
                <w:rFonts w:ascii="Calibri" w:eastAsia="Times New Roman" w:hAnsi="Calibri" w:cs="Times New Roman"/>
                <w:lang w:val="fi-FI" w:eastAsia="fi-FI"/>
              </w:rPr>
            </w:pPr>
          </w:p>
        </w:tc>
        <w:tc>
          <w:tcPr>
            <w:tcW w:w="1920" w:type="dxa"/>
            <w:tcBorders>
              <w:top w:val="nil"/>
              <w:left w:val="nil"/>
              <w:bottom w:val="nil"/>
              <w:right w:val="nil"/>
            </w:tcBorders>
            <w:shd w:val="clear" w:color="000000" w:fill="FFFFFF"/>
            <w:vAlign w:val="center"/>
            <w:hideMark/>
          </w:tcPr>
          <w:p w14:paraId="36007F2A"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0.74                         (0.57-0.96)*</w:t>
            </w:r>
          </w:p>
        </w:tc>
        <w:tc>
          <w:tcPr>
            <w:tcW w:w="1920" w:type="dxa"/>
            <w:tcBorders>
              <w:top w:val="nil"/>
              <w:left w:val="nil"/>
              <w:bottom w:val="nil"/>
              <w:right w:val="nil"/>
            </w:tcBorders>
            <w:shd w:val="clear" w:color="000000" w:fill="FFFFFF"/>
            <w:vAlign w:val="center"/>
            <w:hideMark/>
          </w:tcPr>
          <w:p w14:paraId="4C1B2CD3"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0.79                         (0.61-1.03)</w:t>
            </w:r>
          </w:p>
        </w:tc>
        <w:tc>
          <w:tcPr>
            <w:tcW w:w="1920" w:type="dxa"/>
            <w:tcBorders>
              <w:top w:val="nil"/>
              <w:left w:val="nil"/>
              <w:bottom w:val="nil"/>
              <w:right w:val="nil"/>
            </w:tcBorders>
            <w:shd w:val="clear" w:color="000000" w:fill="FFFFFF"/>
            <w:vAlign w:val="center"/>
            <w:hideMark/>
          </w:tcPr>
          <w:p w14:paraId="499367D4"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0.74                         (0.58-0.95)*</w:t>
            </w:r>
          </w:p>
        </w:tc>
      </w:tr>
      <w:tr w:rsidR="00B0148D" w:rsidRPr="00B0148D" w14:paraId="43A275BD" w14:textId="77777777" w:rsidTr="006E6567">
        <w:trPr>
          <w:trHeight w:val="639"/>
        </w:trPr>
        <w:tc>
          <w:tcPr>
            <w:tcW w:w="2020" w:type="dxa"/>
            <w:tcBorders>
              <w:top w:val="nil"/>
              <w:left w:val="nil"/>
              <w:bottom w:val="nil"/>
              <w:right w:val="nil"/>
            </w:tcBorders>
            <w:shd w:val="clear" w:color="000000" w:fill="FFFFFF"/>
            <w:noWrap/>
            <w:vAlign w:val="center"/>
            <w:hideMark/>
          </w:tcPr>
          <w:p w14:paraId="0B222249" w14:textId="77777777" w:rsidR="006E6567" w:rsidRPr="00B0148D" w:rsidRDefault="006E6567" w:rsidP="006E656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Self-transcendence</w:t>
            </w:r>
          </w:p>
        </w:tc>
        <w:tc>
          <w:tcPr>
            <w:tcW w:w="1920" w:type="dxa"/>
            <w:tcBorders>
              <w:top w:val="nil"/>
              <w:left w:val="nil"/>
              <w:bottom w:val="nil"/>
              <w:right w:val="nil"/>
            </w:tcBorders>
            <w:shd w:val="clear" w:color="000000" w:fill="FFFFFF"/>
            <w:vAlign w:val="center"/>
            <w:hideMark/>
          </w:tcPr>
          <w:p w14:paraId="3789FFCB"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1.16                         (0.87-1.54)</w:t>
            </w:r>
          </w:p>
        </w:tc>
        <w:tc>
          <w:tcPr>
            <w:tcW w:w="1920" w:type="dxa"/>
            <w:tcBorders>
              <w:top w:val="nil"/>
              <w:left w:val="nil"/>
              <w:bottom w:val="nil"/>
              <w:right w:val="nil"/>
            </w:tcBorders>
            <w:shd w:val="clear" w:color="000000" w:fill="FFFFFF"/>
            <w:vAlign w:val="center"/>
            <w:hideMark/>
          </w:tcPr>
          <w:p w14:paraId="4426EE34"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1.15                         (0.87-1.51)</w:t>
            </w:r>
          </w:p>
        </w:tc>
        <w:tc>
          <w:tcPr>
            <w:tcW w:w="1920" w:type="dxa"/>
            <w:tcBorders>
              <w:top w:val="nil"/>
              <w:left w:val="nil"/>
              <w:bottom w:val="nil"/>
              <w:right w:val="nil"/>
            </w:tcBorders>
            <w:shd w:val="clear" w:color="000000" w:fill="FFFFFF"/>
            <w:vAlign w:val="center"/>
            <w:hideMark/>
          </w:tcPr>
          <w:p w14:paraId="248D2A77"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0.88                         (0.66-1.16)</w:t>
            </w:r>
          </w:p>
        </w:tc>
        <w:tc>
          <w:tcPr>
            <w:tcW w:w="1920" w:type="dxa"/>
            <w:tcBorders>
              <w:top w:val="nil"/>
              <w:left w:val="nil"/>
              <w:bottom w:val="nil"/>
              <w:right w:val="nil"/>
            </w:tcBorders>
            <w:shd w:val="clear" w:color="000000" w:fill="FFFFFF"/>
            <w:vAlign w:val="center"/>
            <w:hideMark/>
          </w:tcPr>
          <w:p w14:paraId="56A2EE72"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1.00                         (0.77-1.31)</w:t>
            </w:r>
          </w:p>
        </w:tc>
      </w:tr>
      <w:tr w:rsidR="00B0148D" w:rsidRPr="00B0148D" w14:paraId="658DDD92" w14:textId="77777777" w:rsidTr="006E6567">
        <w:trPr>
          <w:trHeight w:val="639"/>
        </w:trPr>
        <w:tc>
          <w:tcPr>
            <w:tcW w:w="2020" w:type="dxa"/>
            <w:tcBorders>
              <w:top w:val="nil"/>
              <w:left w:val="nil"/>
              <w:bottom w:val="nil"/>
              <w:right w:val="nil"/>
            </w:tcBorders>
            <w:shd w:val="clear" w:color="000000" w:fill="FFFFFF"/>
            <w:noWrap/>
            <w:vAlign w:val="center"/>
            <w:hideMark/>
          </w:tcPr>
          <w:p w14:paraId="4A8BA3D5" w14:textId="77777777" w:rsidR="006E6567" w:rsidRPr="00B0148D" w:rsidRDefault="006E6567" w:rsidP="006E656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Male gender</w:t>
            </w:r>
          </w:p>
        </w:tc>
        <w:tc>
          <w:tcPr>
            <w:tcW w:w="1920" w:type="dxa"/>
            <w:tcBorders>
              <w:top w:val="nil"/>
              <w:left w:val="nil"/>
              <w:bottom w:val="nil"/>
              <w:right w:val="nil"/>
            </w:tcBorders>
            <w:shd w:val="clear" w:color="000000" w:fill="FFFFFF"/>
            <w:vAlign w:val="center"/>
            <w:hideMark/>
          </w:tcPr>
          <w:p w14:paraId="6A1909DA"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0.31                               (0.20-0.49)***</w:t>
            </w:r>
          </w:p>
        </w:tc>
        <w:tc>
          <w:tcPr>
            <w:tcW w:w="1920" w:type="dxa"/>
            <w:tcBorders>
              <w:top w:val="nil"/>
              <w:left w:val="nil"/>
              <w:bottom w:val="nil"/>
              <w:right w:val="nil"/>
            </w:tcBorders>
            <w:shd w:val="clear" w:color="000000" w:fill="FFFFFF"/>
            <w:vAlign w:val="center"/>
            <w:hideMark/>
          </w:tcPr>
          <w:p w14:paraId="5D9BEA7A"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0.28                               (0.18-0.43)***</w:t>
            </w:r>
          </w:p>
        </w:tc>
        <w:tc>
          <w:tcPr>
            <w:tcW w:w="1920" w:type="dxa"/>
            <w:tcBorders>
              <w:top w:val="nil"/>
              <w:left w:val="nil"/>
              <w:bottom w:val="nil"/>
              <w:right w:val="nil"/>
            </w:tcBorders>
            <w:shd w:val="clear" w:color="000000" w:fill="FFFFFF"/>
            <w:vAlign w:val="center"/>
            <w:hideMark/>
          </w:tcPr>
          <w:p w14:paraId="417F34F2"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0.85                               (0.55-1.32)</w:t>
            </w:r>
          </w:p>
        </w:tc>
        <w:tc>
          <w:tcPr>
            <w:tcW w:w="1920" w:type="dxa"/>
            <w:tcBorders>
              <w:top w:val="nil"/>
              <w:left w:val="nil"/>
              <w:bottom w:val="nil"/>
              <w:right w:val="nil"/>
            </w:tcBorders>
            <w:shd w:val="clear" w:color="000000" w:fill="FFFFFF"/>
            <w:vAlign w:val="center"/>
            <w:hideMark/>
          </w:tcPr>
          <w:p w14:paraId="481EED99"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0.34                               (0.22-0.52)***</w:t>
            </w:r>
          </w:p>
        </w:tc>
      </w:tr>
      <w:tr w:rsidR="00B0148D" w:rsidRPr="00B0148D" w14:paraId="1C9A00B5" w14:textId="77777777" w:rsidTr="006E6567">
        <w:trPr>
          <w:trHeight w:val="639"/>
        </w:trPr>
        <w:tc>
          <w:tcPr>
            <w:tcW w:w="2020" w:type="dxa"/>
            <w:tcBorders>
              <w:top w:val="nil"/>
              <w:left w:val="nil"/>
              <w:bottom w:val="nil"/>
              <w:right w:val="nil"/>
            </w:tcBorders>
            <w:shd w:val="clear" w:color="000000" w:fill="FFFFFF"/>
            <w:noWrap/>
            <w:vAlign w:val="center"/>
            <w:hideMark/>
          </w:tcPr>
          <w:p w14:paraId="0E7A25D3" w14:textId="77777777" w:rsidR="006E6567" w:rsidRPr="00B0148D" w:rsidRDefault="006E6567" w:rsidP="006E656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Domestic origin</w:t>
            </w:r>
          </w:p>
        </w:tc>
        <w:tc>
          <w:tcPr>
            <w:tcW w:w="1920" w:type="dxa"/>
            <w:tcBorders>
              <w:top w:val="nil"/>
              <w:left w:val="nil"/>
              <w:bottom w:val="nil"/>
              <w:right w:val="nil"/>
            </w:tcBorders>
            <w:shd w:val="clear" w:color="000000" w:fill="FFFFFF"/>
            <w:vAlign w:val="center"/>
            <w:hideMark/>
          </w:tcPr>
          <w:p w14:paraId="7F09C5D2"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0.63                               (0.38-1.05)</w:t>
            </w:r>
          </w:p>
        </w:tc>
        <w:tc>
          <w:tcPr>
            <w:tcW w:w="1920" w:type="dxa"/>
            <w:tcBorders>
              <w:top w:val="nil"/>
              <w:left w:val="nil"/>
              <w:bottom w:val="nil"/>
              <w:right w:val="nil"/>
            </w:tcBorders>
            <w:shd w:val="clear" w:color="000000" w:fill="FFFFFF"/>
            <w:vAlign w:val="center"/>
            <w:hideMark/>
          </w:tcPr>
          <w:p w14:paraId="34F71601"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0.79                               (0.48-1.30)</w:t>
            </w:r>
          </w:p>
        </w:tc>
        <w:tc>
          <w:tcPr>
            <w:tcW w:w="1920" w:type="dxa"/>
            <w:tcBorders>
              <w:top w:val="nil"/>
              <w:left w:val="nil"/>
              <w:bottom w:val="nil"/>
              <w:right w:val="nil"/>
            </w:tcBorders>
            <w:shd w:val="clear" w:color="000000" w:fill="FFFFFF"/>
            <w:vAlign w:val="center"/>
            <w:hideMark/>
          </w:tcPr>
          <w:p w14:paraId="06140300"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0.43                               (0.26-0.71)**</w:t>
            </w:r>
          </w:p>
        </w:tc>
        <w:tc>
          <w:tcPr>
            <w:tcW w:w="1920" w:type="dxa"/>
            <w:tcBorders>
              <w:top w:val="nil"/>
              <w:left w:val="nil"/>
              <w:bottom w:val="nil"/>
              <w:right w:val="nil"/>
            </w:tcBorders>
            <w:shd w:val="clear" w:color="000000" w:fill="FFFFFF"/>
            <w:vAlign w:val="center"/>
            <w:hideMark/>
          </w:tcPr>
          <w:p w14:paraId="48C3DA49"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0.63                               (0.39-1.01)</w:t>
            </w:r>
          </w:p>
        </w:tc>
      </w:tr>
      <w:tr w:rsidR="00B0148D" w:rsidRPr="00B0148D" w14:paraId="6266F630" w14:textId="77777777" w:rsidTr="006E6567">
        <w:trPr>
          <w:trHeight w:val="639"/>
        </w:trPr>
        <w:tc>
          <w:tcPr>
            <w:tcW w:w="2020" w:type="dxa"/>
            <w:tcBorders>
              <w:top w:val="nil"/>
              <w:left w:val="nil"/>
              <w:bottom w:val="single" w:sz="4" w:space="0" w:color="auto"/>
              <w:right w:val="nil"/>
            </w:tcBorders>
            <w:shd w:val="clear" w:color="000000" w:fill="FFFFFF"/>
            <w:noWrap/>
            <w:vAlign w:val="center"/>
            <w:hideMark/>
          </w:tcPr>
          <w:p w14:paraId="5B19DF97" w14:textId="77777777" w:rsidR="006E6567" w:rsidRPr="00B0148D" w:rsidRDefault="006E6567" w:rsidP="006E656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Local origin</w:t>
            </w:r>
          </w:p>
        </w:tc>
        <w:tc>
          <w:tcPr>
            <w:tcW w:w="1920" w:type="dxa"/>
            <w:tcBorders>
              <w:top w:val="nil"/>
              <w:left w:val="nil"/>
              <w:bottom w:val="single" w:sz="4" w:space="0" w:color="auto"/>
              <w:right w:val="nil"/>
            </w:tcBorders>
            <w:shd w:val="clear" w:color="000000" w:fill="FFFFFF"/>
            <w:vAlign w:val="center"/>
            <w:hideMark/>
          </w:tcPr>
          <w:p w14:paraId="0AA39AC5"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0.53                               (0.32-0.89)*</w:t>
            </w:r>
          </w:p>
        </w:tc>
        <w:tc>
          <w:tcPr>
            <w:tcW w:w="1920" w:type="dxa"/>
            <w:tcBorders>
              <w:top w:val="nil"/>
              <w:left w:val="nil"/>
              <w:bottom w:val="single" w:sz="4" w:space="0" w:color="auto"/>
              <w:right w:val="nil"/>
            </w:tcBorders>
            <w:shd w:val="clear" w:color="000000" w:fill="FFFFFF"/>
            <w:vAlign w:val="center"/>
            <w:hideMark/>
          </w:tcPr>
          <w:p w14:paraId="41753528"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0.73                               (0.45-1.20)</w:t>
            </w:r>
          </w:p>
        </w:tc>
        <w:tc>
          <w:tcPr>
            <w:tcW w:w="1920" w:type="dxa"/>
            <w:tcBorders>
              <w:top w:val="nil"/>
              <w:left w:val="nil"/>
              <w:bottom w:val="single" w:sz="4" w:space="0" w:color="auto"/>
              <w:right w:val="nil"/>
            </w:tcBorders>
            <w:shd w:val="clear" w:color="000000" w:fill="FFFFFF"/>
            <w:vAlign w:val="center"/>
            <w:hideMark/>
          </w:tcPr>
          <w:p w14:paraId="48852535"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0.23                               (0.13-0.39)***</w:t>
            </w:r>
          </w:p>
        </w:tc>
        <w:tc>
          <w:tcPr>
            <w:tcW w:w="1920" w:type="dxa"/>
            <w:tcBorders>
              <w:top w:val="nil"/>
              <w:left w:val="nil"/>
              <w:bottom w:val="single" w:sz="4" w:space="0" w:color="auto"/>
              <w:right w:val="nil"/>
            </w:tcBorders>
            <w:shd w:val="clear" w:color="000000" w:fill="FFFFFF"/>
            <w:vAlign w:val="center"/>
            <w:hideMark/>
          </w:tcPr>
          <w:p w14:paraId="36F14EC0"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0.43                               (0.27-0.71)**</w:t>
            </w:r>
          </w:p>
        </w:tc>
      </w:tr>
      <w:tr w:rsidR="00B0148D" w:rsidRPr="00B0148D" w14:paraId="3384B53A" w14:textId="77777777" w:rsidTr="006E6567">
        <w:trPr>
          <w:trHeight w:val="324"/>
        </w:trPr>
        <w:tc>
          <w:tcPr>
            <w:tcW w:w="2020" w:type="dxa"/>
            <w:tcBorders>
              <w:top w:val="nil"/>
              <w:left w:val="nil"/>
              <w:bottom w:val="nil"/>
              <w:right w:val="nil"/>
            </w:tcBorders>
            <w:shd w:val="clear" w:color="000000" w:fill="FFFFFF"/>
            <w:noWrap/>
            <w:vAlign w:val="bottom"/>
            <w:hideMark/>
          </w:tcPr>
          <w:p w14:paraId="22FF727F" w14:textId="77777777" w:rsidR="006E6567" w:rsidRPr="00B0148D" w:rsidRDefault="006E6567" w:rsidP="006E656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lastRenderedPageBreak/>
              <w:t>Pseudo R</w:t>
            </w:r>
            <w:r w:rsidRPr="00B0148D">
              <w:rPr>
                <w:rFonts w:ascii="Times New Roman" w:eastAsia="Times New Roman" w:hAnsi="Times New Roman" w:cs="Times New Roman"/>
                <w:sz w:val="20"/>
                <w:szCs w:val="20"/>
                <w:vertAlign w:val="superscript"/>
                <w:lang w:val="fi-FI" w:eastAsia="fi-FI"/>
              </w:rPr>
              <w:t>2</w:t>
            </w:r>
            <w:r w:rsidRPr="00B0148D">
              <w:rPr>
                <w:rFonts w:ascii="Times New Roman" w:eastAsia="Times New Roman" w:hAnsi="Times New Roman" w:cs="Times New Roman"/>
                <w:sz w:val="20"/>
                <w:szCs w:val="20"/>
                <w:lang w:val="fi-FI" w:eastAsia="fi-FI"/>
              </w:rPr>
              <w:t xml:space="preserve"> (Nagelkerke)</w:t>
            </w:r>
          </w:p>
        </w:tc>
        <w:tc>
          <w:tcPr>
            <w:tcW w:w="1920" w:type="dxa"/>
            <w:tcBorders>
              <w:top w:val="nil"/>
              <w:left w:val="nil"/>
              <w:bottom w:val="nil"/>
              <w:right w:val="nil"/>
            </w:tcBorders>
            <w:shd w:val="clear" w:color="000000" w:fill="FFFFFF"/>
            <w:noWrap/>
            <w:vAlign w:val="bottom"/>
            <w:hideMark/>
          </w:tcPr>
          <w:p w14:paraId="3CD82A8F"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0.145</w:t>
            </w:r>
          </w:p>
        </w:tc>
        <w:tc>
          <w:tcPr>
            <w:tcW w:w="1920" w:type="dxa"/>
            <w:tcBorders>
              <w:top w:val="nil"/>
              <w:left w:val="nil"/>
              <w:bottom w:val="nil"/>
              <w:right w:val="nil"/>
            </w:tcBorders>
            <w:shd w:val="clear" w:color="000000" w:fill="FFFFFF"/>
            <w:noWrap/>
            <w:vAlign w:val="bottom"/>
            <w:hideMark/>
          </w:tcPr>
          <w:p w14:paraId="4BE5812C"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0.162</w:t>
            </w:r>
          </w:p>
        </w:tc>
        <w:tc>
          <w:tcPr>
            <w:tcW w:w="1920" w:type="dxa"/>
            <w:tcBorders>
              <w:top w:val="nil"/>
              <w:left w:val="nil"/>
              <w:bottom w:val="nil"/>
              <w:right w:val="nil"/>
            </w:tcBorders>
            <w:shd w:val="clear" w:color="000000" w:fill="FFFFFF"/>
            <w:noWrap/>
            <w:vAlign w:val="bottom"/>
            <w:hideMark/>
          </w:tcPr>
          <w:p w14:paraId="3E994AED"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0.123</w:t>
            </w:r>
          </w:p>
        </w:tc>
        <w:tc>
          <w:tcPr>
            <w:tcW w:w="1920" w:type="dxa"/>
            <w:tcBorders>
              <w:top w:val="nil"/>
              <w:left w:val="nil"/>
              <w:bottom w:val="nil"/>
              <w:right w:val="nil"/>
            </w:tcBorders>
            <w:shd w:val="clear" w:color="000000" w:fill="FFFFFF"/>
            <w:noWrap/>
            <w:vAlign w:val="bottom"/>
            <w:hideMark/>
          </w:tcPr>
          <w:p w14:paraId="19DC4D0D" w14:textId="77777777" w:rsidR="006E6567" w:rsidRPr="00B0148D" w:rsidRDefault="006E6567" w:rsidP="006E656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0.153</w:t>
            </w:r>
          </w:p>
        </w:tc>
      </w:tr>
    </w:tbl>
    <w:p w14:paraId="7330F182" w14:textId="35ADFA41" w:rsidR="004F5EE5" w:rsidRPr="00B0148D" w:rsidRDefault="00AA7A61" w:rsidP="004F5EE5">
      <w:pPr>
        <w:jc w:val="both"/>
        <w:rPr>
          <w:sz w:val="16"/>
          <w:szCs w:val="16"/>
        </w:rPr>
      </w:pPr>
      <w:r w:rsidRPr="00B0148D">
        <w:rPr>
          <w:sz w:val="16"/>
          <w:szCs w:val="16"/>
        </w:rPr>
        <w:t xml:space="preserve"> </w:t>
      </w:r>
      <w:r w:rsidR="000578B4" w:rsidRPr="00B0148D">
        <w:rPr>
          <w:sz w:val="16"/>
          <w:szCs w:val="16"/>
        </w:rPr>
        <w:t>The statistically significant differences are marked with *</w:t>
      </w:r>
      <w:r w:rsidR="000578B4" w:rsidRPr="00B0148D">
        <w:t xml:space="preserve"> </w:t>
      </w:r>
      <w:r w:rsidR="000578B4" w:rsidRPr="00B0148D">
        <w:rPr>
          <w:sz w:val="16"/>
          <w:szCs w:val="16"/>
        </w:rPr>
        <w:t>(p &lt; 0.05), ** (p &lt; 0.01), *** (p &lt; 0.001)</w:t>
      </w:r>
    </w:p>
    <w:p w14:paraId="5CFD12F5" w14:textId="21268424" w:rsidR="00D714D2" w:rsidRPr="00B0148D" w:rsidRDefault="00D714D2" w:rsidP="004F5EE5">
      <w:pPr>
        <w:jc w:val="both"/>
        <w:rPr>
          <w:sz w:val="16"/>
          <w:szCs w:val="16"/>
        </w:rPr>
      </w:pPr>
      <w:r w:rsidRPr="00B0148D">
        <w:rPr>
          <w:sz w:val="16"/>
          <w:szCs w:val="16"/>
        </w:rPr>
        <w:t>All the variables were transformed. Due to this, high values indicate low endorsement.</w:t>
      </w:r>
    </w:p>
    <w:p w14:paraId="2D907CED" w14:textId="6CAF8619" w:rsidR="00EC4D33" w:rsidRPr="00B0148D" w:rsidRDefault="004F5EE5" w:rsidP="004F5EE5">
      <w:pPr>
        <w:jc w:val="both"/>
      </w:pPr>
      <w:r w:rsidRPr="00B0148D">
        <w:rPr>
          <w:b/>
        </w:rPr>
        <w:t>Table 8</w:t>
      </w:r>
      <w:r w:rsidR="00A10D69" w:rsidRPr="00B0148D">
        <w:t>. Correlation</w:t>
      </w:r>
      <w:r w:rsidRPr="00B0148D">
        <w:t xml:space="preserve"> coefficients (Pearson’s r) between test conditions (neutral, domestic, local) and main value dimensions (Conservation and Self- Transcendence) for meat</w:t>
      </w:r>
    </w:p>
    <w:tbl>
      <w:tblPr>
        <w:tblW w:w="12047" w:type="dxa"/>
        <w:tblCellMar>
          <w:left w:w="70" w:type="dxa"/>
          <w:right w:w="70" w:type="dxa"/>
        </w:tblCellMar>
        <w:tblLook w:val="04A0" w:firstRow="1" w:lastRow="0" w:firstColumn="1" w:lastColumn="0" w:noHBand="0" w:noVBand="1"/>
      </w:tblPr>
      <w:tblGrid>
        <w:gridCol w:w="1100"/>
        <w:gridCol w:w="949"/>
        <w:gridCol w:w="900"/>
        <w:gridCol w:w="900"/>
        <w:gridCol w:w="900"/>
        <w:gridCol w:w="949"/>
        <w:gridCol w:w="900"/>
        <w:gridCol w:w="900"/>
        <w:gridCol w:w="900"/>
        <w:gridCol w:w="949"/>
        <w:gridCol w:w="900"/>
        <w:gridCol w:w="900"/>
        <w:gridCol w:w="900"/>
      </w:tblGrid>
      <w:tr w:rsidR="00B0148D" w:rsidRPr="00B0148D" w14:paraId="0C25117D" w14:textId="77777777" w:rsidTr="00FA2C18">
        <w:trPr>
          <w:trHeight w:val="39"/>
        </w:trPr>
        <w:tc>
          <w:tcPr>
            <w:tcW w:w="1100" w:type="dxa"/>
            <w:tcBorders>
              <w:top w:val="nil"/>
              <w:left w:val="nil"/>
              <w:bottom w:val="single" w:sz="4" w:space="0" w:color="auto"/>
              <w:right w:val="nil"/>
            </w:tcBorders>
            <w:shd w:val="clear" w:color="auto" w:fill="auto"/>
            <w:noWrap/>
            <w:vAlign w:val="bottom"/>
            <w:hideMark/>
          </w:tcPr>
          <w:p w14:paraId="1B156A9D" w14:textId="78A3F861" w:rsidR="00EC4D33" w:rsidRPr="00B0148D" w:rsidRDefault="00EC4D33" w:rsidP="00EC4D33">
            <w:pPr>
              <w:spacing w:after="0" w:line="240" w:lineRule="auto"/>
              <w:rPr>
                <w:rFonts w:ascii="Calibri" w:eastAsia="Times New Roman" w:hAnsi="Calibri" w:cs="Times New Roman"/>
                <w:lang w:eastAsia="fi-FI"/>
              </w:rPr>
            </w:pPr>
          </w:p>
        </w:tc>
        <w:tc>
          <w:tcPr>
            <w:tcW w:w="949" w:type="dxa"/>
            <w:tcBorders>
              <w:top w:val="nil"/>
              <w:left w:val="nil"/>
              <w:bottom w:val="single" w:sz="4" w:space="0" w:color="auto"/>
              <w:right w:val="nil"/>
            </w:tcBorders>
            <w:shd w:val="clear" w:color="000000" w:fill="FFFFFF"/>
            <w:noWrap/>
            <w:vAlign w:val="bottom"/>
            <w:hideMark/>
          </w:tcPr>
          <w:p w14:paraId="1FA7CCB3"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0364A355"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46DA9F1D"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4C16EDF5"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49" w:type="dxa"/>
            <w:tcBorders>
              <w:top w:val="nil"/>
              <w:left w:val="nil"/>
              <w:bottom w:val="single" w:sz="4" w:space="0" w:color="auto"/>
              <w:right w:val="nil"/>
            </w:tcBorders>
            <w:shd w:val="clear" w:color="000000" w:fill="FFFFFF"/>
            <w:noWrap/>
            <w:vAlign w:val="bottom"/>
            <w:hideMark/>
          </w:tcPr>
          <w:p w14:paraId="26B3A25A"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54682212"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39F00267"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4798F88B"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49" w:type="dxa"/>
            <w:tcBorders>
              <w:top w:val="nil"/>
              <w:left w:val="nil"/>
              <w:bottom w:val="single" w:sz="4" w:space="0" w:color="auto"/>
              <w:right w:val="nil"/>
            </w:tcBorders>
            <w:shd w:val="clear" w:color="000000" w:fill="FFFFFF"/>
            <w:noWrap/>
            <w:vAlign w:val="bottom"/>
            <w:hideMark/>
          </w:tcPr>
          <w:p w14:paraId="5283BF24"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2348AF55"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367B0EE5"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29F737D1"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r>
      <w:tr w:rsidR="00B0148D" w:rsidRPr="00B0148D" w14:paraId="2FFE8F08" w14:textId="77777777" w:rsidTr="00FA2C18">
        <w:trPr>
          <w:trHeight w:val="459"/>
        </w:trPr>
        <w:tc>
          <w:tcPr>
            <w:tcW w:w="1100" w:type="dxa"/>
            <w:tcBorders>
              <w:top w:val="nil"/>
              <w:left w:val="nil"/>
              <w:bottom w:val="single" w:sz="4" w:space="0" w:color="auto"/>
              <w:right w:val="nil"/>
            </w:tcBorders>
            <w:shd w:val="clear" w:color="000000" w:fill="FFFFFF"/>
            <w:noWrap/>
            <w:vAlign w:val="bottom"/>
            <w:hideMark/>
          </w:tcPr>
          <w:p w14:paraId="051CA39C"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3649" w:type="dxa"/>
            <w:gridSpan w:val="4"/>
            <w:tcBorders>
              <w:top w:val="nil"/>
              <w:left w:val="nil"/>
              <w:bottom w:val="single" w:sz="4" w:space="0" w:color="auto"/>
              <w:right w:val="nil"/>
            </w:tcBorders>
            <w:shd w:val="clear" w:color="000000" w:fill="FFFFFF"/>
            <w:noWrap/>
            <w:hideMark/>
          </w:tcPr>
          <w:p w14:paraId="36BD37D1" w14:textId="77777777" w:rsidR="00EC4D33" w:rsidRPr="00B0148D" w:rsidRDefault="00EC4D33" w:rsidP="00EC4D33">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Neutral</w:t>
            </w:r>
          </w:p>
        </w:tc>
        <w:tc>
          <w:tcPr>
            <w:tcW w:w="3649" w:type="dxa"/>
            <w:gridSpan w:val="4"/>
            <w:tcBorders>
              <w:top w:val="nil"/>
              <w:left w:val="nil"/>
              <w:bottom w:val="single" w:sz="4" w:space="0" w:color="auto"/>
              <w:right w:val="nil"/>
            </w:tcBorders>
            <w:shd w:val="clear" w:color="000000" w:fill="FFFFFF"/>
            <w:noWrap/>
            <w:hideMark/>
          </w:tcPr>
          <w:p w14:paraId="141323D8" w14:textId="77777777" w:rsidR="00EC4D33" w:rsidRPr="00B0148D" w:rsidRDefault="00EC4D33" w:rsidP="00EC4D33">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Domestic</w:t>
            </w:r>
          </w:p>
        </w:tc>
        <w:tc>
          <w:tcPr>
            <w:tcW w:w="3649" w:type="dxa"/>
            <w:gridSpan w:val="4"/>
            <w:tcBorders>
              <w:top w:val="nil"/>
              <w:left w:val="nil"/>
              <w:bottom w:val="single" w:sz="4" w:space="0" w:color="auto"/>
              <w:right w:val="nil"/>
            </w:tcBorders>
            <w:shd w:val="clear" w:color="000000" w:fill="FFFFFF"/>
            <w:noWrap/>
            <w:hideMark/>
          </w:tcPr>
          <w:p w14:paraId="3D52E3EB" w14:textId="77777777" w:rsidR="00EC4D33" w:rsidRPr="00B0148D" w:rsidRDefault="00EC4D33" w:rsidP="00EC4D33">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Local</w:t>
            </w:r>
          </w:p>
        </w:tc>
      </w:tr>
      <w:tr w:rsidR="00B0148D" w:rsidRPr="00B0148D" w14:paraId="2B82702C" w14:textId="77777777" w:rsidTr="00FA2C18">
        <w:trPr>
          <w:trHeight w:val="459"/>
        </w:trPr>
        <w:tc>
          <w:tcPr>
            <w:tcW w:w="1100" w:type="dxa"/>
            <w:tcBorders>
              <w:top w:val="nil"/>
              <w:left w:val="nil"/>
              <w:bottom w:val="single" w:sz="4" w:space="0" w:color="auto"/>
              <w:right w:val="nil"/>
            </w:tcBorders>
            <w:shd w:val="clear" w:color="000000" w:fill="FFFFFF"/>
            <w:noWrap/>
            <w:vAlign w:val="bottom"/>
            <w:hideMark/>
          </w:tcPr>
          <w:p w14:paraId="53C1E585"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 </w:t>
            </w:r>
          </w:p>
        </w:tc>
        <w:tc>
          <w:tcPr>
            <w:tcW w:w="949" w:type="dxa"/>
            <w:tcBorders>
              <w:top w:val="nil"/>
              <w:left w:val="nil"/>
              <w:bottom w:val="single" w:sz="4" w:space="0" w:color="auto"/>
              <w:right w:val="nil"/>
            </w:tcBorders>
            <w:shd w:val="clear" w:color="000000" w:fill="FFFFFF"/>
            <w:vAlign w:val="bottom"/>
            <w:hideMark/>
          </w:tcPr>
          <w:p w14:paraId="508F0152"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Pleasantness</w:t>
            </w:r>
          </w:p>
        </w:tc>
        <w:tc>
          <w:tcPr>
            <w:tcW w:w="900" w:type="dxa"/>
            <w:tcBorders>
              <w:top w:val="nil"/>
              <w:left w:val="nil"/>
              <w:bottom w:val="single" w:sz="4" w:space="0" w:color="auto"/>
              <w:right w:val="nil"/>
            </w:tcBorders>
            <w:shd w:val="clear" w:color="000000" w:fill="FFFFFF"/>
            <w:vAlign w:val="bottom"/>
            <w:hideMark/>
          </w:tcPr>
          <w:p w14:paraId="1932971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Probability to choose</w:t>
            </w:r>
          </w:p>
        </w:tc>
        <w:tc>
          <w:tcPr>
            <w:tcW w:w="900" w:type="dxa"/>
            <w:tcBorders>
              <w:top w:val="nil"/>
              <w:left w:val="nil"/>
              <w:bottom w:val="single" w:sz="4" w:space="0" w:color="auto"/>
              <w:right w:val="nil"/>
            </w:tcBorders>
            <w:shd w:val="clear" w:color="000000" w:fill="FFFFFF"/>
            <w:vAlign w:val="bottom"/>
            <w:hideMark/>
          </w:tcPr>
          <w:p w14:paraId="44DBCB5D"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Overall quality</w:t>
            </w:r>
          </w:p>
        </w:tc>
        <w:tc>
          <w:tcPr>
            <w:tcW w:w="900" w:type="dxa"/>
            <w:tcBorders>
              <w:top w:val="nil"/>
              <w:left w:val="nil"/>
              <w:bottom w:val="single" w:sz="4" w:space="0" w:color="auto"/>
              <w:right w:val="nil"/>
            </w:tcBorders>
            <w:shd w:val="clear" w:color="000000" w:fill="FFFFFF"/>
            <w:vAlign w:val="bottom"/>
            <w:hideMark/>
          </w:tcPr>
          <w:p w14:paraId="3F157F7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Product perception</w:t>
            </w:r>
          </w:p>
        </w:tc>
        <w:tc>
          <w:tcPr>
            <w:tcW w:w="949" w:type="dxa"/>
            <w:tcBorders>
              <w:top w:val="nil"/>
              <w:left w:val="nil"/>
              <w:bottom w:val="single" w:sz="4" w:space="0" w:color="auto"/>
              <w:right w:val="nil"/>
            </w:tcBorders>
            <w:shd w:val="clear" w:color="000000" w:fill="FFFFFF"/>
            <w:vAlign w:val="bottom"/>
            <w:hideMark/>
          </w:tcPr>
          <w:p w14:paraId="36C88393"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Pleasantness</w:t>
            </w:r>
          </w:p>
        </w:tc>
        <w:tc>
          <w:tcPr>
            <w:tcW w:w="900" w:type="dxa"/>
            <w:tcBorders>
              <w:top w:val="nil"/>
              <w:left w:val="nil"/>
              <w:bottom w:val="single" w:sz="4" w:space="0" w:color="auto"/>
              <w:right w:val="nil"/>
            </w:tcBorders>
            <w:shd w:val="clear" w:color="000000" w:fill="FFFFFF"/>
            <w:vAlign w:val="bottom"/>
            <w:hideMark/>
          </w:tcPr>
          <w:p w14:paraId="456C7BD7"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Probability to choose</w:t>
            </w:r>
          </w:p>
        </w:tc>
        <w:tc>
          <w:tcPr>
            <w:tcW w:w="900" w:type="dxa"/>
            <w:tcBorders>
              <w:top w:val="nil"/>
              <w:left w:val="nil"/>
              <w:bottom w:val="single" w:sz="4" w:space="0" w:color="auto"/>
              <w:right w:val="nil"/>
            </w:tcBorders>
            <w:shd w:val="clear" w:color="000000" w:fill="FFFFFF"/>
            <w:vAlign w:val="bottom"/>
            <w:hideMark/>
          </w:tcPr>
          <w:p w14:paraId="6DD7ADF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Overall quality</w:t>
            </w:r>
          </w:p>
        </w:tc>
        <w:tc>
          <w:tcPr>
            <w:tcW w:w="900" w:type="dxa"/>
            <w:tcBorders>
              <w:top w:val="nil"/>
              <w:left w:val="nil"/>
              <w:bottom w:val="single" w:sz="4" w:space="0" w:color="auto"/>
              <w:right w:val="nil"/>
            </w:tcBorders>
            <w:shd w:val="clear" w:color="000000" w:fill="FFFFFF"/>
            <w:vAlign w:val="bottom"/>
            <w:hideMark/>
          </w:tcPr>
          <w:p w14:paraId="063A964F"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Product perception</w:t>
            </w:r>
          </w:p>
        </w:tc>
        <w:tc>
          <w:tcPr>
            <w:tcW w:w="949" w:type="dxa"/>
            <w:tcBorders>
              <w:top w:val="nil"/>
              <w:left w:val="nil"/>
              <w:bottom w:val="single" w:sz="4" w:space="0" w:color="auto"/>
              <w:right w:val="nil"/>
            </w:tcBorders>
            <w:shd w:val="clear" w:color="000000" w:fill="FFFFFF"/>
            <w:vAlign w:val="bottom"/>
            <w:hideMark/>
          </w:tcPr>
          <w:p w14:paraId="10A50E9F"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Pleasantness</w:t>
            </w:r>
          </w:p>
        </w:tc>
        <w:tc>
          <w:tcPr>
            <w:tcW w:w="900" w:type="dxa"/>
            <w:tcBorders>
              <w:top w:val="nil"/>
              <w:left w:val="nil"/>
              <w:bottom w:val="single" w:sz="4" w:space="0" w:color="auto"/>
              <w:right w:val="nil"/>
            </w:tcBorders>
            <w:shd w:val="clear" w:color="000000" w:fill="FFFFFF"/>
            <w:vAlign w:val="bottom"/>
            <w:hideMark/>
          </w:tcPr>
          <w:p w14:paraId="272EACE6"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Probability to choose</w:t>
            </w:r>
          </w:p>
        </w:tc>
        <w:tc>
          <w:tcPr>
            <w:tcW w:w="900" w:type="dxa"/>
            <w:tcBorders>
              <w:top w:val="nil"/>
              <w:left w:val="nil"/>
              <w:bottom w:val="single" w:sz="4" w:space="0" w:color="auto"/>
              <w:right w:val="nil"/>
            </w:tcBorders>
            <w:shd w:val="clear" w:color="000000" w:fill="FFFFFF"/>
            <w:vAlign w:val="bottom"/>
            <w:hideMark/>
          </w:tcPr>
          <w:p w14:paraId="44ABC3CE"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Overall quality</w:t>
            </w:r>
          </w:p>
        </w:tc>
        <w:tc>
          <w:tcPr>
            <w:tcW w:w="900" w:type="dxa"/>
            <w:tcBorders>
              <w:top w:val="nil"/>
              <w:left w:val="nil"/>
              <w:bottom w:val="single" w:sz="4" w:space="0" w:color="auto"/>
              <w:right w:val="nil"/>
            </w:tcBorders>
            <w:shd w:val="clear" w:color="000000" w:fill="FFFFFF"/>
            <w:vAlign w:val="bottom"/>
            <w:hideMark/>
          </w:tcPr>
          <w:p w14:paraId="0C837DE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Product perception</w:t>
            </w:r>
          </w:p>
        </w:tc>
      </w:tr>
      <w:tr w:rsidR="00B0148D" w:rsidRPr="00B0148D" w14:paraId="7A85EBBB" w14:textId="77777777" w:rsidTr="00FA2C18">
        <w:trPr>
          <w:trHeight w:val="501"/>
        </w:trPr>
        <w:tc>
          <w:tcPr>
            <w:tcW w:w="1100" w:type="dxa"/>
            <w:tcBorders>
              <w:top w:val="nil"/>
              <w:left w:val="nil"/>
              <w:bottom w:val="nil"/>
              <w:right w:val="nil"/>
            </w:tcBorders>
            <w:shd w:val="clear" w:color="000000" w:fill="FFFFFF"/>
            <w:vAlign w:val="center"/>
            <w:hideMark/>
          </w:tcPr>
          <w:p w14:paraId="46160C9E"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Conservation</w:t>
            </w:r>
          </w:p>
        </w:tc>
        <w:tc>
          <w:tcPr>
            <w:tcW w:w="949" w:type="dxa"/>
            <w:tcBorders>
              <w:top w:val="nil"/>
              <w:left w:val="nil"/>
              <w:bottom w:val="nil"/>
              <w:right w:val="nil"/>
            </w:tcBorders>
            <w:shd w:val="clear" w:color="000000" w:fill="FFFFFF"/>
            <w:noWrap/>
            <w:vAlign w:val="bottom"/>
            <w:hideMark/>
          </w:tcPr>
          <w:p w14:paraId="56EEF1E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0.146</w:t>
            </w:r>
          </w:p>
        </w:tc>
        <w:tc>
          <w:tcPr>
            <w:tcW w:w="900" w:type="dxa"/>
            <w:tcBorders>
              <w:top w:val="nil"/>
              <w:left w:val="nil"/>
              <w:bottom w:val="nil"/>
              <w:right w:val="nil"/>
            </w:tcBorders>
            <w:shd w:val="clear" w:color="000000" w:fill="FFFFFF"/>
            <w:noWrap/>
            <w:vAlign w:val="bottom"/>
            <w:hideMark/>
          </w:tcPr>
          <w:p w14:paraId="27C3D37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0.164</w:t>
            </w:r>
          </w:p>
        </w:tc>
        <w:tc>
          <w:tcPr>
            <w:tcW w:w="900" w:type="dxa"/>
            <w:tcBorders>
              <w:top w:val="nil"/>
              <w:left w:val="nil"/>
              <w:bottom w:val="nil"/>
              <w:right w:val="nil"/>
            </w:tcBorders>
            <w:shd w:val="clear" w:color="000000" w:fill="FFFFFF"/>
            <w:noWrap/>
            <w:vAlign w:val="bottom"/>
            <w:hideMark/>
          </w:tcPr>
          <w:p w14:paraId="1E951357"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0.012</w:t>
            </w:r>
          </w:p>
        </w:tc>
        <w:tc>
          <w:tcPr>
            <w:tcW w:w="900" w:type="dxa"/>
            <w:tcBorders>
              <w:top w:val="nil"/>
              <w:left w:val="nil"/>
              <w:bottom w:val="nil"/>
              <w:right w:val="nil"/>
            </w:tcBorders>
            <w:shd w:val="clear" w:color="000000" w:fill="FFFFFF"/>
            <w:noWrap/>
            <w:vAlign w:val="bottom"/>
            <w:hideMark/>
          </w:tcPr>
          <w:p w14:paraId="5813BB88"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0.135</w:t>
            </w:r>
          </w:p>
        </w:tc>
        <w:tc>
          <w:tcPr>
            <w:tcW w:w="949" w:type="dxa"/>
            <w:tcBorders>
              <w:top w:val="nil"/>
              <w:left w:val="nil"/>
              <w:bottom w:val="nil"/>
              <w:right w:val="nil"/>
            </w:tcBorders>
            <w:shd w:val="clear" w:color="000000" w:fill="FFFFFF"/>
            <w:noWrap/>
            <w:vAlign w:val="bottom"/>
            <w:hideMark/>
          </w:tcPr>
          <w:p w14:paraId="080E42D3"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0.253**</w:t>
            </w:r>
          </w:p>
        </w:tc>
        <w:tc>
          <w:tcPr>
            <w:tcW w:w="900" w:type="dxa"/>
            <w:tcBorders>
              <w:top w:val="nil"/>
              <w:left w:val="nil"/>
              <w:bottom w:val="nil"/>
              <w:right w:val="nil"/>
            </w:tcBorders>
            <w:shd w:val="clear" w:color="000000" w:fill="FFFFFF"/>
            <w:noWrap/>
            <w:vAlign w:val="bottom"/>
            <w:hideMark/>
          </w:tcPr>
          <w:p w14:paraId="26265A24"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0.263**</w:t>
            </w:r>
          </w:p>
        </w:tc>
        <w:tc>
          <w:tcPr>
            <w:tcW w:w="900" w:type="dxa"/>
            <w:tcBorders>
              <w:top w:val="nil"/>
              <w:left w:val="nil"/>
              <w:bottom w:val="nil"/>
              <w:right w:val="nil"/>
            </w:tcBorders>
            <w:shd w:val="clear" w:color="000000" w:fill="FFFFFF"/>
            <w:noWrap/>
            <w:vAlign w:val="bottom"/>
            <w:hideMark/>
          </w:tcPr>
          <w:p w14:paraId="285CE77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0.141</w:t>
            </w:r>
          </w:p>
        </w:tc>
        <w:tc>
          <w:tcPr>
            <w:tcW w:w="900" w:type="dxa"/>
            <w:tcBorders>
              <w:top w:val="nil"/>
              <w:left w:val="nil"/>
              <w:bottom w:val="nil"/>
              <w:right w:val="nil"/>
            </w:tcBorders>
            <w:shd w:val="clear" w:color="000000" w:fill="FFFFFF"/>
            <w:noWrap/>
            <w:vAlign w:val="bottom"/>
            <w:hideMark/>
          </w:tcPr>
          <w:p w14:paraId="0F290957"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0.288**</w:t>
            </w:r>
          </w:p>
        </w:tc>
        <w:tc>
          <w:tcPr>
            <w:tcW w:w="949" w:type="dxa"/>
            <w:tcBorders>
              <w:top w:val="nil"/>
              <w:left w:val="nil"/>
              <w:bottom w:val="nil"/>
              <w:right w:val="nil"/>
            </w:tcBorders>
            <w:shd w:val="clear" w:color="000000" w:fill="FFFFFF"/>
            <w:noWrap/>
            <w:vAlign w:val="bottom"/>
            <w:hideMark/>
          </w:tcPr>
          <w:p w14:paraId="3458162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0.121</w:t>
            </w:r>
          </w:p>
        </w:tc>
        <w:tc>
          <w:tcPr>
            <w:tcW w:w="900" w:type="dxa"/>
            <w:tcBorders>
              <w:top w:val="nil"/>
              <w:left w:val="nil"/>
              <w:bottom w:val="nil"/>
              <w:right w:val="nil"/>
            </w:tcBorders>
            <w:shd w:val="clear" w:color="000000" w:fill="FFFFFF"/>
            <w:noWrap/>
            <w:vAlign w:val="bottom"/>
            <w:hideMark/>
          </w:tcPr>
          <w:p w14:paraId="32570EA4"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0.165</w:t>
            </w:r>
          </w:p>
        </w:tc>
        <w:tc>
          <w:tcPr>
            <w:tcW w:w="900" w:type="dxa"/>
            <w:tcBorders>
              <w:top w:val="nil"/>
              <w:left w:val="nil"/>
              <w:bottom w:val="nil"/>
              <w:right w:val="nil"/>
            </w:tcBorders>
            <w:shd w:val="clear" w:color="000000" w:fill="FFFFFF"/>
            <w:noWrap/>
            <w:vAlign w:val="bottom"/>
            <w:hideMark/>
          </w:tcPr>
          <w:p w14:paraId="50D98B0F"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0.181</w:t>
            </w:r>
          </w:p>
        </w:tc>
        <w:tc>
          <w:tcPr>
            <w:tcW w:w="900" w:type="dxa"/>
            <w:tcBorders>
              <w:top w:val="nil"/>
              <w:left w:val="nil"/>
              <w:bottom w:val="nil"/>
              <w:right w:val="nil"/>
            </w:tcBorders>
            <w:shd w:val="clear" w:color="000000" w:fill="FFFFFF"/>
            <w:noWrap/>
            <w:vAlign w:val="bottom"/>
            <w:hideMark/>
          </w:tcPr>
          <w:p w14:paraId="44B8A45A"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0.195</w:t>
            </w:r>
          </w:p>
        </w:tc>
      </w:tr>
      <w:tr w:rsidR="00B0148D" w:rsidRPr="00B0148D" w14:paraId="3AB6D2DE" w14:textId="77777777" w:rsidTr="00FA2C18">
        <w:trPr>
          <w:trHeight w:val="501"/>
        </w:trPr>
        <w:tc>
          <w:tcPr>
            <w:tcW w:w="1100" w:type="dxa"/>
            <w:tcBorders>
              <w:top w:val="nil"/>
              <w:left w:val="nil"/>
              <w:bottom w:val="single" w:sz="4" w:space="0" w:color="auto"/>
              <w:right w:val="nil"/>
            </w:tcBorders>
            <w:shd w:val="clear" w:color="000000" w:fill="FFFFFF"/>
            <w:vAlign w:val="center"/>
            <w:hideMark/>
          </w:tcPr>
          <w:p w14:paraId="7EB1595E"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Self-Transcendence</w:t>
            </w:r>
          </w:p>
        </w:tc>
        <w:tc>
          <w:tcPr>
            <w:tcW w:w="949" w:type="dxa"/>
            <w:tcBorders>
              <w:top w:val="nil"/>
              <w:left w:val="nil"/>
              <w:bottom w:val="single" w:sz="4" w:space="0" w:color="auto"/>
              <w:right w:val="nil"/>
            </w:tcBorders>
            <w:shd w:val="clear" w:color="000000" w:fill="FFFFFF"/>
            <w:noWrap/>
            <w:vAlign w:val="bottom"/>
            <w:hideMark/>
          </w:tcPr>
          <w:p w14:paraId="74BE75D6"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-0.202*</w:t>
            </w:r>
          </w:p>
        </w:tc>
        <w:tc>
          <w:tcPr>
            <w:tcW w:w="900" w:type="dxa"/>
            <w:tcBorders>
              <w:top w:val="nil"/>
              <w:left w:val="nil"/>
              <w:bottom w:val="single" w:sz="4" w:space="0" w:color="auto"/>
              <w:right w:val="nil"/>
            </w:tcBorders>
            <w:shd w:val="clear" w:color="000000" w:fill="FFFFFF"/>
            <w:noWrap/>
            <w:vAlign w:val="bottom"/>
            <w:hideMark/>
          </w:tcPr>
          <w:p w14:paraId="49BB9B56"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-0.313**</w:t>
            </w:r>
          </w:p>
        </w:tc>
        <w:tc>
          <w:tcPr>
            <w:tcW w:w="900" w:type="dxa"/>
            <w:tcBorders>
              <w:top w:val="nil"/>
              <w:left w:val="nil"/>
              <w:bottom w:val="single" w:sz="4" w:space="0" w:color="auto"/>
              <w:right w:val="nil"/>
            </w:tcBorders>
            <w:shd w:val="clear" w:color="000000" w:fill="FFFFFF"/>
            <w:noWrap/>
            <w:vAlign w:val="bottom"/>
            <w:hideMark/>
          </w:tcPr>
          <w:p w14:paraId="3D43112D"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-0.147</w:t>
            </w:r>
          </w:p>
        </w:tc>
        <w:tc>
          <w:tcPr>
            <w:tcW w:w="900" w:type="dxa"/>
            <w:tcBorders>
              <w:top w:val="nil"/>
              <w:left w:val="nil"/>
              <w:bottom w:val="single" w:sz="4" w:space="0" w:color="auto"/>
              <w:right w:val="nil"/>
            </w:tcBorders>
            <w:shd w:val="clear" w:color="000000" w:fill="FFFFFF"/>
            <w:noWrap/>
            <w:vAlign w:val="bottom"/>
            <w:hideMark/>
          </w:tcPr>
          <w:p w14:paraId="50F6CA82"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-0.265**</w:t>
            </w:r>
          </w:p>
        </w:tc>
        <w:tc>
          <w:tcPr>
            <w:tcW w:w="949" w:type="dxa"/>
            <w:tcBorders>
              <w:top w:val="nil"/>
              <w:left w:val="nil"/>
              <w:bottom w:val="single" w:sz="4" w:space="0" w:color="auto"/>
              <w:right w:val="nil"/>
            </w:tcBorders>
            <w:shd w:val="clear" w:color="000000" w:fill="FFFFFF"/>
            <w:noWrap/>
            <w:vAlign w:val="bottom"/>
            <w:hideMark/>
          </w:tcPr>
          <w:p w14:paraId="26C3AAEE"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-0.083</w:t>
            </w:r>
          </w:p>
        </w:tc>
        <w:tc>
          <w:tcPr>
            <w:tcW w:w="900" w:type="dxa"/>
            <w:tcBorders>
              <w:top w:val="nil"/>
              <w:left w:val="nil"/>
              <w:bottom w:val="single" w:sz="4" w:space="0" w:color="auto"/>
              <w:right w:val="nil"/>
            </w:tcBorders>
            <w:shd w:val="clear" w:color="000000" w:fill="FFFFFF"/>
            <w:noWrap/>
            <w:vAlign w:val="bottom"/>
            <w:hideMark/>
          </w:tcPr>
          <w:p w14:paraId="3B812DCD"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0.033</w:t>
            </w:r>
          </w:p>
        </w:tc>
        <w:tc>
          <w:tcPr>
            <w:tcW w:w="900" w:type="dxa"/>
            <w:tcBorders>
              <w:top w:val="nil"/>
              <w:left w:val="nil"/>
              <w:bottom w:val="single" w:sz="4" w:space="0" w:color="auto"/>
              <w:right w:val="nil"/>
            </w:tcBorders>
            <w:shd w:val="clear" w:color="000000" w:fill="FFFFFF"/>
            <w:noWrap/>
            <w:vAlign w:val="bottom"/>
            <w:hideMark/>
          </w:tcPr>
          <w:p w14:paraId="65C6D3EF"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0.161</w:t>
            </w:r>
          </w:p>
        </w:tc>
        <w:tc>
          <w:tcPr>
            <w:tcW w:w="900" w:type="dxa"/>
            <w:tcBorders>
              <w:top w:val="nil"/>
              <w:left w:val="nil"/>
              <w:bottom w:val="single" w:sz="4" w:space="0" w:color="auto"/>
              <w:right w:val="nil"/>
            </w:tcBorders>
            <w:shd w:val="clear" w:color="000000" w:fill="FFFFFF"/>
            <w:noWrap/>
            <w:vAlign w:val="bottom"/>
            <w:hideMark/>
          </w:tcPr>
          <w:p w14:paraId="17BD5616"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0.019</w:t>
            </w:r>
          </w:p>
        </w:tc>
        <w:tc>
          <w:tcPr>
            <w:tcW w:w="949" w:type="dxa"/>
            <w:tcBorders>
              <w:top w:val="nil"/>
              <w:left w:val="nil"/>
              <w:bottom w:val="single" w:sz="4" w:space="0" w:color="auto"/>
              <w:right w:val="nil"/>
            </w:tcBorders>
            <w:shd w:val="clear" w:color="000000" w:fill="FFFFFF"/>
            <w:noWrap/>
            <w:vAlign w:val="bottom"/>
            <w:hideMark/>
          </w:tcPr>
          <w:p w14:paraId="559C50C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-0.114</w:t>
            </w:r>
          </w:p>
        </w:tc>
        <w:tc>
          <w:tcPr>
            <w:tcW w:w="900" w:type="dxa"/>
            <w:tcBorders>
              <w:top w:val="nil"/>
              <w:left w:val="nil"/>
              <w:bottom w:val="single" w:sz="4" w:space="0" w:color="auto"/>
              <w:right w:val="nil"/>
            </w:tcBorders>
            <w:shd w:val="clear" w:color="000000" w:fill="FFFFFF"/>
            <w:noWrap/>
            <w:vAlign w:val="bottom"/>
            <w:hideMark/>
          </w:tcPr>
          <w:p w14:paraId="68D494E6"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-0.104</w:t>
            </w:r>
          </w:p>
        </w:tc>
        <w:tc>
          <w:tcPr>
            <w:tcW w:w="900" w:type="dxa"/>
            <w:tcBorders>
              <w:top w:val="nil"/>
              <w:left w:val="nil"/>
              <w:bottom w:val="single" w:sz="4" w:space="0" w:color="auto"/>
              <w:right w:val="nil"/>
            </w:tcBorders>
            <w:shd w:val="clear" w:color="000000" w:fill="FFFFFF"/>
            <w:noWrap/>
            <w:vAlign w:val="bottom"/>
            <w:hideMark/>
          </w:tcPr>
          <w:p w14:paraId="3E611FE2"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0.117</w:t>
            </w:r>
          </w:p>
        </w:tc>
        <w:tc>
          <w:tcPr>
            <w:tcW w:w="900" w:type="dxa"/>
            <w:tcBorders>
              <w:top w:val="nil"/>
              <w:left w:val="nil"/>
              <w:bottom w:val="single" w:sz="4" w:space="0" w:color="auto"/>
              <w:right w:val="nil"/>
            </w:tcBorders>
            <w:shd w:val="clear" w:color="000000" w:fill="FFFFFF"/>
            <w:noWrap/>
            <w:vAlign w:val="bottom"/>
            <w:hideMark/>
          </w:tcPr>
          <w:p w14:paraId="2F110342"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-0.062</w:t>
            </w:r>
          </w:p>
        </w:tc>
      </w:tr>
    </w:tbl>
    <w:p w14:paraId="37679748" w14:textId="4AA9DEA5" w:rsidR="004F5EE5" w:rsidRPr="00B0148D" w:rsidRDefault="00FA2C18" w:rsidP="004F5EE5">
      <w:pPr>
        <w:jc w:val="both"/>
      </w:pPr>
      <w:r w:rsidRPr="00B0148D">
        <w:rPr>
          <w:sz w:val="16"/>
          <w:szCs w:val="16"/>
        </w:rPr>
        <w:t>The statistically significant differences are marked with *</w:t>
      </w:r>
      <w:r w:rsidRPr="00B0148D">
        <w:t xml:space="preserve"> </w:t>
      </w:r>
      <w:r w:rsidRPr="00B0148D">
        <w:rPr>
          <w:sz w:val="16"/>
          <w:szCs w:val="16"/>
        </w:rPr>
        <w:t>(p &lt; 0.05), ** (p &lt; 0.01), *** (p &lt; 0.001)</w:t>
      </w:r>
    </w:p>
    <w:p w14:paraId="28F37B59" w14:textId="09DBAFF9" w:rsidR="00A10D69" w:rsidRPr="00B0148D" w:rsidRDefault="00A10D69" w:rsidP="00A10D69">
      <w:pPr>
        <w:jc w:val="both"/>
      </w:pPr>
      <w:r w:rsidRPr="00B0148D">
        <w:t>When the participants evaluated the meat product, being male was positively associated with pleasantness, probability-to-choose, and product perception (Table 7). Concerning the product origin, being either domestic or local did not predict the probability-to-choose, only local origin predicted pleasantness</w:t>
      </w:r>
      <w:r w:rsidR="000578B4" w:rsidRPr="00B0148D">
        <w:t xml:space="preserve"> and product perception</w:t>
      </w:r>
      <w:r w:rsidRPr="00B0148D">
        <w:t xml:space="preserve">, and both domestic and local origins predicted overall quality. This finding supports the fact that product origin is positively associated with product experience and the probability to choose the product (H1). Moreover, conservation values were positively associated with perceived probability-to-choose and product perception of the meat product, supporting Hypothesis 2b. </w:t>
      </w:r>
    </w:p>
    <w:p w14:paraId="1FCFBB95" w14:textId="7F5C0A15" w:rsidR="00A10D69" w:rsidRPr="00B0148D" w:rsidRDefault="00A10D69" w:rsidP="00A10D69">
      <w:pPr>
        <w:jc w:val="both"/>
      </w:pPr>
      <w:r w:rsidRPr="00B0148D">
        <w:t xml:space="preserve">Table 8 shows that Conservation correlates positively with pleasantness, probability to choose, and product perception of the meat product in the domestic condition; because no significant effects were found in the local condition, thus, the data did not support Hypothesis 3b. Self-Transcendence correlated negatively with pleasantness, probability to choose, and product perception of the meat product in the neutral condition; because the evaluation becomes more positive in domestic and local conditions (i.e., the negative effect disappears) suggesting that our data supports Hypothesis 4b.  </w:t>
      </w:r>
    </w:p>
    <w:p w14:paraId="144A7FA8" w14:textId="3ED6507E" w:rsidR="000345F0" w:rsidRPr="00B0148D" w:rsidRDefault="0081356E" w:rsidP="00482404">
      <w:pPr>
        <w:jc w:val="both"/>
      </w:pPr>
      <w:r w:rsidRPr="00B0148D">
        <w:rPr>
          <w:b/>
        </w:rPr>
        <w:t xml:space="preserve">Table </w:t>
      </w:r>
      <w:r w:rsidR="004F5EE5" w:rsidRPr="00B0148D">
        <w:rPr>
          <w:b/>
        </w:rPr>
        <w:t>9</w:t>
      </w:r>
      <w:r w:rsidR="000345F0" w:rsidRPr="00B0148D">
        <w:t xml:space="preserve">. </w:t>
      </w:r>
      <w:r w:rsidR="00FA2C18" w:rsidRPr="00B0148D">
        <w:t>Odds ratios (OR)</w:t>
      </w:r>
      <w:r w:rsidR="000578B4" w:rsidRPr="00B0148D">
        <w:t xml:space="preserve"> of the ordinal regressions predicting pleasantness, probability-to-choose, overall quality, and product perception</w:t>
      </w:r>
      <w:r w:rsidR="00FA2C18" w:rsidRPr="00B0148D">
        <w:t xml:space="preserve"> for bread product</w:t>
      </w:r>
    </w:p>
    <w:tbl>
      <w:tblPr>
        <w:tblW w:w="9780" w:type="dxa"/>
        <w:tblCellMar>
          <w:left w:w="70" w:type="dxa"/>
          <w:right w:w="70" w:type="dxa"/>
        </w:tblCellMar>
        <w:tblLook w:val="04A0" w:firstRow="1" w:lastRow="0" w:firstColumn="1" w:lastColumn="0" w:noHBand="0" w:noVBand="1"/>
      </w:tblPr>
      <w:tblGrid>
        <w:gridCol w:w="2036"/>
        <w:gridCol w:w="2060"/>
        <w:gridCol w:w="2060"/>
        <w:gridCol w:w="2060"/>
        <w:gridCol w:w="2060"/>
      </w:tblGrid>
      <w:tr w:rsidR="00B0148D" w:rsidRPr="00B0148D" w14:paraId="4BF068A2" w14:textId="77777777" w:rsidTr="009F0637">
        <w:trPr>
          <w:trHeight w:val="288"/>
        </w:trPr>
        <w:tc>
          <w:tcPr>
            <w:tcW w:w="2036" w:type="dxa"/>
            <w:tcBorders>
              <w:top w:val="nil"/>
              <w:left w:val="nil"/>
              <w:bottom w:val="single" w:sz="4" w:space="0" w:color="auto"/>
              <w:right w:val="nil"/>
            </w:tcBorders>
            <w:shd w:val="clear" w:color="000000" w:fill="FFFFFF"/>
            <w:noWrap/>
            <w:vAlign w:val="bottom"/>
            <w:hideMark/>
          </w:tcPr>
          <w:p w14:paraId="5E43EB67" w14:textId="77777777" w:rsidR="009F0637" w:rsidRPr="00B0148D" w:rsidRDefault="009F0637" w:rsidP="009F063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 </w:t>
            </w:r>
          </w:p>
        </w:tc>
        <w:tc>
          <w:tcPr>
            <w:tcW w:w="1936" w:type="dxa"/>
            <w:tcBorders>
              <w:top w:val="nil"/>
              <w:left w:val="nil"/>
              <w:bottom w:val="single" w:sz="4" w:space="0" w:color="auto"/>
              <w:right w:val="nil"/>
            </w:tcBorders>
            <w:shd w:val="clear" w:color="000000" w:fill="FFFFFF"/>
            <w:noWrap/>
            <w:vAlign w:val="bottom"/>
            <w:hideMark/>
          </w:tcPr>
          <w:p w14:paraId="6EAABD9C"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Pleasantness</w:t>
            </w:r>
          </w:p>
        </w:tc>
        <w:tc>
          <w:tcPr>
            <w:tcW w:w="1936" w:type="dxa"/>
            <w:tcBorders>
              <w:top w:val="nil"/>
              <w:left w:val="nil"/>
              <w:bottom w:val="single" w:sz="4" w:space="0" w:color="auto"/>
              <w:right w:val="nil"/>
            </w:tcBorders>
            <w:shd w:val="clear" w:color="000000" w:fill="FFFFFF"/>
            <w:noWrap/>
            <w:vAlign w:val="bottom"/>
            <w:hideMark/>
          </w:tcPr>
          <w:p w14:paraId="2738F8CB"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Probability-to-choose</w:t>
            </w:r>
          </w:p>
        </w:tc>
        <w:tc>
          <w:tcPr>
            <w:tcW w:w="1936" w:type="dxa"/>
            <w:tcBorders>
              <w:top w:val="nil"/>
              <w:left w:val="nil"/>
              <w:bottom w:val="single" w:sz="4" w:space="0" w:color="auto"/>
              <w:right w:val="nil"/>
            </w:tcBorders>
            <w:shd w:val="clear" w:color="000000" w:fill="FFFFFF"/>
            <w:noWrap/>
            <w:vAlign w:val="bottom"/>
            <w:hideMark/>
          </w:tcPr>
          <w:p w14:paraId="4FAD459C"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Overall quality</w:t>
            </w:r>
          </w:p>
        </w:tc>
        <w:tc>
          <w:tcPr>
            <w:tcW w:w="1936" w:type="dxa"/>
            <w:tcBorders>
              <w:top w:val="nil"/>
              <w:left w:val="nil"/>
              <w:bottom w:val="single" w:sz="4" w:space="0" w:color="auto"/>
              <w:right w:val="nil"/>
            </w:tcBorders>
            <w:shd w:val="clear" w:color="000000" w:fill="FFFFFF"/>
            <w:noWrap/>
            <w:vAlign w:val="bottom"/>
            <w:hideMark/>
          </w:tcPr>
          <w:p w14:paraId="45543E8C"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Product perception</w:t>
            </w:r>
          </w:p>
        </w:tc>
      </w:tr>
      <w:tr w:rsidR="00B0148D" w:rsidRPr="00B0148D" w14:paraId="0FAFAAC7" w14:textId="77777777" w:rsidTr="009F0637">
        <w:trPr>
          <w:trHeight w:val="288"/>
        </w:trPr>
        <w:tc>
          <w:tcPr>
            <w:tcW w:w="2036" w:type="dxa"/>
            <w:tcBorders>
              <w:top w:val="nil"/>
              <w:left w:val="nil"/>
              <w:bottom w:val="single" w:sz="4" w:space="0" w:color="auto"/>
              <w:right w:val="nil"/>
            </w:tcBorders>
            <w:shd w:val="clear" w:color="000000" w:fill="FFFFFF"/>
            <w:noWrap/>
            <w:vAlign w:val="bottom"/>
            <w:hideMark/>
          </w:tcPr>
          <w:p w14:paraId="60EAFEA5" w14:textId="77777777" w:rsidR="009F0637" w:rsidRPr="00B0148D" w:rsidRDefault="009F0637" w:rsidP="009F063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Factor/Co-variate</w:t>
            </w:r>
          </w:p>
        </w:tc>
        <w:tc>
          <w:tcPr>
            <w:tcW w:w="1936" w:type="dxa"/>
            <w:tcBorders>
              <w:top w:val="nil"/>
              <w:left w:val="nil"/>
              <w:bottom w:val="nil"/>
              <w:right w:val="nil"/>
            </w:tcBorders>
            <w:shd w:val="clear" w:color="auto" w:fill="auto"/>
            <w:noWrap/>
            <w:vAlign w:val="bottom"/>
            <w:hideMark/>
          </w:tcPr>
          <w:p w14:paraId="3237DA15" w14:textId="5A4F7B91" w:rsidR="009F0637" w:rsidRPr="00B0148D" w:rsidRDefault="009F0637" w:rsidP="009F0637">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585984" behindDoc="0" locked="0" layoutInCell="1" allowOverlap="1" wp14:anchorId="2378A215" wp14:editId="200E2934">
                      <wp:simplePos x="0" y="0"/>
                      <wp:positionH relativeFrom="column">
                        <wp:posOffset>0</wp:posOffset>
                      </wp:positionH>
                      <wp:positionV relativeFrom="paragraph">
                        <wp:posOffset>0</wp:posOffset>
                      </wp:positionV>
                      <wp:extent cx="7620" cy="7620"/>
                      <wp:effectExtent l="0" t="0" r="0" b="0"/>
                      <wp:wrapNone/>
                      <wp:docPr id="1104" name="Rectangle 1104"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0493808" id="Rectangle 1104" o:spid="_x0000_s1026" alt="https://d.adroll.com/cm/aol/out" style="position:absolute;margin-left:0;margin-top:0;width:.6pt;height:.6pt;z-index:25258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ALmbiI&#10;FwIAACk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88032" behindDoc="0" locked="0" layoutInCell="1" allowOverlap="1" wp14:anchorId="65EEC47C" wp14:editId="599AB5A0">
                  <wp:simplePos x="0" y="0"/>
                  <wp:positionH relativeFrom="column">
                    <wp:posOffset>30480</wp:posOffset>
                  </wp:positionH>
                  <wp:positionV relativeFrom="paragraph">
                    <wp:posOffset>0</wp:posOffset>
                  </wp:positionV>
                  <wp:extent cx="7620" cy="7620"/>
                  <wp:effectExtent l="0" t="0" r="0" b="0"/>
                  <wp:wrapNone/>
                  <wp:docPr id="1103" name="Picture 1103" descr="https://d.adroll.com/cm/n/out"/>
                  <wp:cNvGraphicFramePr/>
                  <a:graphic xmlns:a="http://schemas.openxmlformats.org/drawingml/2006/main">
                    <a:graphicData uri="http://schemas.openxmlformats.org/drawingml/2006/picture">
                      <pic:pic xmlns:pic="http://schemas.openxmlformats.org/drawingml/2006/picture">
                        <pic:nvPicPr>
                          <pic:cNvPr id="4" name="Picture 3"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589056" behindDoc="0" locked="0" layoutInCell="1" allowOverlap="1" wp14:anchorId="13F4C67B" wp14:editId="5C7BA141">
                      <wp:simplePos x="0" y="0"/>
                      <wp:positionH relativeFrom="column">
                        <wp:posOffset>45720</wp:posOffset>
                      </wp:positionH>
                      <wp:positionV relativeFrom="paragraph">
                        <wp:posOffset>0</wp:posOffset>
                      </wp:positionV>
                      <wp:extent cx="7620" cy="7620"/>
                      <wp:effectExtent l="0" t="0" r="0" b="0"/>
                      <wp:wrapNone/>
                      <wp:docPr id="1102" name="Rectangle 1102"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7428A38" id="Rectangle 1102" o:spid="_x0000_s1026" alt="https://d.adroll.com/cm/outbrain/out" style="position:absolute;margin-left:3.6pt;margin-top:0;width:.6pt;height:.6pt;z-index:25258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ooHOUh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90080" behindDoc="0" locked="0" layoutInCell="1" allowOverlap="1" wp14:anchorId="306F12B5" wp14:editId="4B57A0A1">
                      <wp:simplePos x="0" y="0"/>
                      <wp:positionH relativeFrom="column">
                        <wp:posOffset>60960</wp:posOffset>
                      </wp:positionH>
                      <wp:positionV relativeFrom="paragraph">
                        <wp:posOffset>0</wp:posOffset>
                      </wp:positionV>
                      <wp:extent cx="7620" cy="7620"/>
                      <wp:effectExtent l="0" t="0" r="0" b="0"/>
                      <wp:wrapNone/>
                      <wp:docPr id="1101" name="Rectangle 1101"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A24025B" id="Rectangle 1101" o:spid="_x0000_s1026" alt="https://d.adroll.com/cm/pubmatic/out" style="position:absolute;margin-left:4.8pt;margin-top:0;width:.6pt;height:.6pt;z-index:25259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ZXxBhxsCAAAu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591104" behindDoc="0" locked="0" layoutInCell="1" allowOverlap="1" wp14:anchorId="302D822C" wp14:editId="3B265A20">
                      <wp:simplePos x="0" y="0"/>
                      <wp:positionH relativeFrom="column">
                        <wp:posOffset>76200</wp:posOffset>
                      </wp:positionH>
                      <wp:positionV relativeFrom="paragraph">
                        <wp:posOffset>0</wp:posOffset>
                      </wp:positionV>
                      <wp:extent cx="7620" cy="7620"/>
                      <wp:effectExtent l="0" t="0" r="0" b="0"/>
                      <wp:wrapNone/>
                      <wp:docPr id="1100" name="Rectangle 1100"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A2077C7" id="Rectangle 1100" o:spid="_x0000_s1026" alt="https://d.adroll.com/cm/taboola/out" style="position:absolute;margin-left:6pt;margin-top:0;width:.6pt;height:.6pt;z-index:25259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87008" behindDoc="0" locked="0" layoutInCell="1" allowOverlap="1" wp14:anchorId="5CE79259" wp14:editId="6D51EEB0">
                  <wp:simplePos x="0" y="0"/>
                  <wp:positionH relativeFrom="column">
                    <wp:posOffset>15240</wp:posOffset>
                  </wp:positionH>
                  <wp:positionV relativeFrom="paragraph">
                    <wp:posOffset>0</wp:posOffset>
                  </wp:positionV>
                  <wp:extent cx="7620" cy="7620"/>
                  <wp:effectExtent l="0" t="0" r="0" b="0"/>
                  <wp:wrapNone/>
                  <wp:docPr id="1099" name="Picture 1099" descr="https://d.adroll.com/cm/index/out"/>
                  <wp:cNvGraphicFramePr/>
                  <a:graphic xmlns:a="http://schemas.openxmlformats.org/drawingml/2006/main">
                    <a:graphicData uri="http://schemas.openxmlformats.org/drawingml/2006/picture">
                      <pic:pic xmlns:pic="http://schemas.openxmlformats.org/drawingml/2006/picture">
                        <pic:nvPicPr>
                          <pic:cNvPr id="3" name="Picture 2"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1CC8DA78"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23B61ED0"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6071FD51" w14:textId="77777777" w:rsidR="009F0637" w:rsidRPr="00B0148D" w:rsidRDefault="009F0637" w:rsidP="009F0637">
            <w:pPr>
              <w:spacing w:after="0" w:line="240" w:lineRule="auto"/>
              <w:rPr>
                <w:rFonts w:ascii="Calibri" w:eastAsia="Times New Roman" w:hAnsi="Calibri" w:cs="Times New Roman"/>
                <w:lang w:val="fi-FI" w:eastAsia="fi-FI"/>
              </w:rPr>
            </w:pPr>
          </w:p>
        </w:tc>
        <w:tc>
          <w:tcPr>
            <w:tcW w:w="1936" w:type="dxa"/>
            <w:tcBorders>
              <w:top w:val="nil"/>
              <w:left w:val="nil"/>
              <w:bottom w:val="nil"/>
              <w:right w:val="nil"/>
            </w:tcBorders>
            <w:shd w:val="clear" w:color="auto" w:fill="auto"/>
            <w:noWrap/>
            <w:vAlign w:val="bottom"/>
            <w:hideMark/>
          </w:tcPr>
          <w:p w14:paraId="100FF075" w14:textId="3FFA724C" w:rsidR="009F0637" w:rsidRPr="00B0148D" w:rsidRDefault="009F0637" w:rsidP="009F0637">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598272" behindDoc="0" locked="0" layoutInCell="1" allowOverlap="1" wp14:anchorId="3AE63B4C" wp14:editId="228E164E">
                      <wp:simplePos x="0" y="0"/>
                      <wp:positionH relativeFrom="column">
                        <wp:posOffset>0</wp:posOffset>
                      </wp:positionH>
                      <wp:positionV relativeFrom="paragraph">
                        <wp:posOffset>0</wp:posOffset>
                      </wp:positionV>
                      <wp:extent cx="7620" cy="7620"/>
                      <wp:effectExtent l="0" t="0" r="0" b="0"/>
                      <wp:wrapNone/>
                      <wp:docPr id="1098" name="Rectangle 1098"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31DC5CD" id="Rectangle 1098" o:spid="_x0000_s1026" alt="https://d.adroll.com/cm/aol/out" style="position:absolute;margin-left:0;margin-top:0;width:.6pt;height:.6pt;z-index:25259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CLSh3+&#10;FwIAACk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16704" behindDoc="0" locked="0" layoutInCell="1" allowOverlap="1" wp14:anchorId="2D7D99B8" wp14:editId="7814B433">
                      <wp:simplePos x="0" y="0"/>
                      <wp:positionH relativeFrom="column">
                        <wp:posOffset>0</wp:posOffset>
                      </wp:positionH>
                      <wp:positionV relativeFrom="paragraph">
                        <wp:posOffset>0</wp:posOffset>
                      </wp:positionV>
                      <wp:extent cx="7620" cy="7620"/>
                      <wp:effectExtent l="0" t="0" r="0" b="0"/>
                      <wp:wrapNone/>
                      <wp:docPr id="1097" name="Rectangle 1097"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723322D" id="Rectangle 1097" o:spid="_x0000_s1026" alt="https://d.adroll.com/cm/aol/out" style="position:absolute;margin-left:0;margin-top:0;width:.6pt;height:.6pt;z-index:25261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600320" behindDoc="0" locked="0" layoutInCell="1" allowOverlap="1" wp14:anchorId="467EE9C8" wp14:editId="5BDC8C15">
                  <wp:simplePos x="0" y="0"/>
                  <wp:positionH relativeFrom="column">
                    <wp:posOffset>30480</wp:posOffset>
                  </wp:positionH>
                  <wp:positionV relativeFrom="paragraph">
                    <wp:posOffset>0</wp:posOffset>
                  </wp:positionV>
                  <wp:extent cx="7620" cy="7620"/>
                  <wp:effectExtent l="0" t="0" r="0" b="0"/>
                  <wp:wrapNone/>
                  <wp:docPr id="1096" name="Picture 1096" descr="https://d.adroll.com/cm/n/out"/>
                  <wp:cNvGraphicFramePr/>
                  <a:graphic xmlns:a="http://schemas.openxmlformats.org/drawingml/2006/main">
                    <a:graphicData uri="http://schemas.openxmlformats.org/drawingml/2006/picture">
                      <pic:pic xmlns:pic="http://schemas.openxmlformats.org/drawingml/2006/picture">
                        <pic:nvPicPr>
                          <pic:cNvPr id="16" name="Picture 15"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601344" behindDoc="0" locked="0" layoutInCell="1" allowOverlap="1" wp14:anchorId="0DDB7181" wp14:editId="36B9F08B">
                      <wp:simplePos x="0" y="0"/>
                      <wp:positionH relativeFrom="column">
                        <wp:posOffset>45720</wp:posOffset>
                      </wp:positionH>
                      <wp:positionV relativeFrom="paragraph">
                        <wp:posOffset>0</wp:posOffset>
                      </wp:positionV>
                      <wp:extent cx="7620" cy="7620"/>
                      <wp:effectExtent l="0" t="0" r="0" b="0"/>
                      <wp:wrapNone/>
                      <wp:docPr id="1095" name="Rectangle 1095"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D627A71" id="Rectangle 1095" o:spid="_x0000_s1026" alt="https://d.adroll.com/cm/outbrain/out" style="position:absolute;margin-left:3.6pt;margin-top:0;width:.6pt;height:.6pt;z-index:25260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zWtVWh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618752" behindDoc="0" locked="0" layoutInCell="1" allowOverlap="1" wp14:anchorId="369E1F28" wp14:editId="22C106C2">
                  <wp:simplePos x="0" y="0"/>
                  <wp:positionH relativeFrom="column">
                    <wp:posOffset>30480</wp:posOffset>
                  </wp:positionH>
                  <wp:positionV relativeFrom="paragraph">
                    <wp:posOffset>0</wp:posOffset>
                  </wp:positionV>
                  <wp:extent cx="7620" cy="7620"/>
                  <wp:effectExtent l="0" t="0" r="0" b="0"/>
                  <wp:wrapNone/>
                  <wp:docPr id="1094" name="Picture 1094" descr="https://d.adroll.com/cm/n/out"/>
                  <wp:cNvGraphicFramePr/>
                  <a:graphic xmlns:a="http://schemas.openxmlformats.org/drawingml/2006/main">
                    <a:graphicData uri="http://schemas.openxmlformats.org/drawingml/2006/picture">
                      <pic:pic xmlns:pic="http://schemas.openxmlformats.org/drawingml/2006/picture">
                        <pic:nvPicPr>
                          <pic:cNvPr id="34" name="Picture 33"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619776" behindDoc="0" locked="0" layoutInCell="1" allowOverlap="1" wp14:anchorId="6B1E0B55" wp14:editId="32CDD4D4">
                      <wp:simplePos x="0" y="0"/>
                      <wp:positionH relativeFrom="column">
                        <wp:posOffset>45720</wp:posOffset>
                      </wp:positionH>
                      <wp:positionV relativeFrom="paragraph">
                        <wp:posOffset>0</wp:posOffset>
                      </wp:positionV>
                      <wp:extent cx="7620" cy="7620"/>
                      <wp:effectExtent l="0" t="0" r="0" b="0"/>
                      <wp:wrapNone/>
                      <wp:docPr id="1093" name="Rectangle 1093"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0A5F7F2" id="Rectangle 1093" o:spid="_x0000_s1026" alt="https://d.adroll.com/cm/outbrain/out" style="position:absolute;margin-left:3.6pt;margin-top:0;width:.6pt;height:.6pt;z-index:25261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8aXKIh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02368" behindDoc="0" locked="0" layoutInCell="1" allowOverlap="1" wp14:anchorId="7AA5B8DB" wp14:editId="31751002">
                      <wp:simplePos x="0" y="0"/>
                      <wp:positionH relativeFrom="column">
                        <wp:posOffset>60960</wp:posOffset>
                      </wp:positionH>
                      <wp:positionV relativeFrom="paragraph">
                        <wp:posOffset>0</wp:posOffset>
                      </wp:positionV>
                      <wp:extent cx="7620" cy="7620"/>
                      <wp:effectExtent l="0" t="0" r="0" b="0"/>
                      <wp:wrapNone/>
                      <wp:docPr id="1092" name="Rectangle 1092"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5FBA72EA" id="Rectangle 1092" o:spid="_x0000_s1026" alt="https://d.adroll.com/cm/pubmatic/out" style="position:absolute;margin-left:4.8pt;margin-top:0;width:.6pt;height:.6pt;z-index:25260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HeDgaRsCAAAu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03392" behindDoc="0" locked="0" layoutInCell="1" allowOverlap="1" wp14:anchorId="42B1A8DD" wp14:editId="52081828">
                      <wp:simplePos x="0" y="0"/>
                      <wp:positionH relativeFrom="column">
                        <wp:posOffset>76200</wp:posOffset>
                      </wp:positionH>
                      <wp:positionV relativeFrom="paragraph">
                        <wp:posOffset>0</wp:posOffset>
                      </wp:positionV>
                      <wp:extent cx="7620" cy="7620"/>
                      <wp:effectExtent l="0" t="0" r="0" b="0"/>
                      <wp:wrapNone/>
                      <wp:docPr id="1091" name="Rectangle 1091"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615491E" id="Rectangle 1091" o:spid="_x0000_s1026" alt="https://d.adroll.com/cm/taboola/out" style="position:absolute;margin-left:6pt;margin-top:0;width:.6pt;height:.6pt;z-index:25260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BxpGh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20800" behindDoc="0" locked="0" layoutInCell="1" allowOverlap="1" wp14:anchorId="34A7F124" wp14:editId="16885343">
                      <wp:simplePos x="0" y="0"/>
                      <wp:positionH relativeFrom="column">
                        <wp:posOffset>60960</wp:posOffset>
                      </wp:positionH>
                      <wp:positionV relativeFrom="paragraph">
                        <wp:posOffset>0</wp:posOffset>
                      </wp:positionV>
                      <wp:extent cx="7620" cy="7620"/>
                      <wp:effectExtent l="0" t="0" r="0" b="0"/>
                      <wp:wrapNone/>
                      <wp:docPr id="1090" name="Rectangle 1090"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376086C1" id="Rectangle 1090" o:spid="_x0000_s1026" alt="https://d.adroll.com/cm/pubmatic/out" style="position:absolute;margin-left:4.8pt;margin-top:0;width:.6pt;height:.6pt;z-index:25262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21824" behindDoc="0" locked="0" layoutInCell="1" allowOverlap="1" wp14:anchorId="29DAB72A" wp14:editId="39633338">
                      <wp:simplePos x="0" y="0"/>
                      <wp:positionH relativeFrom="column">
                        <wp:posOffset>76200</wp:posOffset>
                      </wp:positionH>
                      <wp:positionV relativeFrom="paragraph">
                        <wp:posOffset>0</wp:posOffset>
                      </wp:positionV>
                      <wp:extent cx="7620" cy="7620"/>
                      <wp:effectExtent l="0" t="0" r="0" b="0"/>
                      <wp:wrapNone/>
                      <wp:docPr id="1089" name="Rectangle 1089"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3DE84DA" id="Rectangle 1089" o:spid="_x0000_s1026" alt="https://d.adroll.com/cm/taboola/out" style="position:absolute;margin-left:6pt;margin-top:0;width:.6pt;height:.6pt;z-index:25262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U2/XCh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599296" behindDoc="0" locked="0" layoutInCell="1" allowOverlap="1" wp14:anchorId="46B18BDE" wp14:editId="33F07EB9">
                  <wp:simplePos x="0" y="0"/>
                  <wp:positionH relativeFrom="column">
                    <wp:posOffset>15240</wp:posOffset>
                  </wp:positionH>
                  <wp:positionV relativeFrom="paragraph">
                    <wp:posOffset>0</wp:posOffset>
                  </wp:positionV>
                  <wp:extent cx="7620" cy="7620"/>
                  <wp:effectExtent l="0" t="0" r="0" b="0"/>
                  <wp:wrapNone/>
                  <wp:docPr id="1088" name="Picture 1088" descr="https://d.adroll.com/cm/index/out"/>
                  <wp:cNvGraphicFramePr/>
                  <a:graphic xmlns:a="http://schemas.openxmlformats.org/drawingml/2006/main">
                    <a:graphicData uri="http://schemas.openxmlformats.org/drawingml/2006/picture">
                      <pic:pic xmlns:pic="http://schemas.openxmlformats.org/drawingml/2006/picture">
                        <pic:nvPicPr>
                          <pic:cNvPr id="15" name="Picture 14"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617728" behindDoc="0" locked="0" layoutInCell="1" allowOverlap="1" wp14:anchorId="244F93AD" wp14:editId="5E012895">
                  <wp:simplePos x="0" y="0"/>
                  <wp:positionH relativeFrom="column">
                    <wp:posOffset>15240</wp:posOffset>
                  </wp:positionH>
                  <wp:positionV relativeFrom="paragraph">
                    <wp:posOffset>0</wp:posOffset>
                  </wp:positionV>
                  <wp:extent cx="7620" cy="7620"/>
                  <wp:effectExtent l="0" t="0" r="0" b="0"/>
                  <wp:wrapNone/>
                  <wp:docPr id="1087" name="Picture 1087" descr="https://d.adroll.com/cm/index/out"/>
                  <wp:cNvGraphicFramePr/>
                  <a:graphic xmlns:a="http://schemas.openxmlformats.org/drawingml/2006/main">
                    <a:graphicData uri="http://schemas.openxmlformats.org/drawingml/2006/picture">
                      <pic:pic xmlns:pic="http://schemas.openxmlformats.org/drawingml/2006/picture">
                        <pic:nvPicPr>
                          <pic:cNvPr id="33" name="Picture 32"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6574CD65"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4E887EC9"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4CF87681" w14:textId="77777777" w:rsidR="009F0637" w:rsidRPr="00B0148D" w:rsidRDefault="009F0637" w:rsidP="009F0637">
            <w:pPr>
              <w:spacing w:after="0" w:line="240" w:lineRule="auto"/>
              <w:rPr>
                <w:rFonts w:ascii="Calibri" w:eastAsia="Times New Roman" w:hAnsi="Calibri" w:cs="Times New Roman"/>
                <w:lang w:val="fi-FI" w:eastAsia="fi-FI"/>
              </w:rPr>
            </w:pPr>
          </w:p>
        </w:tc>
        <w:tc>
          <w:tcPr>
            <w:tcW w:w="1936" w:type="dxa"/>
            <w:tcBorders>
              <w:top w:val="nil"/>
              <w:left w:val="nil"/>
              <w:bottom w:val="nil"/>
              <w:right w:val="nil"/>
            </w:tcBorders>
            <w:shd w:val="clear" w:color="auto" w:fill="auto"/>
            <w:noWrap/>
            <w:vAlign w:val="bottom"/>
            <w:hideMark/>
          </w:tcPr>
          <w:p w14:paraId="72E71265" w14:textId="5584FC20" w:rsidR="009F0637" w:rsidRPr="00B0148D" w:rsidRDefault="009F0637" w:rsidP="009F0637">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604416" behindDoc="0" locked="0" layoutInCell="1" allowOverlap="1" wp14:anchorId="1BE10707" wp14:editId="0C55E027">
                      <wp:simplePos x="0" y="0"/>
                      <wp:positionH relativeFrom="column">
                        <wp:posOffset>0</wp:posOffset>
                      </wp:positionH>
                      <wp:positionV relativeFrom="paragraph">
                        <wp:posOffset>0</wp:posOffset>
                      </wp:positionV>
                      <wp:extent cx="7620" cy="7620"/>
                      <wp:effectExtent l="0" t="0" r="0" b="0"/>
                      <wp:wrapNone/>
                      <wp:docPr id="1086" name="Rectangle 1086"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03ECBB3" id="Rectangle 1086" o:spid="_x0000_s1026" alt="https://d.adroll.com/cm/aol/out" style="position:absolute;margin-left:0;margin-top:0;width:.6pt;height:.6pt;z-index:25260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CQF/Xk&#10;FwIAACk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22848" behindDoc="0" locked="0" layoutInCell="1" allowOverlap="1" wp14:anchorId="22D74D58" wp14:editId="6645DC8C">
                      <wp:simplePos x="0" y="0"/>
                      <wp:positionH relativeFrom="column">
                        <wp:posOffset>0</wp:posOffset>
                      </wp:positionH>
                      <wp:positionV relativeFrom="paragraph">
                        <wp:posOffset>0</wp:posOffset>
                      </wp:positionV>
                      <wp:extent cx="7620" cy="7620"/>
                      <wp:effectExtent l="0" t="0" r="0" b="0"/>
                      <wp:wrapNone/>
                      <wp:docPr id="1085" name="Rectangle 1085"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5206431B" id="Rectangle 1085" o:spid="_x0000_s1026" alt="https://d.adroll.com/cm/aol/out" style="position:absolute;margin-left:0;margin-top:0;width:.6pt;height:.6pt;z-index:25262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AU+EKV&#10;FwIAACk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606464" behindDoc="0" locked="0" layoutInCell="1" allowOverlap="1" wp14:anchorId="38BEEC7B" wp14:editId="50B5EF76">
                  <wp:simplePos x="0" y="0"/>
                  <wp:positionH relativeFrom="column">
                    <wp:posOffset>30480</wp:posOffset>
                  </wp:positionH>
                  <wp:positionV relativeFrom="paragraph">
                    <wp:posOffset>0</wp:posOffset>
                  </wp:positionV>
                  <wp:extent cx="7620" cy="7620"/>
                  <wp:effectExtent l="0" t="0" r="0" b="0"/>
                  <wp:wrapNone/>
                  <wp:docPr id="1084" name="Picture 1084" descr="https://d.adroll.com/cm/n/out"/>
                  <wp:cNvGraphicFramePr/>
                  <a:graphic xmlns:a="http://schemas.openxmlformats.org/drawingml/2006/main">
                    <a:graphicData uri="http://schemas.openxmlformats.org/drawingml/2006/picture">
                      <pic:pic xmlns:pic="http://schemas.openxmlformats.org/drawingml/2006/picture">
                        <pic:nvPicPr>
                          <pic:cNvPr id="22" name="Picture 21"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607488" behindDoc="0" locked="0" layoutInCell="1" allowOverlap="1" wp14:anchorId="0F82F76A" wp14:editId="69F56C5A">
                      <wp:simplePos x="0" y="0"/>
                      <wp:positionH relativeFrom="column">
                        <wp:posOffset>45720</wp:posOffset>
                      </wp:positionH>
                      <wp:positionV relativeFrom="paragraph">
                        <wp:posOffset>0</wp:posOffset>
                      </wp:positionV>
                      <wp:extent cx="7620" cy="7620"/>
                      <wp:effectExtent l="0" t="0" r="0" b="0"/>
                      <wp:wrapNone/>
                      <wp:docPr id="1083" name="Rectangle 1083"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1C23D05" id="Rectangle 1083" o:spid="_x0000_s1026" alt="https://d.adroll.com/cm/outbrain/out" style="position:absolute;margin-left:3.6pt;margin-top:0;width:.6pt;height:.6pt;z-index:25260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jYvbdB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624896" behindDoc="0" locked="0" layoutInCell="1" allowOverlap="1" wp14:anchorId="2E5A50FC" wp14:editId="5F21EE1A">
                  <wp:simplePos x="0" y="0"/>
                  <wp:positionH relativeFrom="column">
                    <wp:posOffset>30480</wp:posOffset>
                  </wp:positionH>
                  <wp:positionV relativeFrom="paragraph">
                    <wp:posOffset>0</wp:posOffset>
                  </wp:positionV>
                  <wp:extent cx="7620" cy="7620"/>
                  <wp:effectExtent l="0" t="0" r="0" b="0"/>
                  <wp:wrapNone/>
                  <wp:docPr id="1082" name="Picture 1082" descr="https://d.adroll.com/cm/n/out"/>
                  <wp:cNvGraphicFramePr/>
                  <a:graphic xmlns:a="http://schemas.openxmlformats.org/drawingml/2006/main">
                    <a:graphicData uri="http://schemas.openxmlformats.org/drawingml/2006/picture">
                      <pic:pic xmlns:pic="http://schemas.openxmlformats.org/drawingml/2006/picture">
                        <pic:nvPicPr>
                          <pic:cNvPr id="40" name="Picture 39"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625920" behindDoc="0" locked="0" layoutInCell="1" allowOverlap="1" wp14:anchorId="59E1A538" wp14:editId="2C51DF31">
                      <wp:simplePos x="0" y="0"/>
                      <wp:positionH relativeFrom="column">
                        <wp:posOffset>45720</wp:posOffset>
                      </wp:positionH>
                      <wp:positionV relativeFrom="paragraph">
                        <wp:posOffset>0</wp:posOffset>
                      </wp:positionV>
                      <wp:extent cx="7620" cy="7620"/>
                      <wp:effectExtent l="0" t="0" r="0" b="0"/>
                      <wp:wrapNone/>
                      <wp:docPr id="1081" name="Rectangle 1081"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6889A8AE" id="Rectangle 1081" o:spid="_x0000_s1026" alt="https://d.adroll.com/cm/outbrain/out" style="position:absolute;margin-left:3.6pt;margin-top:0;width:.6pt;height:.6pt;z-index:25262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pjN+6h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08512" behindDoc="0" locked="0" layoutInCell="1" allowOverlap="1" wp14:anchorId="408C2EBC" wp14:editId="7B40786D">
                      <wp:simplePos x="0" y="0"/>
                      <wp:positionH relativeFrom="column">
                        <wp:posOffset>60960</wp:posOffset>
                      </wp:positionH>
                      <wp:positionV relativeFrom="paragraph">
                        <wp:posOffset>0</wp:posOffset>
                      </wp:positionV>
                      <wp:extent cx="7620" cy="7620"/>
                      <wp:effectExtent l="0" t="0" r="0" b="0"/>
                      <wp:wrapNone/>
                      <wp:docPr id="1080" name="Rectangle 1080"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E5FF728" id="Rectangle 1080" o:spid="_x0000_s1026" alt="https://d.adroll.com/cm/pubmatic/out" style="position:absolute;margin-left:4.8pt;margin-top:0;width:.6pt;height:.6pt;z-index:25260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09536" behindDoc="0" locked="0" layoutInCell="1" allowOverlap="1" wp14:anchorId="5CE9B085" wp14:editId="32F4F3F2">
                      <wp:simplePos x="0" y="0"/>
                      <wp:positionH relativeFrom="column">
                        <wp:posOffset>76200</wp:posOffset>
                      </wp:positionH>
                      <wp:positionV relativeFrom="paragraph">
                        <wp:posOffset>0</wp:posOffset>
                      </wp:positionV>
                      <wp:extent cx="7620" cy="7620"/>
                      <wp:effectExtent l="0" t="0" r="0" b="0"/>
                      <wp:wrapNone/>
                      <wp:docPr id="1079" name="Rectangle 1079"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869FF96" id="Rectangle 1079" o:spid="_x0000_s1026" alt="https://d.adroll.com/cm/taboola/out" style="position:absolute;margin-left:6pt;margin-top:0;width:.6pt;height:.6pt;z-index:25260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NRSnxx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26944" behindDoc="0" locked="0" layoutInCell="1" allowOverlap="1" wp14:anchorId="0C25D070" wp14:editId="70064C93">
                      <wp:simplePos x="0" y="0"/>
                      <wp:positionH relativeFrom="column">
                        <wp:posOffset>60960</wp:posOffset>
                      </wp:positionH>
                      <wp:positionV relativeFrom="paragraph">
                        <wp:posOffset>0</wp:posOffset>
                      </wp:positionV>
                      <wp:extent cx="7620" cy="7620"/>
                      <wp:effectExtent l="0" t="0" r="0" b="0"/>
                      <wp:wrapNone/>
                      <wp:docPr id="1078" name="Rectangle 1078"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D03C1DD" id="Rectangle 1078" o:spid="_x0000_s1026" alt="https://d.adroll.com/cm/pubmatic/out" style="position:absolute;margin-left:4.8pt;margin-top:0;width:.6pt;height:.6pt;z-index:25262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27968" behindDoc="0" locked="0" layoutInCell="1" allowOverlap="1" wp14:anchorId="21B9FE4E" wp14:editId="018AD3BE">
                      <wp:simplePos x="0" y="0"/>
                      <wp:positionH relativeFrom="column">
                        <wp:posOffset>76200</wp:posOffset>
                      </wp:positionH>
                      <wp:positionV relativeFrom="paragraph">
                        <wp:posOffset>0</wp:posOffset>
                      </wp:positionV>
                      <wp:extent cx="7620" cy="7620"/>
                      <wp:effectExtent l="0" t="0" r="0" b="0"/>
                      <wp:wrapNone/>
                      <wp:docPr id="1077" name="Rectangle 1077"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2AE1602" id="Rectangle 1077" o:spid="_x0000_s1026" alt="https://d.adroll.com/cm/taboola/out" style="position:absolute;margin-left:6pt;margin-top:0;width:.6pt;height:.6pt;z-index:25262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46b07R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605440" behindDoc="0" locked="0" layoutInCell="1" allowOverlap="1" wp14:anchorId="775DB0DA" wp14:editId="22088DC5">
                  <wp:simplePos x="0" y="0"/>
                  <wp:positionH relativeFrom="column">
                    <wp:posOffset>15240</wp:posOffset>
                  </wp:positionH>
                  <wp:positionV relativeFrom="paragraph">
                    <wp:posOffset>0</wp:posOffset>
                  </wp:positionV>
                  <wp:extent cx="7620" cy="7620"/>
                  <wp:effectExtent l="0" t="0" r="0" b="0"/>
                  <wp:wrapNone/>
                  <wp:docPr id="1076" name="Picture 1076" descr="https://d.adroll.com/cm/index/out"/>
                  <wp:cNvGraphicFramePr/>
                  <a:graphic xmlns:a="http://schemas.openxmlformats.org/drawingml/2006/main">
                    <a:graphicData uri="http://schemas.openxmlformats.org/drawingml/2006/picture">
                      <pic:pic xmlns:pic="http://schemas.openxmlformats.org/drawingml/2006/picture">
                        <pic:nvPicPr>
                          <pic:cNvPr id="21" name="Picture 20"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623872" behindDoc="0" locked="0" layoutInCell="1" allowOverlap="1" wp14:anchorId="60569613" wp14:editId="4A997BEE">
                  <wp:simplePos x="0" y="0"/>
                  <wp:positionH relativeFrom="column">
                    <wp:posOffset>15240</wp:posOffset>
                  </wp:positionH>
                  <wp:positionV relativeFrom="paragraph">
                    <wp:posOffset>0</wp:posOffset>
                  </wp:positionV>
                  <wp:extent cx="7620" cy="7620"/>
                  <wp:effectExtent l="0" t="0" r="0" b="0"/>
                  <wp:wrapNone/>
                  <wp:docPr id="1075" name="Picture 1075" descr="https://d.adroll.com/cm/index/out"/>
                  <wp:cNvGraphicFramePr/>
                  <a:graphic xmlns:a="http://schemas.openxmlformats.org/drawingml/2006/main">
                    <a:graphicData uri="http://schemas.openxmlformats.org/drawingml/2006/picture">
                      <pic:pic xmlns:pic="http://schemas.openxmlformats.org/drawingml/2006/picture">
                        <pic:nvPicPr>
                          <pic:cNvPr id="39" name="Picture 38"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5CD1DA0A"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25B99D3C"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79A6AA44" w14:textId="77777777" w:rsidR="009F0637" w:rsidRPr="00B0148D" w:rsidRDefault="009F0637" w:rsidP="009F0637">
            <w:pPr>
              <w:spacing w:after="0" w:line="240" w:lineRule="auto"/>
              <w:rPr>
                <w:rFonts w:ascii="Calibri" w:eastAsia="Times New Roman" w:hAnsi="Calibri" w:cs="Times New Roman"/>
                <w:lang w:val="fi-FI" w:eastAsia="fi-FI"/>
              </w:rPr>
            </w:pPr>
          </w:p>
        </w:tc>
        <w:tc>
          <w:tcPr>
            <w:tcW w:w="1936" w:type="dxa"/>
            <w:tcBorders>
              <w:top w:val="nil"/>
              <w:left w:val="nil"/>
              <w:bottom w:val="nil"/>
              <w:right w:val="nil"/>
            </w:tcBorders>
            <w:shd w:val="clear" w:color="auto" w:fill="auto"/>
            <w:noWrap/>
            <w:vAlign w:val="bottom"/>
            <w:hideMark/>
          </w:tcPr>
          <w:p w14:paraId="09DEDD7B" w14:textId="657426B8" w:rsidR="009F0637" w:rsidRPr="00B0148D" w:rsidRDefault="009F0637" w:rsidP="009F0637">
            <w:pPr>
              <w:spacing w:after="0" w:line="240" w:lineRule="auto"/>
              <w:rPr>
                <w:rFonts w:ascii="Calibri" w:eastAsia="Times New Roman" w:hAnsi="Calibri" w:cs="Times New Roman"/>
                <w:lang w:val="fi-FI" w:eastAsia="fi-FI"/>
              </w:rPr>
            </w:pPr>
            <w:r w:rsidRPr="00B0148D">
              <w:rPr>
                <w:rFonts w:ascii="Calibri" w:eastAsia="Times New Roman" w:hAnsi="Calibri" w:cs="Times New Roman"/>
                <w:noProof/>
                <w:lang w:val="fi-FI" w:eastAsia="fi-FI"/>
              </w:rPr>
              <mc:AlternateContent>
                <mc:Choice Requires="wps">
                  <w:drawing>
                    <wp:anchor distT="0" distB="0" distL="114300" distR="114300" simplePos="0" relativeHeight="252610560" behindDoc="0" locked="0" layoutInCell="1" allowOverlap="1" wp14:anchorId="74C852E8" wp14:editId="33E7FA25">
                      <wp:simplePos x="0" y="0"/>
                      <wp:positionH relativeFrom="column">
                        <wp:posOffset>0</wp:posOffset>
                      </wp:positionH>
                      <wp:positionV relativeFrom="paragraph">
                        <wp:posOffset>0</wp:posOffset>
                      </wp:positionV>
                      <wp:extent cx="7620" cy="7620"/>
                      <wp:effectExtent l="0" t="0" r="0" b="0"/>
                      <wp:wrapNone/>
                      <wp:docPr id="1074" name="Rectangle 1074"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55D7830D" id="Rectangle 1074" o:spid="_x0000_s1026" alt="https://d.adroll.com/cm/aol/out" style="position:absolute;margin-left:0;margin-top:0;width:.6pt;height:.6pt;z-index:25261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28992" behindDoc="0" locked="0" layoutInCell="1" allowOverlap="1" wp14:anchorId="44217FB9" wp14:editId="3E324D27">
                      <wp:simplePos x="0" y="0"/>
                      <wp:positionH relativeFrom="column">
                        <wp:posOffset>0</wp:posOffset>
                      </wp:positionH>
                      <wp:positionV relativeFrom="paragraph">
                        <wp:posOffset>0</wp:posOffset>
                      </wp:positionV>
                      <wp:extent cx="7620" cy="7620"/>
                      <wp:effectExtent l="0" t="0" r="0" b="0"/>
                      <wp:wrapNone/>
                      <wp:docPr id="1073" name="Rectangle 1073"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962D530" id="Rectangle 1073" o:spid="_x0000_s1026" alt="https://d.adroll.com/cm/aol/out" style="position:absolute;margin-left:0;margin-top:0;width:.6pt;height:.6pt;z-index:25262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612608" behindDoc="0" locked="0" layoutInCell="1" allowOverlap="1" wp14:anchorId="542DB658" wp14:editId="5D8E9CBC">
                  <wp:simplePos x="0" y="0"/>
                  <wp:positionH relativeFrom="column">
                    <wp:posOffset>30480</wp:posOffset>
                  </wp:positionH>
                  <wp:positionV relativeFrom="paragraph">
                    <wp:posOffset>0</wp:posOffset>
                  </wp:positionV>
                  <wp:extent cx="7620" cy="7620"/>
                  <wp:effectExtent l="0" t="0" r="0" b="0"/>
                  <wp:wrapNone/>
                  <wp:docPr id="1072" name="Picture 1072" descr="https://d.adroll.com/cm/n/out"/>
                  <wp:cNvGraphicFramePr/>
                  <a:graphic xmlns:a="http://schemas.openxmlformats.org/drawingml/2006/main">
                    <a:graphicData uri="http://schemas.openxmlformats.org/drawingml/2006/picture">
                      <pic:pic xmlns:pic="http://schemas.openxmlformats.org/drawingml/2006/picture">
                        <pic:nvPicPr>
                          <pic:cNvPr id="28" name="Picture 27"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613632" behindDoc="0" locked="0" layoutInCell="1" allowOverlap="1" wp14:anchorId="78B93B83" wp14:editId="560EC60C">
                      <wp:simplePos x="0" y="0"/>
                      <wp:positionH relativeFrom="column">
                        <wp:posOffset>45720</wp:posOffset>
                      </wp:positionH>
                      <wp:positionV relativeFrom="paragraph">
                        <wp:posOffset>0</wp:posOffset>
                      </wp:positionV>
                      <wp:extent cx="7620" cy="7620"/>
                      <wp:effectExtent l="0" t="0" r="0" b="0"/>
                      <wp:wrapNone/>
                      <wp:docPr id="1071" name="Rectangle 1071"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7603A341" id="Rectangle 1071" o:spid="_x0000_s1026" alt="https://d.adroll.com/cm/outbrain/out" style="position:absolute;margin-left:3.6pt;margin-top:0;width:.6pt;height:.6pt;z-index:25261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sIdiTh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631040" behindDoc="0" locked="0" layoutInCell="1" allowOverlap="1" wp14:anchorId="752CFFDB" wp14:editId="492E04C7">
                  <wp:simplePos x="0" y="0"/>
                  <wp:positionH relativeFrom="column">
                    <wp:posOffset>30480</wp:posOffset>
                  </wp:positionH>
                  <wp:positionV relativeFrom="paragraph">
                    <wp:posOffset>0</wp:posOffset>
                  </wp:positionV>
                  <wp:extent cx="7620" cy="7620"/>
                  <wp:effectExtent l="0" t="0" r="0" b="0"/>
                  <wp:wrapNone/>
                  <wp:docPr id="1070" name="Picture 1070" descr="https://d.adroll.com/cm/n/out"/>
                  <wp:cNvGraphicFramePr/>
                  <a:graphic xmlns:a="http://schemas.openxmlformats.org/drawingml/2006/main">
                    <a:graphicData uri="http://schemas.openxmlformats.org/drawingml/2006/picture">
                      <pic:pic xmlns:pic="http://schemas.openxmlformats.org/drawingml/2006/picture">
                        <pic:nvPicPr>
                          <pic:cNvPr id="46" name="Picture 45" descr="https://d.adroll.com/cm/n/o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mc:AlternateContent>
                <mc:Choice Requires="wps">
                  <w:drawing>
                    <wp:anchor distT="0" distB="0" distL="114300" distR="114300" simplePos="0" relativeHeight="252632064" behindDoc="0" locked="0" layoutInCell="1" allowOverlap="1" wp14:anchorId="5A606AB8" wp14:editId="1DA238B6">
                      <wp:simplePos x="0" y="0"/>
                      <wp:positionH relativeFrom="column">
                        <wp:posOffset>45720</wp:posOffset>
                      </wp:positionH>
                      <wp:positionV relativeFrom="paragraph">
                        <wp:posOffset>0</wp:posOffset>
                      </wp:positionV>
                      <wp:extent cx="7620" cy="7620"/>
                      <wp:effectExtent l="0" t="0" r="0" b="0"/>
                      <wp:wrapNone/>
                      <wp:docPr id="1069" name="Rectangle 1069"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6AC766CC" id="Rectangle 1069" o:spid="_x0000_s1026" alt="https://d.adroll.com/cm/outbrain/out" style="position:absolute;margin-left:3.6pt;margin-top:0;width:.6pt;height:.6pt;z-index:25263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14656" behindDoc="0" locked="0" layoutInCell="1" allowOverlap="1" wp14:anchorId="3FEAFFEB" wp14:editId="0E14A842">
                      <wp:simplePos x="0" y="0"/>
                      <wp:positionH relativeFrom="column">
                        <wp:posOffset>60960</wp:posOffset>
                      </wp:positionH>
                      <wp:positionV relativeFrom="paragraph">
                        <wp:posOffset>0</wp:posOffset>
                      </wp:positionV>
                      <wp:extent cx="7620" cy="7620"/>
                      <wp:effectExtent l="0" t="0" r="0" b="0"/>
                      <wp:wrapNone/>
                      <wp:docPr id="1068" name="Rectangle 1068"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494A3166" id="Rectangle 1068" o:spid="_x0000_s1026" alt="https://d.adroll.com/cm/pubmatic/out" style="position:absolute;margin-left:4.8pt;margin-top:0;width:.6pt;height:.6pt;z-index:25261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TwZcRBsCAAAu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15680" behindDoc="0" locked="0" layoutInCell="1" allowOverlap="1" wp14:anchorId="3568A381" wp14:editId="065E887C">
                      <wp:simplePos x="0" y="0"/>
                      <wp:positionH relativeFrom="column">
                        <wp:posOffset>76200</wp:posOffset>
                      </wp:positionH>
                      <wp:positionV relativeFrom="paragraph">
                        <wp:posOffset>0</wp:posOffset>
                      </wp:positionV>
                      <wp:extent cx="7620" cy="7620"/>
                      <wp:effectExtent l="0" t="0" r="0" b="0"/>
                      <wp:wrapNone/>
                      <wp:docPr id="1067" name="Rectangle 1067"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077F926D" id="Rectangle 1067" o:spid="_x0000_s1026" alt="https://d.adroll.com/cm/taboola/out" style="position:absolute;margin-left:6pt;margin-top:0;width:.6pt;height:.6pt;z-index:25261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1vkeTx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33088" behindDoc="0" locked="0" layoutInCell="1" allowOverlap="1" wp14:anchorId="0A554A22" wp14:editId="24359527">
                      <wp:simplePos x="0" y="0"/>
                      <wp:positionH relativeFrom="column">
                        <wp:posOffset>60960</wp:posOffset>
                      </wp:positionH>
                      <wp:positionV relativeFrom="paragraph">
                        <wp:posOffset>0</wp:posOffset>
                      </wp:positionV>
                      <wp:extent cx="7620" cy="7620"/>
                      <wp:effectExtent l="0" t="0" r="0" b="0"/>
                      <wp:wrapNone/>
                      <wp:docPr id="1066" name="Rectangle 1066"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1314C283" id="Rectangle 1066" o:spid="_x0000_s1026" alt="https://d.adroll.com/cm/pubmatic/out" style="position:absolute;margin-left:4.8pt;margin-top:0;width:.6pt;height:.6pt;z-index:25263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mc:AlternateContent>
                <mc:Choice Requires="wps">
                  <w:drawing>
                    <wp:anchor distT="0" distB="0" distL="114300" distR="114300" simplePos="0" relativeHeight="252634112" behindDoc="0" locked="0" layoutInCell="1" allowOverlap="1" wp14:anchorId="0509ABA9" wp14:editId="159E2D35">
                      <wp:simplePos x="0" y="0"/>
                      <wp:positionH relativeFrom="column">
                        <wp:posOffset>76200</wp:posOffset>
                      </wp:positionH>
                      <wp:positionV relativeFrom="paragraph">
                        <wp:posOffset>0</wp:posOffset>
                      </wp:positionV>
                      <wp:extent cx="7620" cy="7620"/>
                      <wp:effectExtent l="0" t="0" r="0" b="0"/>
                      <wp:wrapNone/>
                      <wp:docPr id="1065" name="Rectangle 1065"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w:pict>
                    <v:rect w14:anchorId="23769490" id="Rectangle 1065" o:spid="_x0000_s1026" alt="https://d.adroll.com/cm/taboola/out" style="position:absolute;margin-left:6pt;margin-top:0;width:.6pt;height:.6pt;z-index:25263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" filled="f" stroked="f">
                      <o:lock v:ext="edit" aspectratio="t"/>
                    </v:rect>
                  </w:pict>
                </mc:Fallback>
              </mc:AlternateContent>
            </w:r>
            <w:r w:rsidRPr="00B0148D">
              <w:rPr>
                <w:rFonts w:ascii="Calibri" w:eastAsia="Times New Roman" w:hAnsi="Calibri" w:cs="Times New Roman"/>
                <w:noProof/>
                <w:lang w:val="fi-FI" w:eastAsia="fi-FI"/>
              </w:rPr>
              <w:drawing>
                <wp:anchor distT="0" distB="0" distL="114300" distR="114300" simplePos="0" relativeHeight="252611584" behindDoc="0" locked="0" layoutInCell="1" allowOverlap="1" wp14:anchorId="5F0B1370" wp14:editId="3F50A94B">
                  <wp:simplePos x="0" y="0"/>
                  <wp:positionH relativeFrom="column">
                    <wp:posOffset>15240</wp:posOffset>
                  </wp:positionH>
                  <wp:positionV relativeFrom="paragraph">
                    <wp:posOffset>0</wp:posOffset>
                  </wp:positionV>
                  <wp:extent cx="7620" cy="7620"/>
                  <wp:effectExtent l="0" t="0" r="0" b="0"/>
                  <wp:wrapNone/>
                  <wp:docPr id="1064" name="Picture 1064" descr="https://d.adroll.com/cm/index/out"/>
                  <wp:cNvGraphicFramePr/>
                  <a:graphic xmlns:a="http://schemas.openxmlformats.org/drawingml/2006/main">
                    <a:graphicData uri="http://schemas.openxmlformats.org/drawingml/2006/picture">
                      <pic:pic xmlns:pic="http://schemas.openxmlformats.org/drawingml/2006/picture">
                        <pic:nvPicPr>
                          <pic:cNvPr id="27" name="Picture 26"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630016" behindDoc="0" locked="0" layoutInCell="1" allowOverlap="1" wp14:anchorId="46F58D7F" wp14:editId="444D3B5B">
                  <wp:simplePos x="0" y="0"/>
                  <wp:positionH relativeFrom="column">
                    <wp:posOffset>15240</wp:posOffset>
                  </wp:positionH>
                  <wp:positionV relativeFrom="paragraph">
                    <wp:posOffset>0</wp:posOffset>
                  </wp:positionV>
                  <wp:extent cx="7620" cy="7620"/>
                  <wp:effectExtent l="0" t="0" r="0" b="0"/>
                  <wp:wrapNone/>
                  <wp:docPr id="1063" name="Picture 1063" descr="https://d.adroll.com/cm/index/out"/>
                  <wp:cNvGraphicFramePr/>
                  <a:graphic xmlns:a="http://schemas.openxmlformats.org/drawingml/2006/main">
                    <a:graphicData uri="http://schemas.openxmlformats.org/drawingml/2006/picture">
                      <pic:pic xmlns:pic="http://schemas.openxmlformats.org/drawingml/2006/picture">
                        <pic:nvPicPr>
                          <pic:cNvPr id="45" name="Picture 44" descr="https://d.adroll.com/cm/index/o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3FA7202C" w14:textId="77777777">
              <w:trPr>
                <w:trHeight w:val="288"/>
                <w:tblCellSpacing w:w="0" w:type="dxa"/>
              </w:trPr>
              <w:tc>
                <w:tcPr>
                  <w:tcW w:w="1920" w:type="dxa"/>
                  <w:tcBorders>
                    <w:top w:val="nil"/>
                    <w:left w:val="nil"/>
                    <w:bottom w:val="single" w:sz="4" w:space="0" w:color="auto"/>
                    <w:right w:val="nil"/>
                  </w:tcBorders>
                  <w:shd w:val="clear" w:color="000000" w:fill="FFFFFF"/>
                  <w:noWrap/>
                  <w:vAlign w:val="bottom"/>
                  <w:hideMark/>
                </w:tcPr>
                <w:p w14:paraId="45E36504"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OR (95% CI)</w:t>
                  </w:r>
                </w:p>
              </w:tc>
            </w:tr>
          </w:tbl>
          <w:p w14:paraId="098A0A09" w14:textId="77777777" w:rsidR="009F0637" w:rsidRPr="00B0148D" w:rsidRDefault="009F0637" w:rsidP="009F0637">
            <w:pPr>
              <w:spacing w:after="0" w:line="240" w:lineRule="auto"/>
              <w:rPr>
                <w:rFonts w:ascii="Calibri" w:eastAsia="Times New Roman" w:hAnsi="Calibri" w:cs="Times New Roman"/>
                <w:lang w:val="fi-FI" w:eastAsia="fi-FI"/>
              </w:rPr>
            </w:pPr>
          </w:p>
        </w:tc>
      </w:tr>
      <w:tr w:rsidR="00B0148D" w:rsidRPr="00B0148D" w14:paraId="529E9A9C" w14:textId="77777777" w:rsidTr="009F0637">
        <w:trPr>
          <w:trHeight w:val="639"/>
        </w:trPr>
        <w:tc>
          <w:tcPr>
            <w:tcW w:w="2036" w:type="dxa"/>
            <w:tcBorders>
              <w:top w:val="nil"/>
              <w:left w:val="nil"/>
              <w:bottom w:val="nil"/>
              <w:right w:val="nil"/>
            </w:tcBorders>
            <w:shd w:val="clear" w:color="000000" w:fill="FFFFFF"/>
            <w:noWrap/>
            <w:vAlign w:val="center"/>
            <w:hideMark/>
          </w:tcPr>
          <w:p w14:paraId="61374DE9" w14:textId="77777777" w:rsidR="009F0637" w:rsidRPr="00B0148D" w:rsidRDefault="009F0637" w:rsidP="009F063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Conservation</w:t>
            </w:r>
          </w:p>
        </w:tc>
        <w:tc>
          <w:tcPr>
            <w:tcW w:w="1936"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firstRow="1" w:lastRow="0" w:firstColumn="1" w:lastColumn="0" w:noHBand="0" w:noVBand="1"/>
            </w:tblPr>
            <w:tblGrid>
              <w:gridCol w:w="1920"/>
            </w:tblGrid>
            <w:tr w:rsidR="00B0148D" w:rsidRPr="00B0148D" w14:paraId="5E243B13" w14:textId="77777777">
              <w:trPr>
                <w:trHeight w:val="639"/>
                <w:tblCellSpacing w:w="0" w:type="dxa"/>
              </w:trPr>
              <w:tc>
                <w:tcPr>
                  <w:tcW w:w="1920" w:type="dxa"/>
                  <w:tcBorders>
                    <w:top w:val="nil"/>
                    <w:left w:val="nil"/>
                    <w:bottom w:val="nil"/>
                    <w:right w:val="nil"/>
                  </w:tcBorders>
                  <w:shd w:val="clear" w:color="000000" w:fill="FFFFFF"/>
                  <w:vAlign w:val="center"/>
                  <w:hideMark/>
                </w:tcPr>
                <w:p w14:paraId="31C14296" w14:textId="3644550D"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Calibri" w:eastAsia="Times New Roman" w:hAnsi="Calibri" w:cs="Times New Roman"/>
                      <w:noProof/>
                      <w:lang w:val="fi-FI" w:eastAsia="fi-FI"/>
                    </w:rPr>
                    <w:drawing>
                      <wp:anchor distT="0" distB="0" distL="114300" distR="114300" simplePos="0" relativeHeight="252592128" behindDoc="0" locked="0" layoutInCell="1" allowOverlap="1" wp14:anchorId="55422ADC" wp14:editId="476DD6C2">
                        <wp:simplePos x="0" y="0"/>
                        <wp:positionH relativeFrom="column">
                          <wp:posOffset>0</wp:posOffset>
                        </wp:positionH>
                        <wp:positionV relativeFrom="paragraph">
                          <wp:posOffset>0</wp:posOffset>
                        </wp:positionV>
                        <wp:extent cx="7620" cy="7620"/>
                        <wp:effectExtent l="0" t="0" r="0" b="0"/>
                        <wp:wrapNone/>
                        <wp:docPr id="1062" name="Picture 1062" descr="https://d.adroll.com/cm/r/out"/>
                        <wp:cNvGraphicFramePr/>
                        <a:graphic xmlns:a="http://schemas.openxmlformats.org/drawingml/2006/main">
                          <a:graphicData uri="http://schemas.openxmlformats.org/drawingml/2006/picture">
                            <pic:pic xmlns:pic="http://schemas.openxmlformats.org/drawingml/2006/picture">
                              <pic:nvPicPr>
                                <pic:cNvPr id="8" name="Picture 7" descr="https://d.adroll.com/cm/r/ou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94176" behindDoc="0" locked="0" layoutInCell="1" allowOverlap="1" wp14:anchorId="66731F13" wp14:editId="65C6C627">
                        <wp:simplePos x="0" y="0"/>
                        <wp:positionH relativeFrom="column">
                          <wp:posOffset>30480</wp:posOffset>
                        </wp:positionH>
                        <wp:positionV relativeFrom="paragraph">
                          <wp:posOffset>0</wp:posOffset>
                        </wp:positionV>
                        <wp:extent cx="7620" cy="7620"/>
                        <wp:effectExtent l="0" t="0" r="0" b="0"/>
                        <wp:wrapNone/>
                        <wp:docPr id="1061" name="Picture 1061" descr="https://d.adroll.com/cm/x/out"/>
                        <wp:cNvGraphicFramePr/>
                        <a:graphic xmlns:a="http://schemas.openxmlformats.org/drawingml/2006/main">
                          <a:graphicData uri="http://schemas.openxmlformats.org/drawingml/2006/picture">
                            <pic:pic xmlns:pic="http://schemas.openxmlformats.org/drawingml/2006/picture">
                              <pic:nvPicPr>
                                <pic:cNvPr id="10" name="Picture 9" descr="https://d.adroll.com/cm/x/ou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95200" behindDoc="0" locked="0" layoutInCell="1" allowOverlap="1" wp14:anchorId="697BFDFB" wp14:editId="0169EE30">
                        <wp:simplePos x="0" y="0"/>
                        <wp:positionH relativeFrom="column">
                          <wp:posOffset>45720</wp:posOffset>
                        </wp:positionH>
                        <wp:positionV relativeFrom="paragraph">
                          <wp:posOffset>0</wp:posOffset>
                        </wp:positionV>
                        <wp:extent cx="7620" cy="7620"/>
                        <wp:effectExtent l="0" t="0" r="0" b="0"/>
                        <wp:wrapNone/>
                        <wp:docPr id="1060" name="Picture 1060" descr="https://d.adroll.com/cm/l/out"/>
                        <wp:cNvGraphicFramePr/>
                        <a:graphic xmlns:a="http://schemas.openxmlformats.org/drawingml/2006/main">
                          <a:graphicData uri="http://schemas.openxmlformats.org/drawingml/2006/picture">
                            <pic:pic xmlns:pic="http://schemas.openxmlformats.org/drawingml/2006/picture">
                              <pic:nvPicPr>
                                <pic:cNvPr id="11" name="Picture 10" descr="https://d.adroll.com/cm/l/ou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96224" behindDoc="0" locked="0" layoutInCell="1" allowOverlap="1" wp14:anchorId="54CB7D78" wp14:editId="45164EF1">
                        <wp:simplePos x="0" y="0"/>
                        <wp:positionH relativeFrom="column">
                          <wp:posOffset>60960</wp:posOffset>
                        </wp:positionH>
                        <wp:positionV relativeFrom="paragraph">
                          <wp:posOffset>0</wp:posOffset>
                        </wp:positionV>
                        <wp:extent cx="7620" cy="7620"/>
                        <wp:effectExtent l="0" t="0" r="0" b="0"/>
                        <wp:wrapNone/>
                        <wp:docPr id="1059" name="Picture 1059" descr="https://d.adroll.com/cm/o/out"/>
                        <wp:cNvGraphicFramePr/>
                        <a:graphic xmlns:a="http://schemas.openxmlformats.org/drawingml/2006/main">
                          <a:graphicData uri="http://schemas.openxmlformats.org/drawingml/2006/picture">
                            <pic:pic xmlns:pic="http://schemas.openxmlformats.org/drawingml/2006/picture">
                              <pic:nvPicPr>
                                <pic:cNvPr id="12" name="Picture 11" descr="https://d.adroll.com/cm/o/ou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97248" behindDoc="0" locked="0" layoutInCell="1" allowOverlap="1" wp14:anchorId="1D994507" wp14:editId="2D92921C">
                        <wp:simplePos x="0" y="0"/>
                        <wp:positionH relativeFrom="column">
                          <wp:posOffset>76200</wp:posOffset>
                        </wp:positionH>
                        <wp:positionV relativeFrom="paragraph">
                          <wp:posOffset>0</wp:posOffset>
                        </wp:positionV>
                        <wp:extent cx="7620" cy="7620"/>
                        <wp:effectExtent l="0" t="0" r="0" b="0"/>
                        <wp:wrapNone/>
                        <wp:docPr id="1058" name="Picture 1058" descr="https://d.adroll.com/cm/g/out?google_nid=adroll4"/>
                        <wp:cNvGraphicFramePr/>
                        <a:graphic xmlns:a="http://schemas.openxmlformats.org/drawingml/2006/main">
                          <a:graphicData uri="http://schemas.openxmlformats.org/drawingml/2006/picture">
                            <pic:pic xmlns:pic="http://schemas.openxmlformats.org/drawingml/2006/picture">
                              <pic:nvPicPr>
                                <pic:cNvPr id="13" name="Picture 12" descr="https://d.adroll.com/cm/g/out?google_nid=adroll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Calibri" w:eastAsia="Times New Roman" w:hAnsi="Calibri" w:cs="Times New Roman"/>
                      <w:noProof/>
                      <w:lang w:val="fi-FI" w:eastAsia="fi-FI"/>
                    </w:rPr>
                    <w:drawing>
                      <wp:anchor distT="0" distB="0" distL="114300" distR="114300" simplePos="0" relativeHeight="252593152" behindDoc="0" locked="0" layoutInCell="1" allowOverlap="1" wp14:anchorId="1BF9EE9E" wp14:editId="5C14178C">
                        <wp:simplePos x="0" y="0"/>
                        <wp:positionH relativeFrom="column">
                          <wp:posOffset>15240</wp:posOffset>
                        </wp:positionH>
                        <wp:positionV relativeFrom="paragraph">
                          <wp:posOffset>0</wp:posOffset>
                        </wp:positionV>
                        <wp:extent cx="7620" cy="7620"/>
                        <wp:effectExtent l="0" t="0" r="0" b="0"/>
                        <wp:wrapNone/>
                        <wp:docPr id="1057" name="Picture 1057" descr="https://d.adroll.com/cm/b/out"/>
                        <wp:cNvGraphicFramePr/>
                        <a:graphic xmlns:a="http://schemas.openxmlformats.org/drawingml/2006/main">
                          <a:graphicData uri="http://schemas.openxmlformats.org/drawingml/2006/picture">
                            <pic:pic xmlns:pic="http://schemas.openxmlformats.org/drawingml/2006/picture">
                              <pic:nvPicPr>
                                <pic:cNvPr id="9" name="Picture 8" descr="https://d.adroll.com/cm/b/ou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B0148D">
                    <w:rPr>
                      <w:rFonts w:ascii="Times New Roman" w:eastAsia="Times New Roman" w:hAnsi="Times New Roman" w:cs="Times New Roman"/>
                      <w:sz w:val="20"/>
                      <w:szCs w:val="20"/>
                      <w:lang w:val="fi-FI" w:eastAsia="fi-FI"/>
                    </w:rPr>
                    <w:t>1.13                         (0.86-1.49)</w:t>
                  </w:r>
                </w:p>
              </w:tc>
            </w:tr>
          </w:tbl>
          <w:p w14:paraId="2EFB25CA" w14:textId="77777777" w:rsidR="009F0637" w:rsidRPr="00B0148D" w:rsidRDefault="009F0637" w:rsidP="009F0637">
            <w:pPr>
              <w:spacing w:after="0" w:line="240" w:lineRule="auto"/>
              <w:rPr>
                <w:rFonts w:ascii="Calibri" w:eastAsia="Times New Roman" w:hAnsi="Calibri" w:cs="Times New Roman"/>
                <w:lang w:val="fi-FI" w:eastAsia="fi-FI"/>
              </w:rPr>
            </w:pPr>
          </w:p>
        </w:tc>
        <w:tc>
          <w:tcPr>
            <w:tcW w:w="1936" w:type="dxa"/>
            <w:tcBorders>
              <w:top w:val="nil"/>
              <w:left w:val="nil"/>
              <w:bottom w:val="nil"/>
              <w:right w:val="nil"/>
            </w:tcBorders>
            <w:shd w:val="clear" w:color="000000" w:fill="FFFFFF"/>
            <w:vAlign w:val="center"/>
            <w:hideMark/>
          </w:tcPr>
          <w:p w14:paraId="73E580B5"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1.00                         (0.77-1.31)</w:t>
            </w:r>
          </w:p>
        </w:tc>
        <w:tc>
          <w:tcPr>
            <w:tcW w:w="1936" w:type="dxa"/>
            <w:tcBorders>
              <w:top w:val="nil"/>
              <w:left w:val="nil"/>
              <w:bottom w:val="nil"/>
              <w:right w:val="nil"/>
            </w:tcBorders>
            <w:shd w:val="clear" w:color="000000" w:fill="FFFFFF"/>
            <w:vAlign w:val="center"/>
            <w:hideMark/>
          </w:tcPr>
          <w:p w14:paraId="4687A726"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0.99                       (0.75-1.30)</w:t>
            </w:r>
          </w:p>
        </w:tc>
        <w:tc>
          <w:tcPr>
            <w:tcW w:w="1936" w:type="dxa"/>
            <w:tcBorders>
              <w:top w:val="nil"/>
              <w:left w:val="nil"/>
              <w:bottom w:val="nil"/>
              <w:right w:val="nil"/>
            </w:tcBorders>
            <w:shd w:val="clear" w:color="000000" w:fill="FFFFFF"/>
            <w:vAlign w:val="center"/>
            <w:hideMark/>
          </w:tcPr>
          <w:p w14:paraId="5D243F55"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0.97                               (0.75-1.26)</w:t>
            </w:r>
          </w:p>
        </w:tc>
      </w:tr>
      <w:tr w:rsidR="00B0148D" w:rsidRPr="00B0148D" w14:paraId="6D5FEF05" w14:textId="77777777" w:rsidTr="009F0637">
        <w:trPr>
          <w:trHeight w:val="639"/>
        </w:trPr>
        <w:tc>
          <w:tcPr>
            <w:tcW w:w="2036" w:type="dxa"/>
            <w:tcBorders>
              <w:top w:val="nil"/>
              <w:left w:val="nil"/>
              <w:bottom w:val="nil"/>
              <w:right w:val="nil"/>
            </w:tcBorders>
            <w:shd w:val="clear" w:color="000000" w:fill="FFFFFF"/>
            <w:noWrap/>
            <w:vAlign w:val="center"/>
            <w:hideMark/>
          </w:tcPr>
          <w:p w14:paraId="299E40BE" w14:textId="77777777" w:rsidR="009F0637" w:rsidRPr="00B0148D" w:rsidRDefault="009F0637" w:rsidP="009F063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Self-transcendence</w:t>
            </w:r>
          </w:p>
        </w:tc>
        <w:tc>
          <w:tcPr>
            <w:tcW w:w="1936" w:type="dxa"/>
            <w:tcBorders>
              <w:top w:val="nil"/>
              <w:left w:val="nil"/>
              <w:bottom w:val="nil"/>
              <w:right w:val="nil"/>
            </w:tcBorders>
            <w:shd w:val="clear" w:color="000000" w:fill="FFFFFF"/>
            <w:vAlign w:val="center"/>
            <w:hideMark/>
          </w:tcPr>
          <w:p w14:paraId="37268C58"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0.96                         (0.73-1.26)</w:t>
            </w:r>
          </w:p>
        </w:tc>
        <w:tc>
          <w:tcPr>
            <w:tcW w:w="1936" w:type="dxa"/>
            <w:tcBorders>
              <w:top w:val="nil"/>
              <w:left w:val="nil"/>
              <w:bottom w:val="nil"/>
              <w:right w:val="nil"/>
            </w:tcBorders>
            <w:shd w:val="clear" w:color="000000" w:fill="FFFFFF"/>
            <w:vAlign w:val="center"/>
            <w:hideMark/>
          </w:tcPr>
          <w:p w14:paraId="5CE2E535"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1.01                         (0.77-1.31)</w:t>
            </w:r>
          </w:p>
        </w:tc>
        <w:tc>
          <w:tcPr>
            <w:tcW w:w="1936" w:type="dxa"/>
            <w:tcBorders>
              <w:top w:val="nil"/>
              <w:left w:val="nil"/>
              <w:bottom w:val="nil"/>
              <w:right w:val="nil"/>
            </w:tcBorders>
            <w:shd w:val="clear" w:color="000000" w:fill="FFFFFF"/>
            <w:vAlign w:val="center"/>
            <w:hideMark/>
          </w:tcPr>
          <w:p w14:paraId="078008E9"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1.05                               (0.80-1.37)</w:t>
            </w:r>
          </w:p>
        </w:tc>
        <w:tc>
          <w:tcPr>
            <w:tcW w:w="1936" w:type="dxa"/>
            <w:tcBorders>
              <w:top w:val="nil"/>
              <w:left w:val="nil"/>
              <w:bottom w:val="nil"/>
              <w:right w:val="nil"/>
            </w:tcBorders>
            <w:shd w:val="clear" w:color="000000" w:fill="FFFFFF"/>
            <w:vAlign w:val="center"/>
            <w:hideMark/>
          </w:tcPr>
          <w:p w14:paraId="55E28046"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1.04                               (0.81-1.34)</w:t>
            </w:r>
          </w:p>
        </w:tc>
      </w:tr>
      <w:tr w:rsidR="00B0148D" w:rsidRPr="00B0148D" w14:paraId="57CFBA19" w14:textId="77777777" w:rsidTr="009F0637">
        <w:trPr>
          <w:trHeight w:val="639"/>
        </w:trPr>
        <w:tc>
          <w:tcPr>
            <w:tcW w:w="2036" w:type="dxa"/>
            <w:tcBorders>
              <w:top w:val="nil"/>
              <w:left w:val="nil"/>
              <w:bottom w:val="nil"/>
              <w:right w:val="nil"/>
            </w:tcBorders>
            <w:shd w:val="clear" w:color="000000" w:fill="FFFFFF"/>
            <w:noWrap/>
            <w:vAlign w:val="center"/>
            <w:hideMark/>
          </w:tcPr>
          <w:p w14:paraId="14617ABF" w14:textId="77777777" w:rsidR="009F0637" w:rsidRPr="00B0148D" w:rsidRDefault="009F0637" w:rsidP="009F063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Male gender</w:t>
            </w:r>
          </w:p>
        </w:tc>
        <w:tc>
          <w:tcPr>
            <w:tcW w:w="1936" w:type="dxa"/>
            <w:tcBorders>
              <w:top w:val="nil"/>
              <w:left w:val="nil"/>
              <w:bottom w:val="nil"/>
              <w:right w:val="nil"/>
            </w:tcBorders>
            <w:shd w:val="clear" w:color="000000" w:fill="FFFFFF"/>
            <w:vAlign w:val="center"/>
            <w:hideMark/>
          </w:tcPr>
          <w:p w14:paraId="7AAEA276"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1.52                               (1.00-2.32)</w:t>
            </w:r>
          </w:p>
        </w:tc>
        <w:tc>
          <w:tcPr>
            <w:tcW w:w="1936" w:type="dxa"/>
            <w:tcBorders>
              <w:top w:val="nil"/>
              <w:left w:val="nil"/>
              <w:bottom w:val="nil"/>
              <w:right w:val="nil"/>
            </w:tcBorders>
            <w:shd w:val="clear" w:color="000000" w:fill="FFFFFF"/>
            <w:vAlign w:val="center"/>
            <w:hideMark/>
          </w:tcPr>
          <w:p w14:paraId="189B8819"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1.14                               (0.76-1.73)</w:t>
            </w:r>
          </w:p>
        </w:tc>
        <w:tc>
          <w:tcPr>
            <w:tcW w:w="1936" w:type="dxa"/>
            <w:tcBorders>
              <w:top w:val="nil"/>
              <w:left w:val="nil"/>
              <w:bottom w:val="nil"/>
              <w:right w:val="nil"/>
            </w:tcBorders>
            <w:shd w:val="clear" w:color="000000" w:fill="FFFFFF"/>
            <w:vAlign w:val="center"/>
            <w:hideMark/>
          </w:tcPr>
          <w:p w14:paraId="21C0EB0B"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0.69                               (0.46-1.05)</w:t>
            </w:r>
          </w:p>
        </w:tc>
        <w:tc>
          <w:tcPr>
            <w:tcW w:w="1936" w:type="dxa"/>
            <w:tcBorders>
              <w:top w:val="nil"/>
              <w:left w:val="nil"/>
              <w:bottom w:val="nil"/>
              <w:right w:val="nil"/>
            </w:tcBorders>
            <w:shd w:val="clear" w:color="000000" w:fill="FFFFFF"/>
            <w:vAlign w:val="center"/>
            <w:hideMark/>
          </w:tcPr>
          <w:p w14:paraId="0105D52C"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0.74                               (0.50-1.11)</w:t>
            </w:r>
          </w:p>
        </w:tc>
      </w:tr>
      <w:tr w:rsidR="00B0148D" w:rsidRPr="00B0148D" w14:paraId="01B07D3B" w14:textId="77777777" w:rsidTr="009F0637">
        <w:trPr>
          <w:trHeight w:val="639"/>
        </w:trPr>
        <w:tc>
          <w:tcPr>
            <w:tcW w:w="2036" w:type="dxa"/>
            <w:tcBorders>
              <w:top w:val="nil"/>
              <w:left w:val="nil"/>
              <w:bottom w:val="nil"/>
              <w:right w:val="nil"/>
            </w:tcBorders>
            <w:shd w:val="clear" w:color="000000" w:fill="FFFFFF"/>
            <w:noWrap/>
            <w:vAlign w:val="center"/>
            <w:hideMark/>
          </w:tcPr>
          <w:p w14:paraId="57232500" w14:textId="77777777" w:rsidR="009F0637" w:rsidRPr="00B0148D" w:rsidRDefault="009F0637" w:rsidP="009F063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Domestic origin</w:t>
            </w:r>
          </w:p>
        </w:tc>
        <w:tc>
          <w:tcPr>
            <w:tcW w:w="1936" w:type="dxa"/>
            <w:tcBorders>
              <w:top w:val="nil"/>
              <w:left w:val="nil"/>
              <w:bottom w:val="nil"/>
              <w:right w:val="nil"/>
            </w:tcBorders>
            <w:shd w:val="clear" w:color="000000" w:fill="FFFFFF"/>
            <w:vAlign w:val="center"/>
            <w:hideMark/>
          </w:tcPr>
          <w:p w14:paraId="7A4F6715"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0.42                               (0.26-0.70)**</w:t>
            </w:r>
          </w:p>
        </w:tc>
        <w:tc>
          <w:tcPr>
            <w:tcW w:w="1936" w:type="dxa"/>
            <w:tcBorders>
              <w:top w:val="nil"/>
              <w:left w:val="nil"/>
              <w:bottom w:val="nil"/>
              <w:right w:val="nil"/>
            </w:tcBorders>
            <w:shd w:val="clear" w:color="000000" w:fill="FFFFFF"/>
            <w:vAlign w:val="center"/>
            <w:hideMark/>
          </w:tcPr>
          <w:p w14:paraId="53329B05"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0.72                               (0.44-1.17)</w:t>
            </w:r>
          </w:p>
        </w:tc>
        <w:tc>
          <w:tcPr>
            <w:tcW w:w="1936" w:type="dxa"/>
            <w:tcBorders>
              <w:top w:val="nil"/>
              <w:left w:val="nil"/>
              <w:bottom w:val="nil"/>
              <w:right w:val="nil"/>
            </w:tcBorders>
            <w:shd w:val="clear" w:color="000000" w:fill="FFFFFF"/>
            <w:vAlign w:val="center"/>
            <w:hideMark/>
          </w:tcPr>
          <w:p w14:paraId="5771FB89"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2.92                               (1.76-4.85)***</w:t>
            </w:r>
          </w:p>
        </w:tc>
        <w:tc>
          <w:tcPr>
            <w:tcW w:w="1936" w:type="dxa"/>
            <w:tcBorders>
              <w:top w:val="nil"/>
              <w:left w:val="nil"/>
              <w:bottom w:val="nil"/>
              <w:right w:val="nil"/>
            </w:tcBorders>
            <w:shd w:val="clear" w:color="000000" w:fill="FFFFFF"/>
            <w:vAlign w:val="center"/>
            <w:hideMark/>
          </w:tcPr>
          <w:p w14:paraId="4ACBA61D"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2.37                               (1.47-3.83)***</w:t>
            </w:r>
          </w:p>
        </w:tc>
      </w:tr>
      <w:tr w:rsidR="00B0148D" w:rsidRPr="00B0148D" w14:paraId="335A3962" w14:textId="77777777" w:rsidTr="009F0637">
        <w:trPr>
          <w:trHeight w:val="639"/>
        </w:trPr>
        <w:tc>
          <w:tcPr>
            <w:tcW w:w="2036" w:type="dxa"/>
            <w:tcBorders>
              <w:top w:val="nil"/>
              <w:left w:val="nil"/>
              <w:bottom w:val="single" w:sz="4" w:space="0" w:color="auto"/>
              <w:right w:val="nil"/>
            </w:tcBorders>
            <w:shd w:val="clear" w:color="000000" w:fill="FFFFFF"/>
            <w:noWrap/>
            <w:vAlign w:val="center"/>
            <w:hideMark/>
          </w:tcPr>
          <w:p w14:paraId="6AC0F9FA" w14:textId="77777777" w:rsidR="009F0637" w:rsidRPr="00B0148D" w:rsidRDefault="009F0637" w:rsidP="009F063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lastRenderedPageBreak/>
              <w:t>Local origin</w:t>
            </w:r>
          </w:p>
        </w:tc>
        <w:tc>
          <w:tcPr>
            <w:tcW w:w="1936" w:type="dxa"/>
            <w:tcBorders>
              <w:top w:val="nil"/>
              <w:left w:val="nil"/>
              <w:bottom w:val="single" w:sz="4" w:space="0" w:color="auto"/>
              <w:right w:val="nil"/>
            </w:tcBorders>
            <w:shd w:val="clear" w:color="000000" w:fill="FFFFFF"/>
            <w:vAlign w:val="center"/>
            <w:hideMark/>
          </w:tcPr>
          <w:p w14:paraId="0842D8D9"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0.30                               (0.18-0.50)***</w:t>
            </w:r>
          </w:p>
        </w:tc>
        <w:tc>
          <w:tcPr>
            <w:tcW w:w="1936" w:type="dxa"/>
            <w:tcBorders>
              <w:top w:val="nil"/>
              <w:left w:val="nil"/>
              <w:bottom w:val="single" w:sz="4" w:space="0" w:color="auto"/>
              <w:right w:val="nil"/>
            </w:tcBorders>
            <w:shd w:val="clear" w:color="000000" w:fill="FFFFFF"/>
            <w:vAlign w:val="center"/>
            <w:hideMark/>
          </w:tcPr>
          <w:p w14:paraId="0785ABF7"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0.61                               (0.37-0.99)*</w:t>
            </w:r>
          </w:p>
        </w:tc>
        <w:tc>
          <w:tcPr>
            <w:tcW w:w="1936" w:type="dxa"/>
            <w:tcBorders>
              <w:top w:val="nil"/>
              <w:left w:val="nil"/>
              <w:bottom w:val="single" w:sz="4" w:space="0" w:color="auto"/>
              <w:right w:val="nil"/>
            </w:tcBorders>
            <w:shd w:val="clear" w:color="000000" w:fill="FFFFFF"/>
            <w:vAlign w:val="center"/>
            <w:hideMark/>
          </w:tcPr>
          <w:p w14:paraId="2E22DFE0"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4.52                               (2.69-7.60)***</w:t>
            </w:r>
          </w:p>
        </w:tc>
        <w:tc>
          <w:tcPr>
            <w:tcW w:w="1936" w:type="dxa"/>
            <w:tcBorders>
              <w:top w:val="nil"/>
              <w:left w:val="nil"/>
              <w:bottom w:val="single" w:sz="4" w:space="0" w:color="auto"/>
              <w:right w:val="nil"/>
            </w:tcBorders>
            <w:shd w:val="clear" w:color="000000" w:fill="FFFFFF"/>
            <w:vAlign w:val="center"/>
            <w:hideMark/>
          </w:tcPr>
          <w:p w14:paraId="0AF3503F"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3.23                               (1.99-5.24)***</w:t>
            </w:r>
          </w:p>
        </w:tc>
      </w:tr>
      <w:tr w:rsidR="00B0148D" w:rsidRPr="00B0148D" w14:paraId="6F336990" w14:textId="77777777" w:rsidTr="009F0637">
        <w:trPr>
          <w:trHeight w:val="324"/>
        </w:trPr>
        <w:tc>
          <w:tcPr>
            <w:tcW w:w="2036" w:type="dxa"/>
            <w:tcBorders>
              <w:top w:val="nil"/>
              <w:left w:val="nil"/>
              <w:bottom w:val="nil"/>
              <w:right w:val="nil"/>
            </w:tcBorders>
            <w:shd w:val="clear" w:color="000000" w:fill="FFFFFF"/>
            <w:noWrap/>
            <w:vAlign w:val="bottom"/>
            <w:hideMark/>
          </w:tcPr>
          <w:p w14:paraId="27583CCB" w14:textId="77777777" w:rsidR="009F0637" w:rsidRPr="00B0148D" w:rsidRDefault="009F0637" w:rsidP="009F0637">
            <w:pPr>
              <w:spacing w:after="0" w:line="240" w:lineRule="auto"/>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Pseudo R</w:t>
            </w:r>
            <w:r w:rsidRPr="00B0148D">
              <w:rPr>
                <w:rFonts w:ascii="Times New Roman" w:eastAsia="Times New Roman" w:hAnsi="Times New Roman" w:cs="Times New Roman"/>
                <w:sz w:val="20"/>
                <w:szCs w:val="20"/>
                <w:vertAlign w:val="superscript"/>
                <w:lang w:val="fi-FI" w:eastAsia="fi-FI"/>
              </w:rPr>
              <w:t>2</w:t>
            </w:r>
            <w:r w:rsidRPr="00B0148D">
              <w:rPr>
                <w:rFonts w:ascii="Times New Roman" w:eastAsia="Times New Roman" w:hAnsi="Times New Roman" w:cs="Times New Roman"/>
                <w:sz w:val="20"/>
                <w:szCs w:val="20"/>
                <w:lang w:val="fi-FI" w:eastAsia="fi-FI"/>
              </w:rPr>
              <w:t xml:space="preserve"> (Nagelkerke)</w:t>
            </w:r>
          </w:p>
        </w:tc>
        <w:tc>
          <w:tcPr>
            <w:tcW w:w="1936" w:type="dxa"/>
            <w:tcBorders>
              <w:top w:val="nil"/>
              <w:left w:val="nil"/>
              <w:bottom w:val="nil"/>
              <w:right w:val="nil"/>
            </w:tcBorders>
            <w:shd w:val="clear" w:color="000000" w:fill="FFFFFF"/>
            <w:noWrap/>
            <w:vAlign w:val="bottom"/>
            <w:hideMark/>
          </w:tcPr>
          <w:p w14:paraId="7F210990"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0.100</w:t>
            </w:r>
          </w:p>
        </w:tc>
        <w:tc>
          <w:tcPr>
            <w:tcW w:w="1936" w:type="dxa"/>
            <w:tcBorders>
              <w:top w:val="nil"/>
              <w:left w:val="nil"/>
              <w:bottom w:val="nil"/>
              <w:right w:val="nil"/>
            </w:tcBorders>
            <w:shd w:val="clear" w:color="000000" w:fill="FFFFFF"/>
            <w:noWrap/>
            <w:vAlign w:val="bottom"/>
            <w:hideMark/>
          </w:tcPr>
          <w:p w14:paraId="3178E701"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0.016</w:t>
            </w:r>
          </w:p>
        </w:tc>
        <w:tc>
          <w:tcPr>
            <w:tcW w:w="1936" w:type="dxa"/>
            <w:tcBorders>
              <w:top w:val="nil"/>
              <w:left w:val="nil"/>
              <w:bottom w:val="nil"/>
              <w:right w:val="nil"/>
            </w:tcBorders>
            <w:shd w:val="clear" w:color="000000" w:fill="FFFFFF"/>
            <w:noWrap/>
            <w:vAlign w:val="bottom"/>
            <w:hideMark/>
          </w:tcPr>
          <w:p w14:paraId="0642D76D"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0.129</w:t>
            </w:r>
          </w:p>
        </w:tc>
        <w:tc>
          <w:tcPr>
            <w:tcW w:w="1936" w:type="dxa"/>
            <w:tcBorders>
              <w:top w:val="nil"/>
              <w:left w:val="nil"/>
              <w:bottom w:val="nil"/>
              <w:right w:val="nil"/>
            </w:tcBorders>
            <w:shd w:val="clear" w:color="000000" w:fill="FFFFFF"/>
            <w:noWrap/>
            <w:vAlign w:val="bottom"/>
            <w:hideMark/>
          </w:tcPr>
          <w:p w14:paraId="4D4F1DB4" w14:textId="77777777" w:rsidR="009F0637" w:rsidRPr="00B0148D" w:rsidRDefault="009F0637" w:rsidP="009F0637">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0.087</w:t>
            </w:r>
          </w:p>
        </w:tc>
      </w:tr>
    </w:tbl>
    <w:p w14:paraId="0941B832" w14:textId="077D3FBF" w:rsidR="000345F0" w:rsidRPr="00B0148D" w:rsidRDefault="00FA2C18" w:rsidP="00482404">
      <w:pPr>
        <w:jc w:val="both"/>
        <w:rPr>
          <w:sz w:val="16"/>
          <w:szCs w:val="16"/>
        </w:rPr>
      </w:pPr>
      <w:r w:rsidRPr="00B0148D">
        <w:rPr>
          <w:sz w:val="16"/>
          <w:szCs w:val="16"/>
        </w:rPr>
        <w:t>The statistically significant differences are marked with *</w:t>
      </w:r>
      <w:r w:rsidRPr="00B0148D">
        <w:t xml:space="preserve"> </w:t>
      </w:r>
      <w:r w:rsidRPr="00B0148D">
        <w:rPr>
          <w:sz w:val="16"/>
          <w:szCs w:val="16"/>
        </w:rPr>
        <w:t>(p &lt; 0.05), ** (p &lt; 0.01), *** (p &lt; 0.001)</w:t>
      </w:r>
    </w:p>
    <w:p w14:paraId="5DA80F40" w14:textId="083ED762" w:rsidR="00D714D2" w:rsidRPr="00B0148D" w:rsidRDefault="00D714D2" w:rsidP="00482404">
      <w:pPr>
        <w:jc w:val="both"/>
        <w:rPr>
          <w:sz w:val="16"/>
          <w:szCs w:val="16"/>
        </w:rPr>
      </w:pPr>
      <w:r w:rsidRPr="00B0148D">
        <w:rPr>
          <w:sz w:val="16"/>
          <w:szCs w:val="16"/>
        </w:rPr>
        <w:t>Pleasantness and probability-to-choose were transformed. Due to this, high values indicate low endorsement</w:t>
      </w:r>
      <w:r w:rsidR="003D18EE" w:rsidRPr="00B0148D">
        <w:rPr>
          <w:sz w:val="16"/>
          <w:szCs w:val="16"/>
        </w:rPr>
        <w:t xml:space="preserve"> of the transformed variables.</w:t>
      </w:r>
    </w:p>
    <w:p w14:paraId="4C3A5BBE" w14:textId="5B688FF6" w:rsidR="00EC4D33" w:rsidRPr="00B0148D" w:rsidRDefault="004F5EE5">
      <w:r w:rsidRPr="00B0148D">
        <w:rPr>
          <w:b/>
        </w:rPr>
        <w:t>Table 10</w:t>
      </w:r>
      <w:r w:rsidR="00A10D69" w:rsidRPr="00B0148D">
        <w:t>. Correlation</w:t>
      </w:r>
      <w:r w:rsidR="0081356E" w:rsidRPr="00B0148D">
        <w:t xml:space="preserve"> coefficients</w:t>
      </w:r>
      <w:r w:rsidR="00614CD6" w:rsidRPr="00B0148D">
        <w:t xml:space="preserve"> (Pearson’s r)</w:t>
      </w:r>
      <w:r w:rsidR="0081356E" w:rsidRPr="00B0148D">
        <w:t xml:space="preserve"> between test conditions (neutral, domestic, local) and main value dimensions (Conservation and Self- Transcendence) for bread</w:t>
      </w:r>
    </w:p>
    <w:tbl>
      <w:tblPr>
        <w:tblW w:w="12047" w:type="dxa"/>
        <w:tblCellMar>
          <w:left w:w="70" w:type="dxa"/>
          <w:right w:w="70" w:type="dxa"/>
        </w:tblCellMar>
        <w:tblLook w:val="04A0" w:firstRow="1" w:lastRow="0" w:firstColumn="1" w:lastColumn="0" w:noHBand="0" w:noVBand="1"/>
      </w:tblPr>
      <w:tblGrid>
        <w:gridCol w:w="1100"/>
        <w:gridCol w:w="949"/>
        <w:gridCol w:w="900"/>
        <w:gridCol w:w="900"/>
        <w:gridCol w:w="900"/>
        <w:gridCol w:w="949"/>
        <w:gridCol w:w="900"/>
        <w:gridCol w:w="900"/>
        <w:gridCol w:w="900"/>
        <w:gridCol w:w="949"/>
        <w:gridCol w:w="900"/>
        <w:gridCol w:w="900"/>
        <w:gridCol w:w="900"/>
      </w:tblGrid>
      <w:tr w:rsidR="00B0148D" w:rsidRPr="00B0148D" w14:paraId="134EF54C" w14:textId="77777777" w:rsidTr="00FA2C18">
        <w:trPr>
          <w:trHeight w:val="39"/>
        </w:trPr>
        <w:tc>
          <w:tcPr>
            <w:tcW w:w="1100" w:type="dxa"/>
            <w:tcBorders>
              <w:top w:val="nil"/>
              <w:left w:val="nil"/>
              <w:bottom w:val="single" w:sz="4" w:space="0" w:color="auto"/>
              <w:right w:val="nil"/>
            </w:tcBorders>
            <w:shd w:val="clear" w:color="auto" w:fill="auto"/>
            <w:noWrap/>
            <w:vAlign w:val="bottom"/>
            <w:hideMark/>
          </w:tcPr>
          <w:p w14:paraId="75DE6515"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49" w:type="dxa"/>
            <w:tcBorders>
              <w:top w:val="nil"/>
              <w:left w:val="nil"/>
              <w:bottom w:val="single" w:sz="4" w:space="0" w:color="auto"/>
              <w:right w:val="nil"/>
            </w:tcBorders>
            <w:shd w:val="clear" w:color="000000" w:fill="FFFFFF"/>
            <w:noWrap/>
            <w:vAlign w:val="bottom"/>
            <w:hideMark/>
          </w:tcPr>
          <w:p w14:paraId="6FD8C765"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900" w:type="dxa"/>
            <w:tcBorders>
              <w:top w:val="nil"/>
              <w:left w:val="nil"/>
              <w:bottom w:val="single" w:sz="4" w:space="0" w:color="auto"/>
              <w:right w:val="nil"/>
            </w:tcBorders>
            <w:shd w:val="clear" w:color="000000" w:fill="FFFFFF"/>
            <w:noWrap/>
            <w:vAlign w:val="bottom"/>
            <w:hideMark/>
          </w:tcPr>
          <w:p w14:paraId="6A6655C4"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900" w:type="dxa"/>
            <w:tcBorders>
              <w:top w:val="nil"/>
              <w:left w:val="nil"/>
              <w:bottom w:val="single" w:sz="4" w:space="0" w:color="auto"/>
              <w:right w:val="nil"/>
            </w:tcBorders>
            <w:shd w:val="clear" w:color="000000" w:fill="FFFFFF"/>
            <w:noWrap/>
            <w:vAlign w:val="bottom"/>
            <w:hideMark/>
          </w:tcPr>
          <w:p w14:paraId="72F52594"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900" w:type="dxa"/>
            <w:tcBorders>
              <w:top w:val="nil"/>
              <w:left w:val="nil"/>
              <w:bottom w:val="single" w:sz="4" w:space="0" w:color="auto"/>
              <w:right w:val="nil"/>
            </w:tcBorders>
            <w:shd w:val="clear" w:color="000000" w:fill="FFFFFF"/>
            <w:noWrap/>
            <w:vAlign w:val="bottom"/>
            <w:hideMark/>
          </w:tcPr>
          <w:p w14:paraId="41AF95C1"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949" w:type="dxa"/>
            <w:tcBorders>
              <w:top w:val="nil"/>
              <w:left w:val="nil"/>
              <w:bottom w:val="single" w:sz="4" w:space="0" w:color="auto"/>
              <w:right w:val="nil"/>
            </w:tcBorders>
            <w:shd w:val="clear" w:color="000000" w:fill="FFFFFF"/>
            <w:noWrap/>
            <w:vAlign w:val="bottom"/>
            <w:hideMark/>
          </w:tcPr>
          <w:p w14:paraId="0810D1AD"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900" w:type="dxa"/>
            <w:tcBorders>
              <w:top w:val="nil"/>
              <w:left w:val="nil"/>
              <w:bottom w:val="single" w:sz="4" w:space="0" w:color="auto"/>
              <w:right w:val="nil"/>
            </w:tcBorders>
            <w:shd w:val="clear" w:color="000000" w:fill="FFFFFF"/>
            <w:noWrap/>
            <w:vAlign w:val="bottom"/>
            <w:hideMark/>
          </w:tcPr>
          <w:p w14:paraId="0848950B"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900" w:type="dxa"/>
            <w:tcBorders>
              <w:top w:val="nil"/>
              <w:left w:val="nil"/>
              <w:bottom w:val="single" w:sz="4" w:space="0" w:color="auto"/>
              <w:right w:val="nil"/>
            </w:tcBorders>
            <w:shd w:val="clear" w:color="000000" w:fill="FFFFFF"/>
            <w:noWrap/>
            <w:vAlign w:val="bottom"/>
            <w:hideMark/>
          </w:tcPr>
          <w:p w14:paraId="638A8D80"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900" w:type="dxa"/>
            <w:tcBorders>
              <w:top w:val="nil"/>
              <w:left w:val="nil"/>
              <w:bottom w:val="single" w:sz="4" w:space="0" w:color="auto"/>
              <w:right w:val="nil"/>
            </w:tcBorders>
            <w:shd w:val="clear" w:color="000000" w:fill="FFFFFF"/>
            <w:noWrap/>
            <w:vAlign w:val="bottom"/>
            <w:hideMark/>
          </w:tcPr>
          <w:p w14:paraId="556364C7"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949" w:type="dxa"/>
            <w:tcBorders>
              <w:top w:val="nil"/>
              <w:left w:val="nil"/>
              <w:bottom w:val="single" w:sz="4" w:space="0" w:color="auto"/>
              <w:right w:val="nil"/>
            </w:tcBorders>
            <w:shd w:val="clear" w:color="000000" w:fill="FFFFFF"/>
            <w:noWrap/>
            <w:vAlign w:val="bottom"/>
            <w:hideMark/>
          </w:tcPr>
          <w:p w14:paraId="611E1B1B"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900" w:type="dxa"/>
            <w:tcBorders>
              <w:top w:val="nil"/>
              <w:left w:val="nil"/>
              <w:bottom w:val="single" w:sz="4" w:space="0" w:color="auto"/>
              <w:right w:val="nil"/>
            </w:tcBorders>
            <w:shd w:val="clear" w:color="000000" w:fill="FFFFFF"/>
            <w:noWrap/>
            <w:vAlign w:val="bottom"/>
            <w:hideMark/>
          </w:tcPr>
          <w:p w14:paraId="5B02BB77"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12DEAA36"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c>
          <w:tcPr>
            <w:tcW w:w="900" w:type="dxa"/>
            <w:tcBorders>
              <w:top w:val="nil"/>
              <w:left w:val="nil"/>
              <w:bottom w:val="single" w:sz="4" w:space="0" w:color="auto"/>
              <w:right w:val="nil"/>
            </w:tcBorders>
            <w:shd w:val="clear" w:color="000000" w:fill="FFFFFF"/>
            <w:noWrap/>
            <w:vAlign w:val="bottom"/>
            <w:hideMark/>
          </w:tcPr>
          <w:p w14:paraId="03349544" w14:textId="77777777" w:rsidR="00EC4D33" w:rsidRPr="00B0148D" w:rsidRDefault="00EC4D33" w:rsidP="00EC4D33">
            <w:pPr>
              <w:spacing w:after="0" w:line="240" w:lineRule="auto"/>
              <w:rPr>
                <w:rFonts w:ascii="Calibri" w:eastAsia="Times New Roman" w:hAnsi="Calibri" w:cs="Times New Roman"/>
                <w:lang w:eastAsia="fi-FI"/>
              </w:rPr>
            </w:pPr>
            <w:r w:rsidRPr="00B0148D">
              <w:rPr>
                <w:rFonts w:ascii="Calibri" w:eastAsia="Times New Roman" w:hAnsi="Calibri" w:cs="Times New Roman"/>
                <w:lang w:eastAsia="fi-FI"/>
              </w:rPr>
              <w:t> </w:t>
            </w:r>
          </w:p>
        </w:tc>
      </w:tr>
      <w:tr w:rsidR="00B0148D" w:rsidRPr="00B0148D" w14:paraId="786A4EAC" w14:textId="77777777" w:rsidTr="00FA2C18">
        <w:trPr>
          <w:trHeight w:val="459"/>
        </w:trPr>
        <w:tc>
          <w:tcPr>
            <w:tcW w:w="1100" w:type="dxa"/>
            <w:tcBorders>
              <w:top w:val="nil"/>
              <w:left w:val="nil"/>
              <w:bottom w:val="single" w:sz="4" w:space="0" w:color="auto"/>
              <w:right w:val="nil"/>
            </w:tcBorders>
            <w:shd w:val="clear" w:color="000000" w:fill="FFFFFF"/>
            <w:noWrap/>
            <w:vAlign w:val="bottom"/>
            <w:hideMark/>
          </w:tcPr>
          <w:p w14:paraId="572522CD" w14:textId="77777777" w:rsidR="00EC4D33" w:rsidRPr="00B0148D" w:rsidRDefault="00EC4D33" w:rsidP="00EC4D33">
            <w:pPr>
              <w:spacing w:after="0" w:line="240" w:lineRule="auto"/>
              <w:rPr>
                <w:rFonts w:ascii="Times New Roman" w:eastAsia="Times New Roman" w:hAnsi="Times New Roman" w:cs="Times New Roman"/>
                <w:sz w:val="20"/>
                <w:szCs w:val="20"/>
                <w:lang w:eastAsia="fi-FI"/>
              </w:rPr>
            </w:pPr>
            <w:r w:rsidRPr="00B0148D">
              <w:rPr>
                <w:rFonts w:ascii="Times New Roman" w:eastAsia="Times New Roman" w:hAnsi="Times New Roman" w:cs="Times New Roman"/>
                <w:sz w:val="20"/>
                <w:szCs w:val="20"/>
                <w:lang w:eastAsia="fi-FI"/>
              </w:rPr>
              <w:t> </w:t>
            </w:r>
          </w:p>
        </w:tc>
        <w:tc>
          <w:tcPr>
            <w:tcW w:w="3649" w:type="dxa"/>
            <w:gridSpan w:val="4"/>
            <w:tcBorders>
              <w:top w:val="nil"/>
              <w:left w:val="nil"/>
              <w:bottom w:val="single" w:sz="4" w:space="0" w:color="auto"/>
              <w:right w:val="nil"/>
            </w:tcBorders>
            <w:shd w:val="clear" w:color="000000" w:fill="FFFFFF"/>
            <w:noWrap/>
            <w:hideMark/>
          </w:tcPr>
          <w:p w14:paraId="46B4FA2C" w14:textId="77777777" w:rsidR="00EC4D33" w:rsidRPr="00B0148D" w:rsidRDefault="00EC4D33" w:rsidP="00EC4D33">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Neutral</w:t>
            </w:r>
          </w:p>
        </w:tc>
        <w:tc>
          <w:tcPr>
            <w:tcW w:w="3649" w:type="dxa"/>
            <w:gridSpan w:val="4"/>
            <w:tcBorders>
              <w:top w:val="nil"/>
              <w:left w:val="nil"/>
              <w:bottom w:val="single" w:sz="4" w:space="0" w:color="auto"/>
              <w:right w:val="nil"/>
            </w:tcBorders>
            <w:shd w:val="clear" w:color="000000" w:fill="FFFFFF"/>
            <w:noWrap/>
            <w:hideMark/>
          </w:tcPr>
          <w:p w14:paraId="27EE52D0" w14:textId="77777777" w:rsidR="00EC4D33" w:rsidRPr="00B0148D" w:rsidRDefault="00EC4D33" w:rsidP="00EC4D33">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Domestic</w:t>
            </w:r>
          </w:p>
        </w:tc>
        <w:tc>
          <w:tcPr>
            <w:tcW w:w="3649" w:type="dxa"/>
            <w:gridSpan w:val="4"/>
            <w:tcBorders>
              <w:top w:val="nil"/>
              <w:left w:val="nil"/>
              <w:bottom w:val="single" w:sz="4" w:space="0" w:color="auto"/>
              <w:right w:val="nil"/>
            </w:tcBorders>
            <w:shd w:val="clear" w:color="000000" w:fill="FFFFFF"/>
            <w:noWrap/>
            <w:hideMark/>
          </w:tcPr>
          <w:p w14:paraId="7CEBAD75" w14:textId="77777777" w:rsidR="00EC4D33" w:rsidRPr="00B0148D" w:rsidRDefault="00EC4D33" w:rsidP="00EC4D33">
            <w:pPr>
              <w:spacing w:after="0" w:line="240" w:lineRule="auto"/>
              <w:jc w:val="center"/>
              <w:rPr>
                <w:rFonts w:ascii="Times New Roman" w:eastAsia="Times New Roman" w:hAnsi="Times New Roman" w:cs="Times New Roman"/>
                <w:sz w:val="20"/>
                <w:szCs w:val="20"/>
                <w:lang w:val="fi-FI" w:eastAsia="fi-FI"/>
              </w:rPr>
            </w:pPr>
            <w:r w:rsidRPr="00B0148D">
              <w:rPr>
                <w:rFonts w:ascii="Times New Roman" w:eastAsia="Times New Roman" w:hAnsi="Times New Roman" w:cs="Times New Roman"/>
                <w:sz w:val="20"/>
                <w:szCs w:val="20"/>
                <w:lang w:val="fi-FI" w:eastAsia="fi-FI"/>
              </w:rPr>
              <w:t>Local</w:t>
            </w:r>
          </w:p>
        </w:tc>
      </w:tr>
      <w:tr w:rsidR="00B0148D" w:rsidRPr="00B0148D" w14:paraId="2F33B7FF" w14:textId="77777777" w:rsidTr="00FA2C18">
        <w:trPr>
          <w:trHeight w:val="459"/>
        </w:trPr>
        <w:tc>
          <w:tcPr>
            <w:tcW w:w="1100" w:type="dxa"/>
            <w:tcBorders>
              <w:top w:val="nil"/>
              <w:left w:val="nil"/>
              <w:bottom w:val="single" w:sz="4" w:space="0" w:color="auto"/>
              <w:right w:val="nil"/>
            </w:tcBorders>
            <w:shd w:val="clear" w:color="000000" w:fill="FFFFFF"/>
            <w:noWrap/>
            <w:vAlign w:val="bottom"/>
            <w:hideMark/>
          </w:tcPr>
          <w:p w14:paraId="21590F5A"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 </w:t>
            </w:r>
          </w:p>
        </w:tc>
        <w:tc>
          <w:tcPr>
            <w:tcW w:w="949" w:type="dxa"/>
            <w:tcBorders>
              <w:top w:val="nil"/>
              <w:left w:val="nil"/>
              <w:bottom w:val="single" w:sz="4" w:space="0" w:color="auto"/>
              <w:right w:val="nil"/>
            </w:tcBorders>
            <w:shd w:val="clear" w:color="000000" w:fill="FFFFFF"/>
            <w:vAlign w:val="bottom"/>
            <w:hideMark/>
          </w:tcPr>
          <w:p w14:paraId="70AEB4B4"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Pleasantness</w:t>
            </w:r>
          </w:p>
        </w:tc>
        <w:tc>
          <w:tcPr>
            <w:tcW w:w="900" w:type="dxa"/>
            <w:tcBorders>
              <w:top w:val="nil"/>
              <w:left w:val="nil"/>
              <w:bottom w:val="single" w:sz="4" w:space="0" w:color="auto"/>
              <w:right w:val="nil"/>
            </w:tcBorders>
            <w:shd w:val="clear" w:color="000000" w:fill="FFFFFF"/>
            <w:vAlign w:val="bottom"/>
            <w:hideMark/>
          </w:tcPr>
          <w:p w14:paraId="79574264"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Probability to choose</w:t>
            </w:r>
          </w:p>
        </w:tc>
        <w:tc>
          <w:tcPr>
            <w:tcW w:w="900" w:type="dxa"/>
            <w:tcBorders>
              <w:top w:val="nil"/>
              <w:left w:val="nil"/>
              <w:bottom w:val="single" w:sz="4" w:space="0" w:color="auto"/>
              <w:right w:val="nil"/>
            </w:tcBorders>
            <w:shd w:val="clear" w:color="000000" w:fill="FFFFFF"/>
            <w:vAlign w:val="bottom"/>
            <w:hideMark/>
          </w:tcPr>
          <w:p w14:paraId="239AF0D7"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Overall quality</w:t>
            </w:r>
          </w:p>
        </w:tc>
        <w:tc>
          <w:tcPr>
            <w:tcW w:w="900" w:type="dxa"/>
            <w:tcBorders>
              <w:top w:val="nil"/>
              <w:left w:val="nil"/>
              <w:bottom w:val="single" w:sz="4" w:space="0" w:color="auto"/>
              <w:right w:val="nil"/>
            </w:tcBorders>
            <w:shd w:val="clear" w:color="000000" w:fill="FFFFFF"/>
            <w:vAlign w:val="bottom"/>
            <w:hideMark/>
          </w:tcPr>
          <w:p w14:paraId="0A161AFC"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Product perception</w:t>
            </w:r>
          </w:p>
        </w:tc>
        <w:tc>
          <w:tcPr>
            <w:tcW w:w="949" w:type="dxa"/>
            <w:tcBorders>
              <w:top w:val="nil"/>
              <w:left w:val="nil"/>
              <w:bottom w:val="single" w:sz="4" w:space="0" w:color="auto"/>
              <w:right w:val="nil"/>
            </w:tcBorders>
            <w:shd w:val="clear" w:color="000000" w:fill="FFFFFF"/>
            <w:vAlign w:val="bottom"/>
            <w:hideMark/>
          </w:tcPr>
          <w:p w14:paraId="0D15F5D7"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Pleasantness</w:t>
            </w:r>
          </w:p>
        </w:tc>
        <w:tc>
          <w:tcPr>
            <w:tcW w:w="900" w:type="dxa"/>
            <w:tcBorders>
              <w:top w:val="nil"/>
              <w:left w:val="nil"/>
              <w:bottom w:val="single" w:sz="4" w:space="0" w:color="auto"/>
              <w:right w:val="nil"/>
            </w:tcBorders>
            <w:shd w:val="clear" w:color="000000" w:fill="FFFFFF"/>
            <w:vAlign w:val="bottom"/>
            <w:hideMark/>
          </w:tcPr>
          <w:p w14:paraId="1E84E6BD"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Probability to choose</w:t>
            </w:r>
          </w:p>
        </w:tc>
        <w:tc>
          <w:tcPr>
            <w:tcW w:w="900" w:type="dxa"/>
            <w:tcBorders>
              <w:top w:val="nil"/>
              <w:left w:val="nil"/>
              <w:bottom w:val="single" w:sz="4" w:space="0" w:color="auto"/>
              <w:right w:val="nil"/>
            </w:tcBorders>
            <w:shd w:val="clear" w:color="000000" w:fill="FFFFFF"/>
            <w:vAlign w:val="bottom"/>
            <w:hideMark/>
          </w:tcPr>
          <w:p w14:paraId="6B94ABE3"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Overall quality</w:t>
            </w:r>
          </w:p>
        </w:tc>
        <w:tc>
          <w:tcPr>
            <w:tcW w:w="900" w:type="dxa"/>
            <w:tcBorders>
              <w:top w:val="nil"/>
              <w:left w:val="nil"/>
              <w:bottom w:val="single" w:sz="4" w:space="0" w:color="auto"/>
              <w:right w:val="nil"/>
            </w:tcBorders>
            <w:shd w:val="clear" w:color="000000" w:fill="FFFFFF"/>
            <w:vAlign w:val="bottom"/>
            <w:hideMark/>
          </w:tcPr>
          <w:p w14:paraId="41930B64"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Product perception</w:t>
            </w:r>
          </w:p>
        </w:tc>
        <w:tc>
          <w:tcPr>
            <w:tcW w:w="949" w:type="dxa"/>
            <w:tcBorders>
              <w:top w:val="nil"/>
              <w:left w:val="nil"/>
              <w:bottom w:val="single" w:sz="4" w:space="0" w:color="auto"/>
              <w:right w:val="nil"/>
            </w:tcBorders>
            <w:shd w:val="clear" w:color="000000" w:fill="FFFFFF"/>
            <w:vAlign w:val="bottom"/>
            <w:hideMark/>
          </w:tcPr>
          <w:p w14:paraId="4128D2C5"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Pleasantness</w:t>
            </w:r>
          </w:p>
        </w:tc>
        <w:tc>
          <w:tcPr>
            <w:tcW w:w="900" w:type="dxa"/>
            <w:tcBorders>
              <w:top w:val="nil"/>
              <w:left w:val="nil"/>
              <w:bottom w:val="single" w:sz="4" w:space="0" w:color="auto"/>
              <w:right w:val="nil"/>
            </w:tcBorders>
            <w:shd w:val="clear" w:color="000000" w:fill="FFFFFF"/>
            <w:vAlign w:val="bottom"/>
            <w:hideMark/>
          </w:tcPr>
          <w:p w14:paraId="562AA86E"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Probability to choose</w:t>
            </w:r>
          </w:p>
        </w:tc>
        <w:tc>
          <w:tcPr>
            <w:tcW w:w="900" w:type="dxa"/>
            <w:tcBorders>
              <w:top w:val="nil"/>
              <w:left w:val="nil"/>
              <w:bottom w:val="single" w:sz="4" w:space="0" w:color="auto"/>
              <w:right w:val="nil"/>
            </w:tcBorders>
            <w:shd w:val="clear" w:color="000000" w:fill="FFFFFF"/>
            <w:vAlign w:val="bottom"/>
            <w:hideMark/>
          </w:tcPr>
          <w:p w14:paraId="3D8C6E23"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Overall quality</w:t>
            </w:r>
          </w:p>
        </w:tc>
        <w:tc>
          <w:tcPr>
            <w:tcW w:w="900" w:type="dxa"/>
            <w:tcBorders>
              <w:top w:val="nil"/>
              <w:left w:val="nil"/>
              <w:bottom w:val="single" w:sz="4" w:space="0" w:color="auto"/>
              <w:right w:val="nil"/>
            </w:tcBorders>
            <w:shd w:val="clear" w:color="000000" w:fill="FFFFFF"/>
            <w:vAlign w:val="bottom"/>
            <w:hideMark/>
          </w:tcPr>
          <w:p w14:paraId="4F69F6F3"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Product perception</w:t>
            </w:r>
          </w:p>
        </w:tc>
      </w:tr>
      <w:tr w:rsidR="00B0148D" w:rsidRPr="00B0148D" w14:paraId="226A794B" w14:textId="77777777" w:rsidTr="00FA2C18">
        <w:trPr>
          <w:trHeight w:val="501"/>
        </w:trPr>
        <w:tc>
          <w:tcPr>
            <w:tcW w:w="1100" w:type="dxa"/>
            <w:tcBorders>
              <w:top w:val="nil"/>
              <w:left w:val="nil"/>
              <w:bottom w:val="nil"/>
              <w:right w:val="nil"/>
            </w:tcBorders>
            <w:shd w:val="clear" w:color="000000" w:fill="FFFFFF"/>
            <w:vAlign w:val="center"/>
            <w:hideMark/>
          </w:tcPr>
          <w:p w14:paraId="6E2684CE"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Conservation</w:t>
            </w:r>
          </w:p>
        </w:tc>
        <w:tc>
          <w:tcPr>
            <w:tcW w:w="949" w:type="dxa"/>
            <w:tcBorders>
              <w:top w:val="nil"/>
              <w:left w:val="nil"/>
              <w:bottom w:val="nil"/>
              <w:right w:val="nil"/>
            </w:tcBorders>
            <w:shd w:val="clear" w:color="000000" w:fill="FFFFFF"/>
            <w:noWrap/>
            <w:vAlign w:val="bottom"/>
            <w:hideMark/>
          </w:tcPr>
          <w:p w14:paraId="56C1C480"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-0.067</w:t>
            </w:r>
          </w:p>
        </w:tc>
        <w:tc>
          <w:tcPr>
            <w:tcW w:w="900" w:type="dxa"/>
            <w:tcBorders>
              <w:top w:val="nil"/>
              <w:left w:val="nil"/>
              <w:bottom w:val="nil"/>
              <w:right w:val="nil"/>
            </w:tcBorders>
            <w:shd w:val="clear" w:color="000000" w:fill="FFFFFF"/>
            <w:noWrap/>
            <w:vAlign w:val="bottom"/>
            <w:hideMark/>
          </w:tcPr>
          <w:p w14:paraId="629C5178"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0.051</w:t>
            </w:r>
          </w:p>
        </w:tc>
        <w:tc>
          <w:tcPr>
            <w:tcW w:w="900" w:type="dxa"/>
            <w:tcBorders>
              <w:top w:val="nil"/>
              <w:left w:val="nil"/>
              <w:bottom w:val="nil"/>
              <w:right w:val="nil"/>
            </w:tcBorders>
            <w:shd w:val="clear" w:color="000000" w:fill="FFFFFF"/>
            <w:noWrap/>
            <w:vAlign w:val="bottom"/>
            <w:hideMark/>
          </w:tcPr>
          <w:p w14:paraId="21EE42CF"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-0.009</w:t>
            </w:r>
          </w:p>
        </w:tc>
        <w:tc>
          <w:tcPr>
            <w:tcW w:w="900" w:type="dxa"/>
            <w:tcBorders>
              <w:top w:val="nil"/>
              <w:left w:val="nil"/>
              <w:bottom w:val="nil"/>
              <w:right w:val="nil"/>
            </w:tcBorders>
            <w:shd w:val="clear" w:color="000000" w:fill="FFFFFF"/>
            <w:noWrap/>
            <w:vAlign w:val="bottom"/>
            <w:hideMark/>
          </w:tcPr>
          <w:p w14:paraId="4C85CD59"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-0.004</w:t>
            </w:r>
          </w:p>
        </w:tc>
        <w:tc>
          <w:tcPr>
            <w:tcW w:w="949" w:type="dxa"/>
            <w:tcBorders>
              <w:top w:val="nil"/>
              <w:left w:val="nil"/>
              <w:bottom w:val="nil"/>
              <w:right w:val="nil"/>
            </w:tcBorders>
            <w:shd w:val="clear" w:color="000000" w:fill="FFFFFF"/>
            <w:noWrap/>
            <w:vAlign w:val="bottom"/>
            <w:hideMark/>
          </w:tcPr>
          <w:p w14:paraId="4423BA7B"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-0.114</w:t>
            </w:r>
          </w:p>
        </w:tc>
        <w:tc>
          <w:tcPr>
            <w:tcW w:w="900" w:type="dxa"/>
            <w:tcBorders>
              <w:top w:val="nil"/>
              <w:left w:val="nil"/>
              <w:bottom w:val="nil"/>
              <w:right w:val="nil"/>
            </w:tcBorders>
            <w:shd w:val="clear" w:color="000000" w:fill="FFFFFF"/>
            <w:noWrap/>
            <w:vAlign w:val="bottom"/>
            <w:hideMark/>
          </w:tcPr>
          <w:p w14:paraId="29B5D0C9"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0.017</w:t>
            </w:r>
          </w:p>
        </w:tc>
        <w:tc>
          <w:tcPr>
            <w:tcW w:w="900" w:type="dxa"/>
            <w:tcBorders>
              <w:top w:val="nil"/>
              <w:left w:val="nil"/>
              <w:bottom w:val="nil"/>
              <w:right w:val="nil"/>
            </w:tcBorders>
            <w:shd w:val="clear" w:color="000000" w:fill="FFFFFF"/>
            <w:noWrap/>
            <w:vAlign w:val="bottom"/>
            <w:hideMark/>
          </w:tcPr>
          <w:p w14:paraId="3F17692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0.021</w:t>
            </w:r>
          </w:p>
        </w:tc>
        <w:tc>
          <w:tcPr>
            <w:tcW w:w="900" w:type="dxa"/>
            <w:tcBorders>
              <w:top w:val="nil"/>
              <w:left w:val="nil"/>
              <w:bottom w:val="nil"/>
              <w:right w:val="nil"/>
            </w:tcBorders>
            <w:shd w:val="clear" w:color="000000" w:fill="FFFFFF"/>
            <w:noWrap/>
            <w:vAlign w:val="bottom"/>
            <w:hideMark/>
          </w:tcPr>
          <w:p w14:paraId="002A484E"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-0.024</w:t>
            </w:r>
          </w:p>
        </w:tc>
        <w:tc>
          <w:tcPr>
            <w:tcW w:w="949" w:type="dxa"/>
            <w:tcBorders>
              <w:top w:val="nil"/>
              <w:left w:val="nil"/>
              <w:bottom w:val="nil"/>
              <w:right w:val="nil"/>
            </w:tcBorders>
            <w:shd w:val="clear" w:color="000000" w:fill="FFFFFF"/>
            <w:noWrap/>
            <w:vAlign w:val="bottom"/>
            <w:hideMark/>
          </w:tcPr>
          <w:p w14:paraId="712475DB"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-0.002</w:t>
            </w:r>
          </w:p>
        </w:tc>
        <w:tc>
          <w:tcPr>
            <w:tcW w:w="900" w:type="dxa"/>
            <w:tcBorders>
              <w:top w:val="nil"/>
              <w:left w:val="nil"/>
              <w:bottom w:val="nil"/>
              <w:right w:val="nil"/>
            </w:tcBorders>
            <w:shd w:val="clear" w:color="000000" w:fill="FFFFFF"/>
            <w:noWrap/>
            <w:vAlign w:val="bottom"/>
            <w:hideMark/>
          </w:tcPr>
          <w:p w14:paraId="1ECA4221"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-0.068</w:t>
            </w:r>
          </w:p>
        </w:tc>
        <w:tc>
          <w:tcPr>
            <w:tcW w:w="900" w:type="dxa"/>
            <w:tcBorders>
              <w:top w:val="nil"/>
              <w:left w:val="nil"/>
              <w:bottom w:val="nil"/>
              <w:right w:val="nil"/>
            </w:tcBorders>
            <w:shd w:val="clear" w:color="000000" w:fill="FFFFFF"/>
            <w:noWrap/>
            <w:vAlign w:val="bottom"/>
            <w:hideMark/>
          </w:tcPr>
          <w:p w14:paraId="5057BFAF"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-0.076</w:t>
            </w:r>
          </w:p>
        </w:tc>
        <w:tc>
          <w:tcPr>
            <w:tcW w:w="900" w:type="dxa"/>
            <w:tcBorders>
              <w:top w:val="nil"/>
              <w:left w:val="nil"/>
              <w:bottom w:val="nil"/>
              <w:right w:val="nil"/>
            </w:tcBorders>
            <w:shd w:val="clear" w:color="000000" w:fill="FFFFFF"/>
            <w:noWrap/>
            <w:vAlign w:val="bottom"/>
            <w:hideMark/>
          </w:tcPr>
          <w:p w14:paraId="5161724B"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-0.061</w:t>
            </w:r>
          </w:p>
        </w:tc>
      </w:tr>
      <w:tr w:rsidR="00B0148D" w:rsidRPr="00B0148D" w14:paraId="192AD292" w14:textId="77777777" w:rsidTr="00FA2C18">
        <w:trPr>
          <w:trHeight w:val="501"/>
        </w:trPr>
        <w:tc>
          <w:tcPr>
            <w:tcW w:w="1100" w:type="dxa"/>
            <w:tcBorders>
              <w:top w:val="nil"/>
              <w:left w:val="nil"/>
              <w:bottom w:val="single" w:sz="4" w:space="0" w:color="auto"/>
              <w:right w:val="nil"/>
            </w:tcBorders>
            <w:shd w:val="clear" w:color="000000" w:fill="FFFFFF"/>
            <w:vAlign w:val="center"/>
            <w:hideMark/>
          </w:tcPr>
          <w:p w14:paraId="69BC081D" w14:textId="77777777" w:rsidR="00EC4D33" w:rsidRPr="00B0148D" w:rsidRDefault="00EC4D33" w:rsidP="00EC4D33">
            <w:pPr>
              <w:spacing w:after="0" w:line="240" w:lineRule="auto"/>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Self-Transcendence</w:t>
            </w:r>
          </w:p>
        </w:tc>
        <w:tc>
          <w:tcPr>
            <w:tcW w:w="949" w:type="dxa"/>
            <w:tcBorders>
              <w:top w:val="nil"/>
              <w:left w:val="nil"/>
              <w:bottom w:val="single" w:sz="4" w:space="0" w:color="auto"/>
              <w:right w:val="nil"/>
            </w:tcBorders>
            <w:shd w:val="clear" w:color="000000" w:fill="FFFFFF"/>
            <w:noWrap/>
            <w:vAlign w:val="bottom"/>
            <w:hideMark/>
          </w:tcPr>
          <w:p w14:paraId="6D902084"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0.020</w:t>
            </w:r>
          </w:p>
        </w:tc>
        <w:tc>
          <w:tcPr>
            <w:tcW w:w="900" w:type="dxa"/>
            <w:tcBorders>
              <w:top w:val="nil"/>
              <w:left w:val="nil"/>
              <w:bottom w:val="single" w:sz="4" w:space="0" w:color="auto"/>
              <w:right w:val="nil"/>
            </w:tcBorders>
            <w:shd w:val="clear" w:color="000000" w:fill="FFFFFF"/>
            <w:noWrap/>
            <w:vAlign w:val="bottom"/>
            <w:hideMark/>
          </w:tcPr>
          <w:p w14:paraId="4D3C5BF1"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0.030</w:t>
            </w:r>
          </w:p>
        </w:tc>
        <w:tc>
          <w:tcPr>
            <w:tcW w:w="900" w:type="dxa"/>
            <w:tcBorders>
              <w:top w:val="nil"/>
              <w:left w:val="nil"/>
              <w:bottom w:val="single" w:sz="4" w:space="0" w:color="auto"/>
              <w:right w:val="nil"/>
            </w:tcBorders>
            <w:shd w:val="clear" w:color="000000" w:fill="FFFFFF"/>
            <w:noWrap/>
            <w:vAlign w:val="bottom"/>
            <w:hideMark/>
          </w:tcPr>
          <w:p w14:paraId="1FA00D49"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0.025</w:t>
            </w:r>
          </w:p>
        </w:tc>
        <w:tc>
          <w:tcPr>
            <w:tcW w:w="900" w:type="dxa"/>
            <w:tcBorders>
              <w:top w:val="nil"/>
              <w:left w:val="nil"/>
              <w:bottom w:val="single" w:sz="4" w:space="0" w:color="auto"/>
              <w:right w:val="nil"/>
            </w:tcBorders>
            <w:shd w:val="clear" w:color="000000" w:fill="FFFFFF"/>
            <w:noWrap/>
            <w:vAlign w:val="bottom"/>
            <w:hideMark/>
          </w:tcPr>
          <w:p w14:paraId="5A2A701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0.030</w:t>
            </w:r>
          </w:p>
        </w:tc>
        <w:tc>
          <w:tcPr>
            <w:tcW w:w="949" w:type="dxa"/>
            <w:tcBorders>
              <w:top w:val="nil"/>
              <w:left w:val="nil"/>
              <w:bottom w:val="single" w:sz="4" w:space="0" w:color="auto"/>
              <w:right w:val="nil"/>
            </w:tcBorders>
            <w:shd w:val="clear" w:color="000000" w:fill="FFFFFF"/>
            <w:noWrap/>
            <w:vAlign w:val="bottom"/>
            <w:hideMark/>
          </w:tcPr>
          <w:p w14:paraId="291B7355"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-0.048</w:t>
            </w:r>
          </w:p>
        </w:tc>
        <w:tc>
          <w:tcPr>
            <w:tcW w:w="900" w:type="dxa"/>
            <w:tcBorders>
              <w:top w:val="nil"/>
              <w:left w:val="nil"/>
              <w:bottom w:val="single" w:sz="4" w:space="0" w:color="auto"/>
              <w:right w:val="nil"/>
            </w:tcBorders>
            <w:shd w:val="clear" w:color="000000" w:fill="FFFFFF"/>
            <w:noWrap/>
            <w:vAlign w:val="bottom"/>
            <w:hideMark/>
          </w:tcPr>
          <w:p w14:paraId="1D244E36"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-0.142</w:t>
            </w:r>
          </w:p>
        </w:tc>
        <w:tc>
          <w:tcPr>
            <w:tcW w:w="900" w:type="dxa"/>
            <w:tcBorders>
              <w:top w:val="nil"/>
              <w:left w:val="nil"/>
              <w:bottom w:val="single" w:sz="4" w:space="0" w:color="auto"/>
              <w:right w:val="nil"/>
            </w:tcBorders>
            <w:shd w:val="clear" w:color="000000" w:fill="FFFFFF"/>
            <w:noWrap/>
            <w:vAlign w:val="bottom"/>
            <w:hideMark/>
          </w:tcPr>
          <w:p w14:paraId="14D9284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-0.090</w:t>
            </w:r>
          </w:p>
        </w:tc>
        <w:tc>
          <w:tcPr>
            <w:tcW w:w="900" w:type="dxa"/>
            <w:tcBorders>
              <w:top w:val="nil"/>
              <w:left w:val="nil"/>
              <w:bottom w:val="single" w:sz="4" w:space="0" w:color="auto"/>
              <w:right w:val="nil"/>
            </w:tcBorders>
            <w:shd w:val="clear" w:color="000000" w:fill="FFFFFF"/>
            <w:noWrap/>
            <w:vAlign w:val="bottom"/>
            <w:hideMark/>
          </w:tcPr>
          <w:p w14:paraId="69EB5AF9"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-0.107</w:t>
            </w:r>
          </w:p>
        </w:tc>
        <w:tc>
          <w:tcPr>
            <w:tcW w:w="949" w:type="dxa"/>
            <w:tcBorders>
              <w:top w:val="nil"/>
              <w:left w:val="nil"/>
              <w:bottom w:val="single" w:sz="4" w:space="0" w:color="auto"/>
              <w:right w:val="nil"/>
            </w:tcBorders>
            <w:shd w:val="clear" w:color="000000" w:fill="FFFFFF"/>
            <w:noWrap/>
            <w:vAlign w:val="bottom"/>
            <w:hideMark/>
          </w:tcPr>
          <w:p w14:paraId="050DF63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0.042</w:t>
            </w:r>
          </w:p>
        </w:tc>
        <w:tc>
          <w:tcPr>
            <w:tcW w:w="900" w:type="dxa"/>
            <w:tcBorders>
              <w:top w:val="nil"/>
              <w:left w:val="nil"/>
              <w:bottom w:val="single" w:sz="4" w:space="0" w:color="auto"/>
              <w:right w:val="nil"/>
            </w:tcBorders>
            <w:shd w:val="clear" w:color="000000" w:fill="FFFFFF"/>
            <w:noWrap/>
            <w:vAlign w:val="bottom"/>
            <w:hideMark/>
          </w:tcPr>
          <w:p w14:paraId="03ABB48A"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0.040</w:t>
            </w:r>
          </w:p>
        </w:tc>
        <w:tc>
          <w:tcPr>
            <w:tcW w:w="900" w:type="dxa"/>
            <w:tcBorders>
              <w:top w:val="nil"/>
              <w:left w:val="nil"/>
              <w:bottom w:val="single" w:sz="4" w:space="0" w:color="auto"/>
              <w:right w:val="nil"/>
            </w:tcBorders>
            <w:shd w:val="clear" w:color="000000" w:fill="FFFFFF"/>
            <w:noWrap/>
            <w:vAlign w:val="bottom"/>
            <w:hideMark/>
          </w:tcPr>
          <w:p w14:paraId="6D39BEB6"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0.109</w:t>
            </w:r>
          </w:p>
        </w:tc>
        <w:tc>
          <w:tcPr>
            <w:tcW w:w="900" w:type="dxa"/>
            <w:tcBorders>
              <w:top w:val="nil"/>
              <w:left w:val="nil"/>
              <w:bottom w:val="single" w:sz="4" w:space="0" w:color="auto"/>
              <w:right w:val="nil"/>
            </w:tcBorders>
            <w:shd w:val="clear" w:color="000000" w:fill="FFFFFF"/>
            <w:noWrap/>
            <w:vAlign w:val="bottom"/>
            <w:hideMark/>
          </w:tcPr>
          <w:p w14:paraId="5B564F3E" w14:textId="77777777" w:rsidR="00EC4D33" w:rsidRPr="00B0148D" w:rsidRDefault="00EC4D33" w:rsidP="00EC4D33">
            <w:pPr>
              <w:spacing w:after="0" w:line="240" w:lineRule="auto"/>
              <w:jc w:val="center"/>
              <w:rPr>
                <w:rFonts w:ascii="Times New Roman" w:eastAsia="Times New Roman" w:hAnsi="Times New Roman" w:cs="Times New Roman"/>
                <w:sz w:val="16"/>
                <w:szCs w:val="16"/>
                <w:lang w:val="fi-FI" w:eastAsia="fi-FI"/>
              </w:rPr>
            </w:pPr>
            <w:r w:rsidRPr="00B0148D">
              <w:rPr>
                <w:rFonts w:ascii="Times New Roman" w:eastAsia="Times New Roman" w:hAnsi="Times New Roman" w:cs="Times New Roman"/>
                <w:sz w:val="16"/>
                <w:szCs w:val="16"/>
                <w:lang w:val="fi-FI" w:eastAsia="fi-FI"/>
              </w:rPr>
              <w:t>0.077</w:t>
            </w:r>
          </w:p>
        </w:tc>
      </w:tr>
    </w:tbl>
    <w:p w14:paraId="27F92909" w14:textId="11FD69C4" w:rsidR="0081356E" w:rsidRPr="00B0148D" w:rsidRDefault="00FA2C18" w:rsidP="00FA2C18">
      <w:pPr>
        <w:jc w:val="both"/>
      </w:pPr>
      <w:r w:rsidRPr="00B0148D">
        <w:rPr>
          <w:sz w:val="16"/>
          <w:szCs w:val="16"/>
        </w:rPr>
        <w:t>The statistically significant differences are marked with *</w:t>
      </w:r>
      <w:r w:rsidRPr="00B0148D">
        <w:t xml:space="preserve"> </w:t>
      </w:r>
      <w:r w:rsidRPr="00B0148D">
        <w:rPr>
          <w:sz w:val="16"/>
          <w:szCs w:val="16"/>
        </w:rPr>
        <w:t>(p &lt; 0.05), ** (p &lt; 0.01), *** (p &lt; 0.001)</w:t>
      </w:r>
    </w:p>
    <w:p w14:paraId="343D0869" w14:textId="3F35F210" w:rsidR="000345F0" w:rsidRPr="00B0148D" w:rsidRDefault="00A10D69" w:rsidP="00A25242">
      <w:pPr>
        <w:jc w:val="both"/>
      </w:pPr>
      <w:r w:rsidRPr="00B0148D">
        <w:t>For the bread, information about both domestic and local origins predicted the pleasantness</w:t>
      </w:r>
      <w:r w:rsidR="00BA1004" w:rsidRPr="00B0148D">
        <w:t>,</w:t>
      </w:r>
      <w:r w:rsidRPr="00B0148D">
        <w:t xml:space="preserve"> overall quality, </w:t>
      </w:r>
      <w:r w:rsidR="00A15450" w:rsidRPr="00B0148D">
        <w:t xml:space="preserve">and product perception significantly </w:t>
      </w:r>
      <w:r w:rsidRPr="00B0148D">
        <w:t>as only local origin significantly predicted the probability-to-choose</w:t>
      </w:r>
      <w:r w:rsidR="00A15450" w:rsidRPr="00B0148D">
        <w:t xml:space="preserve"> (Table 9)</w:t>
      </w:r>
      <w:r w:rsidRPr="00B0148D">
        <w:t xml:space="preserve">. Despite this, the data supported Hypothesis 1. Value orientations were not associated with product experience supporting hypothesis 2c.  The correlation coefficients between test conditions and value dimensions did not show any significant correlations, and therefore H3c and H4c were not supported (Table 10). </w:t>
      </w:r>
      <w:r w:rsidR="000345F0" w:rsidRPr="00B0148D">
        <w:br w:type="page"/>
      </w:r>
    </w:p>
    <w:p w14:paraId="70381435" w14:textId="7B88240B" w:rsidR="0011465A" w:rsidRPr="00B0148D" w:rsidRDefault="0011465A" w:rsidP="00C00514">
      <w:pPr>
        <w:jc w:val="both"/>
        <w:rPr>
          <w:b/>
        </w:rPr>
      </w:pPr>
      <w:r w:rsidRPr="00B0148D">
        <w:rPr>
          <w:b/>
        </w:rPr>
        <w:lastRenderedPageBreak/>
        <w:t>4. DISCUSSION</w:t>
      </w:r>
    </w:p>
    <w:p w14:paraId="27980854" w14:textId="4695B4D3" w:rsidR="002A410C" w:rsidRPr="00B0148D" w:rsidRDefault="00B20E7E" w:rsidP="002A410C">
      <w:pPr>
        <w:jc w:val="both"/>
      </w:pPr>
      <w:r w:rsidRPr="00B0148D">
        <w:t xml:space="preserve">People have a tendency to make </w:t>
      </w:r>
      <w:r w:rsidR="00A10D69" w:rsidRPr="00B0148D">
        <w:t xml:space="preserve">decisions </w:t>
      </w:r>
      <w:r w:rsidR="002A410C" w:rsidRPr="00B0148D">
        <w:t xml:space="preserve">based </w:t>
      </w:r>
      <w:r w:rsidR="00A10D69" w:rsidRPr="00B0148D">
        <w:t xml:space="preserve">either </w:t>
      </w:r>
      <w:r w:rsidR="002A410C" w:rsidRPr="00B0148D">
        <w:t>on reasoning</w:t>
      </w:r>
      <w:r w:rsidRPr="00B0148D">
        <w:t xml:space="preserve"> or intuition</w:t>
      </w:r>
      <w:r w:rsidR="00A10D69" w:rsidRPr="00B0148D">
        <w:t>;</w:t>
      </w:r>
      <w:r w:rsidRPr="00B0148D">
        <w:t xml:space="preserve"> where experts and scientist </w:t>
      </w:r>
      <w:r w:rsidR="002A544A" w:rsidRPr="00B0148D">
        <w:t xml:space="preserve">commonly </w:t>
      </w:r>
      <w:r w:rsidR="00A10D69" w:rsidRPr="00B0148D">
        <w:t xml:space="preserve">rely more on facts </w:t>
      </w:r>
      <w:r w:rsidRPr="00B0148D">
        <w:t xml:space="preserve">non-experts </w:t>
      </w:r>
      <w:r w:rsidR="00A10D69" w:rsidRPr="00B0148D">
        <w:t xml:space="preserve">rely </w:t>
      </w:r>
      <w:r w:rsidRPr="00B0148D">
        <w:t>more on feeling</w:t>
      </w:r>
      <w:r w:rsidR="00A10D69" w:rsidRPr="00B0148D">
        <w:t>s</w:t>
      </w:r>
      <w:r w:rsidRPr="00B0148D">
        <w:t xml:space="preserve"> </w:t>
      </w:r>
      <w:r w:rsidRPr="00B0148D">
        <w:fldChar w:fldCharType="begin" w:fldLock="1"/>
      </w:r>
      <w:r w:rsidR="00385A05" w:rsidRPr="00B0148D">
        <w:instrText>ADDIN CSL_CITATION { "citationItems" : [ { "id" : "ITEM-1", "itemData" : { "DOI" : "10.1016/j.appet.2006.01.015", "ISBN" : "0195-6663", "ISSN" : "01956663", "PMID" : "16546293", "abstract" : "Finnish students (N=3261) filled out a questionnaire on attitudes towards genetically modified and organic food, plus the rational-experiential inventory, the magical thinking about food and health scale, Schwartz's value survey and the behavioural inhibition scale. In addition, they reported their eating of meat. Structural equation modelling of these measures had greater explanatory power for attitudes towards genetically modified (GM) foods than for attitudes towards organic foods (OF). GM attitudes were best predicted by natural science education and magical food and health beliefs, which mediated the influence of thinking styles. Positive attitudes towards organic food, on the other hand, were more directly related to such individual differences as thinking styles and set of values. The results of the study indicate that OF attitudes are rooted in more fundamental personal attributes than GM attitudes, which are embedded in a more complex but also in a more modifiable network of characteristics. ?? 2006 Elsevier Ltd. All rights reserved.", "author" : [ { "dropping-particle" : "", "family" : "Saher", "given" : "Marieke", "non-dropping-particle" : "", "parse-names" : false, "suffix" : "" }, { "dropping-particle" : "", "family" : "Lindeman", "given" : "Marjaana", "non-dropping-particle" : "", "parse-names" : false, "suffix" : "" }, { "dropping-particle" : "", "family" : "Hursti", "given" : "Ulla Kaisa Koivisto", "non-dropping-particle" : "", "parse-names" : false, "suffix" : "" } ], "container-title" : "Appetite", "id" : "ITEM-1", "issue" : "3", "issued" : { "date-parts" : [ [ "2006" ] ] }, "page" : "324-331", "title" : "Attitudes towards genetically modified and organic foods", "type" : "article-journal", "volume" : "46" }, "uris" : [ "http://www.mendeley.com/documents/?uuid=ea91863f-a6fc-4068-a3a6-ade6c680d96b" ] } ], "mendeley" : { "formattedCitation" : "(Saher et al., 2006)", "manualFormatting" : "(Saher et al., 2006)", "plainTextFormattedCitation" : "(Saher et al., 2006)", "previouslyFormattedCitation" : "(Saher et al., 2006)" }, "properties" : { "noteIndex" : 0 }, "schema" : "https://github.com/citation-style-language/schema/raw/master/csl-citation.json" }</w:instrText>
      </w:r>
      <w:r w:rsidRPr="00B0148D">
        <w:fldChar w:fldCharType="separate"/>
      </w:r>
      <w:r w:rsidR="00DE0ED9" w:rsidRPr="00B0148D">
        <w:rPr>
          <w:noProof/>
        </w:rPr>
        <w:t>(</w:t>
      </w:r>
      <w:r w:rsidR="00DE0ED9" w:rsidRPr="00B0148D">
        <w:rPr>
          <w:rFonts w:ascii="Calibri" w:hAnsi="Calibri" w:cs="Times New Roman"/>
          <w:noProof/>
          <w:szCs w:val="24"/>
        </w:rPr>
        <w:t xml:space="preserve">Saher </w:t>
      </w:r>
      <w:r w:rsidR="00385A05" w:rsidRPr="00B0148D">
        <w:rPr>
          <w:rFonts w:ascii="Calibri" w:hAnsi="Calibri" w:cs="Times New Roman"/>
          <w:noProof/>
          <w:szCs w:val="24"/>
        </w:rPr>
        <w:t>et al.</w:t>
      </w:r>
      <w:r w:rsidR="00DE0ED9" w:rsidRPr="00B0148D">
        <w:rPr>
          <w:rFonts w:ascii="Calibri" w:hAnsi="Calibri" w:cs="Times New Roman"/>
          <w:noProof/>
          <w:szCs w:val="24"/>
        </w:rPr>
        <w:t>,</w:t>
      </w:r>
      <w:r w:rsidRPr="00B0148D">
        <w:rPr>
          <w:noProof/>
        </w:rPr>
        <w:t xml:space="preserve"> 2006)</w:t>
      </w:r>
      <w:r w:rsidRPr="00B0148D">
        <w:fldChar w:fldCharType="end"/>
      </w:r>
      <w:r w:rsidRPr="00B0148D">
        <w:t>.</w:t>
      </w:r>
      <w:r w:rsidR="000F6A1B" w:rsidRPr="00B0148D">
        <w:t xml:space="preserve"> </w:t>
      </w:r>
      <w:r w:rsidR="00A10D69" w:rsidRPr="00B0148D">
        <w:t xml:space="preserve">According to </w:t>
      </w:r>
      <w:r w:rsidR="002933E6" w:rsidRPr="00B0148D">
        <w:t>previous studies, v</w:t>
      </w:r>
      <w:r w:rsidR="000F6A1B" w:rsidRPr="00B0148D">
        <w:t xml:space="preserve">alues seem to have a role </w:t>
      </w:r>
      <w:r w:rsidR="00A10D69" w:rsidRPr="00B0148D">
        <w:t xml:space="preserve">in </w:t>
      </w:r>
      <w:r w:rsidR="000F6A1B" w:rsidRPr="00B0148D">
        <w:t>defining the food choices we make. The</w:t>
      </w:r>
      <w:r w:rsidR="00A10D69" w:rsidRPr="00B0148D">
        <w:t xml:space="preserve">y play a role in explaining </w:t>
      </w:r>
      <w:r w:rsidR="000F6A1B" w:rsidRPr="00B0148D">
        <w:t xml:space="preserve">attitudes towards organic and genetically modified foods </w:t>
      </w:r>
      <w:r w:rsidR="000F6A1B" w:rsidRPr="00B0148D">
        <w:fldChar w:fldCharType="begin" w:fldLock="1"/>
      </w:r>
      <w:r w:rsidR="000F6A1B" w:rsidRPr="00B0148D">
        <w:instrText>ADDIN CSL_CITATION { "citationItems" : [ { "id" : "ITEM-1", "itemData" : { "DOI" : "10.1016/j.appet.2004.07.003", "ISBN" : "0195-6663 (Print)\\r0195-6663 (Linking)", "ISSN" : "01956663", "PMID" : "15604038", "abstract" : "This study addresses which specific values play a role in predicting participants' attitudes toward genetically modified food (GMF) and organically grown food (OGF). The first central question is whether the attitudes towards GMF and OGF are influenced by specific values and beliefs. The second central question is whether the attitudes towards GMF and OGF are related to each other, and whether the specific values underlying these two attitudes are also related to each other. A total of 100 participants responded to the Schwartz Value Survey and two questionnaires about GMF and organically grown food. When respondents scored high on the value power (dominance, submission), they rated GMF positively and OGF more negatively. Respondents who rated the value universalism (welfare for all people and protection of nature) high, rated OGF as positive. Furthermore, the relationship between attitudes and values was mediated by beliefs. These findings imply a meaningful relationship between specific values, beliefs, and these food-related attitudes, and suggest that values might play a role in explaining attitudes toward GMF and OGF products. \u00a9 2004 Elsevier Ltd. All rights reserved.", "author" : [ { "dropping-particle" : "", "family" : "Dreezens", "given" : "Ellen", "non-dropping-particle" : "", "parse-names" : false, "suffix" : "" }, { "dropping-particle" : "", "family" : "Martijn", "given" : "Carolien", "non-dropping-particle" : "", "parse-names" : false, "suffix" : "" }, { "dropping-particle" : "", "family" : "Tenb\u00fclt", "given" : "Petra", "non-dropping-particle" : "", "parse-names" : false, "suffix" : "" }, { "dropping-particle" : "", "family" : "Kok", "given" : "Gerjo", "non-dropping-particle" : "", "parse-names" : false, "suffix" : "" }, { "dropping-particle" : "", "family" : "Vries", "given" : "Nanne K.", "non-dropping-particle" : "De", "parse-names" : false, "suffix" : "" } ], "container-title" : "Appetite", "id" : "ITEM-1", "issue" : "1", "issued" : { "date-parts" : [ [ "2005" ] ] }, "page" : "115-122", "title" : "Food and values: An examination of values underlying attitudes toward genetically modified- and organically grown food products", "type" : "article-journal", "volume" : "44" }, "uris" : [ "http://www.mendeley.com/documents/?uuid=ce881561-dee2-4abc-b0ea-0ac99f277ecf" ] } ], "mendeley" : { "formattedCitation" : "(Dreezens, Martijn, Tenb\u00fclt, Kok, &amp; De Vries, 2005b)", "plainTextFormattedCitation" : "(Dreezens, Martijn, Tenb\u00fclt, Kok, &amp; De Vries, 2005b)", "previouslyFormattedCitation" : "(Dreezens, Martijn, Tenb\u00fclt, Kok, &amp; De Vries, 2005b)" }, "properties" : { "noteIndex" : 0 }, "schema" : "https://github.com/citation-style-language/schema/raw/master/csl-citation.json" }</w:instrText>
      </w:r>
      <w:r w:rsidR="000F6A1B" w:rsidRPr="00B0148D">
        <w:fldChar w:fldCharType="separate"/>
      </w:r>
      <w:r w:rsidR="000F6A1B" w:rsidRPr="00B0148D">
        <w:rPr>
          <w:noProof/>
        </w:rPr>
        <w:t>(Dreezens, Martijn, Tenbült, Kok, &amp; De Vries, 2005b)</w:t>
      </w:r>
      <w:r w:rsidR="000F6A1B" w:rsidRPr="00B0148D">
        <w:fldChar w:fldCharType="end"/>
      </w:r>
      <w:r w:rsidR="000F6A1B" w:rsidRPr="00B0148D">
        <w:t xml:space="preserve">. </w:t>
      </w:r>
      <w:r w:rsidR="001D0073" w:rsidRPr="00B0148D">
        <w:t>Based on</w:t>
      </w:r>
      <w:r w:rsidR="00A10D69" w:rsidRPr="00B0148D">
        <w:t xml:space="preserve"> the current study, values </w:t>
      </w:r>
      <w:r w:rsidR="001D0073" w:rsidRPr="00B0148D">
        <w:t>also have an effect</w:t>
      </w:r>
      <w:r w:rsidR="00A10D69" w:rsidRPr="00B0148D">
        <w:t xml:space="preserve"> among young people as regards the </w:t>
      </w:r>
      <w:r w:rsidR="002933E6" w:rsidRPr="00B0148D">
        <w:t>importance of food</w:t>
      </w:r>
      <w:r w:rsidR="001D0073" w:rsidRPr="00B0148D">
        <w:t xml:space="preserve"> or</w:t>
      </w:r>
      <w:r w:rsidR="002933E6" w:rsidRPr="00B0148D">
        <w:t>igin.</w:t>
      </w:r>
      <w:r w:rsidR="0007050F" w:rsidRPr="00B0148D">
        <w:t xml:space="preserve"> </w:t>
      </w:r>
      <w:r w:rsidR="002A410C" w:rsidRPr="00B0148D">
        <w:t xml:space="preserve">The findings suggest that among young people in Finland, information about food origin has a positive effect on product experience and </w:t>
      </w:r>
      <w:r w:rsidR="00C72CE8" w:rsidRPr="00B0148D">
        <w:t xml:space="preserve">the </w:t>
      </w:r>
      <w:r w:rsidR="002A410C" w:rsidRPr="00B0148D">
        <w:t xml:space="preserve">food choices they make. </w:t>
      </w:r>
      <w:r w:rsidR="00C72CE8" w:rsidRPr="00B0148D">
        <w:t xml:space="preserve">This finding is more positive than some previous findings that suggest there is a widening gap between values or sustainability concerns, and behavior among the younger generations </w:t>
      </w:r>
      <w:r w:rsidR="0028161B" w:rsidRPr="00B0148D">
        <w:fldChar w:fldCharType="begin" w:fldLock="1"/>
      </w:r>
      <w:r w:rsidR="0028161B" w:rsidRPr="00B0148D">
        <w:instrText>ADDIN CSL_CITATION { "citationItems" : [ { "id" : "ITEM-1", "itemData" : { "DOI" : "10.1016/j.geoforum.2015.07.007", "ISSN" : "0016-7185", "author" : [ { "dropping-particle" : "", "family" : "Stanes", "given" : "Elyse", "non-dropping-particle" : "", "parse-names" : false, "suffix" : "" }, { "dropping-particle" : "", "family" : "Klocker", "given" : "Natascha", "non-dropping-particle" : "", "parse-names" : false, "suffix" : "" }, { "dropping-particle" : "", "family" : "Gibson", "given" : "Chris", "non-dropping-particle" : "", "parse-names" : false, "suffix" : "" } ], "container-title" : "Geoforum", "id" : "ITEM-1", "issued" : { "date-parts" : [ [ "2015" ] ] }, "page" : "46-58", "publisher" : "Elsevier Ltd", "title" : "Geoforum Young adult households and domestic sustainabilities", "type" : "article-journal", "volume" : "65" }, "uris" : [ "http://www.mendeley.com/documents/?uuid=50c5dc09-9038-4378-aa44-6d33efb001a4" ] } ], "mendeley" : { "formattedCitation" : "(Stanes et al., 2015)", "manualFormatting" : "(Stanes et al., 2015", "plainTextFormattedCitation" : "(Stanes et al., 2015)", "previouslyFormattedCitation" : "(Stanes et al., 2015)" }, "properties" : { "noteIndex" : 0 }, "schema" : "https://github.com/citation-style-language/schema/raw/master/csl-citation.json" }</w:instrText>
      </w:r>
      <w:r w:rsidR="0028161B" w:rsidRPr="00B0148D">
        <w:fldChar w:fldCharType="separate"/>
      </w:r>
      <w:r w:rsidR="0028161B" w:rsidRPr="00B0148D">
        <w:rPr>
          <w:noProof/>
        </w:rPr>
        <w:t>(Stanes et al., 2015</w:t>
      </w:r>
      <w:r w:rsidR="0028161B" w:rsidRPr="00B0148D">
        <w:fldChar w:fldCharType="end"/>
      </w:r>
      <w:r w:rsidR="0028161B" w:rsidRPr="00B0148D">
        <w:t xml:space="preserve">; </w:t>
      </w:r>
      <w:r w:rsidR="0028161B" w:rsidRPr="00B0148D">
        <w:fldChar w:fldCharType="begin" w:fldLock="1"/>
      </w:r>
      <w:r w:rsidR="0028161B" w:rsidRPr="00B0148D">
        <w:instrText>ADDIN CSL_CITATION { "citationItems" : [ { "id" : "ITEM-1", "itemData" : { "DOI" : "10.1111/j.1470-6431.2006.00560.x", "author" : [ { "dropping-particle" : "", "family" : "Stobbelaar", "given" : "Derk Jan", "non-dropping-particle" : "", "parse-names" : false, "suffix" : "" }, { "dropping-particle" : "", "family" : "Casimir", "given" : "Gerda", "non-dropping-particle" : "", "parse-names" : false, "suffix" : "" }, { "dropping-particle" : "", "family" : "Borghuis", "given" : "Josine", "non-dropping-particle" : "", "parse-names" : false, "suffix" : "" }, { "dropping-particle" : "", "family" : "Marks", "given" : "Inge", "non-dropping-particle" : "", "parse-names" : false, "suffix" : "" }, { "dropping-particle" : "", "family" : "Meijer", "given" : "Laurens", "non-dropping-particle" : "", "parse-names" : false, "suffix" : "" }, { "dropping-particle" : "", "family" : "Zebeda", "given" : "Simone", "non-dropping-particle" : "", "parse-names" : false, "suffix" : "" } ], "container-title" : "International Journal of Consumer Studies", "id" : "ITEM-1", "issued" : { "date-parts" : [ [ "2007" ] ] }, "page" : "349-356", "title" : "Adolescents \u2019 attitudes towards organic food : a survey of 15- to 16-year old school children", "type" : "article-journal", "volume" : "31" }, "uris" : [ "http://www.mendeley.com/documents/?uuid=5b358d55-30f6-402e-954d-fafda214b098" ] } ], "mendeley" : { "formattedCitation" : "(Stobbelaar et al., 2007)", "manualFormatting" : "Stobbelaar et al., 2007)", "plainTextFormattedCitation" : "(Stobbelaar et al., 2007)", "previouslyFormattedCitation" : "(Stobbelaar et al., 2007)" }, "properties" : { "noteIndex" : 0 }, "schema" : "https://github.com/citation-style-language/schema/raw/master/csl-citation.json" }</w:instrText>
      </w:r>
      <w:r w:rsidR="0028161B" w:rsidRPr="00B0148D">
        <w:fldChar w:fldCharType="separate"/>
      </w:r>
      <w:r w:rsidR="0028161B" w:rsidRPr="00B0148D">
        <w:rPr>
          <w:noProof/>
        </w:rPr>
        <w:t>Stobbelaar et al., 2007)</w:t>
      </w:r>
      <w:r w:rsidR="0028161B" w:rsidRPr="00B0148D">
        <w:fldChar w:fldCharType="end"/>
      </w:r>
      <w:r w:rsidR="0028161B" w:rsidRPr="00B0148D">
        <w:t>.</w:t>
      </w:r>
    </w:p>
    <w:p w14:paraId="453BF0F7" w14:textId="4C2DB5F3" w:rsidR="002A410C" w:rsidRPr="00B0148D" w:rsidRDefault="007A2C2D" w:rsidP="00B20E7E">
      <w:pPr>
        <w:jc w:val="both"/>
      </w:pPr>
      <w:r w:rsidRPr="00B0148D">
        <w:t xml:space="preserve">The </w:t>
      </w:r>
      <w:r w:rsidR="00C72CE8" w:rsidRPr="00B0148D">
        <w:t>effect was dependent on the product type. More specifically, a Self-Transcendence orientation was positively associated with the product experience in the cont</w:t>
      </w:r>
      <w:r w:rsidRPr="00B0148D">
        <w:t xml:space="preserve">ext of vegetables </w:t>
      </w:r>
      <w:r w:rsidR="00C72CE8" w:rsidRPr="00B0148D">
        <w:t xml:space="preserve">and a Conservation orientation was positively associated with product experience in the context of meat; value orientations were not, however, related to the product experience in the context of bread, which represented a value-neutral product in the study. An alternative explanation for the differences in the findings between Study 1 and 2 is that as the values are still evolving during this age, the content and significance of conservative values are in some extent different at different ages. The inconsistency among adolescents may be caused by the fact that their personality is still developing, which may cause instability in their personal values </w:t>
      </w:r>
      <w:r w:rsidR="002A410C" w:rsidRPr="00B0148D">
        <w:fldChar w:fldCharType="begin" w:fldLock="1"/>
      </w:r>
      <w:r w:rsidR="002A410C" w:rsidRPr="00B0148D">
        <w:instrText>ADDIN CSL_CITATION { "citationItems" : [ { "id" : "ITEM-1", "itemData" : { "DOI" : "10.1016/j.jrp.2016.06.014", "ISSN" : "0092-6566", "author" : [ { "dropping-particle" : "", "family" : "Hatano", "given" : "Kai", "non-dropping-particle" : "", "parse-names" : false, "suffix" : "" }, { "dropping-particle" : "", "family" : "Sugimura", "given" : "Kazumi", "non-dropping-particle" : "", "parse-names" : false, "suffix" : "" }, { "dropping-particle" : "", "family" : "Klimstra", "given" : "Theo A", "non-dropping-particle" : "", "parse-names" : false, "suffix" : "" } ], "container-title" : "Journal of Research in Personality", "id" : "ITEM-1", "issued" : { "date-parts" : [ [ "2017" ] ] }, "page" : "120-131", "publisher" : "Elsevier Inc.", "title" : "Which came first , personality traits or identity processes during early and middle adolescence ?", "type" : "article-journal", "volume" : "67" }, "uris" : [ "http://www.mendeley.com/documents/?uuid=b8e1b171-125a-4d0c-a6d1-73b9590a4f17" ] } ], "mendeley" : { "formattedCitation" : "(Hatano et al., 2017)", "manualFormatting" : "(Hatano et al., 2017", "plainTextFormattedCitation" : "(Hatano et al., 2017)", "previouslyFormattedCitation" : "(Hatano et al., 2017)" }, "properties" : { "noteIndex" : 0 }, "schema" : "https://github.com/citation-style-language/schema/raw/master/csl-citation.json" }</w:instrText>
      </w:r>
      <w:r w:rsidR="002A410C" w:rsidRPr="00B0148D">
        <w:fldChar w:fldCharType="separate"/>
      </w:r>
      <w:r w:rsidR="002A410C" w:rsidRPr="00B0148D">
        <w:rPr>
          <w:noProof/>
        </w:rPr>
        <w:t>(Hatano et al., 2017</w:t>
      </w:r>
      <w:r w:rsidR="002A410C" w:rsidRPr="00B0148D">
        <w:fldChar w:fldCharType="end"/>
      </w:r>
      <w:r w:rsidR="002A410C" w:rsidRPr="00B0148D">
        <w:fldChar w:fldCharType="begin" w:fldLock="1"/>
      </w:r>
      <w:r w:rsidR="002A410C" w:rsidRPr="00B0148D">
        <w:instrText>ADDIN CSL_CITATION { "citationItems" : [ { "id" : "ITEM-1", "itemData" : { "DOI" : "10.1111/sode.12177", "author" : [ { "dropping-particle" : "", "family" : "D\u00f6ring", "given" : "Anna K", "non-dropping-particle" : "", "parse-names" : false, "suffix" : "" }, { "dropping-particle" : "", "family" : "Daniel", "given" : "Ella", "non-dropping-particle" : "", "parse-names" : false, "suffix" : "" }, { "dropping-particle" : "", "family" : "Knafo-Noam", "given" : "Ariel", "non-dropping-particle" : "", "parse-names" : false, "suffix" : "" } ], "container-title" : "Social Development", "id" : "ITEM-1", "issue" : "3", "issued" : { "date-parts" : [ [ "2016" ] ] }, "page" : "471-481", "title" : "Introduction to the Special Section Value Development from Middle Childhood to Early Adulthood \u2014 New Insights from Longitudinal and Genetically Informed Research", "type" : "article-journal", "volume" : "25" }, "uris" : [ "http://www.mendeley.com/documents/?uuid=fd39ca0f-9a43-4e53-acfb-4d146992042e" ] } ], "mendeley" : { "formattedCitation" : "(D\u00f6ring et al., 2016)", "manualFormatting" : "; D\u00f6ring et al., 2016)", "plainTextFormattedCitation" : "(D\u00f6ring et al., 2016)", "previouslyFormattedCitation" : "(D\u00f6ring et al., 2016)" }, "properties" : { "noteIndex" : 0 }, "schema" : "https://github.com/citation-style-language/schema/raw/master/csl-citation.json" }</w:instrText>
      </w:r>
      <w:r w:rsidR="002A410C" w:rsidRPr="00B0148D">
        <w:fldChar w:fldCharType="separate"/>
      </w:r>
      <w:r w:rsidR="002A410C" w:rsidRPr="00B0148D">
        <w:rPr>
          <w:noProof/>
        </w:rPr>
        <w:t>; Döring et al., 2016)</w:t>
      </w:r>
      <w:r w:rsidR="002A410C" w:rsidRPr="00B0148D">
        <w:fldChar w:fldCharType="end"/>
      </w:r>
      <w:r w:rsidR="002A410C" w:rsidRPr="00B0148D">
        <w:t xml:space="preserve">. This is an issue that should be explored further in other studies. </w:t>
      </w:r>
    </w:p>
    <w:p w14:paraId="4AE0AFA0" w14:textId="170BD0F9" w:rsidR="00D93CDB" w:rsidRPr="00B0148D" w:rsidRDefault="00C11ABD" w:rsidP="00B20E7E">
      <w:pPr>
        <w:jc w:val="both"/>
      </w:pPr>
      <w:r w:rsidRPr="00B0148D">
        <w:t>In addition to possible health benefits, t</w:t>
      </w:r>
      <w:r w:rsidR="00D93CDB" w:rsidRPr="00B0148D">
        <w:t>aste</w:t>
      </w:r>
      <w:r w:rsidRPr="00B0148D">
        <w:t xml:space="preserve"> and</w:t>
      </w:r>
      <w:r w:rsidR="00D93CDB" w:rsidRPr="00B0148D">
        <w:t xml:space="preserve"> familiarity are the most important bread choice motives </w:t>
      </w:r>
      <w:r w:rsidR="00D93CDB" w:rsidRPr="00B0148D">
        <w:fldChar w:fldCharType="begin" w:fldLock="1"/>
      </w:r>
      <w:r w:rsidR="00D93CDB" w:rsidRPr="00B0148D">
        <w:instrText>ADDIN CSL_CITATION { "citationItems" : [ { "id" : "ITEM-1", "itemData" : { "DOI" : "10.1002/jsfa.3982", "ISBN" : "0022-5142", "ISSN" : "00225142", "PMID" : "20549809", "abstract" : "BACKGROUND: Wholegrain food may have an important role in the prevention of chronic diseases, and therefore its consumption should be increased. However, wholegrain products have a low consumption because of unfamiliar taste and poor understanding about the health benefits. Generally, adolescents unfamiliar with wholegrain bread dislike it. Food use in childhood correlates positively with practices in adult life, and therefore adolescents are an important target group for research. The aim was to study adolescents' attitudes towards wholegrain bread in a society where wholegrain products are widely used. RESULTS: A qualitative focus group method (n = 61) and a quantitative procedure (n = 104) with 13-15-year-old secondary school students indicated that Finnish adolescents considered wholegrain breads healthier and more acceptable than refined breads. The motives for wholegrain bread consumption were taste, feeling of fillingness and weight control. Girls were more interested in bread healthfulness than boys (P &lt; 0.01), and participants who showed a more positive attitude towards general health interest reported using more rye and wholegrain breads than participants with negative attitudes. CONCLUSION: Adolescents familiar with the sensory properties and healthfulness of rye and wholegrain breads consumed them regularly and perceived them as pleasant and very acceptable.", "author" : [ { "dropping-particle" : "", "family" : "Pohjanheimo", "given" : "Terhi", "non-dropping-particle" : "", "parse-names" : false, "suffix" : "" }, { "dropping-particle" : "", "family" : "Luomala", "given" : "Harri", "non-dropping-particle" : "", "parse-names" : false, "suffix" : "" }, { "dropping-particle" : "", "family" : "Tahvonen", "given" : "Raija", "non-dropping-particle" : "", "parse-names" : false, "suffix" : "" } ], "container-title" : "Journal of the Science of Food and Agriculture", "id" : "ITEM-1", "issue" : "9", "issued" : { "date-parts" : [ [ "2010" ] ] }, "page" : "1538-1544", "title" : "Finnish adolescents' attitudes towards wholegrain bread and healthiness", "type" : "article-journal", "volume" : "90" }, "uris" : [ "http://www.mendeley.com/documents/?uuid=a4f1e26e-692f-46c0-824a-146368d69a8c" ] } ], "mendeley" : { "formattedCitation" : "(Pohjanheimo, Luomala, &amp; Tahvonen, 2010)", "plainTextFormattedCitation" : "(Pohjanheimo, Luomala, &amp; Tahvonen, 2010)", "previouslyFormattedCitation" : "(Pohjanheimo, Luomala, &amp; Tahvonen, 2010)" }, "properties" : { "noteIndex" : 0 }, "schema" : "https://github.com/citation-style-language/schema/raw/master/csl-citation.json" }</w:instrText>
      </w:r>
      <w:r w:rsidR="00D93CDB" w:rsidRPr="00B0148D">
        <w:fldChar w:fldCharType="separate"/>
      </w:r>
      <w:r w:rsidR="00D93CDB" w:rsidRPr="00B0148D">
        <w:rPr>
          <w:noProof/>
        </w:rPr>
        <w:t>(Pohjanheimo, Luomala, &amp; Tahvonen, 2010)</w:t>
      </w:r>
      <w:r w:rsidR="00D93CDB" w:rsidRPr="00B0148D">
        <w:fldChar w:fldCharType="end"/>
      </w:r>
      <w:r w:rsidR="00D93CDB" w:rsidRPr="00B0148D">
        <w:t xml:space="preserve">. </w:t>
      </w:r>
      <w:r w:rsidR="001F0186" w:rsidRPr="00B0148D">
        <w:t>B</w:t>
      </w:r>
      <w:r w:rsidR="00D93CDB" w:rsidRPr="00B0148D">
        <w:t xml:space="preserve">read is seen as a traditional product, for some </w:t>
      </w:r>
      <w:r w:rsidR="001F0186" w:rsidRPr="00B0148D">
        <w:t>consumers it is considered to be</w:t>
      </w:r>
      <w:r w:rsidR="00D93CDB" w:rsidRPr="00B0148D">
        <w:t xml:space="preserve"> untrendy or</w:t>
      </w:r>
      <w:r w:rsidR="00B173F3" w:rsidRPr="00B0148D">
        <w:t xml:space="preserve"> even </w:t>
      </w:r>
      <w:r w:rsidR="00D93CDB" w:rsidRPr="00B0148D">
        <w:t xml:space="preserve">boring </w:t>
      </w:r>
      <w:r w:rsidR="00D93CDB" w:rsidRPr="00B0148D">
        <w:fldChar w:fldCharType="begin" w:fldLock="1"/>
      </w:r>
      <w:r w:rsidR="00D93CDB" w:rsidRPr="00B0148D">
        <w:instrText>ADDIN CSL_CITATION { "citationItems" : [ { "id" : "ITEM-1", "itemData" : { "DOI" : "10.1016/j.appet.2009.04.002", "author" : [ { "dropping-particle" : "", "family" : "Gellynck", "given" : "Xavier", "non-dropping-particle" : "", "parse-names" : false, "suffix" : "" }, { "dropping-particle" : "", "family" : "K\u00fchne", "given" : "Bianka", "non-dropping-particle" : "", "parse-names" : false, "suffix" : "" }, { "dropping-particle" : "", "family" : "Bockstaele", "given" : "Filip", "non-dropping-particle" : "Van", "parse-names" : false, "suffix" : "" }, { "dropping-particle" : "", "family" : "Walle", "given" : "Davy", "non-dropping-particle" : "Van de", "parse-names" : false, "suffix" : "" }, { "dropping-particle" : "", "family" : "Dewettinck", "given" : "Koen", "non-dropping-particle" : "", "parse-names" : false, "suffix" : "" } ], "container-title" : "Appetite", "id" : "ITEM-1", "issued" : { "date-parts" : [ [ "2009" ] ] }, "page" : "16-23", "title" : "Consumer perception of bread quality", "type" : "article-journal", "volume" : "53" }, "uris" : [ "http://www.mendeley.com/documents/?uuid=2afb0172-9067-463d-80db-f0f3799438fa" ] } ], "mendeley" : { "formattedCitation" : "(Gellynck et al., 2009)", "plainTextFormattedCitation" : "(Gellynck et al., 2009)", "previouslyFormattedCitation" : "(Gellynck et al., 2009)" }, "properties" : { "noteIndex" : 0 }, "schema" : "https://github.com/citation-style-language/schema/raw/master/csl-citation.json" }</w:instrText>
      </w:r>
      <w:r w:rsidR="00D93CDB" w:rsidRPr="00B0148D">
        <w:fldChar w:fldCharType="separate"/>
      </w:r>
      <w:r w:rsidR="00D93CDB" w:rsidRPr="00B0148D">
        <w:rPr>
          <w:noProof/>
        </w:rPr>
        <w:t>(Gellynck</w:t>
      </w:r>
      <w:r w:rsidR="00F92AC9" w:rsidRPr="00B0148D">
        <w:rPr>
          <w:noProof/>
        </w:rPr>
        <w:t>,</w:t>
      </w:r>
      <w:r w:rsidR="00D93CDB" w:rsidRPr="00B0148D">
        <w:rPr>
          <w:noProof/>
        </w:rPr>
        <w:t xml:space="preserve"> </w:t>
      </w:r>
      <w:r w:rsidR="00F92AC9" w:rsidRPr="00B0148D">
        <w:rPr>
          <w:noProof/>
        </w:rPr>
        <w:t>Kühne, Van Bockstaele, Van de Walle, &amp; Dewettinck, 2009)</w:t>
      </w:r>
      <w:r w:rsidR="00D93CDB" w:rsidRPr="00B0148D">
        <w:rPr>
          <w:noProof/>
        </w:rPr>
        <w:t>, 2009)</w:t>
      </w:r>
      <w:r w:rsidR="00D93CDB" w:rsidRPr="00B0148D">
        <w:fldChar w:fldCharType="end"/>
      </w:r>
      <w:r w:rsidR="00D93CDB" w:rsidRPr="00B0148D">
        <w:t>. Because ethical issues are not typically attached to bread, the bread choices are probably less likely to b</w:t>
      </w:r>
      <w:r w:rsidR="007A2C2D" w:rsidRPr="00B0148D">
        <w:t xml:space="preserve">e affected by value priorities. </w:t>
      </w:r>
      <w:r w:rsidR="00D93CDB" w:rsidRPr="00B0148D">
        <w:t xml:space="preserve">In regards to meat production, more emphasis is </w:t>
      </w:r>
      <w:r w:rsidR="00D92D18" w:rsidRPr="00B0148D">
        <w:t>p</w:t>
      </w:r>
      <w:r w:rsidR="00D93CDB" w:rsidRPr="00B0148D">
        <w:t xml:space="preserve">laced on such things as animal welfare, origin, and carbon footprint </w:t>
      </w:r>
      <w:r w:rsidR="00D93CDB" w:rsidRPr="00B0148D">
        <w:fldChar w:fldCharType="begin" w:fldLock="1"/>
      </w:r>
      <w:r w:rsidR="00D93CDB" w:rsidRPr="00B0148D">
        <w:instrText>ADDIN CSL_CITATION { "citationItems" : [ { "id" : "ITEM-1", "itemData" : { "DOI" : "10.1016/j.foodqual.2010.02.004", "ISBN" : "0950-3293", "ISSN" : "09503293", "PMID" : "20103159327", "abstract" : "An increasing interest and concern among consumers in the ways in which food is produced has led to a need for differentiation in production methods in directions valued by consumers. In this study we used a choice experiment to analyse the importance of the production method, such as organic production and methods emphasising animal welfare or consumer health, and country of origin on the selection of broiler meat by Finnish consumers. The results revealed very strong positive perceptions of domestically produced broiler products. The effect of production method was significant but minor. Emphasising animal welfare in production particularly increased the probability of consumer choice. We also tested the effect of providing production information either in labels or verbally, and found that well-established labels have positive impacts whereas non-familiar labels may be counter-productive. Latent class analysis revealed the heterogeneity of consumer preferences, but did not facilitate the profiling of consumer groups based on socioeconomic data. \u00a9 2010 Elsevier Ltd.", "author" : [ { "dropping-particle" : "", "family" : "Pouta", "given" : "E.", "non-dropping-particle" : "", "parse-names" : false, "suffix" : "" }, { "dropping-particle" : "", "family" : "Heikkil\</w:instrText>
      </w:r>
      <w:r w:rsidR="00D93CDB" w:rsidRPr="00B0148D">
        <w:rPr>
          <w:lang w:val="fi-FI"/>
        </w:rPr>
        <w:instrText>u00e4", "given" : "J.", "non-dropping-particle" : "", "parse-names" : false, "suffix" : "" }, { "dropping-particle" : "", "family" : "Forsman-Hugg", "given" : "S.", "non-dropping-particle" : "", "parse-names" : false, "suffix" : "" }, { "dropping-particle" : "", "family" : "Isoniemi", "given" : "M.", "non-dropping-particle" : "", "parse-names" : false, "suffix" : "" }, { "dropping-particle" : "", "family" : "M\u00e4kel\u00e4", "given" : "J.", "non-dropping-particle" : "", "parse-names" : false, "suffix" : "" } ], "container-title" : "Food Quality and Preference", "id" : "ITEM-1", "issue" : "5", "issued" : { "date-parts" : [ [ "2010" ] ] }, "page" : "539-546", "publisher" : "Elsevier Ltd", "title" : "Consumer choice of broiler meat: The effects of country of origin and production methods", "type" : "article-journal", "volume" : "21" }, "uris" : [ "http://www.mendeley.com/documents/?uuid=dc7cea6d-9ea1-43ee-9504-19fd51d16412" ] } ], "mendeley" : { "formattedCitation" : "(Pouta, Heikkil\u00e4, Forsman-Hugg, Isoniemi, &amp; M\u00e4kel\u00e4, 2010)", "manualFormatting" : "(Pouta, Heikkil\u00e4, Forsman-Hugg, Isoniemi, &amp; M\u00e4kel\u00e4, 2010", "plainTextFormattedCitation" : "(Pouta, Heikkil\u00e4, Forsman-Hugg, Isoniemi, &amp; M\u00e4kel\u00e4, 2010)", "previouslyFormattedCitation" : "(Pouta, Heikkil\u00e4, Forsman-Hugg, Isoniemi, &amp; M\u00e4kel\u00e4, 2010)" }, "properties" : { "noteIndex" : 0 }, "schema" : "https://github.com/citation-style-language/schema/raw/master/csl-citation.json" }</w:instrText>
      </w:r>
      <w:r w:rsidR="00D93CDB" w:rsidRPr="00B0148D">
        <w:fldChar w:fldCharType="separate"/>
      </w:r>
      <w:r w:rsidR="00D93CDB" w:rsidRPr="00B0148D">
        <w:rPr>
          <w:noProof/>
          <w:lang w:val="fi-FI"/>
        </w:rPr>
        <w:t>(Pouta, Heikkilä, Forsman-Hugg, Isoniemi, &amp; Mäkelä, 2010</w:t>
      </w:r>
      <w:r w:rsidR="00D93CDB" w:rsidRPr="00B0148D">
        <w:fldChar w:fldCharType="end"/>
      </w:r>
      <w:r w:rsidR="00D93CDB" w:rsidRPr="00B0148D">
        <w:fldChar w:fldCharType="begin" w:fldLock="1"/>
      </w:r>
      <w:r w:rsidR="00D93CDB" w:rsidRPr="00B0148D">
        <w:rPr>
          <w:lang w:val="fi-FI"/>
        </w:rPr>
        <w:instrText>ADDIN CSL_CITATION { "citationItems" : [ { "id" : "ITEM-1", "itemData" : { "DOI" : "10.1016/j.foodpol.2016.11.002", "ISSN" : "03069192", "abstract" : "High levels of meat consumption are increasingly being criticised for ethical, environmental, and social reasons. Plant-based meat substitutes have been identified as healthy sources of protein that, in comparison to meat, offer a number of social, environmental and health benefits and may play a role in reducing meat consumption. However, there has been a lack of research on the role they can play in the policy agenda and how specific meat substitute attributes can influence consumers to replace partially replace meat in their diets. In this paper, we examine consumers\u2019 preferences for attributes of meat and meat substitute products and develop consumer segments based on these preferences. The results of a choice experiment with 247 UK consumers, using food labels and mince (ground meat), illustrate that the type of mince, fat content, country of origin and price are major factors that influence choice. Carbon footprint, method of production and brand play a secondary role in determining consumers\u2019 choices of meat/meat substitutes. Latent class analysis is used to identify six consumer segments: price conscious, healthy eaters, taste driven, green, organic and vegetarian consumers which have different socio-demographic characteristics and meat consumption patterns. Future interventions and policies aimed at reducing meat consumption including labelling, provision of more information, financial incentives, educational campaigns and new product development will be more effective if they are holistic and target specific consumer segments, instead of focus on the average consumer.", "author" : [ { "dropping-particle" : "", "family" : "Apostolidis", "given" : "Chrysostomos", "non-dropping-particle" : "", "parse-names" : false, "suffix" : "" }, { "dropping-particle" : "", "family" : "McLeay", "given" : "Fraser", "non-dropping-particle" : "", "parse-names" : false, "suffix" : "" } ], "container-title" : "Food Policy", "id" : "ITEM-1", "issued" : { "date-parts" : [ [ "2016" ] ] }, "page" : "74-89", "title" : "Should we stop meating like this? Reducing meat consumption through substitution", "type" : "article-journal", "volume" : "65" }, "uris" : [ "http://www.mendeley.com/documents/?uuid=a6e854d5-38dc-4233-82c6-55e8389cf42e" ] } ], "mendeley" : { "formattedCitation" : "(Apostolidis &amp; McLeay, 2016)", "manualFormatting" : "; Apostolidis &amp; McLeay, 2016)", "plainTextFormattedCitation" : "(Apostolidis &amp; McLeay, 2016)", "previouslyFormattedCitation" : "(Apostolidis &amp; McLeay, 2016)" }, "properties" : { "noteIndex" : 0 }, "schema" : "https://github.com/citation-style-language/schema/raw/master/csl-citation.json" }</w:instrText>
      </w:r>
      <w:r w:rsidR="00D93CDB" w:rsidRPr="00B0148D">
        <w:fldChar w:fldCharType="separate"/>
      </w:r>
      <w:r w:rsidR="00D93CDB" w:rsidRPr="00B0148D">
        <w:rPr>
          <w:noProof/>
          <w:lang w:val="fi-FI"/>
        </w:rPr>
        <w:t>; Apostolidis &amp; McLeay, 2016)</w:t>
      </w:r>
      <w:r w:rsidR="00D93CDB" w:rsidRPr="00B0148D">
        <w:fldChar w:fldCharType="end"/>
      </w:r>
      <w:r w:rsidR="00D93CDB" w:rsidRPr="00B0148D">
        <w:rPr>
          <w:lang w:val="fi-FI"/>
        </w:rPr>
        <w:t>. Meat avoidance and veganism is linked to a moral dimension</w:t>
      </w:r>
      <w:r w:rsidR="0053544E" w:rsidRPr="00B0148D">
        <w:rPr>
          <w:lang w:val="fi-FI"/>
        </w:rPr>
        <w:t>,</w:t>
      </w:r>
      <w:r w:rsidR="00D93CDB" w:rsidRPr="00B0148D">
        <w:rPr>
          <w:lang w:val="fi-FI"/>
        </w:rPr>
        <w:t xml:space="preserve"> </w:t>
      </w:r>
      <w:r w:rsidR="0053544E" w:rsidRPr="00B0148D">
        <w:rPr>
          <w:lang w:val="fi-FI"/>
        </w:rPr>
        <w:t>politically more liberal consumers are more likely to remain vegan once started and those that are more conservative are more likely to lapse from a vegan diet to eating meat again</w:t>
      </w:r>
      <w:r w:rsidR="0053544E" w:rsidRPr="00B0148D" w:rsidDel="001208D8">
        <w:rPr>
          <w:lang w:val="fi-FI"/>
        </w:rPr>
        <w:t xml:space="preserve"> </w:t>
      </w:r>
      <w:r w:rsidR="00D93CDB" w:rsidRPr="00B0148D">
        <w:fldChar w:fldCharType="begin" w:fldLock="1"/>
      </w:r>
      <w:r w:rsidR="00D93CDB" w:rsidRPr="00B0148D">
        <w:rPr>
          <w:lang w:val="fi-FI"/>
        </w:rPr>
        <w:instrText>ADDIN CSL_CITATION { "citationItems" : [ { "id" : "ITEM-1", "itemData" : { "DOI" : "10.1016/j.appet.2017.08.027", "ISSN" : "10958304", "abstract" : "Lapses from vegetarian and vegan (i.e., veg*n) food choices to meat consumption are very common, suggesting that sustaining veg*nism is challenging. But little is known about why people return to eating animals after initially deciding to avoid meat consumption. Several potential explanatory factors include personal inconvenience, meat cravings, awkwardness in social settings, or health/nutrition concerns. Here we test the degree to which political ideology predicts lapsing to meat consumption. Past research demonstrates that political ideology predicts present levels of meat consumption, whereby those higher in right-wing ideologies eat more animals, even after controlling for their hedonistic liking of meat (e.g., Dhont &amp; Hodson, 2014). To what extent might political ideology predict whether one has lapsed from veg*n foods back to meat consumption? In a largely representative US community sample (N = 1313) of current and former veg*ns, those higher (vs. lower) in conservatism exhibited significantly greater odds of being a former than current veg*n, even after controlling for age, education, and gender. This ideology-lapsing relation was mediated (i</w:instrText>
      </w:r>
      <w:r w:rsidR="00D93CDB" w:rsidRPr="00B0148D">
        <w:instrText xml:space="preserve">.e., explained) </w:instrText>
      </w:r>
      <w:r w:rsidR="00D93CDB" w:rsidRPr="00B0148D">
        <w:rPr>
          <w:lang w:val="fi-FI"/>
        </w:rPr>
        <w:instrText>by those higher (vs. lower) in</w:instrText>
      </w:r>
      <w:r w:rsidR="00D93CDB" w:rsidRPr="00B0148D">
        <w:instrText xml:space="preserve"> conservatism: (a) adopting a veg*n diet for reasons less centered in justice concerns (animal rights, environment, feeding the poor); and (b) feeling socially unsupported in their endeavor. In contrast, factors such as differential meat craving or lifestyle inconvenience played little mediational role. These findings demonstrate that ideology and justice concerns are particularly relevant to understanding resilience in maintaining veg*n food choices. Implications for understanding why people eat meat, and how to develop intervention strategies, are discussed.", "author" : [ { "dropping-particle" : "", "family" : "Hodson", "given" : "Gordon", "non-dropping-particle" : "", "parse-names" : false, "suffix" : "" }, { "dropping-particle" : "", "family" : "Earle", "given" : "Megan", "non-dropping-particle" : "", "parse-names" : false, "suffix" : "" } ], "container-title" : "Appetite", "id" : "ITEM-1", "issued" : { "date-parts" : [ [ "2018" ] ] }, "page" : "75-81", "publisher" : "Elsevier Ltd", "title" : "Conservatism predicts lapses from vegetarian/vegan diets to meat consumption (through lower social justice concerns and social support)", "type" : "article-journal", "volume" : "120" }, "uris" : [ "http://www.mendeley.com/documents/?uuid=cdd9d33c-8cb4-416f-9096-23e394646ab8" ] } ], "mendeley" : { "formattedCitation" : "(Hodson &amp; Earle, 2018)", "plainTextFormattedCitation" : "(Hodson &amp; Earle, 2018)", "previouslyFormattedCitation" : "(Hodson &amp; Earle, 2018)" }, "properties" : { "noteIndex" : 0 }, "schema" : "https://github.com/citation-style-language/schema/raw/master/csl-citation.json" }</w:instrText>
      </w:r>
      <w:r w:rsidR="00D93CDB" w:rsidRPr="00B0148D">
        <w:fldChar w:fldCharType="separate"/>
      </w:r>
      <w:r w:rsidR="00D93CDB" w:rsidRPr="00B0148D">
        <w:rPr>
          <w:noProof/>
        </w:rPr>
        <w:t>(Hodson &amp; Earle, 2018)</w:t>
      </w:r>
      <w:r w:rsidR="00D93CDB" w:rsidRPr="00B0148D">
        <w:fldChar w:fldCharType="end"/>
      </w:r>
      <w:r w:rsidR="00D93CDB" w:rsidRPr="00B0148D">
        <w:t xml:space="preserve">. The moral views and ethical aspects of food production are more closely connected to the consumption of meat, while for bread additional information may add value, but it is less likely to </w:t>
      </w:r>
      <w:r w:rsidR="00057047" w:rsidRPr="00B0148D">
        <w:t>raise</w:t>
      </w:r>
      <w:r w:rsidR="00D93CDB" w:rsidRPr="00B0148D">
        <w:t xml:space="preserve"> moral concerns.</w:t>
      </w:r>
      <w:r w:rsidR="003564AB" w:rsidRPr="00B0148D">
        <w:t xml:space="preserve"> </w:t>
      </w:r>
      <w:r w:rsidR="00057047" w:rsidRPr="00B0148D">
        <w:t xml:space="preserve">A plant-based diet is often driven by either ethical or moral reasons </w:t>
      </w:r>
      <w:r w:rsidR="00D803EF" w:rsidRPr="00B0148D">
        <w:fldChar w:fldCharType="begin" w:fldLock="1"/>
      </w:r>
      <w:r w:rsidR="00F94742" w:rsidRPr="00B0148D">
        <w:instrText>ADDIN CSL_CITATION { "citationItems" : [ { "id" : "ITEM-1", "itemData" : { "DOI" : "10.1016/j.appet.2017.05.039", "ISSN" : "10958304", "abstract" : "Much recent research has explored vegetarians' dietary motivations, recurrently highlighting the significant influence they exert on how people view themselves and others. For vegetarians and other plant-based dieters, dietary motivations have been theorized to be a central aspect of identity. Yet not all plant-based dieters are motivated to follow their diets; rather, some face aversions and constraints. In this paper, we propose that motivations, aversions, and constraints constitute three distinct reasons for consuming a plant-based diet. After conceptually distinguishing motivations from aversions and constraints, we critically evaluate the advantages and disadvantages of two conceptual frameworks that exist for studying these motivations systematically: the ethical-health framework and the Unified Model of Vegetarian Identity (UMVI) motivational orientations framework. Importantly, these frameworks serve different purposes, and their suitability often depends on the research question at hand. Particularly given an increasing prevalence of plant-based dieting, cultivating a more holistic understanding of these two frameworks is necessary for advancing this discipline. Directions for future research are discussed.", "author" : [ { "dropping-particle" : "", "family" : "Rosenfeld", "given" : "Daniel L.", "non-dropping-particle" : "", "parse-names" : false, "suffix" : "" }, { "dropping-particle" : "", "family" : "Burrow", "given" : "Anthony L.", "non-dropping-particle" : "", "parse-names" : false, "suffix" : "" } ], "container-title" : "Appetite", "id" : "ITEM-1", "issued" : { "date-parts" : [ [ "2017" ] ] }, "page" : "456-463", "publisher" : "Elsevier Ltd", "title" : "Vegetarian on purpose: Understanding the motivations of plant-based dieters", "type" : "article-journal", "volume" : "116" }, "uris" : [ "http://www.mendeley.com/documents/?uuid=4f26fb47-0aa6-4df0-a77c-ff2e46e1e8db" ] } ], "mendeley" : { "formattedCitation" : "(Rosenfeld &amp; Burrow, 2017)", "plainTextFormattedCitation" : "(Rosenfeld &amp; Burrow, 2017)", "previouslyFormattedCitation" : "(Rosenfeld &amp; Burrow, 2017)" }, "properties" : { "noteIndex" : 0 }, "schema" : "https://github.com/citation-style-language/schema/raw/master/csl-citation.json" }</w:instrText>
      </w:r>
      <w:r w:rsidR="00D803EF" w:rsidRPr="00B0148D">
        <w:fldChar w:fldCharType="separate"/>
      </w:r>
      <w:r w:rsidR="00D803EF" w:rsidRPr="00B0148D">
        <w:rPr>
          <w:noProof/>
        </w:rPr>
        <w:t>(Rosenfeld &amp; Burrow, 2017)</w:t>
      </w:r>
      <w:r w:rsidR="00D803EF" w:rsidRPr="00B0148D">
        <w:fldChar w:fldCharType="end"/>
      </w:r>
      <w:r w:rsidR="003564AB" w:rsidRPr="00B0148D">
        <w:t xml:space="preserve">. </w:t>
      </w:r>
      <w:r w:rsidR="00057047" w:rsidRPr="00B0148D">
        <w:t>However, this does not make eating vegetables primarily an ethical choice, as, for example, health effects may outweigh the ethical aspect. When vegetables are eaten as part of a healthy diet, the choice is not ethical, but when it is motivated by the avoidance of meat or a willingness to support small, independent, local farmers, it then becomes one.</w:t>
      </w:r>
    </w:p>
    <w:p w14:paraId="532CCB52" w14:textId="189F3820" w:rsidR="002A410C" w:rsidRPr="00B0148D" w:rsidRDefault="00F84747" w:rsidP="002A410C">
      <w:pPr>
        <w:jc w:val="both"/>
      </w:pPr>
      <w:r w:rsidRPr="00B0148D">
        <w:t xml:space="preserve">Based on the current study, values also have an effect on young people with regard to the importance of food origins. Individuals holding Self-Transcendence values see local origin as especially important in the context of vegetables and meat.  This may be due to the fact that domestic and particularly local production is often attached to environmentally and socially responsible practices, which are typically </w:t>
      </w:r>
      <w:r w:rsidRPr="00B0148D">
        <w:lastRenderedPageBreak/>
        <w:t>important to ind</w:t>
      </w:r>
      <w:r w:rsidR="008E4703" w:rsidRPr="00B0148D">
        <w:t>ividuals with altruistic values</w:t>
      </w:r>
      <w:r w:rsidR="002A410C" w:rsidRPr="00B0148D">
        <w:t xml:space="preserve">. According to Carrigan &amp; Attalla </w:t>
      </w:r>
      <w:r w:rsidR="002A410C" w:rsidRPr="00B0148D">
        <w:fldChar w:fldCharType="begin" w:fldLock="1"/>
      </w:r>
      <w:r w:rsidR="002A410C" w:rsidRPr="00B0148D">
        <w:instrText>ADDIN CSL_CITATION { "citationItems" : [ { "id" : "ITEM-1", "itemData" : { "DOI" : "10.1108/07363760110410263", "ISBN" : "0736376971018", "ISSN" : "0736-3761", "PMID" : "5938224", "abstract" : "Marketing ethics and social responsibility are inherently controversial, and years of research continue to present conflicts and challenges for marketers on the value of a socially responsible approach to marketing activities. This article examines whether or not consumers care about ethical behaviour, and investigates the effect of good and bad ethical conduct on consumer purchase behaviour. Through focus group discussions it becomes clear that although we are more sophisticated as consumers today, this does not necessarily translate into behaviour which favours ethical companies and punishes unethical firms. The article concludes by some thoughts on how marketers might encourage consumers to engage in positive purchase behaviour in favour of ethical marketing.", "author" : [ { "dropping-particle" : "", "family" : "Carrigan", "given" : "Marylyn", "non-dropping-particle" : "", "parse-names" : false, "suffix" : "" }, { "dropping-particle" : "", "family" : "Attala", "given" : "Ahmad", "non-dropping-particle" : "", "parse-names" : false, "suffix" : "" } ], "container-title" : "Journal of Consumer Marketing", "id" : "ITEM-1", "issue" : "7", "issued" : { "date-parts" : [ [ "2001" ] ] }, "number-of-pages" : "560-578", "title" : "The myth of the ethical consumer - do ethics matter in purchase behaviour?", "type" : "book", "volume" : "18" }, "uris" : [ "http://www.mendeley.com/documents/?uuid=e996b348-5dba-4d00-9a3e-f745fcc5685e" ] } ], "mendeley" : { "formattedCitation" : "(Carrigan &amp; Attala, 2001)", "manualFormatting" : "(2001)", "plainTextFormattedCitation" : "(Carrigan &amp; Attala, 2001)", "previouslyFormattedCitation" : "(Carrigan &amp; Attala, 2001)" }, "properties" : { "noteIndex" : 0 }, "schema" : "https://github.com/citation-style-language/schema/raw/master/csl-citation.json" }</w:instrText>
      </w:r>
      <w:r w:rsidR="002A410C" w:rsidRPr="00B0148D">
        <w:fldChar w:fldCharType="separate"/>
      </w:r>
      <w:r w:rsidR="002A410C" w:rsidRPr="00B0148D">
        <w:rPr>
          <w:noProof/>
        </w:rPr>
        <w:t>(2001)</w:t>
      </w:r>
      <w:r w:rsidR="002A410C" w:rsidRPr="00B0148D">
        <w:fldChar w:fldCharType="end"/>
      </w:r>
      <w:r w:rsidR="002A410C" w:rsidRPr="00B0148D">
        <w:t>, consumers tend to place emphasis on the ethical aspects of production, but in many cases personal reasons are more important when considering purchases. Regional production is also seen as one of the most important ethical attributes from</w:t>
      </w:r>
      <w:r w:rsidR="007F285B" w:rsidRPr="00B0148D">
        <w:t xml:space="preserve"> the</w:t>
      </w:r>
      <w:r w:rsidR="002A410C" w:rsidRPr="00B0148D">
        <w:t xml:space="preserve"> consumer</w:t>
      </w:r>
      <w:r w:rsidR="007F285B" w:rsidRPr="00B0148D">
        <w:t>’s</w:t>
      </w:r>
      <w:r w:rsidR="002A410C" w:rsidRPr="00B0148D">
        <w:t xml:space="preserve"> perspective </w:t>
      </w:r>
      <w:r w:rsidR="002A410C" w:rsidRPr="00B0148D">
        <w:fldChar w:fldCharType="begin" w:fldLock="1"/>
      </w:r>
      <w:r w:rsidR="002A410C" w:rsidRPr="00B0148D">
        <w:instrText>ADDIN CSL_CITATION { "citationItems" : [ { "id" : "ITEM-1", "itemData" : { "DOI" : "10.1016/j.foodqual.2010.01.006", "ISBN" : "0950-3293", "ISSN" : "09503293", "abstract" : "This paper examines the relevance of additional ethical attributes of organic food for consumers' purchase decisions. By means of an Information-Display-Matrix (IDM) and an accompanying consumer survey, the information acquisition behaviour of consumers regarding seven additional ethical attributes and the product price of organic food was investigated in five European countries. The ethical attributes, 'animal welfare', 'regional production' and 'fair prices to farmers' turned out to be the most important. The results also show that the vast majority of consumers of organic food was willing to pay higher prices for organic products with additional ethical attributes. Contrasting the results with those from direct inquiry by means of a 'single source approach' revealed considerable differences between both methods, particularly regarding the preferences for the product price relative to some of the ethical attributes. This may serve as evidence for higher external validity of the IDM with respect to social desirability bias. ?? 2010 Elsevier Ltd.", "author" : [ { "dropping-particle" : "", "family" : "Zander", "given" : "Katrin", "non-dropping-particle" : "", "parse-names" : false, "suffix" : "" }, { "dropping-particle" : "", "family" : "Hamm", "given" : "Ulrich", "non-dropping-particle" : "", "parse-names" : false, "suffix" : "" } ], "container-title" : "Food Quality and Preference", "id" : "ITEM-1", "issue" : "5", "issued" : { "date-parts" : [ [ "2010" ] ] }, "page" : "495-503", "publisher" : "Elsevier Ltd", "title" : "Consumer preferences for additional ethical attributes of organic food", "type" : "article-journal", "volume" : "21" }, "uris" : [ "http://www.mendeley.com/documents/?uuid=9280b590-6f34-4a64-8b10-932dcbbad0ca" ] } ], "mendeley" : { "formattedCitation" : "(Zander &amp; Hamm, 2010)", "manualFormatting" : "(Zander &amp; Hamm 2010)", "plainTextFormattedCitation" : "(Zander &amp; Hamm, 2010)", "previouslyFormattedCitation" : "(Zander &amp; Hamm, 2010)" }, "properties" : { "noteIndex" : 0 }, "schema" : "https://github.com/citation-style-language/schema/raw/master/csl-citation.json" }</w:instrText>
      </w:r>
      <w:r w:rsidR="002A410C" w:rsidRPr="00B0148D">
        <w:fldChar w:fldCharType="separate"/>
      </w:r>
      <w:r w:rsidR="002A410C" w:rsidRPr="00B0148D">
        <w:rPr>
          <w:noProof/>
        </w:rPr>
        <w:t>(Zander &amp; Hamm 2010)</w:t>
      </w:r>
      <w:r w:rsidR="002A410C" w:rsidRPr="00B0148D">
        <w:fldChar w:fldCharType="end"/>
      </w:r>
      <w:r w:rsidR="002A410C" w:rsidRPr="00B0148D">
        <w:t xml:space="preserve">. </w:t>
      </w:r>
      <w:r w:rsidR="008E4703" w:rsidRPr="00B0148D">
        <w:t>P</w:t>
      </w:r>
      <w:r w:rsidR="002A410C" w:rsidRPr="00B0148D">
        <w:t xml:space="preserve">urely ethical consumers are in the minority, but this group is willing to seek out information about ethical conduct </w:t>
      </w:r>
      <w:r w:rsidR="002A410C" w:rsidRPr="00B0148D">
        <w:fldChar w:fldCharType="begin" w:fldLock="1"/>
      </w:r>
      <w:r w:rsidR="002A410C" w:rsidRPr="00B0148D">
        <w:instrText>ADDIN CSL_CITATION { "citationItems" : [ { "id" : "ITEM-1", "itemData" : { "DOI" : "10.1108/07363760110410263", "ISBN" : "0736376971018", "ISSN" : "0736-3761", "PMID" : "5938224", "abstract" : "Marketing ethics and social responsibility are inherently controversial, and years of research continue to present conflicts and challenges for marketers on the value of a socially responsible approach to marketing activities. This article examines whether or not consumers care about ethical behaviour, and investigates the effect of good and bad ethical conduct on consumer purchase behaviour. Through focus group discussions it becomes clear that although we are more sophisticated as consumers today, this does not necessarily translate into behaviour which favours ethical companies and punishes unethical firms. The article concludes by some thoughts on how marketers might encourage consumers to engage in positive purchase behaviour in favour of ethical marketing.", "author" : [ { "dropping-particle" : "", "family" : "Carrigan", "given" : "Marylyn", "non-dropping-particle" : "", "parse-names" : false, "suffix" : "" }, { "dropping-particle" : "", "family" : "Attala", "given" : "Ahmad", "non-dropping-particle" : "", "parse-names" : false, "suffix" : "" } ], "container-title" : "Journal of Consumer Marketing", "id" : "ITEM-1", "issue" : "7", "issued" : { "date-parts" : [ [ "2001" ] ] }, "number-of-pages" : "560-578", "title" : "The myth of the ethical consumer - do ethics matter in purchase behaviour?", "type" : "book", "volume" : "18" }, "uris" : [ "http://www.mendeley.com/documents/?uuid=e996b348-5dba-4d00-9a3e-f745fcc5685e" ] } ], "mendeley" : { "formattedCitation" : "(Carrigan &amp; Attala, 2001)", "plainTextFormattedCitation" : "(Carrigan &amp; Attala, 2001)", "previouslyFormattedCitation" : "(Carrigan &amp; Attala, 2001)" }, "properties" : { "noteIndex" : 0 }, "schema" : "https://github.com/citation-style-language/schema/raw/master/csl-citation.json" }</w:instrText>
      </w:r>
      <w:r w:rsidR="002A410C" w:rsidRPr="00B0148D">
        <w:fldChar w:fldCharType="separate"/>
      </w:r>
      <w:r w:rsidR="002A410C" w:rsidRPr="00B0148D">
        <w:rPr>
          <w:noProof/>
        </w:rPr>
        <w:t>(Carrigan &amp; Attala, 2001)</w:t>
      </w:r>
      <w:r w:rsidR="002A410C" w:rsidRPr="00B0148D">
        <w:fldChar w:fldCharType="end"/>
      </w:r>
      <w:r w:rsidR="002A410C" w:rsidRPr="00B0148D">
        <w:t xml:space="preserve">. Domestic or local production of food is not equal to ethical production, but they induce similar connotations. A study by Carpio &amp; Isengildina-Massa </w:t>
      </w:r>
      <w:r w:rsidR="002A410C" w:rsidRPr="00B0148D">
        <w:fldChar w:fldCharType="begin" w:fldLock="1"/>
      </w:r>
      <w:r w:rsidR="002A410C" w:rsidRPr="00B0148D">
        <w:instrText>ADDIN CSL_CITATION { "citationItems" : [ { "id" : "ITEM-1", "itemData" : { "DOI" : "10.1002/agr", "ISBN" : "1520-6297", "ISSN" : "0742-4477", "PMID" : "60504412", "abstract" : "Countries that accede to the European Union face a complex and urgent task to adopt and implement the acquis communautaire on food safety. For the food industries in such countries, this implies that the European Union\u2019s standards of food production and processing, food quality and safety have to be met in order to ensure a high level of consumer protection and satisfaction. The purpose of this paper is to assess the level of food safety performance in one Accession Country, Hungary, in one food sector (the fresh produce importing chain), and to evaluate the capacity of the system to demonstrate quality assurance to the satisfaction of private customers and public regulators. The analysis of food safety performance has been undertaken through gap analysis using a novel application of a benchmarking methodology taking the United Kingdom fresh produce importing chain as the benchmark. The insights are relevant to other Accession Countries and to other Candidate Countries for European Union enlargement.", "author" : [ { "dropping-particle" : "", "family" : "Carpio", "given" : "Carlos E.", "non-dropping-particle" : "", "parse-names" : false, "suffix" : "" }, { "dropping-particle" : "", "family" : "Isengildina-Massa", "given" : "Olga", "non-dropping-particle" : "", "parse-names" : false, "suffix" : "" } ], "container-title" : "Agribusiness", "id" : "ITEM-1", "issue" : "3", "issued" : { "date-parts" : [ [ "2009" ] ] }, "page" : "412-426", "title" : "Consumer Willingness to Pay for Locally Grown Products: The Case of South Carolina", "type" : "article-journal", "volume" : "25" }, "uris" : [ "http://www.mendeley.com/documents/?uuid=30511b90-881b-4381-910d-bb50edfe4c11" ] } ], "mendeley" : { "formattedCitation" : "(Carpio &amp; Isengildina-Massa, 2009)", "manualFormatting" : "(2009)", "plainTextFormattedCitation" : "(Carpio &amp; Isengildina-Massa, 2009)", "previouslyFormattedCitation" : "(Carpio &amp; Isengildina-Massa, 2009)" }, "properties" : { "noteIndex" : 0 }, "schema" : "https://github.com/citation-style-language/schema/raw/master/csl-citation.json" }</w:instrText>
      </w:r>
      <w:r w:rsidR="002A410C" w:rsidRPr="00B0148D">
        <w:fldChar w:fldCharType="separate"/>
      </w:r>
      <w:r w:rsidR="002A410C" w:rsidRPr="00B0148D">
        <w:rPr>
          <w:noProof/>
        </w:rPr>
        <w:t>(2009)</w:t>
      </w:r>
      <w:r w:rsidR="002A410C" w:rsidRPr="00B0148D">
        <w:fldChar w:fldCharType="end"/>
      </w:r>
      <w:r w:rsidR="002A410C" w:rsidRPr="00B0148D">
        <w:t xml:space="preserve"> </w:t>
      </w:r>
      <w:r w:rsidR="007F285B" w:rsidRPr="00B0148D">
        <w:t>showed that the primary motivations for choosing local products were to support farmers and the local economy; this may infer that altruism could be one of the key components</w:t>
      </w:r>
      <w:r w:rsidR="002A410C" w:rsidRPr="00B0148D">
        <w:t xml:space="preserve">. Cosmina et al. </w:t>
      </w:r>
      <w:r w:rsidR="002A410C" w:rsidRPr="00B0148D">
        <w:fldChar w:fldCharType="begin" w:fldLock="1"/>
      </w:r>
      <w:r w:rsidR="002A410C" w:rsidRPr="00B0148D">
        <w:instrText>ADDIN CSL_CITATION { "citationItems" : [ { "id" : "ITEM-1", "itemData" : { "DOI" : "10.1016/j.appet.2015.12.018", "ISSN" : "10958304", "PMID" : "26719101", "abstract" : "Honey is becoming increasingly popular with consumers for its nutritional benefits as well as many other functions. The objective of this article is to determine which factors influence consumers' purchase intentions and to assess the importance of certain honey characteristics to enable identification of the constituents of an ideal honey profile. This information will lead to satisfaction of consumers' preferences and formulation of marketing strategies that support honey makers. We applied a choice experiment to the Italian honey market to define the preferences and the willingness to pay for key characteristics of the product. A face-to-face questionnaire survey was conducted in 2014 (January-July) among Italian consumers; it was completed by 427 respondents. A latent class model was estimated and four classes were identified, with different preferences, illustrating that respondents seem to be heterogeneous honey consumers. Results suggest the \"organic\" attribute was more important than others factors, such as the place where the honey was produced (landscape), but less important than the country of origin; local Italian honey was preferred to foreign honey. Respondents showed a higher willingness to pay (WTP) for honey from their country of origin versus the production method used. Our results suggest that while organic beekeeping might be an important strategy for diversification, if suitable communication is not taken into consideration, the added value of the production method might not be perceived by consumers.", "author" : [ { "dropping-particle" : "", "family" : "Cosmina", "given" : "Marta", "non-dropping-particle" : "", "parse-names" : false, "suffix" : "" }, { "dropping-particle" : "", "family" : "Gallenti", "given" : "Gianluigi", "non-dropping-particle" : "", "parse-names" : false, "suffix" : "" }, { "dropping-particle" : "", "family" : "Marangon", "given" : "Francesco", "non-dropping-particle" : "", "parse-names" : false, "suffix" : "" }, { "dropping-particle" : "", "family" : "Troiano", "given" : "Stefania", "non-dropping-particle" : "", "parse-names" : false, "suffix" : "" } ], "container-title" : "Appetite", "id" : "ITEM-1", "issued" : { "date-parts" : [ [ "2016" ] ] }, "page" : "52-58", "publisher" : "Elsevier Ltd", "title" : "Attitudes towards honey among Italian consumers: A choice experiment approach", "type" : "article-journal", "volume" : "99" }, "uris" : [ "http://www.mendeley.com/documents/?uuid=79ba1828-a57a-44ff-8b51-936347fa47a3" ] } ], "mendeley" : { "formattedCitation" : "(Cosmina et al., 2016)", "manualFormatting" : "(2016)", "plainTextFormattedCitation" : "(Cosmina et al., 2016)", "previouslyFormattedCitation" : "(Cosmina et al., 2016)" }, "properties" : { "noteIndex" : 0 }, "schema" : "https://github.com/citation-style-language/schema/raw/master/csl-citation.json" }</w:instrText>
      </w:r>
      <w:r w:rsidR="002A410C" w:rsidRPr="00B0148D">
        <w:fldChar w:fldCharType="separate"/>
      </w:r>
      <w:r w:rsidR="002A410C" w:rsidRPr="00B0148D">
        <w:rPr>
          <w:noProof/>
        </w:rPr>
        <w:t>(2016)</w:t>
      </w:r>
      <w:r w:rsidR="002A410C" w:rsidRPr="00B0148D">
        <w:fldChar w:fldCharType="end"/>
      </w:r>
      <w:r w:rsidR="002A410C" w:rsidRPr="00B0148D">
        <w:t xml:space="preserve"> suggested </w:t>
      </w:r>
      <w:r w:rsidR="004A7F3C" w:rsidRPr="00B0148D">
        <w:t xml:space="preserve">a </w:t>
      </w:r>
      <w:r w:rsidR="002A410C" w:rsidRPr="00B0148D">
        <w:t xml:space="preserve">similar mechanism in </w:t>
      </w:r>
      <w:r w:rsidR="004A7F3C" w:rsidRPr="00B0148D">
        <w:t xml:space="preserve">the </w:t>
      </w:r>
      <w:r w:rsidR="002A410C" w:rsidRPr="00B0148D">
        <w:t xml:space="preserve">case of honey. </w:t>
      </w:r>
      <w:r w:rsidR="00791FC3" w:rsidRPr="00B0148D">
        <w:t xml:space="preserve">Ethnocentrism is a term used to describe </w:t>
      </w:r>
      <w:r w:rsidR="004A7F3C" w:rsidRPr="00B0148D">
        <w:t xml:space="preserve">an </w:t>
      </w:r>
      <w:r w:rsidR="004E184D" w:rsidRPr="00B0148D">
        <w:t>individual’s</w:t>
      </w:r>
      <w:r w:rsidR="00791FC3" w:rsidRPr="00B0148D">
        <w:t xml:space="preserve"> tendency to </w:t>
      </w:r>
      <w:r w:rsidR="0081291B" w:rsidRPr="00B0148D">
        <w:t xml:space="preserve">make biased judgments favoring their </w:t>
      </w:r>
      <w:r w:rsidR="004E184D" w:rsidRPr="00B0148D">
        <w:t xml:space="preserve">own culture </w:t>
      </w:r>
      <w:r w:rsidR="0081291B" w:rsidRPr="00B0148D">
        <w:t xml:space="preserve">due to alleged </w:t>
      </w:r>
      <w:r w:rsidR="004E184D" w:rsidRPr="00B0148D">
        <w:t>superior</w:t>
      </w:r>
      <w:r w:rsidR="0081291B" w:rsidRPr="00B0148D">
        <w:t>ity when</w:t>
      </w:r>
      <w:r w:rsidR="004A7F3C" w:rsidRPr="00B0148D">
        <w:t xml:space="preserve"> compared</w:t>
      </w:r>
      <w:r w:rsidR="004E184D" w:rsidRPr="00B0148D">
        <w:t xml:space="preserve"> to </w:t>
      </w:r>
      <w:r w:rsidR="0081291B" w:rsidRPr="00B0148D">
        <w:t>other cultures</w:t>
      </w:r>
      <w:r w:rsidR="005E1DDA" w:rsidRPr="00B0148D">
        <w:t xml:space="preserve"> </w:t>
      </w:r>
      <w:r w:rsidR="005E1DDA" w:rsidRPr="00B0148D">
        <w:fldChar w:fldCharType="begin" w:fldLock="1"/>
      </w:r>
      <w:r w:rsidR="00CB36F9" w:rsidRPr="00B0148D">
        <w:instrText>ADDIN CSL_CITATION { "citationItems" : [ { "id" : "ITEM-1", "itemData" : { "DOI" : "10.1016/B978-0-08-097086-8.12063-X", "ISBN" : "9780080970868", "author" : [ { "dropping-particle" : "", "family" : "LeVine", "given" : "R A", "non-dropping-particle" : "", "parse-names" : false, "suffix" : "" } ], "container-title" : "International Encyclopedia of the Social &amp; Behavioral Sciences", "edition" : "2nd", "editor" : [ { "dropping-particle" : "", "family" : "Wright", "given" : "James D", "non-dropping-particle" : "", "parse-names" : false, "suffix" : "" } ], "id" : "ITEM-1", "issued" : { "date-parts" : [ [ "2015" ] ] }, "page" : "166-167", "publisher" : "Elsevier", "publisher-place" : "Amsterdam", "title" : "Ethnocentrism", "type" : "chapter", "volume" : "8" }, "uris" : [ "http://www.mendeley.com/documents/?uuid=e7d34f64-694b-491d-9f0f-d961be0bc888" ] } ], "mendeley" : { "formattedCitation" : "(LeVine, 2015)", "plainTextFormattedCitation" : "(LeVine, 2015)", "previouslyFormattedCitation" : "(LeVine, 2015)" }, "properties" : { "noteIndex" : 0 }, "schema" : "https://github.com/citation-style-language/schema/raw/master/csl-citation.json" }</w:instrText>
      </w:r>
      <w:r w:rsidR="005E1DDA" w:rsidRPr="00B0148D">
        <w:fldChar w:fldCharType="separate"/>
      </w:r>
      <w:r w:rsidR="005E1DDA" w:rsidRPr="00B0148D">
        <w:rPr>
          <w:noProof/>
        </w:rPr>
        <w:t>(LeVine, 2015)</w:t>
      </w:r>
      <w:r w:rsidR="005E1DDA" w:rsidRPr="00B0148D">
        <w:fldChar w:fldCharType="end"/>
      </w:r>
      <w:r w:rsidR="0081291B" w:rsidRPr="00B0148D">
        <w:t xml:space="preserve">. </w:t>
      </w:r>
      <w:r w:rsidR="004A7F3C" w:rsidRPr="00B0148D">
        <w:t xml:space="preserve">Ethnocentrism may be one factor contributing to the favoring of products from an individual’s home country or region </w:t>
      </w:r>
      <w:r w:rsidR="00485EC1" w:rsidRPr="00B0148D">
        <w:fldChar w:fldCharType="begin" w:fldLock="1"/>
      </w:r>
      <w:r w:rsidR="00F50110" w:rsidRPr="00B0148D">
        <w:instrText>ADDIN CSL_CITATION { "citationItems" : [ { "id" : "ITEM-1", "itemData" : { "DOI" : "10.1002/agr.10051", "ISSN" : "0742-4477", "abstract" : "Despite the abundance of literature on country-of-origin (COO) effects there is a need for additional empirical research into antecedents of the COO effect. This study examines to what extent consumer ethnocentrism (as measured by the CETSCALE) can singularly, as well as in concert with other variables, predict consumers' evaluation of a domestic versus foreign food product. A conjoint experiment was utilized in an exploratory analysis to ascertain the value consumers in Czech Republic place on yogurt being from their own or other countries. The resulting utilities were related to a consumer's level of ethnocentrism. The findings suggest that consumer ethnocentrism is a strong and significant predictor of consumer product evaluations. Adding the ethnocentrism variable to a set of demographic and psychographic variables significantly improves the predictive ability of the set. Potential applications at the practitioners' level include the identification of market segments that react more favorably to domestic produce. [EconLit citations: M310, Q130, C120.] \u00a9 2003 Wiley Periodicals, Inc. Agribusiness 19: 137\u2013153, 2003.", "author" : [ { "dropping-particle" : "", "family" : "Orth", "given" : "Ulrich R.", "non-dropping-particle" : "", "parse-names" : false, "suffix" : "" }, { "dropping-particle" : "", "family" : "Firbasov\u00e1", "given" : "Zuzana", "non-dropping-particle" : "", "parse-names" : false, "suffix" : "" } ], "container-title" : "Agribusiness", "id" : "ITEM-1", "issue" : "2", "issued" : { "date-parts" : [ [ "2003" ] ] }, "page" : "137-153", "title" : "The Role of Consumer Ethnocentrism in Food Product Evaluation", "type" : "article-journal", "volume" : "19" }, "uris" : [ "http://www.mendeley.com/documents/?uuid=a10f9bc9-0557-4aed-876f-c95dc9ba605e" ] } ], "mendeley" : { "formattedCitation" : "(Orth &amp; Firbasov\u00e1, 2003)", "manualFormatting" : "(Orth &amp; Firbasov\u00e1, 2003", "plainTextFormattedCitation" : "(Orth &amp; Firbasov\u00e1, 2003)", "previouslyFormattedCitation" : "(Orth &amp; Firbasov\u00e1, 2003)" }, "properties" : { "noteIndex" : 0 }, "schema" : "https://github.com/citation-style-language/schema/raw/master/csl-citation.json" }</w:instrText>
      </w:r>
      <w:r w:rsidR="00485EC1" w:rsidRPr="00B0148D">
        <w:fldChar w:fldCharType="separate"/>
      </w:r>
      <w:r w:rsidR="00485EC1" w:rsidRPr="00B0148D">
        <w:rPr>
          <w:noProof/>
        </w:rPr>
        <w:t>(Orth &amp; Firbasová, 2003</w:t>
      </w:r>
      <w:r w:rsidR="00485EC1" w:rsidRPr="00B0148D">
        <w:fldChar w:fldCharType="end"/>
      </w:r>
      <w:r w:rsidR="00485EC1" w:rsidRPr="00B0148D">
        <w:fldChar w:fldCharType="begin" w:fldLock="1"/>
      </w:r>
      <w:r w:rsidR="00F50110" w:rsidRPr="00B0148D">
        <w:instrText>ADDIN CSL_CITATION { "citationItems" : [ { "id" : "ITEM-1", "itemData" : { "DOI" : "10.1016/j.foodqual.2013.06.011", "ISBN" : "0950-3293", "ISSN" : "09503293", "abstract" : "This study presents the construct of consumer regional ethnocentrism, which relates to consumer opinions over whether or not it is acceptable and ethical to purchase products from other regions. Although the majority of previous studies consider the analysis of consumer ethnocentrism as an international marketing subject affecting the purchase of domestic and foreign products, we consider it necessary to discuss this influential factor in an inter-regional context. Based on the social identity theory, we put forward an antecedents and consequences of regional ethnocentrism model and we also analyze the effect of three moderating variables on some of the relationships contained in the model. Ourresults, obtained from a representative sample of 138 consumers from Galicia (Spain), support the aforementioned model and show that consumer ethnocentrism is an important factor regarding the intention to purchase not only foreign products but also non-regional products. Other studies should verify the reliability of the Consumer Ethnocentric Tendencies Scale (CETSCALE) in other regional contexts. Companies operating within different regional contexts need to be made aware that consumers with greater ethnocentric tendencies will be more likely to buy their products if they know that they have been produced in their own region or by a regional company. This exploratory paper contributes to existing literature as it is the first of its kind to analyze the construct of consumer ethnocentrism at a regional level, using a representative population sample. \u00a9 2013 Elsevier Ltd.", "author" : [ { "dropping-particle" : "", "family" : "Fern\u00e1ndez-Ferr\u00edn", "given" : "Pilar", "non-dropping-particle" : "", "parse-names" : false, "suffix" : "" }, { "dropping-particle" : "", "family" : "Bande-Vilela", "given" : "Bel\u00e9n", "non-dropping-particle" : "", "parse-names" : false, "suffix" : "" } ], "container-title" : "Food Quality and Preference", "id" : "ITEM-1", "issue" : "2", "issued" : { "date-parts" : [ [ "2013" ] ] }, "page" : "299-308", "title" : "Regional ethnocentrism: Antecedents, consequences, and moderating effects", "type" : "article-journal", "volume" : "30" }, "uris" : [ "http://www.mendeley.com/documents/?uuid=ee79e456-e8fd-4c0f-91ab-c38a45226560" ] } ], "mendeley" : { "formattedCitation" : "(Fern\u00e1ndez-Ferr\u00edn &amp; Bande-Vilela, 2013)", "manualFormatting" : "; Fern\u00e1ndez-Ferr\u00edn &amp; Bande-Vilela, 2013)", "plainTextFormattedCitation" : "(Fern\u00e1ndez-Ferr\u00edn &amp; Bande-Vilela, 2013)", "previouslyFormattedCitation" : "(Fern\u00e1ndez-Ferr\u00edn &amp; Bande-Vilela, 2013)" }, "properties" : { "noteIndex" : 0 }, "schema" : "https://github.com/citation-style-language/schema/raw/master/csl-citation.json" }</w:instrText>
      </w:r>
      <w:r w:rsidR="00485EC1" w:rsidRPr="00B0148D">
        <w:fldChar w:fldCharType="separate"/>
      </w:r>
      <w:r w:rsidR="00F50110" w:rsidRPr="00B0148D">
        <w:rPr>
          <w:noProof/>
        </w:rPr>
        <w:t xml:space="preserve">; </w:t>
      </w:r>
      <w:r w:rsidR="00485EC1" w:rsidRPr="00B0148D">
        <w:rPr>
          <w:noProof/>
        </w:rPr>
        <w:t>Fernández-Ferrín &amp; Bande-Vilela, 2013)</w:t>
      </w:r>
      <w:r w:rsidR="00485EC1" w:rsidRPr="00B0148D">
        <w:fldChar w:fldCharType="end"/>
      </w:r>
      <w:r w:rsidR="004E184D" w:rsidRPr="00B0148D">
        <w:t>.</w:t>
      </w:r>
      <w:r w:rsidR="00CB36F9" w:rsidRPr="00B0148D">
        <w:t xml:space="preserve"> </w:t>
      </w:r>
      <w:r w:rsidR="00B3319D" w:rsidRPr="00B0148D">
        <w:rPr>
          <w:rFonts w:ascii="Calibri" w:hAnsi="Calibri" w:cs="Times New Roman"/>
          <w:noProof/>
          <w:szCs w:val="24"/>
        </w:rPr>
        <w:t xml:space="preserve">Balabanis, Mueller, </w:t>
      </w:r>
      <w:r w:rsidR="00385A05" w:rsidRPr="00B0148D">
        <w:rPr>
          <w:rFonts w:ascii="Calibri" w:hAnsi="Calibri" w:cs="Times New Roman"/>
          <w:noProof/>
          <w:szCs w:val="24"/>
        </w:rPr>
        <w:t>&amp;</w:t>
      </w:r>
      <w:r w:rsidR="00B3319D" w:rsidRPr="00B0148D">
        <w:rPr>
          <w:rFonts w:ascii="Calibri" w:hAnsi="Calibri" w:cs="Times New Roman"/>
          <w:noProof/>
          <w:szCs w:val="24"/>
        </w:rPr>
        <w:t xml:space="preserve"> Melewar</w:t>
      </w:r>
      <w:r w:rsidR="00F50110" w:rsidRPr="00B0148D">
        <w:t xml:space="preserve"> </w:t>
      </w:r>
      <w:r w:rsidR="00F50110" w:rsidRPr="00B0148D">
        <w:fldChar w:fldCharType="begin" w:fldLock="1"/>
      </w:r>
      <w:r w:rsidR="00F50110" w:rsidRPr="00B0148D">
        <w:instrText>ADDIN CSL_CITATION { "citationItems" : [ { "id" : "ITEM-1", "itemData" : { "DOI" : "10.1300/J042v15n03", "author" : [ { "dropping-particle" : "", "family" : "Balabanis", "given" : "George", "non-dropping-particle" : "", "parse-names" : false, "suffix" : "" }, { "dropping-particle" : "", "family" : "Mueller", "given" : "Rene", "non-dropping-particle" : "", "parse-names" : false, "suffix" : "" }, { "dropping-particle" : "", "family" : "Melewar", "given" : "T C", "non-dropping-particle" : "", "parse-names" : false, "suffix" : "" } ], "container-title" : "Journal of Global Marketing", "id" : "ITEM-1", "issue" : "3-4", "issued" : { "date-parts" : [ [ "2002" ] ] }, "page" : "117-147", "title" : "The Relationship Between Consumer Ethnocentrism and Human Values", "type" : "article-journal", "volume" : "15" }, "uris" : [ "http://www.mendeley.com/documents/?uuid=86d6571e-8584-4ccc-8bff-3d48b0c35098" ] } ], "mendeley" : { "formattedCitation" : "(Balabanis, Mueller, &amp; Melewar, 2002)", "manualFormatting" : "(2002)", "plainTextFormattedCitation" : "(Balabanis, Mueller, &amp; Melewar, 2002)", "previouslyFormattedCitation" : "(Balabanis, Mueller, &amp; Melewar, 2002)" }, "properties" : { "noteIndex" : 0 }, "schema" : "https://github.com/citation-style-language/schema/raw/master/csl-citation.json" }</w:instrText>
      </w:r>
      <w:r w:rsidR="00F50110" w:rsidRPr="00B0148D">
        <w:fldChar w:fldCharType="separate"/>
      </w:r>
      <w:r w:rsidR="00F50110" w:rsidRPr="00B0148D">
        <w:rPr>
          <w:noProof/>
        </w:rPr>
        <w:t>(2002)</w:t>
      </w:r>
      <w:r w:rsidR="00F50110" w:rsidRPr="00B0148D">
        <w:fldChar w:fldCharType="end"/>
      </w:r>
      <w:r w:rsidR="00F50110" w:rsidRPr="00B0148D">
        <w:t xml:space="preserve"> found that Conservation valu</w:t>
      </w:r>
      <w:r w:rsidR="00342AFB" w:rsidRPr="00B0148D">
        <w:t xml:space="preserve">es are positively linked to </w:t>
      </w:r>
      <w:r w:rsidR="00F50110" w:rsidRPr="00B0148D">
        <w:t xml:space="preserve">consumer ethnocentrism, but the effect of Self-Transcendence was less evident. Waehning </w:t>
      </w:r>
      <w:r w:rsidR="00204679" w:rsidRPr="00B0148D">
        <w:fldChar w:fldCharType="begin" w:fldLock="1"/>
      </w:r>
      <w:r w:rsidR="00204679" w:rsidRPr="00B0148D">
        <w:instrText>ADDIN CSL_CITATION { "citationItems" : [ { "id" : "ITEM-1", "itemData" : { "author" : [ { "dropping-particle" : "", "family" : "Waehning", "given" : "Nadine", "non-dropping-particle" : "", "parse-names" : false, "suffix" : "" } ], "id" : "ITEM-1", "issued" : { "date-parts" : [ [ "2015" ] ] }, "publisher" : "University of Hull", "title" : "Consumer motives to purchase regional products: the relationship with regional cultural differences and demographic variables", "type" : "thesis" }, "uris" : [ "http://www.mendeley.com/documents/?uuid=78589aae-427d-4176-bc06-5a49c95d79cb" ] } ], "mendeley" : { "formattedCitation" : "(Waehning, 2015)", "manualFormatting" : "(2015)", "plainTextFormattedCitation" : "(Waehning, 2015)", "previouslyFormattedCitation" : "(Waehning, 2015)" }, "properties" : { "noteIndex" : 0 }, "schema" : "https://github.com/citation-style-language/schema/raw/master/csl-citation.json" }</w:instrText>
      </w:r>
      <w:r w:rsidR="00204679" w:rsidRPr="00B0148D">
        <w:fldChar w:fldCharType="separate"/>
      </w:r>
      <w:r w:rsidR="00204679" w:rsidRPr="00B0148D">
        <w:rPr>
          <w:noProof/>
        </w:rPr>
        <w:t>(2015)</w:t>
      </w:r>
      <w:r w:rsidR="00204679" w:rsidRPr="00B0148D">
        <w:fldChar w:fldCharType="end"/>
      </w:r>
      <w:r w:rsidR="00204679" w:rsidRPr="00B0148D">
        <w:t xml:space="preserve"> showed in her dissertation</w:t>
      </w:r>
      <w:r w:rsidR="00F50110" w:rsidRPr="00B0148D">
        <w:t xml:space="preserve"> that ethnocentrism did not cover all the consumer’s motives to buy regional products, but </w:t>
      </w:r>
      <w:r w:rsidR="00342AFB" w:rsidRPr="00B0148D">
        <w:t xml:space="preserve">that </w:t>
      </w:r>
      <w:r w:rsidR="00F50110" w:rsidRPr="00B0148D">
        <w:t xml:space="preserve">values, especially Self-Transcendence, had more predictive power. </w:t>
      </w:r>
      <w:r w:rsidR="00CB36F9" w:rsidRPr="00B0148D">
        <w:t>A study by Fernández-Ferrín</w:t>
      </w:r>
      <w:r w:rsidR="00CC287F" w:rsidRPr="00B0148D">
        <w:t xml:space="preserve">, </w:t>
      </w:r>
      <w:r w:rsidR="00CC287F" w:rsidRPr="00B0148D">
        <w:rPr>
          <w:rFonts w:ascii="Calibri" w:hAnsi="Calibri" w:cs="Times New Roman"/>
          <w:noProof/>
          <w:szCs w:val="24"/>
        </w:rPr>
        <w:t>Calvo-Turrientes, Bande, Artaraz-Miñón</w:t>
      </w:r>
      <w:r w:rsidR="00385A05" w:rsidRPr="00B0148D">
        <w:rPr>
          <w:rFonts w:ascii="Calibri" w:hAnsi="Calibri" w:cs="Times New Roman"/>
          <w:noProof/>
          <w:szCs w:val="24"/>
        </w:rPr>
        <w:t>, &amp;</w:t>
      </w:r>
      <w:r w:rsidR="00CB36F9" w:rsidRPr="00B0148D">
        <w:t xml:space="preserve"> </w:t>
      </w:r>
      <w:r w:rsidR="00CC287F" w:rsidRPr="00B0148D">
        <w:rPr>
          <w:rFonts w:ascii="Calibri" w:hAnsi="Calibri" w:cs="Times New Roman"/>
          <w:noProof/>
          <w:szCs w:val="24"/>
        </w:rPr>
        <w:t>Galán-Ladero</w:t>
      </w:r>
      <w:r w:rsidR="00CC287F" w:rsidRPr="00B0148D">
        <w:t xml:space="preserve"> </w:t>
      </w:r>
      <w:r w:rsidR="00CB36F9" w:rsidRPr="00B0148D">
        <w:fldChar w:fldCharType="begin" w:fldLock="1"/>
      </w:r>
      <w:r w:rsidR="00485EC1" w:rsidRPr="00B0148D">
        <w:instrText>ADDIN CSL_CITATION { "citationItems" : [ { "id" : "ITEM-1", "itemData" : { "DOI" : "10.1016/j.foodqual.2017.09.015", "ISSN" : "09503293", "author" : [ { "dropping-particle" : "", "family" : "Fern\u00e1ndez-Ferr\u00edn", "given" : "Pilar", "non-dropping-particle" : "", "parse-names" : false, "suffix" : "" }, { "dropping-particle" : "", "family" : "Calvo-Turrientes", "given" : "Aitor", "non-dropping-particle" : "", "parse-names" : false, "suffix" : "" }, { "dropping-particle" : "", "family" : "Bande", "given" : "Bel\u00e9n", "non-dropping-particle" : "", "parse-names" : false, "suffix" : "" }, { "dropping-particle" : "", "family" : "Artaraz-Mi\u00f1\u00f3n", "given" : "Miren", "non-dropping-particle" : "", "parse-names" : false, "suffix" : "" }, { "dropping-particle" : "", "family" : "Gal\u00e1n-Ladero", "given" : "M Mercedes", "non-dropping-particle" : "", "parse-names" : false, "suffix" : "" } ], "container-title" : "Food Quality and Preference", "id" : "ITEM-1", "issue" : "February", "issued" : { "date-parts" : [ [ "2017" ] ] }, "page" : "0-1", "publisher" : "Elsevier", "title" : "The valuation and purchase of food products that combine local, regional and traditional features: The influence of consumer ethnocentrism", "type" : "article-journal" }, "uris" : [ "http://www.mendeley.com/documents/?uuid=821d6764-ea11-4351-92a4-07533151f1a3" ] } ], "mendeley" : { "formattedCitation" : "(Fern\u00e1ndez-Ferr\u00edn, Calvo-Turrientes, Bande, Artaraz-Mi\u00f1\u00f3n, &amp; Gal\u00e1n-Ladero, 2017)", "manualFormatting" : "(2017)", "plainTextFormattedCitation" : "(Fern\u00e1ndez-Ferr\u00edn, Calvo-Turrientes, Bande, Artaraz-Mi\u00f1\u00f3n, &amp; Gal\u00e1n-Ladero, 2017)", "previouslyFormattedCitation" : "(Fern\u00e1ndez-Ferr\u00edn, Calvo-Turrientes, Bande, Artaraz-Mi\u00f1\u00f3n, &amp; Gal\u00e1n-Ladero, 2017)" }, "properties" : { "noteIndex" : 0 }, "schema" : "https://github.com/citation-style-language/schema/raw/master/csl-citation.json" }</w:instrText>
      </w:r>
      <w:r w:rsidR="00CB36F9" w:rsidRPr="00B0148D">
        <w:fldChar w:fldCharType="separate"/>
      </w:r>
      <w:r w:rsidR="00CB36F9" w:rsidRPr="00B0148D">
        <w:rPr>
          <w:noProof/>
        </w:rPr>
        <w:t>(2017)</w:t>
      </w:r>
      <w:r w:rsidR="00CB36F9" w:rsidRPr="00B0148D">
        <w:fldChar w:fldCharType="end"/>
      </w:r>
      <w:r w:rsidR="00CB36F9" w:rsidRPr="00B0148D">
        <w:t xml:space="preserve"> </w:t>
      </w:r>
      <w:r w:rsidR="00342AFB" w:rsidRPr="00B0148D">
        <w:t>showed that ethnocentrism contributes to the valuation of local, regional, and traditional products, but similar to the current study, the effect was product dependent. Ethnocentrism is linked to personal values as the concepts, to some extent, overlap, and is therefore likely to contribute to the evaluated properties. The use of the Schwartz’s model combined with an ethnocentrism scale might have provided more explanatory power.</w:t>
      </w:r>
    </w:p>
    <w:p w14:paraId="77F8F6AD" w14:textId="6A4F6514" w:rsidR="002A410C" w:rsidRPr="00B0148D" w:rsidRDefault="002A410C" w:rsidP="002A410C">
      <w:pPr>
        <w:jc w:val="both"/>
      </w:pPr>
      <w:r w:rsidRPr="00B0148D">
        <w:t xml:space="preserve">The findings regarding Conservation orientation were less consistent. However, there was some evidence that Conservation was associated with a positive evaluation of products with </w:t>
      </w:r>
      <w:r w:rsidR="00D00BA9" w:rsidRPr="00B0148D">
        <w:t xml:space="preserve">a </w:t>
      </w:r>
      <w:r w:rsidRPr="00B0148D">
        <w:t>domestic origin. Conservation was positively associated with</w:t>
      </w:r>
      <w:r w:rsidR="00D00BA9" w:rsidRPr="00B0148D">
        <w:t xml:space="preserve"> the</w:t>
      </w:r>
      <w:r w:rsidRPr="00B0148D">
        <w:t xml:space="preserve"> perceived pleasantness of </w:t>
      </w:r>
      <w:r w:rsidR="00D00BA9" w:rsidRPr="00B0148D">
        <w:t xml:space="preserve">the </w:t>
      </w:r>
      <w:r w:rsidRPr="00B0148D">
        <w:t xml:space="preserve">meat product and probability-to-choose in the domestic condition; in the context of vegetables, the otherwise negative correlations between Conservation and food product attributes disappeared in the context of </w:t>
      </w:r>
      <w:r w:rsidR="00D00BA9" w:rsidRPr="00B0148D">
        <w:t xml:space="preserve">a </w:t>
      </w:r>
      <w:r w:rsidRPr="00B0148D">
        <w:t xml:space="preserve">domestic origin. Schnettler et al. </w:t>
      </w:r>
      <w:r w:rsidRPr="00B0148D">
        <w:fldChar w:fldCharType="begin" w:fldLock="1"/>
      </w:r>
      <w:r w:rsidRPr="00B0148D">
        <w:instrText>ADDIN CSL_CITATION { "citationItems" : [ { "id" : "ITEM-1", "itemData" : { "DOI" : "10.1016/j.foodqual.2007.11.005", "ISBN" : "0950-3293", "ISSN" : "09503293", "abstract" : "There has been a clear increase in imports of agricultural products into Chile in the last few years. A survey was made of 800 consumers in the cities of Temuco and Talca in the south of Chile to determine the importance of food origin in the purchase decision. It was concluded that the majority of those surveyed consume imported foods due to their lower price or good price/quality ratio. Using a conjoint analysis, it was demonstrated that the origin was more important than either the price or the packaging in the decision to purchase beef. For rice, however, the importance of these three cues was ranked similarly. In general, consumers preferred domestic alternatives, although there was a high rejection rate in the case of meat imported from Brazil in particular. ?? 2007 Elsevier Ltd. All rights reserved.", "author" : [ { "dropping-particle" : "", "family" : "Schnettler", "given" : "Berta", "non-dropping-particle" : "", "parse-names" : false, "suffix" : "" }, { "dropping-particle" : "", "family" : "Ruiz", "given" : "Danilo", "non-dropping-particle" : "", "parse-names" : false, "suffix" : "" }, { "dropping-particle" : "", "family" : "Sep\u00falveda", "given" : "Oriana", "non-dropping-particle" : "", "parse-names" : false, "suffix" : "" }, { "dropping-particle" : "", "family" : "Sep\u00falveda", "given" : "N\u00e9stor", "non-dropping-particle" : "", "parse-names" : false, "suffix" : "" } ], "container-title" : "Food Quality and Preference", "id" : "ITEM-1", "issue" : "4", "issued" : { "date-parts" : [ [ "2008" ] ] }, "page" : "372-382", "title" : "Importance of the country of origin in food consumption in a developing country", "type" : "article-journal", "volume" : "19" }, "uris" : [ "http://www.mendeley.com/documents/?uuid=fa05cec6-a762-4264-ba05-deb1daceb1cd" ] } ], "mendeley" : { "formattedCitation" : "(Schnettler et al., 2008)", "manualFormatting" : "(2008)", "plainTextFormattedCitation" : "(Schnettler et al., 2008)", "previouslyFormattedCitation" : "(Schnettler et al., 2008)" }, "properties" : { "noteIndex" : 0 }, "schema" : "https://github.com/citation-style-language/schema/raw/master/csl-citation.json" }</w:instrText>
      </w:r>
      <w:r w:rsidRPr="00B0148D">
        <w:fldChar w:fldCharType="separate"/>
      </w:r>
      <w:r w:rsidRPr="00B0148D">
        <w:rPr>
          <w:noProof/>
        </w:rPr>
        <w:t>(2008)</w:t>
      </w:r>
      <w:r w:rsidRPr="00B0148D">
        <w:fldChar w:fldCharType="end"/>
      </w:r>
      <w:r w:rsidRPr="00B0148D">
        <w:t xml:space="preserve"> showed similar results on the product specific effect of food origin for beef. </w:t>
      </w:r>
      <w:r w:rsidR="00D00BA9" w:rsidRPr="00B0148D">
        <w:t>In general, c</w:t>
      </w:r>
      <w:r w:rsidRPr="00B0148D">
        <w:t xml:space="preserve">onservative values may be attached to an increased consumption of meat and decreased vegetarianism </w:t>
      </w:r>
      <w:r w:rsidRPr="00B0148D">
        <w:fldChar w:fldCharType="begin" w:fldLock="1"/>
      </w:r>
      <w:r w:rsidRPr="00B0148D">
        <w:instrText>ADDIN CSL_CITATION { "citationItems" : [ { "id" : "ITEM-1", "itemData" : { "DOI" : "10.1006/appe.2001.0437", "author" : [ { "dropping-particle" : "", "family" : "Lindeman", "given" : "Marjaana", "non-dropping-particle" : "", "parse-names" : false, "suffix" : "" }, { "dropping-particle" : "", "family" : "Sirelius", "given" : "Minna", "non-dropping-particle" : "", "parse-names" : false, "suffix" : "" } ], "container-title" : "Appetite", "id" : "ITEM-1", "issued" : { "date-parts" : [ [ "2001" ] ] }, "page" : "175-184", "title" : "Food choice ideologies : the modern manifestations of normative and humanist views of the world", "type" : "article-journal", "volume" : "37" }, "uris" : [ "http://www.mendeley.com/documents/?uuid=6e780848-ab5d-4d45-81fe-904834d39adf" ] } ], "mendeley" : { "formattedCitation" : "(Lindeman &amp; Sirelius, 2001)", "manualFormatting" : "(Lindeman &amp; Sirelius 2001", "plainTextFormattedCitation" : "(Lindeman &amp; Sirelius, 2001)", "previouslyFormattedCitation" : "(Lindeman &amp; Sirelius, 2001)" }, "properties" : { "noteIndex" : 0 }, "schema" : "https://github.com/citation-style-language/schema/raw/master/csl-citation.json" }</w:instrText>
      </w:r>
      <w:r w:rsidRPr="00B0148D">
        <w:fldChar w:fldCharType="separate"/>
      </w:r>
      <w:r w:rsidRPr="00B0148D">
        <w:rPr>
          <w:noProof/>
        </w:rPr>
        <w:t>(Lindeman &amp; Sirelius 2001</w:t>
      </w:r>
      <w:r w:rsidRPr="00B0148D">
        <w:fldChar w:fldCharType="end"/>
      </w:r>
      <w:r w:rsidRPr="00B0148D">
        <w:t xml:space="preserve">; </w:t>
      </w:r>
      <w:r w:rsidRPr="00B0148D">
        <w:fldChar w:fldCharType="begin" w:fldLock="1"/>
      </w:r>
      <w:r w:rsidRPr="00B0148D">
        <w:instrText>ADDIN CSL_CITATION { "citationItems" : [ { "id" : "ITEM-1", "itemData" : { "author" : [ { "dropping-particle" : "", "family" : "Allen", "given" : "Michael W", "non-dropping-particle" : "", "parse-names" : false, "suffix" : "" }, { "dropping-particle" : "", "family" : "Ng", "given" : "SIK Hung", "non-dropping-particle" : "", "parse-names" : false, "suffix" : "" } ], "container-title" : "European Journal of Social Psychology", "id" : "ITEM-1", "issued" : { "date-parts" : [ [ "2003" ] ] }, "page" : "37-56", "title" : "Human values , utilitarian benefits and identification: The case of meat", "type" : "article-journal", "volume" : "33" }, "uris" : [ "http://www.mendeley.com/documents/?uuid=4c52295b-683f-4dfe-bf9a-921534df4750" ] } ], "mendeley" : { "formattedCitation" : "(Allen &amp; Ng, 2003)", "manualFormatting" : "Allen &amp; Ng 2003)", "plainTextFormattedCitation" : "(Allen &amp; Ng, 2003)", "previouslyFormattedCitation" : "(Allen &amp; Ng, 2003)" }, "properties" : { "noteIndex" : 0 }, "schema" : "https://github.com/citation-style-language/schema/raw/master/csl-citation.json" }</w:instrText>
      </w:r>
      <w:r w:rsidRPr="00B0148D">
        <w:fldChar w:fldCharType="separate"/>
      </w:r>
      <w:r w:rsidRPr="00B0148D">
        <w:rPr>
          <w:noProof/>
        </w:rPr>
        <w:t>Allen &amp; Ng 2003)</w:t>
      </w:r>
      <w:r w:rsidRPr="00B0148D">
        <w:fldChar w:fldCharType="end"/>
      </w:r>
      <w:r w:rsidRPr="00B0148D">
        <w:t>. Traditional values seem to decrease the probability of</w:t>
      </w:r>
      <w:r w:rsidR="00D00BA9" w:rsidRPr="00B0148D">
        <w:t xml:space="preserve"> an</w:t>
      </w:r>
      <w:r w:rsidRPr="00B0148D">
        <w:t xml:space="preserve"> individual being vegetarian </w:t>
      </w:r>
      <w:r w:rsidRPr="00B0148D">
        <w:fldChar w:fldCharType="begin" w:fldLock="1"/>
      </w:r>
      <w:r w:rsidRPr="00B0148D">
        <w:instrText>ADDIN CSL_CITATION { "citationItems" : [ { "id" : "ITEM-1", "itemData" : { "author" : [ { "dropping-particle" : "", "family" : "Dietz", "given" : "Thomas", "non-dropping-particle" : "", "parse-names" : false, "suffix" : "" }, { "dropping-particle" : "", "family" : "Frisch", "given" : "Ann Stirling", "non-dropping-particle" : "", "parse-names" : false, "suffix" : "" }, { "dropping-particle" : "", "family" : "Kalof", "given" : "Linda", "non-dropping-particle" : "", "parse-names" : false, "suffix" : "" }, { "dropping-particle" : "", "family" : "Stern", "given" : "Paul C.", "non-dropping-particle" : "", "parse-names" : false, "suffix" : "" }, { "dropping-particle" : "", "family" : "Guagnano", "given" : "Gregory A.", "non-dropping-particle" : "", "parse-names" : false, "suffix" : "" } ], "container-title" : "Rural Sociology", "id" : "ITEM-1", "issue" : "3", "issued" : { "date-parts" : [ [ "1995" ] ] }, "page" : "533-542", "title" : "Values and Vegetarianism: An Exploratory Analysis", "type" : "article-journal", "volume" : "60" }, "uris" : [ "http://www.mendeley.com/documents/?uuid=df973576-34dd-4039-a0a1-67a80e12095c" ] } ], "mendeley" : { "formattedCitation" : "(Dietz, Frisch, Kalof, Stern, &amp; Guagnano, 1995)", "manualFormatting" : "(Dietz, Frisch, Kalof, Stern, &amp; Guagnano, 1995)", "plainTextFormattedCitation" : "(Dietz, Frisch, Kalof, Stern, &amp; Guagnano, 1995)", "previouslyFormattedCitation" : "(Dietz, Frisch, Kalof, Stern, &amp; Guagnano, 1995)" }, "properties" : { "noteIndex" : 0 }, "schema" : "https://github.com/citation-style-language/schema/raw/master/csl-citation.json" }</w:instrText>
      </w:r>
      <w:r w:rsidRPr="00B0148D">
        <w:fldChar w:fldCharType="separate"/>
      </w:r>
      <w:r w:rsidRPr="00B0148D">
        <w:rPr>
          <w:noProof/>
        </w:rPr>
        <w:t>(Dietz, Frisch, Kalof, Stern, &amp; Guagnano, 1995)</w:t>
      </w:r>
      <w:r w:rsidRPr="00B0148D">
        <w:fldChar w:fldCharType="end"/>
      </w:r>
      <w:r w:rsidRPr="00B0148D">
        <w:t xml:space="preserve"> which may explain the stronger preference for meat in the conservative group. </w:t>
      </w:r>
    </w:p>
    <w:p w14:paraId="251C33D3" w14:textId="60F6DC6B" w:rsidR="002A410C" w:rsidRPr="00B0148D" w:rsidRDefault="002A410C" w:rsidP="002A410C">
      <w:pPr>
        <w:jc w:val="both"/>
      </w:pPr>
      <w:r w:rsidRPr="00B0148D">
        <w:t xml:space="preserve">There may also be some underlying variables affecting the results. For young people, the influence of social groups is important. According to </w:t>
      </w:r>
      <w:r w:rsidR="002A55D3" w:rsidRPr="00B0148D">
        <w:t xml:space="preserve">the </w:t>
      </w:r>
      <w:r w:rsidRPr="00B0148D">
        <w:t>signaling theory used</w:t>
      </w:r>
      <w:r w:rsidR="00C312D4" w:rsidRPr="00B0148D">
        <w:t>,</w:t>
      </w:r>
      <w:r w:rsidRPr="00B0148D">
        <w:t xml:space="preserve"> for example</w:t>
      </w:r>
      <w:r w:rsidR="00C312D4" w:rsidRPr="00B0148D">
        <w:t>,</w:t>
      </w:r>
      <w:r w:rsidRPr="00B0148D">
        <w:t xml:space="preserve"> in evolutionary biology, individuals exchange information by signaling</w:t>
      </w:r>
      <w:r w:rsidR="00C312D4" w:rsidRPr="00B0148D">
        <w:t xml:space="preserve"> to</w:t>
      </w:r>
      <w:r w:rsidRPr="00B0148D">
        <w:t xml:space="preserve"> each other in various ways </w:t>
      </w:r>
      <w:r w:rsidRPr="00B0148D">
        <w:fldChar w:fldCharType="begin" w:fldLock="1"/>
      </w:r>
      <w:r w:rsidR="00C9237F" w:rsidRPr="00B0148D">
        <w:instrText>ADDIN CSL_CITATION { "citationItems" : [ { "id" : "ITEM-1", "itemData" : { "DOI" : "10.1177/0539018405058203", "author" : [ { "dropping-particle" : "", "family" : "Cronk", "given" : "Lee", "non-dropping-particle" : "", "parse-names" : false, "suffix" : "" } ], "container-title" : "Social Science Information", "id" : "ITEM-1", "issue" : "4", "issued" : { "date-parts" : [ [ "2005" ] ] }, "page" : "603-620", "title" : "The application of animal signaling theory to human phenomena: some thoughts and clarifications", "type" : "article-journal", "volume" : "44" }, "uris" : [ "http://www.mendeley.com/documents/?uuid=577025cc-a38f-4d46-bb2a-796e7d6f3e49" ] } ], "mendeley" : { "formattedCitation" : "(Cronk, 2005)", "manualFormatting" : "(Cronk, 2005)", "plainTextFormattedCitation" : "(Cronk, 2005)", "previouslyFormattedCitation" : "(Cronk, 2005)" }, "properties" : { "noteIndex" : 0 }, "schema" : "https://github.com/citation-style-language/schema/raw/master/csl-citation.json" }</w:instrText>
      </w:r>
      <w:r w:rsidRPr="00B0148D">
        <w:fldChar w:fldCharType="separate"/>
      </w:r>
      <w:r w:rsidRPr="00B0148D">
        <w:rPr>
          <w:noProof/>
        </w:rPr>
        <w:t>(Cronk, 2005)</w:t>
      </w:r>
      <w:r w:rsidRPr="00B0148D">
        <w:fldChar w:fldCharType="end"/>
      </w:r>
      <w:r w:rsidR="00C312D4" w:rsidRPr="00B0148D">
        <w:t>. Signaling is often seen as the</w:t>
      </w:r>
      <w:r w:rsidRPr="00B0148D">
        <w:t xml:space="preserve"> possibility to improve social status among peer g</w:t>
      </w:r>
      <w:r w:rsidR="00C312D4" w:rsidRPr="00B0148D">
        <w:t>roups, for example mating in</w:t>
      </w:r>
      <w:r w:rsidRPr="00B0148D">
        <w:t xml:space="preserve"> animal communication </w:t>
      </w:r>
      <w:r w:rsidRPr="00B0148D">
        <w:fldChar w:fldCharType="begin" w:fldLock="1"/>
      </w:r>
      <w:r w:rsidRPr="00B0148D">
        <w:instrText>ADDIN CSL_CITATION { "citationItems" : [ { "id" : "ITEM-1", "itemData" : { "DOI" : "10.1016/S0003-3472(05)80353-7", "ISBN" : "0003-3472", "ISSN" : "00033472", "abstract" : "It is argued that recent analyses of the evolution of animal signals, which claim that signalling systems must be honest indicators of underlying quality, have neglected a vital consideration: the costs receivers pay in assessment. Where the costs of fully assessing a signaller are high, in terms of energy, time, or risk, and the value of the extra information gained is low, then it will pay receivers to settle for cheaper, but less reliable, indicators of quality instead. Thus, it is argued, honest assessment will be replaced by conventional signalling. Conventional signals are open to cheating, but cheating will be kept at low frequencies by the frequency-dependent benefits of occasional assessment (or 'probing'), so dishonest signalling remains stable. The concept of 'honesty' is discussed. ?? 1991 The Association for the Study of Animal Behaviour.", "author" : [ { "dropping-particle" : "", "family" : "Dawkins", "given" : "Marian Stamp", "non-dropping-particle" : "", "parse-names" : false, "suffix" : "" }, { "dropping-particle" : "", "family" : "Guilford", "given" : "Tim", "non-dropping-particle" : "", "parse-names" : false, "suffix" : "" } ], "container-title" : "Animal Behaviour", "id" : "ITEM-1", "issue" : "5", "issued" : { "date-parts" : [ [ "1991" ] ] }, "page" : "865-873", "title" : "The corruption of honest signalling", "type" : "article-journal", "volume" : "41" }, "uris" : [ "http://www.mendeley.com/documents/?uuid=61d6f163-cb2e-41ca-ac61-ffaceec10183" ] } ], "mendeley" : { "formattedCitation" : "(Dawkins &amp; Guilford, 1991)", "plainTextFormattedCitation" : "(Dawkins &amp; Guilford, 1991)", "previouslyFormattedCitation" : "(Dawkins &amp; Guilford, 1991)" }, "properties" : { "noteIndex" : 0 }, "schema" : "https://github.com/citation-style-language/schema/raw/master/csl-citation.json" }</w:instrText>
      </w:r>
      <w:r w:rsidRPr="00B0148D">
        <w:fldChar w:fldCharType="separate"/>
      </w:r>
      <w:r w:rsidRPr="00B0148D">
        <w:rPr>
          <w:noProof/>
        </w:rPr>
        <w:t>(Dawkins &amp; Guilford, 1991)</w:t>
      </w:r>
      <w:r w:rsidRPr="00B0148D">
        <w:fldChar w:fldCharType="end"/>
      </w:r>
      <w:r w:rsidRPr="00B0148D">
        <w:t xml:space="preserve">. Local produce may be considered </w:t>
      </w:r>
      <w:r w:rsidR="00C312D4" w:rsidRPr="00B0148D">
        <w:t xml:space="preserve">as </w:t>
      </w:r>
      <w:r w:rsidRPr="00B0148D">
        <w:t xml:space="preserve">signaling ethical and altruistic values in general, the group in question may consider this </w:t>
      </w:r>
      <w:r w:rsidR="00C312D4" w:rsidRPr="00B0148D">
        <w:t xml:space="preserve">a way </w:t>
      </w:r>
      <w:r w:rsidRPr="00B0148D">
        <w:t xml:space="preserve">of improving their own status when favoring products of local origin. </w:t>
      </w:r>
      <w:r w:rsidR="0053544E" w:rsidRPr="00B0148D">
        <w:t xml:space="preserve">Vermeir &amp; Verbeke </w:t>
      </w:r>
      <w:r w:rsidR="0053544E" w:rsidRPr="00B0148D">
        <w:fldChar w:fldCharType="begin" w:fldLock="1"/>
      </w:r>
      <w:r w:rsidR="0053544E" w:rsidRPr="00B0148D">
        <w:instrText>ADDIN CSL_CITATION { "citationItems" : [ { "id" : "ITEM-1", "itemData" : { "DOI" : "10.1007/s10806-005-5485-3", "ISBN" : "1187-7863", "ISSN" : "11877863", "PMID" : "21964415", "abstract" : "Although public interest in sustainability increases and consumer attitudes are mainly positive, behavioral patterns are not univocally consistent with attitudes. This study investigates the presumed gap between favorable attitude to- wards sustainable behavior and behavioral intention to purchase sustainable food products. The impact of involvement, perceived availability, certainty, perceived consumer effectiveness (PCE), values, and social norms on consumers\u2019 attitudes and intentions towards sustainable food products is analyzed. The empirical research builds on a survey with a sample of 456 young consumers, using a questionnaire and an experimental design with manipulation of key constructs through showing advertisements for sustainable dairy. Involvement with sustainability, certainty, and PCE have a significant positive impact on attitude towards buying sustainable dairy products, which in turn correlates strongly with intention to buy. Low perceived availability of sustainable products explains why intentions to buy remain low, al- though attitudes might be positive. On the reverse side, experiencing social pressure from peers (social norm) explains intentions to buy, despite rather negative personal attitudes. This study shows that more sustainable and ethical food consumption can be stimulated through raising involvement, PCE, certainty, social norms, and per- ceived availability. KEY", "author" : [ { "dropping-particle" : "", "family" : "Vermeir", "given" : "Iris", "non-dropping-particle" : "", "parse-names" : false, "suffix" : "" }, { "dropping-particle" : "", "family" : "Verbeke", "given" : "Wim", "non-dropping-particle" : "", "parse-names" : false, "suffix" : "" } ], "container-title" : "Journal of Agricultural and Environmental Ethics", "id" : "ITEM-1", "issue" : "2", "issued" : { "date-parts" : [ [ "2006" ] ] }, "page" : "169-194", "title" : "Sustainable food consumption: Exploring the consumer \"attitude - Behavioral intention\" gap", "type" : "article-journal", "volume" : "19" }, "uris" : [ "http://www.mendeley.com/documents/?uuid=7497465a-4bd7-48e3-8a95-afb853b9f89f" ] } ], "mendeley" : { "formattedCitation" : "(Vermeir &amp; Verbeke, 2006)", "plainTextFormattedCitation" : "(Vermeir &amp; Verbeke, 2006)", "previouslyFormattedCitation" : "(Vermeir &amp; Verbeke, 2006)" }, "properties" : { "noteIndex" : 0 }, "schema" : "https://github.com/citation-style-language/schema/raw/master/csl-citation.json" }</w:instrText>
      </w:r>
      <w:r w:rsidR="0053544E" w:rsidRPr="00B0148D">
        <w:fldChar w:fldCharType="separate"/>
      </w:r>
      <w:r w:rsidR="0053544E" w:rsidRPr="00B0148D">
        <w:rPr>
          <w:noProof/>
        </w:rPr>
        <w:t>(2006)</w:t>
      </w:r>
      <w:r w:rsidR="0053544E" w:rsidRPr="00B0148D">
        <w:fldChar w:fldCharType="end"/>
      </w:r>
      <w:r w:rsidR="0053544E" w:rsidRPr="00B0148D">
        <w:t xml:space="preserve"> found that despite negatives attitudes towards the product, the higher intention to buy was influenced by peer pressure i.e. they expected their social group to favor the use of these products.</w:t>
      </w:r>
    </w:p>
    <w:p w14:paraId="105C5BA3" w14:textId="49113882" w:rsidR="002A410C" w:rsidRPr="00B0148D" w:rsidRDefault="006148BD" w:rsidP="002A410C">
      <w:pPr>
        <w:jc w:val="both"/>
      </w:pPr>
      <w:r w:rsidRPr="00B0148D">
        <w:lastRenderedPageBreak/>
        <w:t xml:space="preserve">Based on the results, the effect of value dimensions is not stable, and is dependent on the product type. There are several moderating factors and the effect of values may be context-dependent as well. If during the decision-making, a pressing or more important factor is present then the effect of the values may be overridden. Thus, although in the case of food the actual perceived properties probably determine most of the perceived quality, the values have an effect on decision-making, which cannot be overlooked completely. The groups showing no interest towards the origin of the product may, to some extent, belong to a group of so called uninvolved consumers who do not value food-related activities </w:t>
      </w:r>
      <w:r w:rsidR="002A410C" w:rsidRPr="00B0148D">
        <w:fldChar w:fldCharType="begin" w:fldLock="1"/>
      </w:r>
      <w:r w:rsidR="002A410C" w:rsidRPr="00B0148D">
        <w:instrText>ADDIN CSL_CITATION { "citationItems" : [ { "id" : "ITEM-1", "itemData" : { "DOI" : "10.1016/j.ijhm.2010.12.012", "ISBN" : "0278-4319", "ISSN" : "02784319", "abstract" : "The objectives of this study are to examine the Generation Y consumer segments' selection attributes and behavioral intentions toward green restaurants. A survey was administered to college students between the ages of 17 and 30 at a university in a Southeastern United States city. This study identified four different consumer segments of Generation Y college students according to their food-related lifestyles. Across the four segments, there were significant differences in selection attributes. In addition, significant differences were identified between the four segments regarding their behavioral intentions toward green restaurants. Finally, the marketing implications for the target groups are discussed. ?? 2011 Elsevier Ltd.", "author" : [ { "dropping-particle" : "", "family" : "Jang", "given" : "Yoon Jung", "non-dropping-particle" : "", "parse-names" : false, "suffix" : "" }, { "dropping-particle" : "", "family" : "Kim", "given" : "Woo Gon", "non-dropping-particle" : "", "parse-names" : false, "suffix" : "" }, { "dropping-particle" : "", "family" : "Bonn", "given" : "Mark A.", "non-dropping-particle" : "", "parse-names" : false, "suffix" : "" } ], "container-title" : "International Journal of Hospitality Management", "id" : "ITEM-1", "issue" : "4", "issued" : { "date-parts" : [ [ "2011" ] ] }, "page" : "803-811", "publisher" : "Elsevier Ltd", "title" : "Generation Y consumers' selection attributes and behavioral intentions concerning green restaurants", "type" : "article-journal", "volume" : "30" }, "uris" : [ "http://www.mendeley.com/documents/?uuid=d7ac1bbf-887e-4521-b4a5-ac1dfef4b67a" ] } ], "mendeley" : { "formattedCitation" : "(Jang, Kim, &amp; Bonn, 2011)", "manualFormatting" : "(Jang, Kim, &amp; Bonn, 2011)", "plainTextFormattedCitation" : "(Jang, Kim, &amp; Bonn, 2011)", "previouslyFormattedCitation" : "(Jang, Kim, &amp; Bonn, 2011)" }, "properties" : { "noteIndex" : 0 }, "schema" : "https://github.com/citation-style-language/schema/raw/master/csl-citation.json" }</w:instrText>
      </w:r>
      <w:r w:rsidR="002A410C" w:rsidRPr="00B0148D">
        <w:fldChar w:fldCharType="separate"/>
      </w:r>
      <w:r w:rsidR="002A410C" w:rsidRPr="00B0148D">
        <w:rPr>
          <w:noProof/>
        </w:rPr>
        <w:t>(</w:t>
      </w:r>
      <w:r w:rsidR="002A410C" w:rsidRPr="00B0148D">
        <w:rPr>
          <w:rFonts w:ascii="Calibri" w:hAnsi="Calibri" w:cs="Times New Roman"/>
          <w:noProof/>
          <w:szCs w:val="24"/>
        </w:rPr>
        <w:t>Jang, Kim, &amp; Bonn,</w:t>
      </w:r>
      <w:r w:rsidR="002A410C" w:rsidRPr="00B0148D">
        <w:rPr>
          <w:noProof/>
        </w:rPr>
        <w:t xml:space="preserve"> 2011)</w:t>
      </w:r>
      <w:r w:rsidR="002A410C" w:rsidRPr="00B0148D">
        <w:fldChar w:fldCharType="end"/>
      </w:r>
      <w:r w:rsidR="002A410C" w:rsidRPr="00B0148D">
        <w:t xml:space="preserve">. Bratanova et al. </w:t>
      </w:r>
      <w:r w:rsidR="002A410C" w:rsidRPr="00B0148D">
        <w:fldChar w:fldCharType="begin" w:fldLock="1"/>
      </w:r>
      <w:r w:rsidR="002A410C" w:rsidRPr="00B0148D">
        <w:instrText>ADDIN CSL_CITATION { "citationItems" : [ { "id" : "ITEM-1", "itemData" : { "DOI" : "10.1016/j.appet.2015.04.006", "ISSN" : "01956663", "author" : [ { "dropping-particle" : "", "family" : "Bratanova", "given" : "Boyka", "non-dropping-particle" : "", "parse-names" : false, "suffix" : "" }, { "dropping-particle" : "", "family" : "Vauclair", "given" : "Christin-Melanie", "non-dropping-particle" : "", "parse-names" : false, "suffix" : "" }, { "dropping-particle" : "", "family" : "Kervyn", "given" : "Nicolas", "non-dropping-particle" : "", "parse-names" : false, "suffix" : "" }, { "dropping-particle" : "", "family" : "Schumann", "given" : "Sandy", "non-dropping-particle" : "", "parse-names" : false, "suffix" : "" }, { "dropping-particle" : "", "family" : "Wood", "given" : "Robert", "non-dropping-particle" : "", "parse-names" : false, "suffix" : "" }, { "dropping-particle" : "", "family" : "Klein", "given" : "Olivier", "non-dropping-particle" : "", "parse-names" : false, "suffix" : "" } ], "container-title" : "Appetite", "id" : "ITEM-1", "issued" : { "date-parts" : [ [ "2015" ] ] }, "page" : "137-149", "publisher" : "Elsevier Ltd", "title" : "Savouring morality. Moral satisfaction renders food of ethical origin subjectively tastier", "type" : "article-journal", "volume" : "91" }, "uris" : [ "http://www.mendeley.com/documents/?uuid=340703e6-ff5e-46b7-8f04-3dfdb0c8eba9" ] } ], "mendeley" : { "formattedCitation" : "(Bratanova et al., 2015)", "manualFormatting" : "(2015)", "plainTextFormattedCitation" : "(Bratanova et al., 2015)", "previouslyFormattedCitation" : "(Bratanova et al., 2015)" }, "properties" : { "noteIndex" : 0 }, "schema" : "https://github.com/citation-style-language/schema/raw/master/csl-citation.json" }</w:instrText>
      </w:r>
      <w:r w:rsidR="002A410C" w:rsidRPr="00B0148D">
        <w:fldChar w:fldCharType="separate"/>
      </w:r>
      <w:r w:rsidR="002A410C" w:rsidRPr="00B0148D">
        <w:rPr>
          <w:noProof/>
        </w:rPr>
        <w:t>(2015)</w:t>
      </w:r>
      <w:r w:rsidR="002A410C" w:rsidRPr="00B0148D">
        <w:fldChar w:fldCharType="end"/>
      </w:r>
      <w:r w:rsidR="002A410C" w:rsidRPr="00B0148D">
        <w:t xml:space="preserve"> </w:t>
      </w:r>
      <w:r w:rsidRPr="00B0148D">
        <w:t>found that when food products induced moral satisfaction, it actually modified the taste experience leading to a stronger intention to buy. The consumption of local food may induce the greatest moral satisfaction in individuals endorsing environmentally friendly values as those whose values are less environmentally oriented may not gain a similar reward. These findings indicate that a known origin adds some value to the product, even it is not necessarily in line with the individual’s values, and the origin may actually exceed the effect of the product type.</w:t>
      </w:r>
    </w:p>
    <w:p w14:paraId="7977F5E9" w14:textId="7CC48CB4" w:rsidR="002A410C" w:rsidRPr="00B0148D" w:rsidRDefault="00C40E40" w:rsidP="002A410C">
      <w:pPr>
        <w:jc w:val="both"/>
      </w:pPr>
      <w:r w:rsidRPr="00B0148D">
        <w:t xml:space="preserve">The values were not stable among the young consumers, probably because they are still evolving. </w:t>
      </w:r>
      <w:r w:rsidR="0053544E" w:rsidRPr="00B0148D">
        <w:t xml:space="preserve">During childhood and early adolescence parents may have a greater impact on their children’s values as they act as role models </w:t>
      </w:r>
      <w:r w:rsidR="00C9237F" w:rsidRPr="00B0148D">
        <w:fldChar w:fldCharType="begin" w:fldLock="1"/>
      </w:r>
      <w:r w:rsidR="00DC0FD9" w:rsidRPr="00B0148D">
        <w:instrText>ADDIN CSL_CITATION { "citationItems" : [ { "id" : "ITEM-1", "itemData" : { "author" : [ { "dropping-particle" : "", "family" : "Knafo", "given" : "Ariel", "non-dropping-particle" : "", "parse-names" : false, "suffix" : "" }, { "dropping-particle" : "", "family" : "Schwartz", "given" : "Shalom H.", "non-dropping-particle" : "", "parse-names" : false, "suffix" : "" } ], "container-title" : "Culture and psychology. Cultural transmission: Psychological, developmental, social, and methodological aspects", "editor" : [ { "dropping-particle" : "", "family" : "Sch\u00f6npflug", "given" : "Ute", "non-dropping-particle" : "", "parse-names" : false, "suffix" : "" } ], "id" : "ITEM-1", "issued" : { "date-parts" : [ [ "2009" ] ] }, "page" : "240-268", "publisher" : "Cambridge University Press", "publisher-place" : "New York", "title" : "Accounting for parent-child value congruence: Theoretical considerations and empirical evidence", "type" : "chapter" }, "uris" : [ "http://www.mendeley.com/documents/?uuid=0d0b53ba-d5d2-45cd-81b1-488449b7c50b" ] } ], "mendeley" : { "formattedCitation" : "(Knafo &amp; Schwartz, 2009)", "plainTextFormattedCitation" : "(Knafo &amp; Schwartz, 2009)", "previouslyFormattedCitation" : "(Knafo &amp; Schwartz, 2009)" }, "properties" : { "noteIndex" : 0 }, "schema" : "https://github.com/citation-style-language/schema/raw/master/csl-citation.json" }</w:instrText>
      </w:r>
      <w:r w:rsidR="00C9237F" w:rsidRPr="00B0148D">
        <w:fldChar w:fldCharType="separate"/>
      </w:r>
      <w:r w:rsidR="00C9237F" w:rsidRPr="00B0148D">
        <w:rPr>
          <w:noProof/>
        </w:rPr>
        <w:t>(Knafo &amp; Schwartz, 2009)</w:t>
      </w:r>
      <w:r w:rsidR="00C9237F" w:rsidRPr="00B0148D">
        <w:fldChar w:fldCharType="end"/>
      </w:r>
      <w:r w:rsidR="002A410C" w:rsidRPr="00B0148D">
        <w:t xml:space="preserve">. </w:t>
      </w:r>
      <w:r w:rsidR="00916DDD" w:rsidRPr="00B0148D">
        <w:t xml:space="preserve">When adolescents transfer into early adulthood, a change can typically be seen. School, education, and interactions with fellow students also modify self-concepts, which evidently modify values as well. In addition, authorities such as teachers can have an effect on the values of developing young individuals. In the current study, the effect of values was not stable in all the tested age groups and there was a clear variation, which may be explained by the different types of products in the studies. The </w:t>
      </w:r>
      <w:r w:rsidR="0068589B" w:rsidRPr="00B0148D">
        <w:t xml:space="preserve">ordinal </w:t>
      </w:r>
      <w:r w:rsidR="00916DDD" w:rsidRPr="00B0148D">
        <w:t xml:space="preserve">regression analysis showed that education level and gender had a significant effect on all the evaluated properties. </w:t>
      </w:r>
      <w:r w:rsidR="002A410C" w:rsidRPr="00B0148D">
        <w:t xml:space="preserve">Bromnick &amp; Swallow </w:t>
      </w:r>
      <w:r w:rsidR="002A410C" w:rsidRPr="00B0148D">
        <w:fldChar w:fldCharType="begin" w:fldLock="1"/>
      </w:r>
      <w:r w:rsidR="002A410C" w:rsidRPr="00B0148D">
        <w:instrText>ADDIN CSL_CITATION { "citationItems" : [ { "id" : "ITEM-1", "itemData" : { "DOI" : "10.1080/03055690125235", "author" : [ { "dropping-particle" : "", "family" : "Bromnick", "given" : "Rachel D", "non-dropping-particle" : "", "parse-names" : false, "suffix" : "" }, { "dropping-particle" : "", "family" : "Swallow", "given" : "Brian L", "non-dropping-particle" : "", "parse-names" : false, "suffix" : "" } ], "container-title" : "Educational Studies", "id" : "ITEM-1", "issue" : "2", "issued" : { "date-parts" : [ [ "2001" ] ] }, "page" : "143-158", "title" : "Parties , Lads , Friends , Love and Newcastle United: A study of young people's values", "type" : "article-journal", "volume" : "27" }, "uris" : [ "http://www.mendeley.com/documents/?uuid=868042c1-3957-4aa2-90c7-cf532db3db04" ] } ], "mendeley" : { "formattedCitation" : "(Bromnick &amp; Swallow, 2001)", "manualFormatting" : "(2001)", "plainTextFormattedCitation" : "(Bromnick &amp; Swallow, 2001)", "previouslyFormattedCitation" : "(Bromnick &amp; Swallow, 2001)" }, "properties" : { "noteIndex" : 0 }, "schema" : "https://github.com/citation-style-language/schema/raw/master/csl-citation.json" }</w:instrText>
      </w:r>
      <w:r w:rsidR="002A410C" w:rsidRPr="00B0148D">
        <w:fldChar w:fldCharType="separate"/>
      </w:r>
      <w:r w:rsidR="002A410C" w:rsidRPr="00B0148D">
        <w:rPr>
          <w:noProof/>
        </w:rPr>
        <w:t>(2001)</w:t>
      </w:r>
      <w:r w:rsidR="002A410C" w:rsidRPr="00B0148D">
        <w:fldChar w:fldCharType="end"/>
      </w:r>
      <w:r w:rsidR="002A410C" w:rsidRPr="00B0148D">
        <w:t xml:space="preserve"> inferred that young people may concurrently hold both materialistic/hedonic and altruistic/humanistic values, which may have an effect on the results. These effects need to be studied more thoroughly with</w:t>
      </w:r>
      <w:r w:rsidR="00916DDD" w:rsidRPr="00B0148D">
        <w:t xml:space="preserve"> an</w:t>
      </w:r>
      <w:r w:rsidR="002A410C" w:rsidRPr="00B0148D">
        <w:t xml:space="preserve"> even wider range of products to fully comprehend the phenomenon.</w:t>
      </w:r>
    </w:p>
    <w:p w14:paraId="7974A902" w14:textId="5CF290DA" w:rsidR="000E3BFD" w:rsidRPr="00B0148D" w:rsidRDefault="000E3BFD" w:rsidP="000E3BFD">
      <w:pPr>
        <w:jc w:val="both"/>
      </w:pPr>
      <w:r w:rsidRPr="00B0148D">
        <w:t>There are some limitations in the study. The amount of variance explained by the regression models were rather low. There is previous evidence that values have an effect on food choices, but they may be outweighed by more relevant factors such as taste, health, and familiarity. Even though Conservation and Self-Transcendence show significant effects on the evaluated properties, the absolute values remain at a low level. This indicates that even if the effect exists, there are more important factors which are not included in the model. To be able to use values as a guiding factor when considering food choices, the values need to be activated. The origin of the food may not be able to activate values among all the respondents; this factor may also be a source of variation. The level of explained variance is especially low with bread. This may be due to the fact that bread is not an interesting product in the value context and is therefore unaffected by values to a large extent. Meat, on the other hand, has more attachment to values due to the ethical and environmental concerns about its production, and therefore it is more closely connected to individual values. As briefly discussed in the text, the concept of values may have different meanings among young consumers. As their values are not necessarily stabilized yet this may cause some level of variation in the data. The study was conducted in a single region. Due to this the results may not be generalized in a country level, but more research is needed to confirm the findings. The participants were also either adolescents or young adults, so different results might be observed in the older populations.</w:t>
      </w:r>
    </w:p>
    <w:p w14:paraId="757DCB22" w14:textId="75E6E111" w:rsidR="0011465A" w:rsidRPr="00B0148D" w:rsidRDefault="0011465A" w:rsidP="00C00514">
      <w:pPr>
        <w:jc w:val="both"/>
        <w:rPr>
          <w:b/>
        </w:rPr>
      </w:pPr>
      <w:r w:rsidRPr="00B0148D">
        <w:rPr>
          <w:b/>
        </w:rPr>
        <w:lastRenderedPageBreak/>
        <w:t>5. CONCLUSIONS</w:t>
      </w:r>
    </w:p>
    <w:p w14:paraId="42EEF062" w14:textId="7CC6A44E" w:rsidR="000E3BFD" w:rsidRPr="00B0148D" w:rsidRDefault="000E3BFD" w:rsidP="000E3BFD">
      <w:pPr>
        <w:jc w:val="both"/>
      </w:pPr>
      <w:r w:rsidRPr="00B0148D">
        <w:t>There are several earlier studies demonstrating that values have an effect on many fields of life, including such value-laden food choices as genetically modified and organic food.</w:t>
      </w:r>
      <w:r w:rsidRPr="00B0148D">
        <w:rPr>
          <w:rFonts w:ascii="Verdana" w:hAnsi="Verdana"/>
        </w:rPr>
        <w:t xml:space="preserve"> </w:t>
      </w:r>
      <w:r w:rsidRPr="00B0148D">
        <w:t>The present study showed that the personal values of adolescents and young adults seems to explain, to a certain extent, their reactions to and experiences of a variety of products based on their origin.</w:t>
      </w:r>
      <w:r w:rsidRPr="00B0148D">
        <w:rPr>
          <w:rFonts w:ascii="Verdana" w:hAnsi="Verdana"/>
        </w:rPr>
        <w:t xml:space="preserve"> </w:t>
      </w:r>
      <w:r w:rsidRPr="00B0148D">
        <w:t xml:space="preserve">Both Conservatism and Self-Transcendence have an effect </w:t>
      </w:r>
      <w:r w:rsidRPr="00B0148D">
        <w:rPr>
          <w:rFonts w:cs="Times New Roman"/>
        </w:rPr>
        <w:t>on the product experience and the likelihood to choose the product, but this effect was dependent on the product type.</w:t>
      </w:r>
      <w:r w:rsidRPr="00B0148D">
        <w:rPr>
          <w:rFonts w:ascii="Verdana" w:hAnsi="Verdana" w:cs="Times New Roman"/>
        </w:rPr>
        <w:t xml:space="preserve"> </w:t>
      </w:r>
      <w:r w:rsidRPr="00B0148D">
        <w:t xml:space="preserve"> Individuals holding altruistic values (Self-Transcendence) as more important, respond more positively towards a closer geographical origin, but the effect was not completely consistent. Individuals valuing Self-Transcendence values are probably less-likely to eat meat, which lowers the evaluated quality. A closer origin seemed to add some value to the product, even if it was not necessarily in line with the individual’s values; alternatively, it may be that origin actually exceeded the effect of the product type. The importance of Conservation showed no consistent effect but for meat it seemed to explain the evaluated quality of domestic and local products. The explanation for this can be that conservative values in general may </w:t>
      </w:r>
      <w:r w:rsidR="00465EE0" w:rsidRPr="00B0148D">
        <w:t>be attached</w:t>
      </w:r>
      <w:r w:rsidRPr="00B0148D">
        <w:t xml:space="preserve"> to an increased consumption of meat and decreased vegetarianism. Clearly values are not the only factor explaining the behavior as product type and gender may have a significant impact. During adolescence, individual values may still be developing, at least until early adulthood. This may explain the fact that with the younger consumers the effects were weaker, and somewhat inconsistent. </w:t>
      </w:r>
      <w:r w:rsidRPr="00B0148D">
        <w:rPr>
          <w:rFonts w:cs="Times New Roman"/>
        </w:rPr>
        <w:t xml:space="preserve">Our study provides further knowledge about the underlying personal factors that explain consumer choices, especially when extrinsic information cues about the origin of a food are available. </w:t>
      </w:r>
      <w:r w:rsidR="00AE0E5A" w:rsidRPr="00B0148D">
        <w:rPr>
          <w:rFonts w:cs="Times New Roman"/>
        </w:rPr>
        <w:t>The effect of personality and moral concerns have been recognized as explaining, to some degree, food choices, and the current study expands these concepts and provides new input.</w:t>
      </w:r>
    </w:p>
    <w:p w14:paraId="30F30E34" w14:textId="52EA7817" w:rsidR="00E40D98" w:rsidRPr="00B0148D" w:rsidRDefault="00E40D98" w:rsidP="00C00514">
      <w:pPr>
        <w:jc w:val="both"/>
        <w:rPr>
          <w:b/>
        </w:rPr>
      </w:pPr>
      <w:r w:rsidRPr="00B0148D">
        <w:rPr>
          <w:b/>
        </w:rPr>
        <w:t>Acknowledgements</w:t>
      </w:r>
    </w:p>
    <w:p w14:paraId="7774B256" w14:textId="6325F0D5" w:rsidR="00E40D98" w:rsidRPr="00B0148D" w:rsidRDefault="0014368C" w:rsidP="00C00514">
      <w:pPr>
        <w:jc w:val="both"/>
      </w:pPr>
      <w:r w:rsidRPr="00B0148D">
        <w:t xml:space="preserve">We wish to thank </w:t>
      </w:r>
      <w:r w:rsidR="00E40D98" w:rsidRPr="00B0148D">
        <w:t xml:space="preserve">Tekes – the Finnish Funding Agency for Innovation (European Regional Development Fund), the Natural Resources Institute Finland (Luke), The Finnish Cultural Foundation South Ostrobothnia Regional Fund, </w:t>
      </w:r>
      <w:r w:rsidR="000E3BFD" w:rsidRPr="00B0148D">
        <w:t xml:space="preserve">the </w:t>
      </w:r>
      <w:r w:rsidRPr="00B0148D">
        <w:t>KAUTE</w:t>
      </w:r>
      <w:r w:rsidR="00E40D98" w:rsidRPr="00B0148D">
        <w:t xml:space="preserve"> foundation and the Academy of Finland (</w:t>
      </w:r>
      <w:r w:rsidR="00E40D98" w:rsidRPr="00B0148D">
        <w:rPr>
          <w:bCs/>
        </w:rPr>
        <w:t xml:space="preserve">MS252005) </w:t>
      </w:r>
      <w:r w:rsidR="00A73918" w:rsidRPr="00B0148D">
        <w:t>for funding this research.</w:t>
      </w:r>
    </w:p>
    <w:p w14:paraId="127AAB13" w14:textId="1A14A91E" w:rsidR="00385A05" w:rsidRPr="00B0148D" w:rsidRDefault="00C765E0" w:rsidP="00C765E0">
      <w:pPr>
        <w:jc w:val="both"/>
        <w:rPr>
          <w:b/>
        </w:rPr>
      </w:pPr>
      <w:r w:rsidRPr="00B0148D">
        <w:rPr>
          <w:b/>
        </w:rPr>
        <w:t>REFERENCES</w:t>
      </w:r>
      <w:r w:rsidR="00AB1360" w:rsidRPr="00B0148D">
        <w:rPr>
          <w:b/>
        </w:rPr>
        <w:fldChar w:fldCharType="begin" w:fldLock="1"/>
      </w:r>
      <w:r w:rsidR="00AB1360" w:rsidRPr="00B0148D">
        <w:rPr>
          <w:b/>
        </w:rPr>
        <w:instrText xml:space="preserve">ADDIN Mendeley Bibliography CSL_BIBLIOGRAPHY </w:instrText>
      </w:r>
      <w:r w:rsidR="00AB1360" w:rsidRPr="00B0148D">
        <w:rPr>
          <w:b/>
        </w:rPr>
        <w:fldChar w:fldCharType="separate"/>
      </w:r>
    </w:p>
    <w:p w14:paraId="7779E2F7" w14:textId="55D1EB18"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Allen, M. W., &amp; Ng, S. H. (2003). Human values , utilitarian benefits and identification: The case of meat. </w:t>
      </w:r>
      <w:r w:rsidRPr="00B0148D">
        <w:rPr>
          <w:rFonts w:ascii="Calibri" w:hAnsi="Calibri" w:cs="Times New Roman"/>
          <w:i/>
          <w:iCs/>
          <w:noProof/>
          <w:szCs w:val="24"/>
        </w:rPr>
        <w:t>European Journal of Social Psychology</w:t>
      </w:r>
      <w:r w:rsidRPr="00B0148D">
        <w:rPr>
          <w:rFonts w:ascii="Calibri" w:hAnsi="Calibri" w:cs="Times New Roman"/>
          <w:noProof/>
          <w:szCs w:val="24"/>
        </w:rPr>
        <w:t xml:space="preserve">, </w:t>
      </w:r>
      <w:r w:rsidRPr="00B0148D">
        <w:rPr>
          <w:rFonts w:ascii="Calibri" w:hAnsi="Calibri" w:cs="Times New Roman"/>
          <w:i/>
          <w:iCs/>
          <w:noProof/>
          <w:szCs w:val="24"/>
        </w:rPr>
        <w:t>33</w:t>
      </w:r>
      <w:r w:rsidRPr="00B0148D">
        <w:rPr>
          <w:rFonts w:ascii="Calibri" w:hAnsi="Calibri" w:cs="Times New Roman"/>
          <w:noProof/>
          <w:szCs w:val="24"/>
        </w:rPr>
        <w:t>, 37–56.</w:t>
      </w:r>
    </w:p>
    <w:p w14:paraId="3918AC8E" w14:textId="344E336E"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Anglim, J., Knowles, E. R. V., Dunlop, P. D., &amp; Marty, A. (2017). HEXACO personality and Schwartz’s personal values: A facet-level analysis. </w:t>
      </w:r>
      <w:r w:rsidRPr="00B0148D">
        <w:rPr>
          <w:rFonts w:ascii="Calibri" w:hAnsi="Calibri" w:cs="Times New Roman"/>
          <w:i/>
          <w:iCs/>
          <w:noProof/>
          <w:szCs w:val="24"/>
        </w:rPr>
        <w:t>Journal of Research in Personality</w:t>
      </w:r>
      <w:r w:rsidRPr="00B0148D">
        <w:rPr>
          <w:rFonts w:ascii="Calibri" w:hAnsi="Calibri" w:cs="Times New Roman"/>
          <w:noProof/>
          <w:szCs w:val="24"/>
        </w:rPr>
        <w:t xml:space="preserve">, </w:t>
      </w:r>
      <w:r w:rsidRPr="00B0148D">
        <w:rPr>
          <w:rFonts w:ascii="Calibri" w:hAnsi="Calibri" w:cs="Times New Roman"/>
          <w:i/>
          <w:iCs/>
          <w:noProof/>
          <w:szCs w:val="24"/>
        </w:rPr>
        <w:t>68</w:t>
      </w:r>
      <w:r w:rsidRPr="00B0148D">
        <w:rPr>
          <w:rFonts w:ascii="Calibri" w:hAnsi="Calibri" w:cs="Times New Roman"/>
          <w:noProof/>
          <w:szCs w:val="24"/>
        </w:rPr>
        <w:t xml:space="preserve">, 23–31. </w:t>
      </w:r>
    </w:p>
    <w:p w14:paraId="02A094E3" w14:textId="4E77DB19"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Apostolidis, C., &amp; McLeay, F. (2016). Should we stop meating like this? Reducing meat consumption through substitution. </w:t>
      </w:r>
      <w:r w:rsidRPr="00B0148D">
        <w:rPr>
          <w:rFonts w:ascii="Calibri" w:hAnsi="Calibri" w:cs="Times New Roman"/>
          <w:i/>
          <w:iCs/>
          <w:noProof/>
          <w:szCs w:val="24"/>
        </w:rPr>
        <w:t>Food Policy</w:t>
      </w:r>
      <w:r w:rsidRPr="00B0148D">
        <w:rPr>
          <w:rFonts w:ascii="Calibri" w:hAnsi="Calibri" w:cs="Times New Roman"/>
          <w:noProof/>
          <w:szCs w:val="24"/>
        </w:rPr>
        <w:t xml:space="preserve">, </w:t>
      </w:r>
      <w:r w:rsidRPr="00B0148D">
        <w:rPr>
          <w:rFonts w:ascii="Calibri" w:hAnsi="Calibri" w:cs="Times New Roman"/>
          <w:i/>
          <w:iCs/>
          <w:noProof/>
          <w:szCs w:val="24"/>
        </w:rPr>
        <w:t>65</w:t>
      </w:r>
      <w:r w:rsidR="00013395" w:rsidRPr="00B0148D">
        <w:rPr>
          <w:rFonts w:ascii="Calibri" w:hAnsi="Calibri" w:cs="Times New Roman"/>
          <w:noProof/>
          <w:szCs w:val="24"/>
        </w:rPr>
        <w:t>, 74–89.</w:t>
      </w:r>
    </w:p>
    <w:p w14:paraId="657C7F03" w14:textId="3717D096"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Bagchi, K. K., Udo, G. J., Kirs, P. J., &amp; Choden, K. (2015). Internet use and human values: Analyses of developing and developed countries. </w:t>
      </w:r>
      <w:r w:rsidRPr="00B0148D">
        <w:rPr>
          <w:rFonts w:ascii="Calibri" w:hAnsi="Calibri" w:cs="Times New Roman"/>
          <w:i/>
          <w:iCs/>
          <w:noProof/>
          <w:szCs w:val="24"/>
        </w:rPr>
        <w:t>Computers in Human Behavior</w:t>
      </w:r>
      <w:r w:rsidRPr="00B0148D">
        <w:rPr>
          <w:rFonts w:ascii="Calibri" w:hAnsi="Calibri" w:cs="Times New Roman"/>
          <w:noProof/>
          <w:szCs w:val="24"/>
        </w:rPr>
        <w:t xml:space="preserve">, </w:t>
      </w:r>
      <w:r w:rsidRPr="00B0148D">
        <w:rPr>
          <w:rFonts w:ascii="Calibri" w:hAnsi="Calibri" w:cs="Times New Roman"/>
          <w:i/>
          <w:iCs/>
          <w:noProof/>
          <w:szCs w:val="24"/>
        </w:rPr>
        <w:t>50</w:t>
      </w:r>
      <w:r w:rsidRPr="00B0148D">
        <w:rPr>
          <w:rFonts w:ascii="Calibri" w:hAnsi="Calibri" w:cs="Times New Roman"/>
          <w:noProof/>
          <w:szCs w:val="24"/>
        </w:rPr>
        <w:t xml:space="preserve">, 76–90. </w:t>
      </w:r>
    </w:p>
    <w:p w14:paraId="742178EB" w14:textId="62F94286"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Balabanis, G., Mueller, R., &amp; Melewar, T. C. (2002). The Relationship Between Consumer Ethnocentrism and Human Values. </w:t>
      </w:r>
      <w:r w:rsidRPr="00B0148D">
        <w:rPr>
          <w:rFonts w:ascii="Calibri" w:hAnsi="Calibri" w:cs="Times New Roman"/>
          <w:i/>
          <w:iCs/>
          <w:noProof/>
          <w:szCs w:val="24"/>
        </w:rPr>
        <w:t>Journal of Global Marketing</w:t>
      </w:r>
      <w:r w:rsidRPr="00B0148D">
        <w:rPr>
          <w:rFonts w:ascii="Calibri" w:hAnsi="Calibri" w:cs="Times New Roman"/>
          <w:noProof/>
          <w:szCs w:val="24"/>
        </w:rPr>
        <w:t xml:space="preserve">, </w:t>
      </w:r>
      <w:r w:rsidRPr="00B0148D">
        <w:rPr>
          <w:rFonts w:ascii="Calibri" w:hAnsi="Calibri" w:cs="Times New Roman"/>
          <w:i/>
          <w:iCs/>
          <w:noProof/>
          <w:szCs w:val="24"/>
        </w:rPr>
        <w:t>15</w:t>
      </w:r>
      <w:r w:rsidR="00013395" w:rsidRPr="00B0148D">
        <w:rPr>
          <w:rFonts w:ascii="Calibri" w:hAnsi="Calibri" w:cs="Times New Roman"/>
          <w:noProof/>
          <w:szCs w:val="24"/>
        </w:rPr>
        <w:t>(3–4), 117–147.</w:t>
      </w:r>
    </w:p>
    <w:p w14:paraId="4328D69E"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Bissonnette, M. M., &amp; Contento, I. R. (2001). Adolescents ’ Perspectives and Food Choice Behaviors in Terms of the Environmental Impacts of Food Production Practices: Application of a </w:t>
      </w:r>
      <w:r w:rsidRPr="00B0148D">
        <w:rPr>
          <w:rFonts w:ascii="Calibri" w:hAnsi="Calibri" w:cs="Times New Roman"/>
          <w:noProof/>
          <w:szCs w:val="24"/>
        </w:rPr>
        <w:lastRenderedPageBreak/>
        <w:t xml:space="preserve">Psychosocial Model. </w:t>
      </w:r>
      <w:r w:rsidRPr="00B0148D">
        <w:rPr>
          <w:rFonts w:ascii="Calibri" w:hAnsi="Calibri" w:cs="Times New Roman"/>
          <w:i/>
          <w:iCs/>
          <w:noProof/>
          <w:szCs w:val="24"/>
        </w:rPr>
        <w:t>Journal of Nutrition Education</w:t>
      </w:r>
      <w:r w:rsidRPr="00B0148D">
        <w:rPr>
          <w:rFonts w:ascii="Calibri" w:hAnsi="Calibri" w:cs="Times New Roman"/>
          <w:noProof/>
          <w:szCs w:val="24"/>
        </w:rPr>
        <w:t xml:space="preserve">, </w:t>
      </w:r>
      <w:r w:rsidRPr="00B0148D">
        <w:rPr>
          <w:rFonts w:ascii="Calibri" w:hAnsi="Calibri" w:cs="Times New Roman"/>
          <w:i/>
          <w:iCs/>
          <w:noProof/>
          <w:szCs w:val="24"/>
        </w:rPr>
        <w:t>33</w:t>
      </w:r>
      <w:r w:rsidRPr="00B0148D">
        <w:rPr>
          <w:rFonts w:ascii="Calibri" w:hAnsi="Calibri" w:cs="Times New Roman"/>
          <w:noProof/>
          <w:szCs w:val="24"/>
        </w:rPr>
        <w:t>(2), 72–82.</w:t>
      </w:r>
    </w:p>
    <w:p w14:paraId="10BE3FFF" w14:textId="6AB5CAF9"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Botonaki, A., &amp; Mattas, K. (2010). Revealing the values behind convenience food consumption.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55</w:t>
      </w:r>
      <w:r w:rsidRPr="00B0148D">
        <w:rPr>
          <w:rFonts w:ascii="Calibri" w:hAnsi="Calibri" w:cs="Times New Roman"/>
          <w:noProof/>
          <w:szCs w:val="24"/>
        </w:rPr>
        <w:t>(3), 629–638.</w:t>
      </w:r>
    </w:p>
    <w:p w14:paraId="6DA9CFE2" w14:textId="3394B378"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Bratanova, B., Vauclair, C.-M., Kervyn, N., Schumann, S., Wood, R., &amp; Klein, O. (2015). Savouring morality. Moral satisfaction renders food of ethical origin subjectively tastier.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91</w:t>
      </w:r>
      <w:r w:rsidR="00013395" w:rsidRPr="00B0148D">
        <w:rPr>
          <w:rFonts w:ascii="Calibri" w:hAnsi="Calibri" w:cs="Times New Roman"/>
          <w:noProof/>
          <w:szCs w:val="24"/>
        </w:rPr>
        <w:t>, 137–149.</w:t>
      </w:r>
    </w:p>
    <w:p w14:paraId="2698FE6C"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lang w:val="sv-SE"/>
        </w:rPr>
        <w:t xml:space="preserve">Breusch, T. S., &amp; Pagan, A. R. (1979). </w:t>
      </w:r>
      <w:r w:rsidRPr="00B0148D">
        <w:rPr>
          <w:rFonts w:ascii="Calibri" w:hAnsi="Calibri" w:cs="Times New Roman"/>
          <w:noProof/>
          <w:szCs w:val="24"/>
        </w:rPr>
        <w:t xml:space="preserve">A Simple Test for Heteroscedasticity and Random Coefficient Variation. </w:t>
      </w:r>
      <w:r w:rsidRPr="00B0148D">
        <w:rPr>
          <w:rFonts w:ascii="Calibri" w:hAnsi="Calibri" w:cs="Times New Roman"/>
          <w:i/>
          <w:iCs/>
          <w:noProof/>
          <w:szCs w:val="24"/>
        </w:rPr>
        <w:t>Econometrica</w:t>
      </w:r>
      <w:r w:rsidRPr="00B0148D">
        <w:rPr>
          <w:rFonts w:ascii="Calibri" w:hAnsi="Calibri" w:cs="Times New Roman"/>
          <w:noProof/>
          <w:szCs w:val="24"/>
        </w:rPr>
        <w:t xml:space="preserve">, </w:t>
      </w:r>
      <w:r w:rsidRPr="00B0148D">
        <w:rPr>
          <w:rFonts w:ascii="Calibri" w:hAnsi="Calibri" w:cs="Times New Roman"/>
          <w:i/>
          <w:iCs/>
          <w:noProof/>
          <w:szCs w:val="24"/>
        </w:rPr>
        <w:t>47</w:t>
      </w:r>
      <w:r w:rsidRPr="00B0148D">
        <w:rPr>
          <w:rFonts w:ascii="Calibri" w:hAnsi="Calibri" w:cs="Times New Roman"/>
          <w:noProof/>
          <w:szCs w:val="24"/>
        </w:rPr>
        <w:t>(5), 1287–1294.</w:t>
      </w:r>
    </w:p>
    <w:p w14:paraId="56654FAC" w14:textId="7FBF9F83"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Bromnick, R. D., &amp; Swallow, B. L. (2001). Parties , Lads , Friends , Love and Newcastle United: A study of young people’s values. </w:t>
      </w:r>
      <w:r w:rsidRPr="00B0148D">
        <w:rPr>
          <w:rFonts w:ascii="Calibri" w:hAnsi="Calibri" w:cs="Times New Roman"/>
          <w:i/>
          <w:iCs/>
          <w:noProof/>
          <w:szCs w:val="24"/>
        </w:rPr>
        <w:t>Educational Studies</w:t>
      </w:r>
      <w:r w:rsidRPr="00B0148D">
        <w:rPr>
          <w:rFonts w:ascii="Calibri" w:hAnsi="Calibri" w:cs="Times New Roman"/>
          <w:noProof/>
          <w:szCs w:val="24"/>
        </w:rPr>
        <w:t xml:space="preserve">, </w:t>
      </w:r>
      <w:r w:rsidRPr="00B0148D">
        <w:rPr>
          <w:rFonts w:ascii="Calibri" w:hAnsi="Calibri" w:cs="Times New Roman"/>
          <w:i/>
          <w:iCs/>
          <w:noProof/>
          <w:szCs w:val="24"/>
        </w:rPr>
        <w:t>27</w:t>
      </w:r>
      <w:r w:rsidR="00013395" w:rsidRPr="00B0148D">
        <w:rPr>
          <w:rFonts w:ascii="Calibri" w:hAnsi="Calibri" w:cs="Times New Roman"/>
          <w:noProof/>
          <w:szCs w:val="24"/>
        </w:rPr>
        <w:t>(2), 143–158.</w:t>
      </w:r>
    </w:p>
    <w:p w14:paraId="07AE5C8B" w14:textId="3EB29D4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Brunsø, K., Scholderer, J., &amp; Grunert, K. G. (2004). Testing relationships between values and food-related lifestyle: Results from two European countries.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43</w:t>
      </w:r>
      <w:r w:rsidR="00013395" w:rsidRPr="00B0148D">
        <w:rPr>
          <w:rFonts w:ascii="Calibri" w:hAnsi="Calibri" w:cs="Times New Roman"/>
          <w:noProof/>
          <w:szCs w:val="24"/>
        </w:rPr>
        <w:t>(2), 195–205.</w:t>
      </w:r>
    </w:p>
    <w:p w14:paraId="4720F8EB" w14:textId="02F43263"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Campbell, J., DiPietro, R. B., &amp; Remar, D. (2014). Local foods in a university setting: Price consciousness, product involvement, price/quality inference and consumer’s willingness-to-pay. </w:t>
      </w:r>
      <w:r w:rsidRPr="00B0148D">
        <w:rPr>
          <w:rFonts w:ascii="Calibri" w:hAnsi="Calibri" w:cs="Times New Roman"/>
          <w:i/>
          <w:iCs/>
          <w:noProof/>
          <w:szCs w:val="24"/>
        </w:rPr>
        <w:t>International Journal of Hospitality Management</w:t>
      </w:r>
      <w:r w:rsidRPr="00B0148D">
        <w:rPr>
          <w:rFonts w:ascii="Calibri" w:hAnsi="Calibri" w:cs="Times New Roman"/>
          <w:noProof/>
          <w:szCs w:val="24"/>
        </w:rPr>
        <w:t xml:space="preserve">, </w:t>
      </w:r>
      <w:r w:rsidRPr="00B0148D">
        <w:rPr>
          <w:rFonts w:ascii="Calibri" w:hAnsi="Calibri" w:cs="Times New Roman"/>
          <w:i/>
          <w:iCs/>
          <w:noProof/>
          <w:szCs w:val="24"/>
        </w:rPr>
        <w:t>42</w:t>
      </w:r>
      <w:r w:rsidR="00013395" w:rsidRPr="00B0148D">
        <w:rPr>
          <w:rFonts w:ascii="Calibri" w:hAnsi="Calibri" w:cs="Times New Roman"/>
          <w:noProof/>
          <w:szCs w:val="24"/>
        </w:rPr>
        <w:t>, 39–49.</w:t>
      </w:r>
    </w:p>
    <w:p w14:paraId="56FA2098"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Cardello, A. V. (1995). Food quality: Relativity, context and consumer expectations.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6</w:t>
      </w:r>
      <w:r w:rsidRPr="00B0148D">
        <w:rPr>
          <w:rFonts w:ascii="Calibri" w:hAnsi="Calibri" w:cs="Times New Roman"/>
          <w:noProof/>
          <w:szCs w:val="24"/>
        </w:rPr>
        <w:t>(3), 163–170.</w:t>
      </w:r>
    </w:p>
    <w:p w14:paraId="54C13D29" w14:textId="204FF0E0"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Carpio, C. E., &amp; Isengildina-Massa, O. (2009). Consumer Willingness to Pay for Locally Grown Products: The Case of South Carolina. </w:t>
      </w:r>
      <w:r w:rsidRPr="00B0148D">
        <w:rPr>
          <w:rFonts w:ascii="Calibri" w:hAnsi="Calibri" w:cs="Times New Roman"/>
          <w:i/>
          <w:iCs/>
          <w:noProof/>
          <w:szCs w:val="24"/>
        </w:rPr>
        <w:t>Agribusiness</w:t>
      </w:r>
      <w:r w:rsidRPr="00B0148D">
        <w:rPr>
          <w:rFonts w:ascii="Calibri" w:hAnsi="Calibri" w:cs="Times New Roman"/>
          <w:noProof/>
          <w:szCs w:val="24"/>
        </w:rPr>
        <w:t xml:space="preserve">, </w:t>
      </w:r>
      <w:r w:rsidRPr="00B0148D">
        <w:rPr>
          <w:rFonts w:ascii="Calibri" w:hAnsi="Calibri" w:cs="Times New Roman"/>
          <w:i/>
          <w:iCs/>
          <w:noProof/>
          <w:szCs w:val="24"/>
        </w:rPr>
        <w:t>25</w:t>
      </w:r>
      <w:r w:rsidR="00013395" w:rsidRPr="00B0148D">
        <w:rPr>
          <w:rFonts w:ascii="Calibri" w:hAnsi="Calibri" w:cs="Times New Roman"/>
          <w:noProof/>
          <w:szCs w:val="24"/>
        </w:rPr>
        <w:t>(3), 412–426.</w:t>
      </w:r>
    </w:p>
    <w:p w14:paraId="145434D9" w14:textId="5918D74B"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Carrigan, M., &amp; Attala, A. (2001). </w:t>
      </w:r>
      <w:r w:rsidRPr="00B0148D">
        <w:rPr>
          <w:rFonts w:ascii="Calibri" w:hAnsi="Calibri" w:cs="Times New Roman"/>
          <w:i/>
          <w:iCs/>
          <w:noProof/>
          <w:szCs w:val="24"/>
        </w:rPr>
        <w:t>The myth of the ethical consumer - do ethics matter in purchase behaviour?</w:t>
      </w:r>
      <w:r w:rsidRPr="00B0148D">
        <w:rPr>
          <w:rFonts w:ascii="Calibri" w:hAnsi="Calibri" w:cs="Times New Roman"/>
          <w:noProof/>
          <w:szCs w:val="24"/>
        </w:rPr>
        <w:t xml:space="preserve"> </w:t>
      </w:r>
      <w:r w:rsidRPr="00B0148D">
        <w:rPr>
          <w:rFonts w:ascii="Calibri" w:hAnsi="Calibri" w:cs="Times New Roman"/>
          <w:i/>
          <w:iCs/>
          <w:noProof/>
          <w:szCs w:val="24"/>
        </w:rPr>
        <w:t>Journal of Consumer Marketing</w:t>
      </w:r>
      <w:r w:rsidR="00013395" w:rsidRPr="00B0148D">
        <w:rPr>
          <w:rFonts w:ascii="Calibri" w:hAnsi="Calibri" w:cs="Times New Roman"/>
          <w:noProof/>
          <w:szCs w:val="24"/>
        </w:rPr>
        <w:t xml:space="preserve"> </w:t>
      </w:r>
      <w:r w:rsidR="008A41C9" w:rsidRPr="00B0148D">
        <w:rPr>
          <w:rFonts w:ascii="Calibri" w:hAnsi="Calibri" w:cs="Times New Roman"/>
          <w:i/>
          <w:noProof/>
          <w:szCs w:val="24"/>
        </w:rPr>
        <w:t>18</w:t>
      </w:r>
      <w:r w:rsidR="008A41C9" w:rsidRPr="00B0148D">
        <w:rPr>
          <w:rFonts w:ascii="Calibri" w:hAnsi="Calibri" w:cs="Times New Roman"/>
          <w:noProof/>
          <w:szCs w:val="24"/>
        </w:rPr>
        <w:t>(7), 560-578</w:t>
      </w:r>
      <w:r w:rsidR="00013395" w:rsidRPr="00B0148D">
        <w:rPr>
          <w:rFonts w:ascii="Calibri" w:hAnsi="Calibri" w:cs="Times New Roman"/>
          <w:noProof/>
          <w:szCs w:val="24"/>
        </w:rPr>
        <w:t>.</w:t>
      </w:r>
    </w:p>
    <w:p w14:paraId="7D7C3255" w14:textId="16BDF23A"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Cohen, A. (2009). A value based perspective on commitment in the workplace: An examination of Schwartz’s basic human values theory among bank employees in Israel. </w:t>
      </w:r>
      <w:r w:rsidRPr="00B0148D">
        <w:rPr>
          <w:rFonts w:ascii="Calibri" w:hAnsi="Calibri" w:cs="Times New Roman"/>
          <w:i/>
          <w:iCs/>
          <w:noProof/>
          <w:szCs w:val="24"/>
        </w:rPr>
        <w:t>International Journal of Intercultural Relations</w:t>
      </w:r>
      <w:r w:rsidRPr="00B0148D">
        <w:rPr>
          <w:rFonts w:ascii="Calibri" w:hAnsi="Calibri" w:cs="Times New Roman"/>
          <w:noProof/>
          <w:szCs w:val="24"/>
        </w:rPr>
        <w:t xml:space="preserve">, </w:t>
      </w:r>
      <w:r w:rsidRPr="00B0148D">
        <w:rPr>
          <w:rFonts w:ascii="Calibri" w:hAnsi="Calibri" w:cs="Times New Roman"/>
          <w:i/>
          <w:iCs/>
          <w:noProof/>
          <w:szCs w:val="24"/>
        </w:rPr>
        <w:t>33</w:t>
      </w:r>
      <w:r w:rsidR="00013395" w:rsidRPr="00B0148D">
        <w:rPr>
          <w:rFonts w:ascii="Calibri" w:hAnsi="Calibri" w:cs="Times New Roman"/>
          <w:noProof/>
          <w:szCs w:val="24"/>
        </w:rPr>
        <w:t>(4), 332–345.</w:t>
      </w:r>
    </w:p>
    <w:p w14:paraId="4BFBB5C1" w14:textId="71C6EFF6"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Cosmina, M., Gallenti, G., Marangon, F., &amp; Troiano, S. (2016). Attitudes towards honey among Italian consumers: A choice experiment approach.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99</w:t>
      </w:r>
      <w:r w:rsidR="00013395" w:rsidRPr="00B0148D">
        <w:rPr>
          <w:rFonts w:ascii="Calibri" w:hAnsi="Calibri" w:cs="Times New Roman"/>
          <w:noProof/>
          <w:szCs w:val="24"/>
        </w:rPr>
        <w:t>, 52–58.</w:t>
      </w:r>
    </w:p>
    <w:p w14:paraId="12789CC2" w14:textId="4CB2EAEB"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Cronk, L. (2005). The application of animal signaling theory to human phenomena: some thoughts and clarifications. </w:t>
      </w:r>
      <w:r w:rsidRPr="00B0148D">
        <w:rPr>
          <w:rFonts w:ascii="Calibri" w:hAnsi="Calibri" w:cs="Times New Roman"/>
          <w:i/>
          <w:iCs/>
          <w:noProof/>
          <w:szCs w:val="24"/>
        </w:rPr>
        <w:t>Social Science Information</w:t>
      </w:r>
      <w:r w:rsidRPr="00B0148D">
        <w:rPr>
          <w:rFonts w:ascii="Calibri" w:hAnsi="Calibri" w:cs="Times New Roman"/>
          <w:noProof/>
          <w:szCs w:val="24"/>
        </w:rPr>
        <w:t xml:space="preserve">, </w:t>
      </w:r>
      <w:r w:rsidRPr="00B0148D">
        <w:rPr>
          <w:rFonts w:ascii="Calibri" w:hAnsi="Calibri" w:cs="Times New Roman"/>
          <w:i/>
          <w:iCs/>
          <w:noProof/>
          <w:szCs w:val="24"/>
        </w:rPr>
        <w:t>44</w:t>
      </w:r>
      <w:r w:rsidR="00013395" w:rsidRPr="00B0148D">
        <w:rPr>
          <w:rFonts w:ascii="Calibri" w:hAnsi="Calibri" w:cs="Times New Roman"/>
          <w:noProof/>
          <w:szCs w:val="24"/>
        </w:rPr>
        <w:t>(4), 603–620.</w:t>
      </w:r>
    </w:p>
    <w:p w14:paraId="38228AAE" w14:textId="406A515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Daniel, E., Schiefer, D., Mo, A., Boehnke, K., &amp; Knafo, A. (2012). Value Differentiation in Adolescence : The Role of Age and Cultural Complexity. </w:t>
      </w:r>
      <w:r w:rsidRPr="00B0148D">
        <w:rPr>
          <w:rFonts w:ascii="Calibri" w:hAnsi="Calibri" w:cs="Times New Roman"/>
          <w:i/>
          <w:iCs/>
          <w:noProof/>
          <w:szCs w:val="24"/>
        </w:rPr>
        <w:t>Child Development</w:t>
      </w:r>
      <w:r w:rsidRPr="00B0148D">
        <w:rPr>
          <w:rFonts w:ascii="Calibri" w:hAnsi="Calibri" w:cs="Times New Roman"/>
          <w:noProof/>
          <w:szCs w:val="24"/>
        </w:rPr>
        <w:t xml:space="preserve">, </w:t>
      </w:r>
      <w:r w:rsidRPr="00B0148D">
        <w:rPr>
          <w:rFonts w:ascii="Calibri" w:hAnsi="Calibri" w:cs="Times New Roman"/>
          <w:i/>
          <w:iCs/>
          <w:noProof/>
          <w:szCs w:val="24"/>
        </w:rPr>
        <w:t>83</w:t>
      </w:r>
      <w:r w:rsidR="00013395" w:rsidRPr="00B0148D">
        <w:rPr>
          <w:rFonts w:ascii="Calibri" w:hAnsi="Calibri" w:cs="Times New Roman"/>
          <w:noProof/>
          <w:szCs w:val="24"/>
        </w:rPr>
        <w:t>(1), 322–336.</w:t>
      </w:r>
    </w:p>
    <w:p w14:paraId="202F04A3" w14:textId="5FA4BBC9"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Dawkins, M. S., &amp; Guilford, T. (1991). The corruption of honest signalling. </w:t>
      </w:r>
      <w:r w:rsidRPr="00B0148D">
        <w:rPr>
          <w:rFonts w:ascii="Calibri" w:hAnsi="Calibri" w:cs="Times New Roman"/>
          <w:i/>
          <w:iCs/>
          <w:noProof/>
          <w:szCs w:val="24"/>
        </w:rPr>
        <w:t>Animal Behaviour</w:t>
      </w:r>
      <w:r w:rsidRPr="00B0148D">
        <w:rPr>
          <w:rFonts w:ascii="Calibri" w:hAnsi="Calibri" w:cs="Times New Roman"/>
          <w:noProof/>
          <w:szCs w:val="24"/>
        </w:rPr>
        <w:t xml:space="preserve">, </w:t>
      </w:r>
      <w:r w:rsidRPr="00B0148D">
        <w:rPr>
          <w:rFonts w:ascii="Calibri" w:hAnsi="Calibri" w:cs="Times New Roman"/>
          <w:i/>
          <w:iCs/>
          <w:noProof/>
          <w:szCs w:val="24"/>
        </w:rPr>
        <w:t>41</w:t>
      </w:r>
      <w:r w:rsidR="00013395" w:rsidRPr="00B0148D">
        <w:rPr>
          <w:rFonts w:ascii="Calibri" w:hAnsi="Calibri" w:cs="Times New Roman"/>
          <w:noProof/>
          <w:szCs w:val="24"/>
        </w:rPr>
        <w:t>(5), 865–873.</w:t>
      </w:r>
    </w:p>
    <w:p w14:paraId="46D1A95F" w14:textId="2FBF63F3"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de Boer, J., Hoogland, C. T., &amp; Boersema, J. J. (2007). Towards more sustainable food choices: Value priorities and motivational orientations.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18</w:t>
      </w:r>
      <w:r w:rsidR="00013395" w:rsidRPr="00B0148D">
        <w:rPr>
          <w:rFonts w:ascii="Calibri" w:hAnsi="Calibri" w:cs="Times New Roman"/>
          <w:noProof/>
          <w:szCs w:val="24"/>
        </w:rPr>
        <w:t>(7), 985–996.</w:t>
      </w:r>
    </w:p>
    <w:p w14:paraId="742222AB" w14:textId="35EE7A09"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Deliza, R., &amp; MacFie, H. J. H. (1996). the Generation of Sensory Expectation By External Cues and Its Effect on Sensory Perception and Hedonic Ratings: a Review. </w:t>
      </w:r>
      <w:r w:rsidRPr="00B0148D">
        <w:rPr>
          <w:rFonts w:ascii="Calibri" w:hAnsi="Calibri" w:cs="Times New Roman"/>
          <w:i/>
          <w:iCs/>
          <w:noProof/>
          <w:szCs w:val="24"/>
        </w:rPr>
        <w:t>Journal of Sensory Studies</w:t>
      </w:r>
      <w:r w:rsidRPr="00B0148D">
        <w:rPr>
          <w:rFonts w:ascii="Calibri" w:hAnsi="Calibri" w:cs="Times New Roman"/>
          <w:noProof/>
          <w:szCs w:val="24"/>
        </w:rPr>
        <w:t xml:space="preserve">, </w:t>
      </w:r>
      <w:r w:rsidRPr="00B0148D">
        <w:rPr>
          <w:rFonts w:ascii="Calibri" w:hAnsi="Calibri" w:cs="Times New Roman"/>
          <w:i/>
          <w:iCs/>
          <w:noProof/>
          <w:szCs w:val="24"/>
        </w:rPr>
        <w:t>11</w:t>
      </w:r>
      <w:r w:rsidRPr="00B0148D">
        <w:rPr>
          <w:rFonts w:ascii="Calibri" w:hAnsi="Calibri" w:cs="Times New Roman"/>
          <w:noProof/>
          <w:szCs w:val="24"/>
        </w:rPr>
        <w:t>(2), 103–128.</w:t>
      </w:r>
    </w:p>
    <w:p w14:paraId="5C98E318"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Dietz, T., Frisch, A. S., Kalof, L., Stern, P. C., &amp; Guagnano, G. A. (1995). Values and Vegetarianism: An Exploratory Analysis. </w:t>
      </w:r>
      <w:r w:rsidRPr="00B0148D">
        <w:rPr>
          <w:rFonts w:ascii="Calibri" w:hAnsi="Calibri" w:cs="Times New Roman"/>
          <w:i/>
          <w:iCs/>
          <w:noProof/>
          <w:szCs w:val="24"/>
        </w:rPr>
        <w:t>Rural Sociology</w:t>
      </w:r>
      <w:r w:rsidRPr="00B0148D">
        <w:rPr>
          <w:rFonts w:ascii="Calibri" w:hAnsi="Calibri" w:cs="Times New Roman"/>
          <w:noProof/>
          <w:szCs w:val="24"/>
        </w:rPr>
        <w:t xml:space="preserve">, </w:t>
      </w:r>
      <w:r w:rsidRPr="00B0148D">
        <w:rPr>
          <w:rFonts w:ascii="Calibri" w:hAnsi="Calibri" w:cs="Times New Roman"/>
          <w:i/>
          <w:iCs/>
          <w:noProof/>
          <w:szCs w:val="24"/>
        </w:rPr>
        <w:t>60</w:t>
      </w:r>
      <w:r w:rsidRPr="00B0148D">
        <w:rPr>
          <w:rFonts w:ascii="Calibri" w:hAnsi="Calibri" w:cs="Times New Roman"/>
          <w:noProof/>
          <w:szCs w:val="24"/>
        </w:rPr>
        <w:t>(3), 533–542.</w:t>
      </w:r>
    </w:p>
    <w:p w14:paraId="704CFBFD" w14:textId="24D8CF1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lastRenderedPageBreak/>
        <w:t xml:space="preserve">Dreezens, E., Martijn, C., Tenbült, P., Kok, G., &amp; De Vries, N. K. (2005a). Food and the relation between values and attitude characteristics.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45</w:t>
      </w:r>
      <w:r w:rsidRPr="00B0148D">
        <w:rPr>
          <w:rFonts w:ascii="Calibri" w:hAnsi="Calibri" w:cs="Times New Roman"/>
          <w:noProof/>
          <w:szCs w:val="24"/>
        </w:rPr>
        <w:t xml:space="preserve">(1), 40–46. </w:t>
      </w:r>
    </w:p>
    <w:p w14:paraId="546C04CE" w14:textId="43537D48"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lang w:val="sv-SE"/>
        </w:rPr>
        <w:t xml:space="preserve">Dreezens, E., Martijn, C., Tenbült, P., Kok, G., &amp; De Vries, N. K. (2005b). </w:t>
      </w:r>
      <w:r w:rsidRPr="00B0148D">
        <w:rPr>
          <w:rFonts w:ascii="Calibri" w:hAnsi="Calibri" w:cs="Times New Roman"/>
          <w:noProof/>
          <w:szCs w:val="24"/>
        </w:rPr>
        <w:t xml:space="preserve">Food and values: An examination of values underlying attitudes toward genetically modified- and organically grown food products.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44</w:t>
      </w:r>
      <w:r w:rsidR="00013395" w:rsidRPr="00B0148D">
        <w:rPr>
          <w:rFonts w:ascii="Calibri" w:hAnsi="Calibri" w:cs="Times New Roman"/>
          <w:noProof/>
          <w:szCs w:val="24"/>
        </w:rPr>
        <w:t>(1), 115–122.</w:t>
      </w:r>
    </w:p>
    <w:p w14:paraId="4F014241" w14:textId="734F8153"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Döring, A. K., Daniel, E., &amp; Knafo-Noam, A. (2016). Introduction to the Special Section Value Development from Middle Childhood to Early Adulthood — New Insights from Longitudinal and Genetically Informed Research. </w:t>
      </w:r>
      <w:r w:rsidRPr="00B0148D">
        <w:rPr>
          <w:rFonts w:ascii="Calibri" w:hAnsi="Calibri" w:cs="Times New Roman"/>
          <w:i/>
          <w:iCs/>
          <w:noProof/>
          <w:szCs w:val="24"/>
        </w:rPr>
        <w:t>Social Development</w:t>
      </w:r>
      <w:r w:rsidRPr="00B0148D">
        <w:rPr>
          <w:rFonts w:ascii="Calibri" w:hAnsi="Calibri" w:cs="Times New Roman"/>
          <w:noProof/>
          <w:szCs w:val="24"/>
        </w:rPr>
        <w:t xml:space="preserve">, </w:t>
      </w:r>
      <w:r w:rsidRPr="00B0148D">
        <w:rPr>
          <w:rFonts w:ascii="Calibri" w:hAnsi="Calibri" w:cs="Times New Roman"/>
          <w:i/>
          <w:iCs/>
          <w:noProof/>
          <w:szCs w:val="24"/>
        </w:rPr>
        <w:t>25</w:t>
      </w:r>
      <w:r w:rsidRPr="00B0148D">
        <w:rPr>
          <w:rFonts w:ascii="Calibri" w:hAnsi="Calibri" w:cs="Times New Roman"/>
          <w:noProof/>
          <w:szCs w:val="24"/>
        </w:rPr>
        <w:t xml:space="preserve">(3), 471–481. </w:t>
      </w:r>
    </w:p>
    <w:p w14:paraId="7E579545" w14:textId="01960521"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Espinosa, P., Clemente, M., &amp; Uña, O. (2016). Motivational Values , Parental Influences and the Experience of Discrimination among Romanian and Moroccan Young Immigrants in Spain. </w:t>
      </w:r>
      <w:r w:rsidRPr="00B0148D">
        <w:rPr>
          <w:rFonts w:ascii="Calibri" w:hAnsi="Calibri" w:cs="Times New Roman"/>
          <w:i/>
          <w:iCs/>
          <w:noProof/>
          <w:szCs w:val="24"/>
        </w:rPr>
        <w:t>The Spanish Journal of Psychology</w:t>
      </w:r>
      <w:r w:rsidRPr="00B0148D">
        <w:rPr>
          <w:rFonts w:ascii="Calibri" w:hAnsi="Calibri" w:cs="Times New Roman"/>
          <w:noProof/>
          <w:szCs w:val="24"/>
        </w:rPr>
        <w:t xml:space="preserve">, </w:t>
      </w:r>
      <w:r w:rsidRPr="00B0148D">
        <w:rPr>
          <w:rFonts w:ascii="Calibri" w:hAnsi="Calibri" w:cs="Times New Roman"/>
          <w:i/>
          <w:iCs/>
          <w:noProof/>
          <w:szCs w:val="24"/>
        </w:rPr>
        <w:t>19</w:t>
      </w:r>
      <w:r w:rsidR="00013395" w:rsidRPr="00B0148D">
        <w:rPr>
          <w:rFonts w:ascii="Calibri" w:hAnsi="Calibri" w:cs="Times New Roman"/>
          <w:noProof/>
          <w:szCs w:val="24"/>
        </w:rPr>
        <w:t>, 1–11.</w:t>
      </w:r>
    </w:p>
    <w:p w14:paraId="01067A39" w14:textId="06973158"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Farragher, T., Wang, W. C., &amp; Worsley, A. (2016). The associations of vegetable consumption with food mavenism , personal values , food knowledge and demographic factors.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97</w:t>
      </w:r>
      <w:r w:rsidR="00013395" w:rsidRPr="00B0148D">
        <w:rPr>
          <w:rFonts w:ascii="Calibri" w:hAnsi="Calibri" w:cs="Times New Roman"/>
          <w:noProof/>
          <w:szCs w:val="24"/>
        </w:rPr>
        <w:t>, 29–36.</w:t>
      </w:r>
    </w:p>
    <w:p w14:paraId="708B7D73" w14:textId="2F1DCCAA"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Feldmann, C., &amp; Hamm, U. (2015). Consumers’ perceptions and preferences for local food: A review.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40</w:t>
      </w:r>
      <w:r w:rsidR="00013395" w:rsidRPr="00B0148D">
        <w:rPr>
          <w:rFonts w:ascii="Calibri" w:hAnsi="Calibri" w:cs="Times New Roman"/>
          <w:noProof/>
          <w:szCs w:val="24"/>
        </w:rPr>
        <w:t>, 152–164.</w:t>
      </w:r>
    </w:p>
    <w:p w14:paraId="32588D14" w14:textId="78A0AB94"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Fernández-Ferrín, P., &amp; Bande-Vilela, B. (2013). Regional ethnocentrism: Antecedents, consequences, and moderating effects.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30</w:t>
      </w:r>
      <w:r w:rsidR="00013395" w:rsidRPr="00B0148D">
        <w:rPr>
          <w:rFonts w:ascii="Calibri" w:hAnsi="Calibri" w:cs="Times New Roman"/>
          <w:noProof/>
          <w:szCs w:val="24"/>
        </w:rPr>
        <w:t>(2), 299–308.</w:t>
      </w:r>
    </w:p>
    <w:p w14:paraId="0A2917A7" w14:textId="4E62DF22"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Fernández-Ferrín, P., Calvo-Turrientes, A., Bande, B., Artaraz-Miñón, M., &amp; Galán-Ladero, M. M. (2017). The valuation and purchase of food products that combine local, regional and traditional features: The influence of consumer ethnocentrism. </w:t>
      </w:r>
      <w:r w:rsidRPr="00B0148D">
        <w:rPr>
          <w:rFonts w:ascii="Calibri" w:hAnsi="Calibri" w:cs="Times New Roman"/>
          <w:i/>
          <w:iCs/>
          <w:noProof/>
          <w:szCs w:val="24"/>
        </w:rPr>
        <w:t>Food Quality and Preference</w:t>
      </w:r>
      <w:r w:rsidR="00013395" w:rsidRPr="00B0148D">
        <w:rPr>
          <w:rFonts w:ascii="Calibri" w:hAnsi="Calibri" w:cs="Times New Roman"/>
          <w:noProof/>
          <w:szCs w:val="24"/>
        </w:rPr>
        <w:t xml:space="preserve">, </w:t>
      </w:r>
      <w:r w:rsidR="008A41C9" w:rsidRPr="00B0148D">
        <w:rPr>
          <w:rFonts w:ascii="Calibri" w:hAnsi="Calibri" w:cs="Times New Roman"/>
          <w:noProof/>
          <w:szCs w:val="24"/>
        </w:rPr>
        <w:t>http://dx.doi.org/10.1016/j.foodqual.2017.09.015</w:t>
      </w:r>
    </w:p>
    <w:p w14:paraId="657D1DE9" w14:textId="2AC4B273"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lang w:val="sv-SE"/>
        </w:rPr>
        <w:t xml:space="preserve">Gellynck, X., Kühne, B., Van Bockstaele, F., Van de Walle, D., &amp; Dewettinck, K. (2009). </w:t>
      </w:r>
      <w:r w:rsidRPr="00B0148D">
        <w:rPr>
          <w:rFonts w:ascii="Calibri" w:hAnsi="Calibri" w:cs="Times New Roman"/>
          <w:noProof/>
          <w:szCs w:val="24"/>
        </w:rPr>
        <w:t xml:space="preserve">Consumer perception of bread quality.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53</w:t>
      </w:r>
      <w:r w:rsidR="00013395" w:rsidRPr="00B0148D">
        <w:rPr>
          <w:rFonts w:ascii="Calibri" w:hAnsi="Calibri" w:cs="Times New Roman"/>
          <w:noProof/>
          <w:szCs w:val="24"/>
        </w:rPr>
        <w:t>, 16–23.</w:t>
      </w:r>
    </w:p>
    <w:p w14:paraId="0BF14EFC" w14:textId="19679620"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Grunert, K. G. (2005). Food quality and safety : consumer perception and demand. </w:t>
      </w:r>
      <w:r w:rsidRPr="00B0148D">
        <w:rPr>
          <w:rFonts w:ascii="Calibri" w:hAnsi="Calibri" w:cs="Times New Roman"/>
          <w:i/>
          <w:iCs/>
          <w:noProof/>
          <w:szCs w:val="24"/>
        </w:rPr>
        <w:t>European Review of Agricultural Economics</w:t>
      </w:r>
      <w:r w:rsidRPr="00B0148D">
        <w:rPr>
          <w:rFonts w:ascii="Calibri" w:hAnsi="Calibri" w:cs="Times New Roman"/>
          <w:noProof/>
          <w:szCs w:val="24"/>
        </w:rPr>
        <w:t xml:space="preserve">, </w:t>
      </w:r>
      <w:r w:rsidRPr="00B0148D">
        <w:rPr>
          <w:rFonts w:ascii="Calibri" w:hAnsi="Calibri" w:cs="Times New Roman"/>
          <w:i/>
          <w:iCs/>
          <w:noProof/>
          <w:szCs w:val="24"/>
        </w:rPr>
        <w:t>32</w:t>
      </w:r>
      <w:r w:rsidR="00013395" w:rsidRPr="00B0148D">
        <w:rPr>
          <w:rFonts w:ascii="Calibri" w:hAnsi="Calibri" w:cs="Times New Roman"/>
          <w:noProof/>
          <w:szCs w:val="24"/>
        </w:rPr>
        <w:t>(3), 369–391.</w:t>
      </w:r>
    </w:p>
    <w:p w14:paraId="436FDD22" w14:textId="0B65065D"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lang w:val="sv-SE"/>
        </w:rPr>
      </w:pPr>
      <w:r w:rsidRPr="00B0148D">
        <w:rPr>
          <w:rFonts w:ascii="Calibri" w:hAnsi="Calibri" w:cs="Times New Roman"/>
          <w:noProof/>
          <w:szCs w:val="24"/>
        </w:rPr>
        <w:t xml:space="preserve">Grunert, K. G., Hieke, S., &amp; Wills, J. (2014). Sustainability labels on food products: Consumer motivation, understanding and use. </w:t>
      </w:r>
      <w:r w:rsidRPr="00B0148D">
        <w:rPr>
          <w:rFonts w:ascii="Calibri" w:hAnsi="Calibri" w:cs="Times New Roman"/>
          <w:i/>
          <w:iCs/>
          <w:noProof/>
          <w:szCs w:val="24"/>
          <w:lang w:val="sv-SE"/>
        </w:rPr>
        <w:t>Food Policy</w:t>
      </w:r>
      <w:r w:rsidRPr="00B0148D">
        <w:rPr>
          <w:rFonts w:ascii="Calibri" w:hAnsi="Calibri" w:cs="Times New Roman"/>
          <w:noProof/>
          <w:szCs w:val="24"/>
          <w:lang w:val="sv-SE"/>
        </w:rPr>
        <w:t xml:space="preserve">, </w:t>
      </w:r>
      <w:r w:rsidRPr="00B0148D">
        <w:rPr>
          <w:rFonts w:ascii="Calibri" w:hAnsi="Calibri" w:cs="Times New Roman"/>
          <w:i/>
          <w:iCs/>
          <w:noProof/>
          <w:szCs w:val="24"/>
          <w:lang w:val="sv-SE"/>
        </w:rPr>
        <w:t>44</w:t>
      </w:r>
      <w:r w:rsidR="00013395" w:rsidRPr="00B0148D">
        <w:rPr>
          <w:rFonts w:ascii="Calibri" w:hAnsi="Calibri" w:cs="Times New Roman"/>
          <w:noProof/>
          <w:szCs w:val="24"/>
          <w:lang w:val="sv-SE"/>
        </w:rPr>
        <w:t>, 177–189.</w:t>
      </w:r>
    </w:p>
    <w:p w14:paraId="3583350C" w14:textId="1DA056F3"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lang w:val="sv-SE"/>
        </w:rPr>
        <w:t xml:space="preserve">Gutjar, S., Graaf, C. De, Palascha, A., &amp; Jager, G. (2014). </w:t>
      </w:r>
      <w:r w:rsidRPr="00B0148D">
        <w:rPr>
          <w:rFonts w:ascii="Calibri" w:hAnsi="Calibri" w:cs="Times New Roman"/>
          <w:noProof/>
          <w:szCs w:val="24"/>
        </w:rPr>
        <w:t xml:space="preserve">Food choice: The battle between package , taste and consumption situation.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80</w:t>
      </w:r>
      <w:r w:rsidR="00013395" w:rsidRPr="00B0148D">
        <w:rPr>
          <w:rFonts w:ascii="Calibri" w:hAnsi="Calibri" w:cs="Times New Roman"/>
          <w:noProof/>
          <w:szCs w:val="24"/>
        </w:rPr>
        <w:t>, 109–113.</w:t>
      </w:r>
    </w:p>
    <w:p w14:paraId="0596E315" w14:textId="70DF2E8F"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Hatano, K., Sugimura, K., &amp; Klimstra, T. A. (2017). Which came first , personality traits or identity processes during early and middle adolescence ? </w:t>
      </w:r>
      <w:r w:rsidRPr="00B0148D">
        <w:rPr>
          <w:rFonts w:ascii="Calibri" w:hAnsi="Calibri" w:cs="Times New Roman"/>
          <w:i/>
          <w:iCs/>
          <w:noProof/>
          <w:szCs w:val="24"/>
        </w:rPr>
        <w:t>Journal of Research in Personality</w:t>
      </w:r>
      <w:r w:rsidRPr="00B0148D">
        <w:rPr>
          <w:rFonts w:ascii="Calibri" w:hAnsi="Calibri" w:cs="Times New Roman"/>
          <w:noProof/>
          <w:szCs w:val="24"/>
        </w:rPr>
        <w:t xml:space="preserve">, </w:t>
      </w:r>
      <w:r w:rsidRPr="00B0148D">
        <w:rPr>
          <w:rFonts w:ascii="Calibri" w:hAnsi="Calibri" w:cs="Times New Roman"/>
          <w:i/>
          <w:iCs/>
          <w:noProof/>
          <w:szCs w:val="24"/>
        </w:rPr>
        <w:t>67</w:t>
      </w:r>
      <w:r w:rsidR="00013395" w:rsidRPr="00B0148D">
        <w:rPr>
          <w:rFonts w:ascii="Calibri" w:hAnsi="Calibri" w:cs="Times New Roman"/>
          <w:noProof/>
          <w:szCs w:val="24"/>
        </w:rPr>
        <w:t>, 120–131.</w:t>
      </w:r>
    </w:p>
    <w:p w14:paraId="08924851" w14:textId="777DD4C6"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Hayley, A., Zinkiewicz, L., &amp; Hardiman, K. (2015). Values , attitudes , and frequency of meat consumption . Predicting meat-reduced diet in Australians.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84</w:t>
      </w:r>
      <w:r w:rsidR="00013395" w:rsidRPr="00B0148D">
        <w:rPr>
          <w:rFonts w:ascii="Calibri" w:hAnsi="Calibri" w:cs="Times New Roman"/>
          <w:noProof/>
          <w:szCs w:val="24"/>
        </w:rPr>
        <w:t>, 98–106.</w:t>
      </w:r>
    </w:p>
    <w:p w14:paraId="6EECFAEE" w14:textId="667ED92B"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Hellyer, N. E., Fraser, I., &amp; Haddock-Fraser, J. (2012). Food choice , health information and functional ingredients: An experimental auction employing bread. </w:t>
      </w:r>
      <w:r w:rsidRPr="00B0148D">
        <w:rPr>
          <w:rFonts w:ascii="Calibri" w:hAnsi="Calibri" w:cs="Times New Roman"/>
          <w:i/>
          <w:iCs/>
          <w:noProof/>
          <w:szCs w:val="24"/>
        </w:rPr>
        <w:t>Food Policy</w:t>
      </w:r>
      <w:r w:rsidRPr="00B0148D">
        <w:rPr>
          <w:rFonts w:ascii="Calibri" w:hAnsi="Calibri" w:cs="Times New Roman"/>
          <w:noProof/>
          <w:szCs w:val="24"/>
        </w:rPr>
        <w:t xml:space="preserve">, </w:t>
      </w:r>
      <w:r w:rsidRPr="00B0148D">
        <w:rPr>
          <w:rFonts w:ascii="Calibri" w:hAnsi="Calibri" w:cs="Times New Roman"/>
          <w:i/>
          <w:iCs/>
          <w:noProof/>
          <w:szCs w:val="24"/>
        </w:rPr>
        <w:t>37</w:t>
      </w:r>
      <w:r w:rsidR="00013395" w:rsidRPr="00B0148D">
        <w:rPr>
          <w:rFonts w:ascii="Calibri" w:hAnsi="Calibri" w:cs="Times New Roman"/>
          <w:noProof/>
          <w:szCs w:val="24"/>
        </w:rPr>
        <w:t>(3), 232–245.</w:t>
      </w:r>
    </w:p>
    <w:p w14:paraId="14635C72" w14:textId="5C1074E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Hodson, G., &amp; Earle, M. (2018). Conservatism predicts lapses from vegetarian/vegan diets to meat consumption (through lower social justice concerns and social support).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120</w:t>
      </w:r>
      <w:r w:rsidRPr="00B0148D">
        <w:rPr>
          <w:rFonts w:ascii="Calibri" w:hAnsi="Calibri" w:cs="Times New Roman"/>
          <w:noProof/>
          <w:szCs w:val="24"/>
        </w:rPr>
        <w:t xml:space="preserve">, 75–81. </w:t>
      </w:r>
    </w:p>
    <w:p w14:paraId="42DE4F1D" w14:textId="5ED2E7B8"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Hoppert, K., Mai, R., Zahn, S., Hoffmann, S., &amp; Rohm, H. (2012). Integrating sensory evaluation in </w:t>
      </w:r>
      <w:r w:rsidRPr="00B0148D">
        <w:rPr>
          <w:rFonts w:ascii="Calibri" w:hAnsi="Calibri" w:cs="Times New Roman"/>
          <w:noProof/>
          <w:szCs w:val="24"/>
        </w:rPr>
        <w:lastRenderedPageBreak/>
        <w:t xml:space="preserve">adaptive conjoint analysis to elaborate the conflicting influence of intrinsic and extrinsic attributes on food choice.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59</w:t>
      </w:r>
      <w:r w:rsidR="00013395" w:rsidRPr="00B0148D">
        <w:rPr>
          <w:rFonts w:ascii="Calibri" w:hAnsi="Calibri" w:cs="Times New Roman"/>
          <w:noProof/>
          <w:szCs w:val="24"/>
        </w:rPr>
        <w:t>(3), 949–955.</w:t>
      </w:r>
    </w:p>
    <w:p w14:paraId="658DF33C" w14:textId="13B60B32"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Iaccarino, T., Di Monaco, R., Mincione, A., Cavella, S., &amp; Masi, P. (2006). Influence of information on origin and technology on the consumer response: The case of soppressata salami.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17</w:t>
      </w:r>
      <w:r w:rsidR="00013395" w:rsidRPr="00B0148D">
        <w:rPr>
          <w:rFonts w:ascii="Calibri" w:hAnsi="Calibri" w:cs="Times New Roman"/>
          <w:noProof/>
          <w:szCs w:val="24"/>
        </w:rPr>
        <w:t>(1–2), 76–84.</w:t>
      </w:r>
    </w:p>
    <w:p w14:paraId="11B92DA0" w14:textId="1818FE94"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Jang, Y. J., Kim, W. G., &amp; Bonn, M. A. (2011). Generation Y consumers’ selection attributes and behavioral intentions concerning green restaurants. </w:t>
      </w:r>
      <w:r w:rsidRPr="00B0148D">
        <w:rPr>
          <w:rFonts w:ascii="Calibri" w:hAnsi="Calibri" w:cs="Times New Roman"/>
          <w:i/>
          <w:iCs/>
          <w:noProof/>
          <w:szCs w:val="24"/>
        </w:rPr>
        <w:t>International Journal of Hospitality Management</w:t>
      </w:r>
      <w:r w:rsidRPr="00B0148D">
        <w:rPr>
          <w:rFonts w:ascii="Calibri" w:hAnsi="Calibri" w:cs="Times New Roman"/>
          <w:noProof/>
          <w:szCs w:val="24"/>
        </w:rPr>
        <w:t xml:space="preserve">, </w:t>
      </w:r>
      <w:r w:rsidRPr="00B0148D">
        <w:rPr>
          <w:rFonts w:ascii="Calibri" w:hAnsi="Calibri" w:cs="Times New Roman"/>
          <w:i/>
          <w:iCs/>
          <w:noProof/>
          <w:szCs w:val="24"/>
        </w:rPr>
        <w:t>30</w:t>
      </w:r>
      <w:r w:rsidR="00013395" w:rsidRPr="00B0148D">
        <w:rPr>
          <w:rFonts w:ascii="Calibri" w:hAnsi="Calibri" w:cs="Times New Roman"/>
          <w:noProof/>
          <w:szCs w:val="24"/>
        </w:rPr>
        <w:t>(4), 803–811.</w:t>
      </w:r>
    </w:p>
    <w:p w14:paraId="08180B06"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John, D. R. (2008). Stages of consumer socialization: The development of consumer knowledge, skills, and values from childhood to adolescence. In C. P. Haugtvedt, P. M. Herr, &amp; F. R. Karders (Eds.), </w:t>
      </w:r>
      <w:r w:rsidRPr="00B0148D">
        <w:rPr>
          <w:rFonts w:ascii="Calibri" w:hAnsi="Calibri" w:cs="Times New Roman"/>
          <w:i/>
          <w:iCs/>
          <w:noProof/>
          <w:szCs w:val="24"/>
        </w:rPr>
        <w:t>Handbook of Consumer Psychology, Marketing and Consumer Psychology Series</w:t>
      </w:r>
      <w:r w:rsidRPr="00B0148D">
        <w:rPr>
          <w:rFonts w:ascii="Calibri" w:hAnsi="Calibri" w:cs="Times New Roman"/>
          <w:noProof/>
          <w:szCs w:val="24"/>
        </w:rPr>
        <w:t xml:space="preserve"> (pp. 221–246). New York: Erlbaum.</w:t>
      </w:r>
    </w:p>
    <w:p w14:paraId="1D6BABFD" w14:textId="5A092A08"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Kihlberg, I., &amp; Risvik, E. (2007). Consumers of organic foods - value segments and liking of bread.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18</w:t>
      </w:r>
      <w:r w:rsidR="00013395" w:rsidRPr="00B0148D">
        <w:rPr>
          <w:rFonts w:ascii="Calibri" w:hAnsi="Calibri" w:cs="Times New Roman"/>
          <w:noProof/>
          <w:szCs w:val="24"/>
        </w:rPr>
        <w:t>(3), 471–481.</w:t>
      </w:r>
    </w:p>
    <w:p w14:paraId="46B1D556" w14:textId="7B747B2E"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Kim, Y. G., Eves, A., &amp; Scarles, C. (2013). Empirical verification of a conceptual model of local food consumption at a tourist destination. </w:t>
      </w:r>
      <w:r w:rsidRPr="00B0148D">
        <w:rPr>
          <w:rFonts w:ascii="Calibri" w:hAnsi="Calibri" w:cs="Times New Roman"/>
          <w:i/>
          <w:iCs/>
          <w:noProof/>
          <w:szCs w:val="24"/>
        </w:rPr>
        <w:t>International Journal of Hospitality Management</w:t>
      </w:r>
      <w:r w:rsidRPr="00B0148D">
        <w:rPr>
          <w:rFonts w:ascii="Calibri" w:hAnsi="Calibri" w:cs="Times New Roman"/>
          <w:noProof/>
          <w:szCs w:val="24"/>
        </w:rPr>
        <w:t xml:space="preserve">, </w:t>
      </w:r>
      <w:r w:rsidRPr="00B0148D">
        <w:rPr>
          <w:rFonts w:ascii="Calibri" w:hAnsi="Calibri" w:cs="Times New Roman"/>
          <w:i/>
          <w:iCs/>
          <w:noProof/>
          <w:szCs w:val="24"/>
        </w:rPr>
        <w:t>33</w:t>
      </w:r>
      <w:r w:rsidR="00013395" w:rsidRPr="00B0148D">
        <w:rPr>
          <w:rFonts w:ascii="Calibri" w:hAnsi="Calibri" w:cs="Times New Roman"/>
          <w:noProof/>
          <w:szCs w:val="24"/>
        </w:rPr>
        <w:t>(1), 484–489.</w:t>
      </w:r>
    </w:p>
    <w:p w14:paraId="2F522893"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Knafo, A., &amp; Schwartz, S. H. (2009). Accounting for parent-child value congruence: Theoretical considerations and empirical evidence. In U. Schönpflug (Ed.), </w:t>
      </w:r>
      <w:r w:rsidRPr="00B0148D">
        <w:rPr>
          <w:rFonts w:ascii="Calibri" w:hAnsi="Calibri" w:cs="Times New Roman"/>
          <w:i/>
          <w:iCs/>
          <w:noProof/>
          <w:szCs w:val="24"/>
        </w:rPr>
        <w:t>Culture and psychology. Cultural transmission: Psychological, developmental, social, and methodological aspects</w:t>
      </w:r>
      <w:r w:rsidRPr="00B0148D">
        <w:rPr>
          <w:rFonts w:ascii="Calibri" w:hAnsi="Calibri" w:cs="Times New Roman"/>
          <w:noProof/>
          <w:szCs w:val="24"/>
        </w:rPr>
        <w:t xml:space="preserve"> (pp. 240–268). New York: Cambridge University Press.</w:t>
      </w:r>
    </w:p>
    <w:p w14:paraId="7DEB4B31"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Krips, H., Luik, P., Taimalu, M., Kukemelk, H., Saparniene, D., Saparnis, G., … Merisuo-Storm, T. (2013). The Value Priorities of Adolescents in Estonia , Lithuania and Finland : a Comparative Perspective. </w:t>
      </w:r>
      <w:r w:rsidRPr="00B0148D">
        <w:rPr>
          <w:rFonts w:ascii="Calibri" w:hAnsi="Calibri" w:cs="Times New Roman"/>
          <w:i/>
          <w:iCs/>
          <w:noProof/>
          <w:szCs w:val="24"/>
        </w:rPr>
        <w:t>British Journal of Education, Society &amp; Behavioural Science</w:t>
      </w:r>
      <w:r w:rsidRPr="00B0148D">
        <w:rPr>
          <w:rFonts w:ascii="Calibri" w:hAnsi="Calibri" w:cs="Times New Roman"/>
          <w:noProof/>
          <w:szCs w:val="24"/>
        </w:rPr>
        <w:t xml:space="preserve">, </w:t>
      </w:r>
      <w:r w:rsidRPr="00B0148D">
        <w:rPr>
          <w:rFonts w:ascii="Calibri" w:hAnsi="Calibri" w:cs="Times New Roman"/>
          <w:i/>
          <w:iCs/>
          <w:noProof/>
          <w:szCs w:val="24"/>
        </w:rPr>
        <w:t>3</w:t>
      </w:r>
      <w:r w:rsidRPr="00B0148D">
        <w:rPr>
          <w:rFonts w:ascii="Calibri" w:hAnsi="Calibri" w:cs="Times New Roman"/>
          <w:noProof/>
          <w:szCs w:val="24"/>
        </w:rPr>
        <w:t>(3), 233–245.</w:t>
      </w:r>
    </w:p>
    <w:p w14:paraId="46B0950E" w14:textId="0301E786"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Köster, E. P. (2009). Diversity in the determinants of food choice: A psychological perspective.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20</w:t>
      </w:r>
      <w:r w:rsidR="00013395" w:rsidRPr="00B0148D">
        <w:rPr>
          <w:rFonts w:ascii="Calibri" w:hAnsi="Calibri" w:cs="Times New Roman"/>
          <w:noProof/>
          <w:szCs w:val="24"/>
        </w:rPr>
        <w:t>, 70–82.</w:t>
      </w:r>
    </w:p>
    <w:p w14:paraId="7F531678" w14:textId="51ACAE38"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Lee, J. A., Ye, S., Sneddon, J. N., Collins, P. R., &amp; Daniel, E. (2017). Does the intra-individual structure of values exist in young childr</w:t>
      </w:r>
      <w:r w:rsidR="00743854" w:rsidRPr="00B0148D">
        <w:rPr>
          <w:rFonts w:ascii="Calibri" w:hAnsi="Calibri" w:cs="Times New Roman"/>
          <w:noProof/>
          <w:szCs w:val="24"/>
        </w:rPr>
        <w:t>en</w:t>
      </w:r>
      <w:r w:rsidRPr="00B0148D">
        <w:rPr>
          <w:rFonts w:ascii="Calibri" w:hAnsi="Calibri" w:cs="Times New Roman"/>
          <w:noProof/>
          <w:szCs w:val="24"/>
        </w:rPr>
        <w:t xml:space="preserve">? </w:t>
      </w:r>
      <w:r w:rsidRPr="00B0148D">
        <w:rPr>
          <w:rFonts w:ascii="Calibri" w:hAnsi="Calibri" w:cs="Times New Roman"/>
          <w:i/>
          <w:iCs/>
          <w:noProof/>
          <w:szCs w:val="24"/>
        </w:rPr>
        <w:t>Personality and Individual Differences</w:t>
      </w:r>
      <w:r w:rsidRPr="00B0148D">
        <w:rPr>
          <w:rFonts w:ascii="Calibri" w:hAnsi="Calibri" w:cs="Times New Roman"/>
          <w:noProof/>
          <w:szCs w:val="24"/>
        </w:rPr>
        <w:t xml:space="preserve">, </w:t>
      </w:r>
      <w:r w:rsidRPr="00B0148D">
        <w:rPr>
          <w:rFonts w:ascii="Calibri" w:hAnsi="Calibri" w:cs="Times New Roman"/>
          <w:i/>
          <w:iCs/>
          <w:noProof/>
          <w:szCs w:val="24"/>
        </w:rPr>
        <w:t>110</w:t>
      </w:r>
      <w:r w:rsidRPr="00B0148D">
        <w:rPr>
          <w:rFonts w:ascii="Calibri" w:hAnsi="Calibri" w:cs="Times New Roman"/>
          <w:noProof/>
          <w:szCs w:val="24"/>
        </w:rPr>
        <w:t xml:space="preserve">, 125–130. </w:t>
      </w:r>
    </w:p>
    <w:p w14:paraId="3191F860" w14:textId="65C5148D"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LeVine, R. A. (2015). Ethnocentrism. In J. D. Wright (Ed.), </w:t>
      </w:r>
      <w:r w:rsidRPr="00B0148D">
        <w:rPr>
          <w:rFonts w:ascii="Calibri" w:hAnsi="Calibri" w:cs="Times New Roman"/>
          <w:i/>
          <w:iCs/>
          <w:noProof/>
          <w:szCs w:val="24"/>
        </w:rPr>
        <w:t>International Encyclopedia of the Social &amp; Behavioral Sciences</w:t>
      </w:r>
      <w:r w:rsidRPr="00B0148D">
        <w:rPr>
          <w:rFonts w:ascii="Calibri" w:hAnsi="Calibri" w:cs="Times New Roman"/>
          <w:noProof/>
          <w:szCs w:val="24"/>
        </w:rPr>
        <w:t xml:space="preserve"> (2nd ed., Vol. 8, pp. 166–167). </w:t>
      </w:r>
      <w:r w:rsidR="00013395" w:rsidRPr="00B0148D">
        <w:rPr>
          <w:rFonts w:ascii="Calibri" w:hAnsi="Calibri" w:cs="Times New Roman"/>
          <w:noProof/>
          <w:szCs w:val="24"/>
        </w:rPr>
        <w:t>Amsterdam: Elsevier.</w:t>
      </w:r>
    </w:p>
    <w:p w14:paraId="47F23B3D" w14:textId="1D104F82"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Liem, G. A. D., Martin, A. J., Nair, E., &amp; Bernardo, A. B. I. (2011). Content and Structure of Values in Middle Adolescence : Evidence From Singapore , the Philippines , Indonesia , and Australia. </w:t>
      </w:r>
      <w:r w:rsidRPr="00B0148D">
        <w:rPr>
          <w:rFonts w:ascii="Calibri" w:hAnsi="Calibri" w:cs="Times New Roman"/>
          <w:i/>
          <w:iCs/>
          <w:noProof/>
          <w:szCs w:val="24"/>
        </w:rPr>
        <w:t>Journal of Cross-Cultural Psychology</w:t>
      </w:r>
      <w:r w:rsidRPr="00B0148D">
        <w:rPr>
          <w:rFonts w:ascii="Calibri" w:hAnsi="Calibri" w:cs="Times New Roman"/>
          <w:noProof/>
          <w:szCs w:val="24"/>
        </w:rPr>
        <w:t xml:space="preserve">, </w:t>
      </w:r>
      <w:r w:rsidRPr="00B0148D">
        <w:rPr>
          <w:rFonts w:ascii="Calibri" w:hAnsi="Calibri" w:cs="Times New Roman"/>
          <w:i/>
          <w:iCs/>
          <w:noProof/>
          <w:szCs w:val="24"/>
        </w:rPr>
        <w:t>42</w:t>
      </w:r>
      <w:r w:rsidR="00013395" w:rsidRPr="00B0148D">
        <w:rPr>
          <w:rFonts w:ascii="Calibri" w:hAnsi="Calibri" w:cs="Times New Roman"/>
          <w:noProof/>
          <w:szCs w:val="24"/>
        </w:rPr>
        <w:t>(1), 146–154.</w:t>
      </w:r>
    </w:p>
    <w:p w14:paraId="32D76E20" w14:textId="731637D0"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Lindeman, M., &amp; Sirelius, M. (2001). Food choice ideologies : the modern manifestations of normative and humanist views of the world.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37</w:t>
      </w:r>
      <w:r w:rsidRPr="00B0148D">
        <w:rPr>
          <w:rFonts w:ascii="Calibri" w:hAnsi="Calibri" w:cs="Times New Roman"/>
          <w:noProof/>
          <w:szCs w:val="24"/>
        </w:rPr>
        <w:t>, 17</w:t>
      </w:r>
      <w:r w:rsidR="00013395" w:rsidRPr="00B0148D">
        <w:rPr>
          <w:rFonts w:ascii="Calibri" w:hAnsi="Calibri" w:cs="Times New Roman"/>
          <w:noProof/>
          <w:szCs w:val="24"/>
        </w:rPr>
        <w:t>5–184.</w:t>
      </w:r>
    </w:p>
    <w:p w14:paraId="0DA888BC"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Lindeman, M., &amp; Verkasalo, M. (2005). Measuring Values With the Short Schwartz. </w:t>
      </w:r>
      <w:r w:rsidRPr="00B0148D">
        <w:rPr>
          <w:rFonts w:ascii="Calibri" w:hAnsi="Calibri" w:cs="Times New Roman"/>
          <w:i/>
          <w:iCs/>
          <w:noProof/>
          <w:szCs w:val="24"/>
        </w:rPr>
        <w:t>Journal of Personality Assessment</w:t>
      </w:r>
      <w:r w:rsidRPr="00B0148D">
        <w:rPr>
          <w:rFonts w:ascii="Calibri" w:hAnsi="Calibri" w:cs="Times New Roman"/>
          <w:noProof/>
          <w:szCs w:val="24"/>
        </w:rPr>
        <w:t xml:space="preserve">, </w:t>
      </w:r>
      <w:r w:rsidRPr="00B0148D">
        <w:rPr>
          <w:rFonts w:ascii="Calibri" w:hAnsi="Calibri" w:cs="Times New Roman"/>
          <w:i/>
          <w:iCs/>
          <w:noProof/>
          <w:szCs w:val="24"/>
        </w:rPr>
        <w:t>85</w:t>
      </w:r>
      <w:r w:rsidRPr="00B0148D">
        <w:rPr>
          <w:rFonts w:ascii="Calibri" w:hAnsi="Calibri" w:cs="Times New Roman"/>
          <w:noProof/>
          <w:szCs w:val="24"/>
        </w:rPr>
        <w:t>(2), 170–178.</w:t>
      </w:r>
    </w:p>
    <w:p w14:paraId="1592563D" w14:textId="6A01C20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Lobb, A. E., &amp; Mazzocchi, M. (2007). Domestically produced food: Consumer perceptions of origin, safety and the issue of trust. </w:t>
      </w:r>
      <w:r w:rsidRPr="00B0148D">
        <w:rPr>
          <w:rFonts w:ascii="Calibri" w:hAnsi="Calibri" w:cs="Times New Roman"/>
          <w:i/>
          <w:iCs/>
          <w:noProof/>
          <w:szCs w:val="24"/>
        </w:rPr>
        <w:t>Acta Agriculturae Scandinavica, Section C — Food Economics</w:t>
      </w:r>
      <w:r w:rsidRPr="00B0148D">
        <w:rPr>
          <w:rFonts w:ascii="Calibri" w:hAnsi="Calibri" w:cs="Times New Roman"/>
          <w:noProof/>
          <w:szCs w:val="24"/>
        </w:rPr>
        <w:t xml:space="preserve">, </w:t>
      </w:r>
      <w:r w:rsidRPr="00B0148D">
        <w:rPr>
          <w:rFonts w:ascii="Calibri" w:hAnsi="Calibri" w:cs="Times New Roman"/>
          <w:i/>
          <w:iCs/>
          <w:noProof/>
          <w:szCs w:val="24"/>
        </w:rPr>
        <w:t>4</w:t>
      </w:r>
      <w:r w:rsidR="00013395" w:rsidRPr="00B0148D">
        <w:rPr>
          <w:rFonts w:ascii="Calibri" w:hAnsi="Calibri" w:cs="Times New Roman"/>
          <w:noProof/>
          <w:szCs w:val="24"/>
        </w:rPr>
        <w:t>(1), 3–12.</w:t>
      </w:r>
    </w:p>
    <w:p w14:paraId="2A030FA5" w14:textId="286C6D3F"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lastRenderedPageBreak/>
        <w:t xml:space="preserve">Lusk, J. L., &amp; Briggeman, B. C. (2009). Food values. </w:t>
      </w:r>
      <w:r w:rsidRPr="00B0148D">
        <w:rPr>
          <w:rFonts w:ascii="Calibri" w:hAnsi="Calibri" w:cs="Times New Roman"/>
          <w:i/>
          <w:iCs/>
          <w:noProof/>
          <w:szCs w:val="24"/>
        </w:rPr>
        <w:t>American Journal of Agricultural Economics</w:t>
      </w:r>
      <w:r w:rsidRPr="00B0148D">
        <w:rPr>
          <w:rFonts w:ascii="Calibri" w:hAnsi="Calibri" w:cs="Times New Roman"/>
          <w:noProof/>
          <w:szCs w:val="24"/>
        </w:rPr>
        <w:t xml:space="preserve">, </w:t>
      </w:r>
      <w:r w:rsidRPr="00B0148D">
        <w:rPr>
          <w:rFonts w:ascii="Calibri" w:hAnsi="Calibri" w:cs="Times New Roman"/>
          <w:i/>
          <w:iCs/>
          <w:noProof/>
          <w:szCs w:val="24"/>
        </w:rPr>
        <w:t>91</w:t>
      </w:r>
      <w:r w:rsidR="00013395" w:rsidRPr="00B0148D">
        <w:rPr>
          <w:rFonts w:ascii="Calibri" w:hAnsi="Calibri" w:cs="Times New Roman"/>
          <w:noProof/>
          <w:szCs w:val="24"/>
        </w:rPr>
        <w:t>(1), 184–196.</w:t>
      </w:r>
    </w:p>
    <w:p w14:paraId="527BEA3B" w14:textId="45F7F4A4"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Migliore, G., Schifani, G., &amp; Cembalo, L. (2015). Opening the black box of food quality in the short supply chain : Effects of conventions of quality on consumer choice.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39</w:t>
      </w:r>
      <w:r w:rsidR="00013395" w:rsidRPr="00B0148D">
        <w:rPr>
          <w:rFonts w:ascii="Calibri" w:hAnsi="Calibri" w:cs="Times New Roman"/>
          <w:noProof/>
          <w:szCs w:val="24"/>
        </w:rPr>
        <w:t>, 141–146.</w:t>
      </w:r>
    </w:p>
    <w:p w14:paraId="76D5C999" w14:textId="2A5FE889"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Motta, V., &amp; Sharma, A. (2016). Benefits and transaction costs of purchasing local foods in school districts. </w:t>
      </w:r>
      <w:r w:rsidRPr="00B0148D">
        <w:rPr>
          <w:rFonts w:ascii="Calibri" w:hAnsi="Calibri" w:cs="Times New Roman"/>
          <w:i/>
          <w:iCs/>
          <w:noProof/>
          <w:szCs w:val="24"/>
        </w:rPr>
        <w:t>International Journal of Hospitality Management</w:t>
      </w:r>
      <w:r w:rsidRPr="00B0148D">
        <w:rPr>
          <w:rFonts w:ascii="Calibri" w:hAnsi="Calibri" w:cs="Times New Roman"/>
          <w:noProof/>
          <w:szCs w:val="24"/>
        </w:rPr>
        <w:t xml:space="preserve">, </w:t>
      </w:r>
      <w:r w:rsidRPr="00B0148D">
        <w:rPr>
          <w:rFonts w:ascii="Calibri" w:hAnsi="Calibri" w:cs="Times New Roman"/>
          <w:i/>
          <w:iCs/>
          <w:noProof/>
          <w:szCs w:val="24"/>
        </w:rPr>
        <w:t>55</w:t>
      </w:r>
      <w:r w:rsidR="00013395" w:rsidRPr="00B0148D">
        <w:rPr>
          <w:rFonts w:ascii="Calibri" w:hAnsi="Calibri" w:cs="Times New Roman"/>
          <w:noProof/>
          <w:szCs w:val="24"/>
        </w:rPr>
        <w:t>, 81–87.</w:t>
      </w:r>
    </w:p>
    <w:p w14:paraId="02A3EF91" w14:textId="3C3CDAD5"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Myyry, L., &amp; Helkama, K. (2001). University Students’ Value Priorities and Emotional Empathy. </w:t>
      </w:r>
      <w:r w:rsidRPr="00B0148D">
        <w:rPr>
          <w:rFonts w:ascii="Calibri" w:hAnsi="Calibri" w:cs="Times New Roman"/>
          <w:i/>
          <w:iCs/>
          <w:noProof/>
          <w:szCs w:val="24"/>
        </w:rPr>
        <w:t>Educational Psychology</w:t>
      </w:r>
      <w:r w:rsidRPr="00B0148D">
        <w:rPr>
          <w:rFonts w:ascii="Calibri" w:hAnsi="Calibri" w:cs="Times New Roman"/>
          <w:noProof/>
          <w:szCs w:val="24"/>
        </w:rPr>
        <w:t xml:space="preserve">, </w:t>
      </w:r>
      <w:r w:rsidRPr="00B0148D">
        <w:rPr>
          <w:rFonts w:ascii="Calibri" w:hAnsi="Calibri" w:cs="Times New Roman"/>
          <w:i/>
          <w:iCs/>
          <w:noProof/>
          <w:szCs w:val="24"/>
        </w:rPr>
        <w:t>21</w:t>
      </w:r>
      <w:r w:rsidR="00013395" w:rsidRPr="00B0148D">
        <w:rPr>
          <w:rFonts w:ascii="Calibri" w:hAnsi="Calibri" w:cs="Times New Roman"/>
          <w:noProof/>
          <w:szCs w:val="24"/>
        </w:rPr>
        <w:t>(1), 25–40.</w:t>
      </w:r>
    </w:p>
    <w:p w14:paraId="662A4040" w14:textId="2D92AF70"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Mäkiniemi, J. P., Pirttilä-Backman, A. M., &amp; Pieri, M. (2011). Ethical and unethical food. Social representations among Finnish, Danish and Italian students.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56</w:t>
      </w:r>
      <w:r w:rsidR="00013395" w:rsidRPr="00B0148D">
        <w:rPr>
          <w:rFonts w:ascii="Calibri" w:hAnsi="Calibri" w:cs="Times New Roman"/>
          <w:noProof/>
          <w:szCs w:val="24"/>
        </w:rPr>
        <w:t>(2), 495–502.</w:t>
      </w:r>
    </w:p>
    <w:p w14:paraId="7DEFC864" w14:textId="7C1A0FBF"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O’Connor, E. L., Sims, L., &amp; White, K. M. (2017). Ethical food choices: Examining people’s Fair Trade purchasing decisions.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60</w:t>
      </w:r>
      <w:r w:rsidR="00013395" w:rsidRPr="00B0148D">
        <w:rPr>
          <w:rFonts w:ascii="Calibri" w:hAnsi="Calibri" w:cs="Times New Roman"/>
          <w:noProof/>
          <w:szCs w:val="24"/>
        </w:rPr>
        <w:t>, 105–112.</w:t>
      </w:r>
    </w:p>
    <w:p w14:paraId="72E79FCF"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O’Hara, S. U., &amp; Stagl, S. (2001). Global Food Markets and Their Local Alternatives : A Socio-Ecological Economic Perspective. </w:t>
      </w:r>
      <w:r w:rsidRPr="00B0148D">
        <w:rPr>
          <w:rFonts w:ascii="Calibri" w:hAnsi="Calibri" w:cs="Times New Roman"/>
          <w:i/>
          <w:iCs/>
          <w:noProof/>
          <w:szCs w:val="24"/>
        </w:rPr>
        <w:t>Population and Environment</w:t>
      </w:r>
      <w:r w:rsidRPr="00B0148D">
        <w:rPr>
          <w:rFonts w:ascii="Calibri" w:hAnsi="Calibri" w:cs="Times New Roman"/>
          <w:noProof/>
          <w:szCs w:val="24"/>
        </w:rPr>
        <w:t xml:space="preserve">, </w:t>
      </w:r>
      <w:r w:rsidRPr="00B0148D">
        <w:rPr>
          <w:rFonts w:ascii="Calibri" w:hAnsi="Calibri" w:cs="Times New Roman"/>
          <w:i/>
          <w:iCs/>
          <w:noProof/>
          <w:szCs w:val="24"/>
        </w:rPr>
        <w:t>22</w:t>
      </w:r>
      <w:r w:rsidRPr="00B0148D">
        <w:rPr>
          <w:rFonts w:ascii="Calibri" w:hAnsi="Calibri" w:cs="Times New Roman"/>
          <w:noProof/>
          <w:szCs w:val="24"/>
        </w:rPr>
        <w:t>(6), 533–554.</w:t>
      </w:r>
    </w:p>
    <w:p w14:paraId="3AEAAF3A" w14:textId="7659CB6E"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Orth, U. R., &amp; Firbasová, Z. (2003). The Role of Consumer Ethnocentrism in Food Product Evaluation. </w:t>
      </w:r>
      <w:r w:rsidRPr="00B0148D">
        <w:rPr>
          <w:rFonts w:ascii="Calibri" w:hAnsi="Calibri" w:cs="Times New Roman"/>
          <w:i/>
          <w:iCs/>
          <w:noProof/>
          <w:szCs w:val="24"/>
        </w:rPr>
        <w:t>Agribusiness</w:t>
      </w:r>
      <w:r w:rsidRPr="00B0148D">
        <w:rPr>
          <w:rFonts w:ascii="Calibri" w:hAnsi="Calibri" w:cs="Times New Roman"/>
          <w:noProof/>
          <w:szCs w:val="24"/>
        </w:rPr>
        <w:t xml:space="preserve">, </w:t>
      </w:r>
      <w:r w:rsidRPr="00B0148D">
        <w:rPr>
          <w:rFonts w:ascii="Calibri" w:hAnsi="Calibri" w:cs="Times New Roman"/>
          <w:i/>
          <w:iCs/>
          <w:noProof/>
          <w:szCs w:val="24"/>
        </w:rPr>
        <w:t>19</w:t>
      </w:r>
      <w:r w:rsidR="00013395" w:rsidRPr="00B0148D">
        <w:rPr>
          <w:rFonts w:ascii="Calibri" w:hAnsi="Calibri" w:cs="Times New Roman"/>
          <w:noProof/>
          <w:szCs w:val="24"/>
        </w:rPr>
        <w:t>(2), 137–153.</w:t>
      </w:r>
    </w:p>
    <w:p w14:paraId="5851149E" w14:textId="7F1F31E0"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Paez, J., &amp; De-Juanas,  a. (2015). Validation of “Schwartz Values Scale” for Spanish Adolescents Population. </w:t>
      </w:r>
      <w:r w:rsidRPr="00B0148D">
        <w:rPr>
          <w:rFonts w:ascii="Calibri" w:hAnsi="Calibri" w:cs="Times New Roman"/>
          <w:i/>
          <w:iCs/>
          <w:noProof/>
          <w:szCs w:val="24"/>
        </w:rPr>
        <w:t>Procedia - Social and Behavioral Sciences</w:t>
      </w:r>
      <w:r w:rsidRPr="00B0148D">
        <w:rPr>
          <w:rFonts w:ascii="Calibri" w:hAnsi="Calibri" w:cs="Times New Roman"/>
          <w:noProof/>
          <w:szCs w:val="24"/>
        </w:rPr>
        <w:t xml:space="preserve">, </w:t>
      </w:r>
      <w:r w:rsidRPr="00B0148D">
        <w:rPr>
          <w:rFonts w:ascii="Calibri" w:hAnsi="Calibri" w:cs="Times New Roman"/>
          <w:i/>
          <w:iCs/>
          <w:noProof/>
          <w:szCs w:val="24"/>
        </w:rPr>
        <w:t>165</w:t>
      </w:r>
      <w:r w:rsidR="00013395" w:rsidRPr="00B0148D">
        <w:rPr>
          <w:rFonts w:ascii="Calibri" w:hAnsi="Calibri" w:cs="Times New Roman"/>
          <w:noProof/>
          <w:szCs w:val="24"/>
        </w:rPr>
        <w:t>, 195–201.</w:t>
      </w:r>
    </w:p>
    <w:p w14:paraId="3990D55A" w14:textId="35D156DD"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Piqueras-Fiszman, B., &amp; Spence, C. (2015). Sensory expectations based on product-extrinsic food cues: An interdisciplinary review of the empirical evidence and theoretical accounts.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40</w:t>
      </w:r>
      <w:r w:rsidRPr="00B0148D">
        <w:rPr>
          <w:rFonts w:ascii="Calibri" w:hAnsi="Calibri" w:cs="Times New Roman"/>
          <w:noProof/>
          <w:szCs w:val="24"/>
        </w:rPr>
        <w:t>(PA), 165–1</w:t>
      </w:r>
      <w:r w:rsidR="00013395" w:rsidRPr="00B0148D">
        <w:rPr>
          <w:rFonts w:ascii="Calibri" w:hAnsi="Calibri" w:cs="Times New Roman"/>
          <w:noProof/>
          <w:szCs w:val="24"/>
        </w:rPr>
        <w:t>79.</w:t>
      </w:r>
    </w:p>
    <w:p w14:paraId="0455C361" w14:textId="45F98566"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Pohjanheimo, T., Luomala, H., &amp; Tahvonen, R. (2010). Finnish adolescents’ attitudes towards wholegrain bread and healthiness. </w:t>
      </w:r>
      <w:r w:rsidRPr="00B0148D">
        <w:rPr>
          <w:rFonts w:ascii="Calibri" w:hAnsi="Calibri" w:cs="Times New Roman"/>
          <w:i/>
          <w:iCs/>
          <w:noProof/>
          <w:szCs w:val="24"/>
        </w:rPr>
        <w:t>Journal of the Science of Food and Agriculture</w:t>
      </w:r>
      <w:r w:rsidRPr="00B0148D">
        <w:rPr>
          <w:rFonts w:ascii="Calibri" w:hAnsi="Calibri" w:cs="Times New Roman"/>
          <w:noProof/>
          <w:szCs w:val="24"/>
        </w:rPr>
        <w:t xml:space="preserve">, </w:t>
      </w:r>
      <w:r w:rsidRPr="00B0148D">
        <w:rPr>
          <w:rFonts w:ascii="Calibri" w:hAnsi="Calibri" w:cs="Times New Roman"/>
          <w:i/>
          <w:iCs/>
          <w:noProof/>
          <w:szCs w:val="24"/>
        </w:rPr>
        <w:t>90</w:t>
      </w:r>
      <w:r w:rsidR="00013395" w:rsidRPr="00B0148D">
        <w:rPr>
          <w:rFonts w:ascii="Calibri" w:hAnsi="Calibri" w:cs="Times New Roman"/>
          <w:noProof/>
          <w:szCs w:val="24"/>
        </w:rPr>
        <w:t>(9), 1538–1544.</w:t>
      </w:r>
    </w:p>
    <w:p w14:paraId="69350001" w14:textId="7A7F5B9C"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lang w:val="fi-FI"/>
        </w:rPr>
      </w:pPr>
      <w:r w:rsidRPr="00B0148D">
        <w:rPr>
          <w:rFonts w:ascii="Calibri" w:hAnsi="Calibri" w:cs="Times New Roman"/>
          <w:noProof/>
          <w:szCs w:val="24"/>
        </w:rPr>
        <w:t xml:space="preserve">Pohjanheimo, T., Paasovaara, R., Luomala, H., &amp; Sandell, M. (2010). Food choice motives and bread liking of consumers embracing hedonistic and traditional values. </w:t>
      </w:r>
      <w:r w:rsidRPr="00B0148D">
        <w:rPr>
          <w:rFonts w:ascii="Calibri" w:hAnsi="Calibri" w:cs="Times New Roman"/>
          <w:i/>
          <w:iCs/>
          <w:noProof/>
          <w:szCs w:val="24"/>
          <w:lang w:val="fi-FI"/>
        </w:rPr>
        <w:t>Appetite</w:t>
      </w:r>
      <w:r w:rsidRPr="00B0148D">
        <w:rPr>
          <w:rFonts w:ascii="Calibri" w:hAnsi="Calibri" w:cs="Times New Roman"/>
          <w:noProof/>
          <w:szCs w:val="24"/>
          <w:lang w:val="fi-FI"/>
        </w:rPr>
        <w:t xml:space="preserve">, </w:t>
      </w:r>
      <w:r w:rsidRPr="00B0148D">
        <w:rPr>
          <w:rFonts w:ascii="Calibri" w:hAnsi="Calibri" w:cs="Times New Roman"/>
          <w:i/>
          <w:iCs/>
          <w:noProof/>
          <w:szCs w:val="24"/>
          <w:lang w:val="fi-FI"/>
        </w:rPr>
        <w:t>54</w:t>
      </w:r>
      <w:r w:rsidRPr="00B0148D">
        <w:rPr>
          <w:rFonts w:ascii="Calibri" w:hAnsi="Calibri" w:cs="Times New Roman"/>
          <w:noProof/>
          <w:szCs w:val="24"/>
          <w:lang w:val="fi-FI"/>
        </w:rPr>
        <w:t xml:space="preserve">(1), 170–180. </w:t>
      </w:r>
    </w:p>
    <w:p w14:paraId="314E272B" w14:textId="7AB12FB0"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lang w:val="fi-FI"/>
        </w:rPr>
        <w:t xml:space="preserve">Pouta, E., Heikkilä, J., Forsman-Hugg, S., Isoniemi, M., &amp; Mäkelä, J. (2010). </w:t>
      </w:r>
      <w:r w:rsidRPr="00B0148D">
        <w:rPr>
          <w:rFonts w:ascii="Calibri" w:hAnsi="Calibri" w:cs="Times New Roman"/>
          <w:noProof/>
          <w:szCs w:val="24"/>
        </w:rPr>
        <w:t xml:space="preserve">Consumer choice of broiler meat: The effects of country of origin and production methods.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21</w:t>
      </w:r>
      <w:r w:rsidR="00013395" w:rsidRPr="00B0148D">
        <w:rPr>
          <w:rFonts w:ascii="Calibri" w:hAnsi="Calibri" w:cs="Times New Roman"/>
          <w:noProof/>
          <w:szCs w:val="24"/>
        </w:rPr>
        <w:t>(5), 539–546.</w:t>
      </w:r>
    </w:p>
    <w:p w14:paraId="1E415951" w14:textId="072EE2FD"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Robinson-Brien, R., Larson, N., Neumark-Sztainer, D., Hannan, P., &amp; Story, M. (2009). Characteristics and Dietary Patterns of Adolescents Who Value Eating Locally Grown , Organic , Nongenetically Engineered , and Nonprocessed Food. </w:t>
      </w:r>
      <w:r w:rsidRPr="00B0148D">
        <w:rPr>
          <w:rFonts w:ascii="Calibri" w:hAnsi="Calibri" w:cs="Times New Roman"/>
          <w:i/>
          <w:iCs/>
          <w:noProof/>
          <w:szCs w:val="24"/>
        </w:rPr>
        <w:t>Journal of Nutrition Education and Behavior</w:t>
      </w:r>
      <w:r w:rsidRPr="00B0148D">
        <w:rPr>
          <w:rFonts w:ascii="Calibri" w:hAnsi="Calibri" w:cs="Times New Roman"/>
          <w:noProof/>
          <w:szCs w:val="24"/>
        </w:rPr>
        <w:t xml:space="preserve">, </w:t>
      </w:r>
      <w:r w:rsidRPr="00B0148D">
        <w:rPr>
          <w:rFonts w:ascii="Calibri" w:hAnsi="Calibri" w:cs="Times New Roman"/>
          <w:i/>
          <w:iCs/>
          <w:noProof/>
          <w:szCs w:val="24"/>
        </w:rPr>
        <w:t>41</w:t>
      </w:r>
      <w:r w:rsidR="00013395" w:rsidRPr="00B0148D">
        <w:rPr>
          <w:rFonts w:ascii="Calibri" w:hAnsi="Calibri" w:cs="Times New Roman"/>
          <w:noProof/>
          <w:szCs w:val="24"/>
        </w:rPr>
        <w:t>(1), 11–18.</w:t>
      </w:r>
    </w:p>
    <w:p w14:paraId="4C0C30D9" w14:textId="4F2870BC"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Rosenfeld, D. L., &amp; Burrow, A. L. (2017). Vegetarian on purpose: Understanding the motivations of plant-based dieters.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116</w:t>
      </w:r>
      <w:r w:rsidR="00013395" w:rsidRPr="00B0148D">
        <w:rPr>
          <w:rFonts w:ascii="Calibri" w:hAnsi="Calibri" w:cs="Times New Roman"/>
          <w:noProof/>
          <w:szCs w:val="24"/>
        </w:rPr>
        <w:t>, 456–463.</w:t>
      </w:r>
    </w:p>
    <w:p w14:paraId="0ABAC60F" w14:textId="0A9F4F11"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Ryckman, R. M., &amp; Houston, D. M. (2003). Value priorities in American and British female and male university students. </w:t>
      </w:r>
      <w:r w:rsidRPr="00B0148D">
        <w:rPr>
          <w:rFonts w:ascii="Calibri" w:hAnsi="Calibri" w:cs="Times New Roman"/>
          <w:i/>
          <w:iCs/>
          <w:noProof/>
          <w:szCs w:val="24"/>
        </w:rPr>
        <w:t>The Journal of Social Psychology</w:t>
      </w:r>
      <w:r w:rsidRPr="00B0148D">
        <w:rPr>
          <w:rFonts w:ascii="Calibri" w:hAnsi="Calibri" w:cs="Times New Roman"/>
          <w:noProof/>
          <w:szCs w:val="24"/>
        </w:rPr>
        <w:t xml:space="preserve">, </w:t>
      </w:r>
      <w:r w:rsidRPr="00B0148D">
        <w:rPr>
          <w:rFonts w:ascii="Calibri" w:hAnsi="Calibri" w:cs="Times New Roman"/>
          <w:i/>
          <w:iCs/>
          <w:noProof/>
          <w:szCs w:val="24"/>
        </w:rPr>
        <w:t>143</w:t>
      </w:r>
      <w:r w:rsidRPr="00B0148D">
        <w:rPr>
          <w:rFonts w:ascii="Calibri" w:hAnsi="Calibri" w:cs="Times New Roman"/>
          <w:noProof/>
          <w:szCs w:val="24"/>
        </w:rPr>
        <w:t xml:space="preserve">(1), 127–38. </w:t>
      </w:r>
    </w:p>
    <w:p w14:paraId="3A4CDD08"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Sagiv, L., &amp; Schwarz, S. H. (1995). Value Priorities and Readiness for Out-Group Social Contact. </w:t>
      </w:r>
      <w:r w:rsidRPr="00B0148D">
        <w:rPr>
          <w:rFonts w:ascii="Calibri" w:hAnsi="Calibri" w:cs="Times New Roman"/>
          <w:i/>
          <w:iCs/>
          <w:noProof/>
          <w:szCs w:val="24"/>
        </w:rPr>
        <w:t>Journal of Personality and Social Psychology</w:t>
      </w:r>
      <w:r w:rsidRPr="00B0148D">
        <w:rPr>
          <w:rFonts w:ascii="Calibri" w:hAnsi="Calibri" w:cs="Times New Roman"/>
          <w:noProof/>
          <w:szCs w:val="24"/>
        </w:rPr>
        <w:t xml:space="preserve">, </w:t>
      </w:r>
      <w:r w:rsidRPr="00B0148D">
        <w:rPr>
          <w:rFonts w:ascii="Calibri" w:hAnsi="Calibri" w:cs="Times New Roman"/>
          <w:i/>
          <w:iCs/>
          <w:noProof/>
          <w:szCs w:val="24"/>
        </w:rPr>
        <w:t>69</w:t>
      </w:r>
      <w:r w:rsidRPr="00B0148D">
        <w:rPr>
          <w:rFonts w:ascii="Calibri" w:hAnsi="Calibri" w:cs="Times New Roman"/>
          <w:noProof/>
          <w:szCs w:val="24"/>
        </w:rPr>
        <w:t>(3), 437–448.</w:t>
      </w:r>
    </w:p>
    <w:p w14:paraId="31C83C7F" w14:textId="21AD2634"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lastRenderedPageBreak/>
        <w:t xml:space="preserve">Saher, M., Lindeman, M., &amp; Hursti, U. K. K. (2006). Attitudes towards genetically modified and organic foods. </w:t>
      </w:r>
      <w:r w:rsidRPr="00B0148D">
        <w:rPr>
          <w:rFonts w:ascii="Calibri" w:hAnsi="Calibri" w:cs="Times New Roman"/>
          <w:i/>
          <w:iCs/>
          <w:noProof/>
          <w:szCs w:val="24"/>
        </w:rPr>
        <w:t>Appetite</w:t>
      </w:r>
      <w:r w:rsidRPr="00B0148D">
        <w:rPr>
          <w:rFonts w:ascii="Calibri" w:hAnsi="Calibri" w:cs="Times New Roman"/>
          <w:noProof/>
          <w:szCs w:val="24"/>
        </w:rPr>
        <w:t xml:space="preserve">, </w:t>
      </w:r>
      <w:r w:rsidRPr="00B0148D">
        <w:rPr>
          <w:rFonts w:ascii="Calibri" w:hAnsi="Calibri" w:cs="Times New Roman"/>
          <w:i/>
          <w:iCs/>
          <w:noProof/>
          <w:szCs w:val="24"/>
        </w:rPr>
        <w:t>46</w:t>
      </w:r>
      <w:r w:rsidR="00013395" w:rsidRPr="00B0148D">
        <w:rPr>
          <w:rFonts w:ascii="Calibri" w:hAnsi="Calibri" w:cs="Times New Roman"/>
          <w:noProof/>
          <w:szCs w:val="24"/>
        </w:rPr>
        <w:t>(3), 324–331.</w:t>
      </w:r>
    </w:p>
    <w:p w14:paraId="69C59DA4" w14:textId="2241C69F"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Schnettler, B., Ruiz, D., Sepúlveda, O., &amp; Sepúlveda, N. (2008). Importance of the country of origin in food consumption in a developing country.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19</w:t>
      </w:r>
      <w:r w:rsidR="00013395" w:rsidRPr="00B0148D">
        <w:rPr>
          <w:rFonts w:ascii="Calibri" w:hAnsi="Calibri" w:cs="Times New Roman"/>
          <w:noProof/>
          <w:szCs w:val="24"/>
        </w:rPr>
        <w:t>(4), 372–382.</w:t>
      </w:r>
    </w:p>
    <w:p w14:paraId="5D3D7DAF" w14:textId="66CFBF5E"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Schwartz, S. H. (1992). Universals in the content and structure of values: Theory and empirical tests in 20 countries. In M. Zanna (Ed.), </w:t>
      </w:r>
      <w:r w:rsidRPr="00B0148D">
        <w:rPr>
          <w:rFonts w:ascii="Calibri" w:hAnsi="Calibri" w:cs="Times New Roman"/>
          <w:i/>
          <w:iCs/>
          <w:noProof/>
          <w:szCs w:val="24"/>
        </w:rPr>
        <w:t>Advances in Experimental Social Psychology</w:t>
      </w:r>
      <w:r w:rsidRPr="00B0148D">
        <w:rPr>
          <w:rFonts w:ascii="Calibri" w:hAnsi="Calibri" w:cs="Times New Roman"/>
          <w:noProof/>
          <w:szCs w:val="24"/>
        </w:rPr>
        <w:t xml:space="preserve"> (Vol. 25, pp. 1</w:t>
      </w:r>
      <w:r w:rsidR="00013395" w:rsidRPr="00B0148D">
        <w:rPr>
          <w:rFonts w:ascii="Calibri" w:hAnsi="Calibri" w:cs="Times New Roman"/>
          <w:noProof/>
          <w:szCs w:val="24"/>
        </w:rPr>
        <w:t>–65). New York: Academic Press.</w:t>
      </w:r>
    </w:p>
    <w:p w14:paraId="1B0B8C00"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Schwartz, S. H. (2006). A Theory of Cultural Value Orientations : Explication and Applications. </w:t>
      </w:r>
      <w:r w:rsidRPr="00B0148D">
        <w:rPr>
          <w:rFonts w:ascii="Calibri" w:hAnsi="Calibri" w:cs="Times New Roman"/>
          <w:i/>
          <w:iCs/>
          <w:noProof/>
          <w:szCs w:val="24"/>
        </w:rPr>
        <w:t>Comparative Sociology</w:t>
      </w:r>
      <w:r w:rsidRPr="00B0148D">
        <w:rPr>
          <w:rFonts w:ascii="Calibri" w:hAnsi="Calibri" w:cs="Times New Roman"/>
          <w:noProof/>
          <w:szCs w:val="24"/>
        </w:rPr>
        <w:t xml:space="preserve">, </w:t>
      </w:r>
      <w:r w:rsidRPr="00B0148D">
        <w:rPr>
          <w:rFonts w:ascii="Calibri" w:hAnsi="Calibri" w:cs="Times New Roman"/>
          <w:i/>
          <w:iCs/>
          <w:noProof/>
          <w:szCs w:val="24"/>
        </w:rPr>
        <w:t>5</w:t>
      </w:r>
      <w:r w:rsidRPr="00B0148D">
        <w:rPr>
          <w:rFonts w:ascii="Calibri" w:hAnsi="Calibri" w:cs="Times New Roman"/>
          <w:noProof/>
          <w:szCs w:val="24"/>
        </w:rPr>
        <w:t>(2–3), 137–182.</w:t>
      </w:r>
    </w:p>
    <w:p w14:paraId="2506A548"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Schwartz, S. H., &amp; Bardi, A. (2001). Value Hierarchies Across Cultures: Taking a Similarities Perspective. </w:t>
      </w:r>
      <w:r w:rsidRPr="00B0148D">
        <w:rPr>
          <w:rFonts w:ascii="Calibri" w:hAnsi="Calibri" w:cs="Times New Roman"/>
          <w:i/>
          <w:iCs/>
          <w:noProof/>
          <w:szCs w:val="24"/>
        </w:rPr>
        <w:t>Journal of Cross-Cultural Psychology</w:t>
      </w:r>
      <w:r w:rsidRPr="00B0148D">
        <w:rPr>
          <w:rFonts w:ascii="Calibri" w:hAnsi="Calibri" w:cs="Times New Roman"/>
          <w:noProof/>
          <w:szCs w:val="24"/>
        </w:rPr>
        <w:t xml:space="preserve">, </w:t>
      </w:r>
      <w:r w:rsidRPr="00B0148D">
        <w:rPr>
          <w:rFonts w:ascii="Calibri" w:hAnsi="Calibri" w:cs="Times New Roman"/>
          <w:i/>
          <w:iCs/>
          <w:noProof/>
          <w:szCs w:val="24"/>
        </w:rPr>
        <w:t>32</w:t>
      </w:r>
      <w:r w:rsidRPr="00B0148D">
        <w:rPr>
          <w:rFonts w:ascii="Calibri" w:hAnsi="Calibri" w:cs="Times New Roman"/>
          <w:noProof/>
          <w:szCs w:val="24"/>
        </w:rPr>
        <w:t>(3), 268–290.</w:t>
      </w:r>
    </w:p>
    <w:p w14:paraId="0AFF875D" w14:textId="25F51B2C"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Schwartz, S. H., &amp; Bilsky, W. (1987). Toward a universal psychological structure of human values. </w:t>
      </w:r>
      <w:r w:rsidRPr="00B0148D">
        <w:rPr>
          <w:rFonts w:ascii="Calibri" w:hAnsi="Calibri" w:cs="Times New Roman"/>
          <w:i/>
          <w:iCs/>
          <w:noProof/>
          <w:szCs w:val="24"/>
        </w:rPr>
        <w:t>Journal of Personality and Social Psychology</w:t>
      </w:r>
      <w:r w:rsidRPr="00B0148D">
        <w:rPr>
          <w:rFonts w:ascii="Calibri" w:hAnsi="Calibri" w:cs="Times New Roman"/>
          <w:noProof/>
          <w:szCs w:val="24"/>
        </w:rPr>
        <w:t xml:space="preserve">, </w:t>
      </w:r>
      <w:r w:rsidRPr="00B0148D">
        <w:rPr>
          <w:rFonts w:ascii="Calibri" w:hAnsi="Calibri" w:cs="Times New Roman"/>
          <w:i/>
          <w:iCs/>
          <w:noProof/>
          <w:szCs w:val="24"/>
        </w:rPr>
        <w:t>53</w:t>
      </w:r>
      <w:r w:rsidR="00013395" w:rsidRPr="00B0148D">
        <w:rPr>
          <w:rFonts w:ascii="Calibri" w:hAnsi="Calibri" w:cs="Times New Roman"/>
          <w:noProof/>
          <w:szCs w:val="24"/>
        </w:rPr>
        <w:t>(3), 550–562.</w:t>
      </w:r>
    </w:p>
    <w:p w14:paraId="07F8A3DA" w14:textId="699D7738"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Schwartz, S. H., &amp; Boehnke, K. (2004). Evaluating the structure of human values with confirmatory factor analysis. </w:t>
      </w:r>
      <w:r w:rsidRPr="00B0148D">
        <w:rPr>
          <w:rFonts w:ascii="Calibri" w:hAnsi="Calibri" w:cs="Times New Roman"/>
          <w:i/>
          <w:iCs/>
          <w:noProof/>
          <w:szCs w:val="24"/>
        </w:rPr>
        <w:t>Journal of Research in Personality</w:t>
      </w:r>
      <w:r w:rsidRPr="00B0148D">
        <w:rPr>
          <w:rFonts w:ascii="Calibri" w:hAnsi="Calibri" w:cs="Times New Roman"/>
          <w:noProof/>
          <w:szCs w:val="24"/>
        </w:rPr>
        <w:t xml:space="preserve">, </w:t>
      </w:r>
      <w:r w:rsidRPr="00B0148D">
        <w:rPr>
          <w:rFonts w:ascii="Calibri" w:hAnsi="Calibri" w:cs="Times New Roman"/>
          <w:i/>
          <w:iCs/>
          <w:noProof/>
          <w:szCs w:val="24"/>
        </w:rPr>
        <w:t>38</w:t>
      </w:r>
      <w:r w:rsidRPr="00B0148D">
        <w:rPr>
          <w:rFonts w:ascii="Calibri" w:hAnsi="Calibri" w:cs="Times New Roman"/>
          <w:noProof/>
          <w:szCs w:val="24"/>
        </w:rPr>
        <w:t xml:space="preserve">(3), 230–255. </w:t>
      </w:r>
    </w:p>
    <w:p w14:paraId="68B283FC" w14:textId="663064F2"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Schwartz, S. H., Caprara, G. V., &amp; Vecchione, M. (2010). Basic Personal Values, Core Political Values, and Voting: A Longitudinal Analysis. </w:t>
      </w:r>
      <w:r w:rsidRPr="00B0148D">
        <w:rPr>
          <w:rFonts w:ascii="Calibri" w:hAnsi="Calibri" w:cs="Times New Roman"/>
          <w:i/>
          <w:iCs/>
          <w:noProof/>
          <w:szCs w:val="24"/>
        </w:rPr>
        <w:t>Political Psychology</w:t>
      </w:r>
      <w:r w:rsidRPr="00B0148D">
        <w:rPr>
          <w:rFonts w:ascii="Calibri" w:hAnsi="Calibri" w:cs="Times New Roman"/>
          <w:noProof/>
          <w:szCs w:val="24"/>
        </w:rPr>
        <w:t xml:space="preserve">, </w:t>
      </w:r>
      <w:r w:rsidRPr="00B0148D">
        <w:rPr>
          <w:rFonts w:ascii="Calibri" w:hAnsi="Calibri" w:cs="Times New Roman"/>
          <w:i/>
          <w:iCs/>
          <w:noProof/>
          <w:szCs w:val="24"/>
        </w:rPr>
        <w:t>31</w:t>
      </w:r>
      <w:r w:rsidR="00013395" w:rsidRPr="00B0148D">
        <w:rPr>
          <w:rFonts w:ascii="Calibri" w:hAnsi="Calibri" w:cs="Times New Roman"/>
          <w:noProof/>
          <w:szCs w:val="24"/>
        </w:rPr>
        <w:t>(3), 421–452.</w:t>
      </w:r>
    </w:p>
    <w:p w14:paraId="237E57AE" w14:textId="01EC5D81"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Seppä, L., Latvala, T., Akaichi, F., Gil, J. M., &amp; Tuorila, H. (2015). What are domestic apples worth? Hedonic responses and sensory information as drivers of willingness to pay.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43</w:t>
      </w:r>
      <w:r w:rsidR="00013395" w:rsidRPr="00B0148D">
        <w:rPr>
          <w:rFonts w:ascii="Calibri" w:hAnsi="Calibri" w:cs="Times New Roman"/>
          <w:noProof/>
          <w:szCs w:val="24"/>
        </w:rPr>
        <w:t>, 97–105.</w:t>
      </w:r>
    </w:p>
    <w:p w14:paraId="40F66EB9" w14:textId="33B50C0D"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Stanes, E., Klocker, N., &amp; Gibson, C. (2015). Geoforum Young adult households and domestic sustainabilities. </w:t>
      </w:r>
      <w:r w:rsidRPr="00B0148D">
        <w:rPr>
          <w:rFonts w:ascii="Calibri" w:hAnsi="Calibri" w:cs="Times New Roman"/>
          <w:i/>
          <w:iCs/>
          <w:noProof/>
          <w:szCs w:val="24"/>
        </w:rPr>
        <w:t>Geoforum</w:t>
      </w:r>
      <w:r w:rsidRPr="00B0148D">
        <w:rPr>
          <w:rFonts w:ascii="Calibri" w:hAnsi="Calibri" w:cs="Times New Roman"/>
          <w:noProof/>
          <w:szCs w:val="24"/>
        </w:rPr>
        <w:t xml:space="preserve">, </w:t>
      </w:r>
      <w:r w:rsidRPr="00B0148D">
        <w:rPr>
          <w:rFonts w:ascii="Calibri" w:hAnsi="Calibri" w:cs="Times New Roman"/>
          <w:i/>
          <w:iCs/>
          <w:noProof/>
          <w:szCs w:val="24"/>
        </w:rPr>
        <w:t>65</w:t>
      </w:r>
      <w:r w:rsidR="00013395" w:rsidRPr="00B0148D">
        <w:rPr>
          <w:rFonts w:ascii="Calibri" w:hAnsi="Calibri" w:cs="Times New Roman"/>
          <w:noProof/>
          <w:szCs w:val="24"/>
        </w:rPr>
        <w:t>, 46–58.</w:t>
      </w:r>
    </w:p>
    <w:p w14:paraId="4902981B" w14:textId="71FBB0F4"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Stefani, G., Romano, D., &amp; Cavicchi, A. (2006). Consumer expectations, liking and willingness to pay for specialty foods: Do sensory characteristics tell the whole story?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17</w:t>
      </w:r>
      <w:r w:rsidR="00013395" w:rsidRPr="00B0148D">
        <w:rPr>
          <w:rFonts w:ascii="Calibri" w:hAnsi="Calibri" w:cs="Times New Roman"/>
          <w:noProof/>
          <w:szCs w:val="24"/>
        </w:rPr>
        <w:t>(1–2), 53–62.</w:t>
      </w:r>
    </w:p>
    <w:p w14:paraId="0392290A" w14:textId="2077FCDE"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Stobbelaar, D. J., Casimir, G., Borghuis, J., Marks, I., Meijer, L., &amp; Zebeda, S. (2007). Adolescents ’ attitudes towards organic food : a survey of 15- to 16-year old school children. </w:t>
      </w:r>
      <w:r w:rsidRPr="00B0148D">
        <w:rPr>
          <w:rFonts w:ascii="Calibri" w:hAnsi="Calibri" w:cs="Times New Roman"/>
          <w:i/>
          <w:iCs/>
          <w:noProof/>
          <w:szCs w:val="24"/>
        </w:rPr>
        <w:t>International Journal of Consumer Studies</w:t>
      </w:r>
      <w:r w:rsidRPr="00B0148D">
        <w:rPr>
          <w:rFonts w:ascii="Calibri" w:hAnsi="Calibri" w:cs="Times New Roman"/>
          <w:noProof/>
          <w:szCs w:val="24"/>
        </w:rPr>
        <w:t xml:space="preserve">, </w:t>
      </w:r>
      <w:r w:rsidRPr="00B0148D">
        <w:rPr>
          <w:rFonts w:ascii="Calibri" w:hAnsi="Calibri" w:cs="Times New Roman"/>
          <w:i/>
          <w:iCs/>
          <w:noProof/>
          <w:szCs w:val="24"/>
        </w:rPr>
        <w:t>31</w:t>
      </w:r>
      <w:r w:rsidR="00013395" w:rsidRPr="00B0148D">
        <w:rPr>
          <w:rFonts w:ascii="Calibri" w:hAnsi="Calibri" w:cs="Times New Roman"/>
          <w:noProof/>
          <w:szCs w:val="24"/>
        </w:rPr>
        <w:t>, 349–356.</w:t>
      </w:r>
    </w:p>
    <w:p w14:paraId="193D2752" w14:textId="09AA2E3D"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Teuber, R., Dolgopolova, I., &amp; Nordström, J. (2016). Some like it organic , some like it purple and some like it ancient: Consumer preferences and WTP for value-added attributes in whole grain bread.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52</w:t>
      </w:r>
      <w:r w:rsidR="00013395" w:rsidRPr="00B0148D">
        <w:rPr>
          <w:rFonts w:ascii="Calibri" w:hAnsi="Calibri" w:cs="Times New Roman"/>
          <w:noProof/>
          <w:szCs w:val="24"/>
        </w:rPr>
        <w:t>, 244–254.</w:t>
      </w:r>
    </w:p>
    <w:p w14:paraId="5A1A4197" w14:textId="25191A9F"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Verkasalo, M., Lönnqvist, J.-E., Lipsanen, J., &amp; Helkama, K. (2009). Special issue article How social experience is related to children ’ s intergroup attitudes. </w:t>
      </w:r>
      <w:r w:rsidRPr="00B0148D">
        <w:rPr>
          <w:rFonts w:ascii="Calibri" w:hAnsi="Calibri" w:cs="Times New Roman"/>
          <w:i/>
          <w:iCs/>
          <w:noProof/>
          <w:szCs w:val="24"/>
        </w:rPr>
        <w:t>European Journal of Social Psychology</w:t>
      </w:r>
      <w:r w:rsidRPr="00B0148D">
        <w:rPr>
          <w:rFonts w:ascii="Calibri" w:hAnsi="Calibri" w:cs="Times New Roman"/>
          <w:noProof/>
          <w:szCs w:val="24"/>
        </w:rPr>
        <w:t xml:space="preserve">, </w:t>
      </w:r>
      <w:r w:rsidRPr="00B0148D">
        <w:rPr>
          <w:rFonts w:ascii="Calibri" w:hAnsi="Calibri" w:cs="Times New Roman"/>
          <w:i/>
          <w:iCs/>
          <w:noProof/>
          <w:szCs w:val="24"/>
        </w:rPr>
        <w:t>39</w:t>
      </w:r>
      <w:r w:rsidR="00013395" w:rsidRPr="00B0148D">
        <w:rPr>
          <w:rFonts w:ascii="Calibri" w:hAnsi="Calibri" w:cs="Times New Roman"/>
          <w:noProof/>
          <w:szCs w:val="24"/>
        </w:rPr>
        <w:t>, 780–792.</w:t>
      </w:r>
    </w:p>
    <w:p w14:paraId="3C531EAA" w14:textId="73CF461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Vermeir, I., &amp; Verbeke, W. (2006). Sustainable food consumption: Exploring the consumer “attitude - Behavioral intention” gap. </w:t>
      </w:r>
      <w:r w:rsidRPr="00B0148D">
        <w:rPr>
          <w:rFonts w:ascii="Calibri" w:hAnsi="Calibri" w:cs="Times New Roman"/>
          <w:i/>
          <w:iCs/>
          <w:noProof/>
          <w:szCs w:val="24"/>
        </w:rPr>
        <w:t>Journal of Agricultural and Environmental Ethics</w:t>
      </w:r>
      <w:r w:rsidRPr="00B0148D">
        <w:rPr>
          <w:rFonts w:ascii="Calibri" w:hAnsi="Calibri" w:cs="Times New Roman"/>
          <w:noProof/>
          <w:szCs w:val="24"/>
        </w:rPr>
        <w:t xml:space="preserve">, </w:t>
      </w:r>
      <w:r w:rsidRPr="00B0148D">
        <w:rPr>
          <w:rFonts w:ascii="Calibri" w:hAnsi="Calibri" w:cs="Times New Roman"/>
          <w:i/>
          <w:iCs/>
          <w:noProof/>
          <w:szCs w:val="24"/>
        </w:rPr>
        <w:t>19</w:t>
      </w:r>
      <w:r w:rsidRPr="00B0148D">
        <w:rPr>
          <w:rFonts w:ascii="Calibri" w:hAnsi="Calibri" w:cs="Times New Roman"/>
          <w:noProof/>
          <w:szCs w:val="24"/>
        </w:rPr>
        <w:t xml:space="preserve">(2), 169–194. </w:t>
      </w:r>
    </w:p>
    <w:p w14:paraId="5BCC2D4F" w14:textId="77777777" w:rsidR="00385A05" w:rsidRPr="00B0148D" w:rsidRDefault="00385A05" w:rsidP="00385A05">
      <w:pPr>
        <w:widowControl w:val="0"/>
        <w:autoSpaceDE w:val="0"/>
        <w:autoSpaceDN w:val="0"/>
        <w:adjustRightInd w:val="0"/>
        <w:spacing w:line="240" w:lineRule="auto"/>
        <w:ind w:left="480" w:hanging="480"/>
        <w:rPr>
          <w:rFonts w:ascii="Calibri" w:hAnsi="Calibri" w:cs="Times New Roman"/>
          <w:noProof/>
          <w:szCs w:val="24"/>
        </w:rPr>
      </w:pPr>
      <w:r w:rsidRPr="00B0148D">
        <w:rPr>
          <w:rFonts w:ascii="Calibri" w:hAnsi="Calibri" w:cs="Times New Roman"/>
          <w:noProof/>
          <w:szCs w:val="24"/>
        </w:rPr>
        <w:t xml:space="preserve">Waehning, N. (2015). </w:t>
      </w:r>
      <w:r w:rsidRPr="00B0148D">
        <w:rPr>
          <w:rFonts w:ascii="Calibri" w:hAnsi="Calibri" w:cs="Times New Roman"/>
          <w:i/>
          <w:iCs/>
          <w:noProof/>
          <w:szCs w:val="24"/>
        </w:rPr>
        <w:t>Consumer motives to purchase regional products: the relationship with regional cultural differences and demographic variables</w:t>
      </w:r>
      <w:r w:rsidRPr="00B0148D">
        <w:rPr>
          <w:rFonts w:ascii="Calibri" w:hAnsi="Calibri" w:cs="Times New Roman"/>
          <w:noProof/>
          <w:szCs w:val="24"/>
        </w:rPr>
        <w:t>. University of Hull.</w:t>
      </w:r>
    </w:p>
    <w:p w14:paraId="42F30977" w14:textId="2EC26CA8" w:rsidR="00385A05" w:rsidRPr="00B0148D" w:rsidRDefault="00385A05" w:rsidP="00385A05">
      <w:pPr>
        <w:widowControl w:val="0"/>
        <w:autoSpaceDE w:val="0"/>
        <w:autoSpaceDN w:val="0"/>
        <w:adjustRightInd w:val="0"/>
        <w:spacing w:line="240" w:lineRule="auto"/>
        <w:ind w:left="480" w:hanging="480"/>
        <w:rPr>
          <w:rFonts w:ascii="Calibri" w:hAnsi="Calibri"/>
          <w:noProof/>
        </w:rPr>
      </w:pPr>
      <w:r w:rsidRPr="00B0148D">
        <w:rPr>
          <w:rFonts w:ascii="Calibri" w:hAnsi="Calibri" w:cs="Times New Roman"/>
          <w:noProof/>
          <w:szCs w:val="24"/>
        </w:rPr>
        <w:t xml:space="preserve">Zander, K., &amp; Hamm, U. (2010). Consumer preferences for additional ethical attributes of organic food. </w:t>
      </w:r>
      <w:r w:rsidRPr="00B0148D">
        <w:rPr>
          <w:rFonts w:ascii="Calibri" w:hAnsi="Calibri" w:cs="Times New Roman"/>
          <w:i/>
          <w:iCs/>
          <w:noProof/>
          <w:szCs w:val="24"/>
        </w:rPr>
        <w:t>Food Quality and Preference</w:t>
      </w:r>
      <w:r w:rsidRPr="00B0148D">
        <w:rPr>
          <w:rFonts w:ascii="Calibri" w:hAnsi="Calibri" w:cs="Times New Roman"/>
          <w:noProof/>
          <w:szCs w:val="24"/>
        </w:rPr>
        <w:t xml:space="preserve">, </w:t>
      </w:r>
      <w:r w:rsidRPr="00B0148D">
        <w:rPr>
          <w:rFonts w:ascii="Calibri" w:hAnsi="Calibri" w:cs="Times New Roman"/>
          <w:i/>
          <w:iCs/>
          <w:noProof/>
          <w:szCs w:val="24"/>
        </w:rPr>
        <w:t>21</w:t>
      </w:r>
      <w:r w:rsidRPr="00B0148D">
        <w:rPr>
          <w:rFonts w:ascii="Calibri" w:hAnsi="Calibri" w:cs="Times New Roman"/>
          <w:noProof/>
          <w:szCs w:val="24"/>
        </w:rPr>
        <w:t xml:space="preserve">(5), 495–503. </w:t>
      </w:r>
    </w:p>
    <w:p w14:paraId="745D4ADA" w14:textId="77777777" w:rsidR="00AB1360" w:rsidRPr="00B0148D" w:rsidRDefault="00AB1360" w:rsidP="00AB1360">
      <w:r w:rsidRPr="00B0148D">
        <w:rPr>
          <w:b/>
        </w:rPr>
        <w:lastRenderedPageBreak/>
        <w:fldChar w:fldCharType="end"/>
      </w:r>
    </w:p>
    <w:p w14:paraId="53ADB90A" w14:textId="11362552" w:rsidR="00C04490" w:rsidRPr="00B0148D" w:rsidRDefault="00C04490" w:rsidP="00C04490">
      <w:pPr>
        <w:rPr>
          <w:lang w:val="fi-FI"/>
        </w:rPr>
      </w:pPr>
    </w:p>
    <w:bookmarkEnd w:id="0"/>
    <w:p w14:paraId="0FABA9A5" w14:textId="181C0834" w:rsidR="00B50DC6" w:rsidRPr="00B0148D" w:rsidRDefault="00B50DC6" w:rsidP="00C00514">
      <w:pPr>
        <w:jc w:val="both"/>
        <w:rPr>
          <w:b/>
          <w:lang w:val="fi-FI"/>
        </w:rPr>
      </w:pPr>
    </w:p>
    <w:sectPr w:rsidR="00B50DC6" w:rsidRPr="00B0148D"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A61FC2" w14:textId="77777777" w:rsidR="006D08E1" w:rsidRDefault="006D08E1" w:rsidP="00954E8A">
      <w:pPr>
        <w:spacing w:after="0" w:line="240" w:lineRule="auto"/>
      </w:pPr>
      <w:r>
        <w:separator/>
      </w:r>
    </w:p>
  </w:endnote>
  <w:endnote w:type="continuationSeparator" w:id="0">
    <w:p w14:paraId="01991484" w14:textId="77777777" w:rsidR="006D08E1" w:rsidRDefault="006D08E1" w:rsidP="00954E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dvPSPAL-R">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A8D67C" w14:textId="77777777" w:rsidR="006D08E1" w:rsidRDefault="006D08E1" w:rsidP="00954E8A">
      <w:pPr>
        <w:spacing w:after="0" w:line="240" w:lineRule="auto"/>
      </w:pPr>
      <w:r>
        <w:separator/>
      </w:r>
    </w:p>
  </w:footnote>
  <w:footnote w:type="continuationSeparator" w:id="0">
    <w:p w14:paraId="305C5F12" w14:textId="77777777" w:rsidR="006D08E1" w:rsidRDefault="006D08E1" w:rsidP="00954E8A">
      <w:pPr>
        <w:spacing w:after="0" w:line="240" w:lineRule="auto"/>
      </w:pPr>
      <w:r>
        <w:continuationSeparator/>
      </w:r>
    </w:p>
  </w:footnote>
  <w:footnote w:id="1">
    <w:p w14:paraId="2C9051D3" w14:textId="77777777" w:rsidR="00901C75" w:rsidRDefault="00901C75" w:rsidP="00635147">
      <w:pPr>
        <w:pStyle w:val="FootnoteText"/>
      </w:pPr>
      <w:r w:rsidRPr="000F7E70">
        <w:rPr>
          <w:rStyle w:val="FootnoteReference"/>
        </w:rPr>
        <w:footnoteRef/>
      </w:r>
      <w:r>
        <w:t xml:space="preserve"> The following equations were used for the calculations (Lindeman and Verkasalo, 2005):</w:t>
      </w:r>
    </w:p>
    <w:p w14:paraId="379FDCCD" w14:textId="77777777" w:rsidR="00901C75" w:rsidRDefault="00901C75" w:rsidP="00635147">
      <w:pPr>
        <w:pStyle w:val="FootnoteText"/>
      </w:pPr>
      <w:r>
        <w:t>Conservation = 0.82 + (.05 x Power) + (.06 x Achievement) – (.04 x Hedonism) – (.09 x Stimulation) – (.18 x Self-Direction) – (.16 x Universalism) + (.03 x Benevolence) + (.16 x Tradition) + (.18 x Conformity) + (.11 x Security).</w:t>
      </w:r>
      <w:r>
        <w:tab/>
      </w:r>
      <w:r>
        <w:tab/>
      </w:r>
      <w:r>
        <w:tab/>
      </w:r>
      <w:r>
        <w:tab/>
      </w:r>
      <w:r>
        <w:tab/>
      </w:r>
      <w:r>
        <w:tab/>
      </w:r>
      <w:r>
        <w:tab/>
      </w:r>
      <w:r>
        <w:tab/>
      </w:r>
      <w:r>
        <w:tab/>
      </w:r>
      <w:r>
        <w:tab/>
        <w:t>(1)</w:t>
      </w:r>
    </w:p>
    <w:p w14:paraId="2E3E85CD" w14:textId="0AE67373" w:rsidR="00901C75" w:rsidRPr="00635147" w:rsidRDefault="00901C75" w:rsidP="00635147">
      <w:pPr>
        <w:pStyle w:val="FootnoteText"/>
      </w:pPr>
      <w:r>
        <w:t>Self-Transcendence = 0.60 – (.19 x Power) - (.14 x Achievement) – (.09 x Hedonism) – (.11 x Stimulation) + (.01 x Self-Direction) + (.10 x Universalism) + (.13 x Benevolence) + (.07 x Tradition) + (.06 x Conformity) + (.02 x Security).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B13897"/>
    <w:multiLevelType w:val="multilevel"/>
    <w:tmpl w:val="89A4CA7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11504A97"/>
    <w:multiLevelType w:val="multilevel"/>
    <w:tmpl w:val="B28E855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76851284"/>
    <w:multiLevelType w:val="hybridMultilevel"/>
    <w:tmpl w:val="0E16C5EA"/>
    <w:lvl w:ilvl="0" w:tplc="92C2912C">
      <w:start w:val="1"/>
      <w:numFmt w:val="bullet"/>
      <w:lvlText w:val=""/>
      <w:lvlJc w:val="left"/>
      <w:pPr>
        <w:ind w:left="360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48D"/>
    <w:rsid w:val="00003D95"/>
    <w:rsid w:val="000060E8"/>
    <w:rsid w:val="0001076B"/>
    <w:rsid w:val="00013395"/>
    <w:rsid w:val="00014B7E"/>
    <w:rsid w:val="000163E0"/>
    <w:rsid w:val="00017DB5"/>
    <w:rsid w:val="00026465"/>
    <w:rsid w:val="00026B31"/>
    <w:rsid w:val="000301D7"/>
    <w:rsid w:val="00030361"/>
    <w:rsid w:val="000328B4"/>
    <w:rsid w:val="000345F0"/>
    <w:rsid w:val="0003515A"/>
    <w:rsid w:val="000417AC"/>
    <w:rsid w:val="00044D60"/>
    <w:rsid w:val="00045C68"/>
    <w:rsid w:val="00046823"/>
    <w:rsid w:val="000509A8"/>
    <w:rsid w:val="00053E24"/>
    <w:rsid w:val="00057047"/>
    <w:rsid w:val="000578B4"/>
    <w:rsid w:val="00060240"/>
    <w:rsid w:val="0007050F"/>
    <w:rsid w:val="00070992"/>
    <w:rsid w:val="00071479"/>
    <w:rsid w:val="000723E9"/>
    <w:rsid w:val="000731D9"/>
    <w:rsid w:val="00074398"/>
    <w:rsid w:val="00080DF1"/>
    <w:rsid w:val="00081C92"/>
    <w:rsid w:val="000832BD"/>
    <w:rsid w:val="0009031C"/>
    <w:rsid w:val="00092BCC"/>
    <w:rsid w:val="000951D9"/>
    <w:rsid w:val="00096199"/>
    <w:rsid w:val="000961C5"/>
    <w:rsid w:val="000A482B"/>
    <w:rsid w:val="000A631C"/>
    <w:rsid w:val="000A668B"/>
    <w:rsid w:val="000B1CD1"/>
    <w:rsid w:val="000B3589"/>
    <w:rsid w:val="000B4C1D"/>
    <w:rsid w:val="000B6A40"/>
    <w:rsid w:val="000C1B67"/>
    <w:rsid w:val="000C3D59"/>
    <w:rsid w:val="000C5130"/>
    <w:rsid w:val="000C5904"/>
    <w:rsid w:val="000C7403"/>
    <w:rsid w:val="000C7E0E"/>
    <w:rsid w:val="000D3BAB"/>
    <w:rsid w:val="000D43C0"/>
    <w:rsid w:val="000D576F"/>
    <w:rsid w:val="000D6D61"/>
    <w:rsid w:val="000D7B3A"/>
    <w:rsid w:val="000E0319"/>
    <w:rsid w:val="000E2B31"/>
    <w:rsid w:val="000E3BFD"/>
    <w:rsid w:val="000E5842"/>
    <w:rsid w:val="000E6287"/>
    <w:rsid w:val="000E6C31"/>
    <w:rsid w:val="000F1166"/>
    <w:rsid w:val="000F2456"/>
    <w:rsid w:val="000F5CCC"/>
    <w:rsid w:val="000F636F"/>
    <w:rsid w:val="000F6A1B"/>
    <w:rsid w:val="000F7E70"/>
    <w:rsid w:val="00100520"/>
    <w:rsid w:val="00101C33"/>
    <w:rsid w:val="00102AE8"/>
    <w:rsid w:val="0010513C"/>
    <w:rsid w:val="0011179B"/>
    <w:rsid w:val="001118B4"/>
    <w:rsid w:val="0011465A"/>
    <w:rsid w:val="00114908"/>
    <w:rsid w:val="001167BA"/>
    <w:rsid w:val="00120B65"/>
    <w:rsid w:val="00122DE0"/>
    <w:rsid w:val="00132527"/>
    <w:rsid w:val="0013314B"/>
    <w:rsid w:val="0013519C"/>
    <w:rsid w:val="0014368C"/>
    <w:rsid w:val="00145F61"/>
    <w:rsid w:val="001506BC"/>
    <w:rsid w:val="00153F2E"/>
    <w:rsid w:val="0015512E"/>
    <w:rsid w:val="00157D63"/>
    <w:rsid w:val="00160EE3"/>
    <w:rsid w:val="00167251"/>
    <w:rsid w:val="00167BB3"/>
    <w:rsid w:val="00171F0C"/>
    <w:rsid w:val="00173F66"/>
    <w:rsid w:val="001750C4"/>
    <w:rsid w:val="001764C3"/>
    <w:rsid w:val="00177C0D"/>
    <w:rsid w:val="0018312C"/>
    <w:rsid w:val="0019054C"/>
    <w:rsid w:val="001905C1"/>
    <w:rsid w:val="001A073C"/>
    <w:rsid w:val="001A16EF"/>
    <w:rsid w:val="001A1E97"/>
    <w:rsid w:val="001A5DCF"/>
    <w:rsid w:val="001B10AD"/>
    <w:rsid w:val="001B2F77"/>
    <w:rsid w:val="001C0D4C"/>
    <w:rsid w:val="001D0073"/>
    <w:rsid w:val="001D19BC"/>
    <w:rsid w:val="001D1F70"/>
    <w:rsid w:val="001D3D9D"/>
    <w:rsid w:val="001D59DC"/>
    <w:rsid w:val="001D5AA8"/>
    <w:rsid w:val="001D692A"/>
    <w:rsid w:val="001D6C58"/>
    <w:rsid w:val="001E01AF"/>
    <w:rsid w:val="001E1D2E"/>
    <w:rsid w:val="001E1E8B"/>
    <w:rsid w:val="001E3C94"/>
    <w:rsid w:val="001F0186"/>
    <w:rsid w:val="001F0BB5"/>
    <w:rsid w:val="001F1F51"/>
    <w:rsid w:val="001F4100"/>
    <w:rsid w:val="001F41AF"/>
    <w:rsid w:val="001F56E0"/>
    <w:rsid w:val="001F70EA"/>
    <w:rsid w:val="00203016"/>
    <w:rsid w:val="00204679"/>
    <w:rsid w:val="00212DF5"/>
    <w:rsid w:val="002132D9"/>
    <w:rsid w:val="0021617B"/>
    <w:rsid w:val="00216C40"/>
    <w:rsid w:val="00222655"/>
    <w:rsid w:val="00222BCB"/>
    <w:rsid w:val="002266F0"/>
    <w:rsid w:val="002307A1"/>
    <w:rsid w:val="00232314"/>
    <w:rsid w:val="00237AC1"/>
    <w:rsid w:val="00240ED3"/>
    <w:rsid w:val="0024404A"/>
    <w:rsid w:val="00253F67"/>
    <w:rsid w:val="00255887"/>
    <w:rsid w:val="002568B7"/>
    <w:rsid w:val="0026135E"/>
    <w:rsid w:val="002620DD"/>
    <w:rsid w:val="002659EE"/>
    <w:rsid w:val="00267B2D"/>
    <w:rsid w:val="00267C6B"/>
    <w:rsid w:val="002709DE"/>
    <w:rsid w:val="00273B7A"/>
    <w:rsid w:val="00273D9D"/>
    <w:rsid w:val="002775E5"/>
    <w:rsid w:val="00280893"/>
    <w:rsid w:val="0028161B"/>
    <w:rsid w:val="00284A30"/>
    <w:rsid w:val="00287E5C"/>
    <w:rsid w:val="00291E37"/>
    <w:rsid w:val="002933E6"/>
    <w:rsid w:val="0029341B"/>
    <w:rsid w:val="002A19D2"/>
    <w:rsid w:val="002A2674"/>
    <w:rsid w:val="002A2D53"/>
    <w:rsid w:val="002A312F"/>
    <w:rsid w:val="002A410C"/>
    <w:rsid w:val="002A544A"/>
    <w:rsid w:val="002A55D3"/>
    <w:rsid w:val="002A733F"/>
    <w:rsid w:val="002A7CA5"/>
    <w:rsid w:val="002B23AE"/>
    <w:rsid w:val="002B3664"/>
    <w:rsid w:val="002B438A"/>
    <w:rsid w:val="002B5155"/>
    <w:rsid w:val="002B7094"/>
    <w:rsid w:val="002B7B94"/>
    <w:rsid w:val="002C2657"/>
    <w:rsid w:val="002C324F"/>
    <w:rsid w:val="002C40F7"/>
    <w:rsid w:val="002C5921"/>
    <w:rsid w:val="002D25A9"/>
    <w:rsid w:val="002D2A87"/>
    <w:rsid w:val="002D35D7"/>
    <w:rsid w:val="002D6790"/>
    <w:rsid w:val="002D79BB"/>
    <w:rsid w:val="002E137F"/>
    <w:rsid w:val="002F1982"/>
    <w:rsid w:val="002F6DAB"/>
    <w:rsid w:val="00307C14"/>
    <w:rsid w:val="00311640"/>
    <w:rsid w:val="00315144"/>
    <w:rsid w:val="00317133"/>
    <w:rsid w:val="003210B9"/>
    <w:rsid w:val="00321ADD"/>
    <w:rsid w:val="00322DB0"/>
    <w:rsid w:val="00325A4E"/>
    <w:rsid w:val="00330ABD"/>
    <w:rsid w:val="003329C6"/>
    <w:rsid w:val="00332F75"/>
    <w:rsid w:val="0034082B"/>
    <w:rsid w:val="00340CE9"/>
    <w:rsid w:val="003423B0"/>
    <w:rsid w:val="00342AFB"/>
    <w:rsid w:val="003511A4"/>
    <w:rsid w:val="00354167"/>
    <w:rsid w:val="00354859"/>
    <w:rsid w:val="00354C54"/>
    <w:rsid w:val="00354DBC"/>
    <w:rsid w:val="003551DD"/>
    <w:rsid w:val="003564AB"/>
    <w:rsid w:val="00357254"/>
    <w:rsid w:val="00357D57"/>
    <w:rsid w:val="00364E2B"/>
    <w:rsid w:val="003652F5"/>
    <w:rsid w:val="00366070"/>
    <w:rsid w:val="00366352"/>
    <w:rsid w:val="003665C0"/>
    <w:rsid w:val="0036698F"/>
    <w:rsid w:val="00366C87"/>
    <w:rsid w:val="00366E17"/>
    <w:rsid w:val="00372CCE"/>
    <w:rsid w:val="00375F92"/>
    <w:rsid w:val="003803BE"/>
    <w:rsid w:val="00383BA5"/>
    <w:rsid w:val="003841FD"/>
    <w:rsid w:val="003843E8"/>
    <w:rsid w:val="00385A05"/>
    <w:rsid w:val="003A0BC2"/>
    <w:rsid w:val="003A2CDD"/>
    <w:rsid w:val="003A42C7"/>
    <w:rsid w:val="003A5139"/>
    <w:rsid w:val="003A780C"/>
    <w:rsid w:val="003B132E"/>
    <w:rsid w:val="003B4085"/>
    <w:rsid w:val="003B5A1F"/>
    <w:rsid w:val="003B7D12"/>
    <w:rsid w:val="003C0888"/>
    <w:rsid w:val="003C0C52"/>
    <w:rsid w:val="003C1C7D"/>
    <w:rsid w:val="003C3030"/>
    <w:rsid w:val="003C303C"/>
    <w:rsid w:val="003C4B18"/>
    <w:rsid w:val="003C520D"/>
    <w:rsid w:val="003C794F"/>
    <w:rsid w:val="003D0DC6"/>
    <w:rsid w:val="003D18EE"/>
    <w:rsid w:val="003D1992"/>
    <w:rsid w:val="003D2593"/>
    <w:rsid w:val="003D452E"/>
    <w:rsid w:val="003D692B"/>
    <w:rsid w:val="003E1CB3"/>
    <w:rsid w:val="003E2B6D"/>
    <w:rsid w:val="003E2BEA"/>
    <w:rsid w:val="003E340C"/>
    <w:rsid w:val="003E3551"/>
    <w:rsid w:val="003E7B23"/>
    <w:rsid w:val="003F3CF2"/>
    <w:rsid w:val="003F4ED0"/>
    <w:rsid w:val="003F529C"/>
    <w:rsid w:val="003F6A19"/>
    <w:rsid w:val="003F78AB"/>
    <w:rsid w:val="0040006C"/>
    <w:rsid w:val="004052E5"/>
    <w:rsid w:val="00405856"/>
    <w:rsid w:val="00410E1A"/>
    <w:rsid w:val="004119A4"/>
    <w:rsid w:val="00412617"/>
    <w:rsid w:val="0041322F"/>
    <w:rsid w:val="00414C19"/>
    <w:rsid w:val="0042241F"/>
    <w:rsid w:val="00422880"/>
    <w:rsid w:val="00422932"/>
    <w:rsid w:val="00422D3A"/>
    <w:rsid w:val="0042527C"/>
    <w:rsid w:val="00426B03"/>
    <w:rsid w:val="004275F0"/>
    <w:rsid w:val="004312E8"/>
    <w:rsid w:val="00433281"/>
    <w:rsid w:val="00433416"/>
    <w:rsid w:val="004337BD"/>
    <w:rsid w:val="0044182E"/>
    <w:rsid w:val="00445143"/>
    <w:rsid w:val="004476C3"/>
    <w:rsid w:val="0044786F"/>
    <w:rsid w:val="00451743"/>
    <w:rsid w:val="00452145"/>
    <w:rsid w:val="00453078"/>
    <w:rsid w:val="004629F3"/>
    <w:rsid w:val="00465EE0"/>
    <w:rsid w:val="00470A4E"/>
    <w:rsid w:val="004714FC"/>
    <w:rsid w:val="004759AB"/>
    <w:rsid w:val="004759CE"/>
    <w:rsid w:val="004812E6"/>
    <w:rsid w:val="00481A35"/>
    <w:rsid w:val="00482404"/>
    <w:rsid w:val="00482BD2"/>
    <w:rsid w:val="004848CD"/>
    <w:rsid w:val="00485549"/>
    <w:rsid w:val="0048576B"/>
    <w:rsid w:val="00485EC1"/>
    <w:rsid w:val="00487F49"/>
    <w:rsid w:val="004A239D"/>
    <w:rsid w:val="004A47F2"/>
    <w:rsid w:val="004A4CBD"/>
    <w:rsid w:val="004A4D5C"/>
    <w:rsid w:val="004A52A5"/>
    <w:rsid w:val="004A7C97"/>
    <w:rsid w:val="004A7F25"/>
    <w:rsid w:val="004A7F3C"/>
    <w:rsid w:val="004B2C91"/>
    <w:rsid w:val="004B5051"/>
    <w:rsid w:val="004B51EF"/>
    <w:rsid w:val="004B54C5"/>
    <w:rsid w:val="004C446F"/>
    <w:rsid w:val="004D05C2"/>
    <w:rsid w:val="004D0B3E"/>
    <w:rsid w:val="004D3898"/>
    <w:rsid w:val="004D3B02"/>
    <w:rsid w:val="004D5DD3"/>
    <w:rsid w:val="004D74D5"/>
    <w:rsid w:val="004D7CB3"/>
    <w:rsid w:val="004E04AE"/>
    <w:rsid w:val="004E184D"/>
    <w:rsid w:val="004E2513"/>
    <w:rsid w:val="004E4E81"/>
    <w:rsid w:val="004E6276"/>
    <w:rsid w:val="004E6507"/>
    <w:rsid w:val="004E7AF1"/>
    <w:rsid w:val="004E7DDC"/>
    <w:rsid w:val="004F07F2"/>
    <w:rsid w:val="004F13B8"/>
    <w:rsid w:val="004F3AFF"/>
    <w:rsid w:val="004F5EE5"/>
    <w:rsid w:val="004F6195"/>
    <w:rsid w:val="00506063"/>
    <w:rsid w:val="00511D3F"/>
    <w:rsid w:val="0051675E"/>
    <w:rsid w:val="00523697"/>
    <w:rsid w:val="00523BB2"/>
    <w:rsid w:val="00523F10"/>
    <w:rsid w:val="0052424B"/>
    <w:rsid w:val="005263AC"/>
    <w:rsid w:val="00526B82"/>
    <w:rsid w:val="00527596"/>
    <w:rsid w:val="00534A8F"/>
    <w:rsid w:val="00534E4B"/>
    <w:rsid w:val="00534F62"/>
    <w:rsid w:val="005353DE"/>
    <w:rsid w:val="0053544E"/>
    <w:rsid w:val="00535E30"/>
    <w:rsid w:val="00537898"/>
    <w:rsid w:val="00537CB8"/>
    <w:rsid w:val="0054254A"/>
    <w:rsid w:val="00547285"/>
    <w:rsid w:val="00547D56"/>
    <w:rsid w:val="00551363"/>
    <w:rsid w:val="0055364F"/>
    <w:rsid w:val="00553AB4"/>
    <w:rsid w:val="00553BA7"/>
    <w:rsid w:val="00554166"/>
    <w:rsid w:val="00554BF4"/>
    <w:rsid w:val="005613D9"/>
    <w:rsid w:val="00561CD6"/>
    <w:rsid w:val="00565247"/>
    <w:rsid w:val="00570476"/>
    <w:rsid w:val="00573808"/>
    <w:rsid w:val="005767ED"/>
    <w:rsid w:val="00582551"/>
    <w:rsid w:val="00583455"/>
    <w:rsid w:val="00587CE8"/>
    <w:rsid w:val="005944A0"/>
    <w:rsid w:val="00595B16"/>
    <w:rsid w:val="00596FA2"/>
    <w:rsid w:val="005A1814"/>
    <w:rsid w:val="005A46EA"/>
    <w:rsid w:val="005A6BD8"/>
    <w:rsid w:val="005A6E5A"/>
    <w:rsid w:val="005A6F09"/>
    <w:rsid w:val="005A7FDC"/>
    <w:rsid w:val="005B16C9"/>
    <w:rsid w:val="005B2262"/>
    <w:rsid w:val="005B3D60"/>
    <w:rsid w:val="005B5C18"/>
    <w:rsid w:val="005B7510"/>
    <w:rsid w:val="005C03AC"/>
    <w:rsid w:val="005C0A1A"/>
    <w:rsid w:val="005C340F"/>
    <w:rsid w:val="005C49A5"/>
    <w:rsid w:val="005C7E89"/>
    <w:rsid w:val="005D27A1"/>
    <w:rsid w:val="005D327E"/>
    <w:rsid w:val="005D5707"/>
    <w:rsid w:val="005E1DDA"/>
    <w:rsid w:val="005E2F7F"/>
    <w:rsid w:val="005E3158"/>
    <w:rsid w:val="005E74E2"/>
    <w:rsid w:val="005F47C0"/>
    <w:rsid w:val="005F4E1B"/>
    <w:rsid w:val="005F596B"/>
    <w:rsid w:val="005F64A9"/>
    <w:rsid w:val="005F6E40"/>
    <w:rsid w:val="00600ECE"/>
    <w:rsid w:val="00602013"/>
    <w:rsid w:val="006021CD"/>
    <w:rsid w:val="00604E30"/>
    <w:rsid w:val="00605156"/>
    <w:rsid w:val="00607C42"/>
    <w:rsid w:val="0061048A"/>
    <w:rsid w:val="006148BD"/>
    <w:rsid w:val="00614CD6"/>
    <w:rsid w:val="006207DA"/>
    <w:rsid w:val="00621939"/>
    <w:rsid w:val="006259A2"/>
    <w:rsid w:val="006267E5"/>
    <w:rsid w:val="00630006"/>
    <w:rsid w:val="00630FC4"/>
    <w:rsid w:val="00635147"/>
    <w:rsid w:val="00636FD0"/>
    <w:rsid w:val="006409CA"/>
    <w:rsid w:val="00641440"/>
    <w:rsid w:val="006420B4"/>
    <w:rsid w:val="00644E54"/>
    <w:rsid w:val="00645EE2"/>
    <w:rsid w:val="006509AB"/>
    <w:rsid w:val="00650FD3"/>
    <w:rsid w:val="0065499B"/>
    <w:rsid w:val="00655A7A"/>
    <w:rsid w:val="00656907"/>
    <w:rsid w:val="00660C9F"/>
    <w:rsid w:val="00665E27"/>
    <w:rsid w:val="00666AD1"/>
    <w:rsid w:val="00667436"/>
    <w:rsid w:val="00670C2D"/>
    <w:rsid w:val="0067291E"/>
    <w:rsid w:val="00673206"/>
    <w:rsid w:val="00673AA1"/>
    <w:rsid w:val="00674EC4"/>
    <w:rsid w:val="00684C1E"/>
    <w:rsid w:val="0068589B"/>
    <w:rsid w:val="00685DFA"/>
    <w:rsid w:val="006862CB"/>
    <w:rsid w:val="00686AF3"/>
    <w:rsid w:val="00687D4C"/>
    <w:rsid w:val="006921BC"/>
    <w:rsid w:val="006926B8"/>
    <w:rsid w:val="00693DF2"/>
    <w:rsid w:val="00694215"/>
    <w:rsid w:val="006A004D"/>
    <w:rsid w:val="006A0EB3"/>
    <w:rsid w:val="006A378D"/>
    <w:rsid w:val="006A3FFD"/>
    <w:rsid w:val="006A4D9C"/>
    <w:rsid w:val="006A51F3"/>
    <w:rsid w:val="006B1BB9"/>
    <w:rsid w:val="006B2FF5"/>
    <w:rsid w:val="006B5C4D"/>
    <w:rsid w:val="006B663D"/>
    <w:rsid w:val="006B6F50"/>
    <w:rsid w:val="006C3799"/>
    <w:rsid w:val="006C4B1E"/>
    <w:rsid w:val="006C5A9A"/>
    <w:rsid w:val="006C6BB2"/>
    <w:rsid w:val="006D0122"/>
    <w:rsid w:val="006D08E1"/>
    <w:rsid w:val="006D0B71"/>
    <w:rsid w:val="006D588C"/>
    <w:rsid w:val="006E00B8"/>
    <w:rsid w:val="006E3967"/>
    <w:rsid w:val="006E3D5F"/>
    <w:rsid w:val="006E5C73"/>
    <w:rsid w:val="006E6567"/>
    <w:rsid w:val="006E69BA"/>
    <w:rsid w:val="006E72EF"/>
    <w:rsid w:val="006F0E57"/>
    <w:rsid w:val="006F3F70"/>
    <w:rsid w:val="006F6C0C"/>
    <w:rsid w:val="00700BD8"/>
    <w:rsid w:val="00704100"/>
    <w:rsid w:val="007052D6"/>
    <w:rsid w:val="00706A96"/>
    <w:rsid w:val="007155FB"/>
    <w:rsid w:val="00715B1D"/>
    <w:rsid w:val="00715EF1"/>
    <w:rsid w:val="007202A6"/>
    <w:rsid w:val="007236A7"/>
    <w:rsid w:val="00723CB4"/>
    <w:rsid w:val="00725518"/>
    <w:rsid w:val="007257DE"/>
    <w:rsid w:val="00727426"/>
    <w:rsid w:val="00735B51"/>
    <w:rsid w:val="0073783E"/>
    <w:rsid w:val="00737F9F"/>
    <w:rsid w:val="00740542"/>
    <w:rsid w:val="00741B81"/>
    <w:rsid w:val="00743854"/>
    <w:rsid w:val="00743C4A"/>
    <w:rsid w:val="007479CF"/>
    <w:rsid w:val="00752D18"/>
    <w:rsid w:val="00753465"/>
    <w:rsid w:val="007568C1"/>
    <w:rsid w:val="00757A64"/>
    <w:rsid w:val="00760DB8"/>
    <w:rsid w:val="00763751"/>
    <w:rsid w:val="00764C9D"/>
    <w:rsid w:val="00766183"/>
    <w:rsid w:val="007705E4"/>
    <w:rsid w:val="0077731C"/>
    <w:rsid w:val="00777DE4"/>
    <w:rsid w:val="00783070"/>
    <w:rsid w:val="007911D1"/>
    <w:rsid w:val="0079125F"/>
    <w:rsid w:val="00791FC3"/>
    <w:rsid w:val="00793821"/>
    <w:rsid w:val="00795E76"/>
    <w:rsid w:val="00796670"/>
    <w:rsid w:val="00797491"/>
    <w:rsid w:val="007A2A25"/>
    <w:rsid w:val="007A2C2D"/>
    <w:rsid w:val="007A36D5"/>
    <w:rsid w:val="007A3C32"/>
    <w:rsid w:val="007A7B3C"/>
    <w:rsid w:val="007B1502"/>
    <w:rsid w:val="007B1AE4"/>
    <w:rsid w:val="007B75A9"/>
    <w:rsid w:val="007C2C74"/>
    <w:rsid w:val="007C489D"/>
    <w:rsid w:val="007C5125"/>
    <w:rsid w:val="007C7935"/>
    <w:rsid w:val="007D07D1"/>
    <w:rsid w:val="007D09E5"/>
    <w:rsid w:val="007E0D48"/>
    <w:rsid w:val="007E1DCF"/>
    <w:rsid w:val="007E68BC"/>
    <w:rsid w:val="007E6F78"/>
    <w:rsid w:val="007E7966"/>
    <w:rsid w:val="007F2212"/>
    <w:rsid w:val="007F26ED"/>
    <w:rsid w:val="007F285B"/>
    <w:rsid w:val="007F5B69"/>
    <w:rsid w:val="007F7ECE"/>
    <w:rsid w:val="00800918"/>
    <w:rsid w:val="008015E3"/>
    <w:rsid w:val="00801D9F"/>
    <w:rsid w:val="00802C34"/>
    <w:rsid w:val="0081291B"/>
    <w:rsid w:val="00812953"/>
    <w:rsid w:val="0081356E"/>
    <w:rsid w:val="00815175"/>
    <w:rsid w:val="008154E5"/>
    <w:rsid w:val="00816FB1"/>
    <w:rsid w:val="008179E7"/>
    <w:rsid w:val="0082427B"/>
    <w:rsid w:val="00830119"/>
    <w:rsid w:val="0083058B"/>
    <w:rsid w:val="00831C47"/>
    <w:rsid w:val="008358CA"/>
    <w:rsid w:val="00836CBD"/>
    <w:rsid w:val="00841075"/>
    <w:rsid w:val="00843729"/>
    <w:rsid w:val="00843F81"/>
    <w:rsid w:val="00846304"/>
    <w:rsid w:val="008469FB"/>
    <w:rsid w:val="00846F31"/>
    <w:rsid w:val="00852847"/>
    <w:rsid w:val="00852FF3"/>
    <w:rsid w:val="0085418F"/>
    <w:rsid w:val="00854425"/>
    <w:rsid w:val="0085482A"/>
    <w:rsid w:val="00861BB8"/>
    <w:rsid w:val="0086254E"/>
    <w:rsid w:val="00873704"/>
    <w:rsid w:val="00875A07"/>
    <w:rsid w:val="00875E25"/>
    <w:rsid w:val="008802AF"/>
    <w:rsid w:val="008836D8"/>
    <w:rsid w:val="00890490"/>
    <w:rsid w:val="008936DD"/>
    <w:rsid w:val="008956ED"/>
    <w:rsid w:val="00895813"/>
    <w:rsid w:val="008962F7"/>
    <w:rsid w:val="00897055"/>
    <w:rsid w:val="008A237B"/>
    <w:rsid w:val="008A2871"/>
    <w:rsid w:val="008A3527"/>
    <w:rsid w:val="008A3C6B"/>
    <w:rsid w:val="008A3D1A"/>
    <w:rsid w:val="008A3D7D"/>
    <w:rsid w:val="008A41C9"/>
    <w:rsid w:val="008A507E"/>
    <w:rsid w:val="008A557D"/>
    <w:rsid w:val="008A7352"/>
    <w:rsid w:val="008A7AA5"/>
    <w:rsid w:val="008A7B80"/>
    <w:rsid w:val="008B0CD6"/>
    <w:rsid w:val="008B27F9"/>
    <w:rsid w:val="008B36B5"/>
    <w:rsid w:val="008B548D"/>
    <w:rsid w:val="008C0EB3"/>
    <w:rsid w:val="008C18CC"/>
    <w:rsid w:val="008C39C2"/>
    <w:rsid w:val="008C4220"/>
    <w:rsid w:val="008C4B3F"/>
    <w:rsid w:val="008C5CFC"/>
    <w:rsid w:val="008C69D9"/>
    <w:rsid w:val="008C7911"/>
    <w:rsid w:val="008D03D8"/>
    <w:rsid w:val="008D0C0B"/>
    <w:rsid w:val="008D25A5"/>
    <w:rsid w:val="008D2A3C"/>
    <w:rsid w:val="008D5F29"/>
    <w:rsid w:val="008D6DAC"/>
    <w:rsid w:val="008E2BAC"/>
    <w:rsid w:val="008E37D4"/>
    <w:rsid w:val="008E4703"/>
    <w:rsid w:val="008E7DE4"/>
    <w:rsid w:val="008E7FDA"/>
    <w:rsid w:val="008F3294"/>
    <w:rsid w:val="008F534C"/>
    <w:rsid w:val="008F63A8"/>
    <w:rsid w:val="008F7F80"/>
    <w:rsid w:val="00901C75"/>
    <w:rsid w:val="00901CA3"/>
    <w:rsid w:val="00901D39"/>
    <w:rsid w:val="00905E63"/>
    <w:rsid w:val="009069DB"/>
    <w:rsid w:val="00910E84"/>
    <w:rsid w:val="00916DDD"/>
    <w:rsid w:val="00917879"/>
    <w:rsid w:val="00921696"/>
    <w:rsid w:val="00923390"/>
    <w:rsid w:val="009254BD"/>
    <w:rsid w:val="00925573"/>
    <w:rsid w:val="009255F3"/>
    <w:rsid w:val="00927E69"/>
    <w:rsid w:val="009301C8"/>
    <w:rsid w:val="0093103D"/>
    <w:rsid w:val="00933262"/>
    <w:rsid w:val="00935A88"/>
    <w:rsid w:val="00936D8F"/>
    <w:rsid w:val="00940C04"/>
    <w:rsid w:val="0094131E"/>
    <w:rsid w:val="00944599"/>
    <w:rsid w:val="009459F8"/>
    <w:rsid w:val="00945B67"/>
    <w:rsid w:val="009505CC"/>
    <w:rsid w:val="00951083"/>
    <w:rsid w:val="009537C7"/>
    <w:rsid w:val="009544E3"/>
    <w:rsid w:val="00954E8A"/>
    <w:rsid w:val="00960A22"/>
    <w:rsid w:val="009666E9"/>
    <w:rsid w:val="00972327"/>
    <w:rsid w:val="00973605"/>
    <w:rsid w:val="00975254"/>
    <w:rsid w:val="00976741"/>
    <w:rsid w:val="009773CF"/>
    <w:rsid w:val="00980852"/>
    <w:rsid w:val="00984340"/>
    <w:rsid w:val="00984995"/>
    <w:rsid w:val="00985B5F"/>
    <w:rsid w:val="00986A57"/>
    <w:rsid w:val="009906EE"/>
    <w:rsid w:val="00992D94"/>
    <w:rsid w:val="00993D71"/>
    <w:rsid w:val="009969A8"/>
    <w:rsid w:val="009974E9"/>
    <w:rsid w:val="009B130D"/>
    <w:rsid w:val="009B26BE"/>
    <w:rsid w:val="009B437B"/>
    <w:rsid w:val="009B5323"/>
    <w:rsid w:val="009B7585"/>
    <w:rsid w:val="009C1FD5"/>
    <w:rsid w:val="009D1195"/>
    <w:rsid w:val="009D28AA"/>
    <w:rsid w:val="009D5003"/>
    <w:rsid w:val="009E2C43"/>
    <w:rsid w:val="009E59CA"/>
    <w:rsid w:val="009F0637"/>
    <w:rsid w:val="009F13C5"/>
    <w:rsid w:val="009F4B58"/>
    <w:rsid w:val="009F67BF"/>
    <w:rsid w:val="009F6C1C"/>
    <w:rsid w:val="00A004F0"/>
    <w:rsid w:val="00A05576"/>
    <w:rsid w:val="00A10D69"/>
    <w:rsid w:val="00A111D6"/>
    <w:rsid w:val="00A11E93"/>
    <w:rsid w:val="00A13062"/>
    <w:rsid w:val="00A15450"/>
    <w:rsid w:val="00A154AC"/>
    <w:rsid w:val="00A17D3C"/>
    <w:rsid w:val="00A23D8B"/>
    <w:rsid w:val="00A24703"/>
    <w:rsid w:val="00A25242"/>
    <w:rsid w:val="00A25CEF"/>
    <w:rsid w:val="00A26525"/>
    <w:rsid w:val="00A2707C"/>
    <w:rsid w:val="00A30DD1"/>
    <w:rsid w:val="00A32480"/>
    <w:rsid w:val="00A32866"/>
    <w:rsid w:val="00A35CD2"/>
    <w:rsid w:val="00A40364"/>
    <w:rsid w:val="00A44E89"/>
    <w:rsid w:val="00A5125B"/>
    <w:rsid w:val="00A51D8E"/>
    <w:rsid w:val="00A535B6"/>
    <w:rsid w:val="00A55451"/>
    <w:rsid w:val="00A566F7"/>
    <w:rsid w:val="00A56BED"/>
    <w:rsid w:val="00A57446"/>
    <w:rsid w:val="00A60EF1"/>
    <w:rsid w:val="00A63B7C"/>
    <w:rsid w:val="00A67A78"/>
    <w:rsid w:val="00A714C2"/>
    <w:rsid w:val="00A73918"/>
    <w:rsid w:val="00A76A01"/>
    <w:rsid w:val="00A815A0"/>
    <w:rsid w:val="00A835F9"/>
    <w:rsid w:val="00A86570"/>
    <w:rsid w:val="00A91597"/>
    <w:rsid w:val="00A945FB"/>
    <w:rsid w:val="00A9727C"/>
    <w:rsid w:val="00A97D29"/>
    <w:rsid w:val="00AA499F"/>
    <w:rsid w:val="00AA547F"/>
    <w:rsid w:val="00AA76B3"/>
    <w:rsid w:val="00AA7A61"/>
    <w:rsid w:val="00AA7CE0"/>
    <w:rsid w:val="00AA7EC9"/>
    <w:rsid w:val="00AB0883"/>
    <w:rsid w:val="00AB0890"/>
    <w:rsid w:val="00AB1360"/>
    <w:rsid w:val="00AB2310"/>
    <w:rsid w:val="00AB438C"/>
    <w:rsid w:val="00AB4490"/>
    <w:rsid w:val="00AB4D36"/>
    <w:rsid w:val="00AB674D"/>
    <w:rsid w:val="00AC5C32"/>
    <w:rsid w:val="00AC6750"/>
    <w:rsid w:val="00AC70B8"/>
    <w:rsid w:val="00AE0E5A"/>
    <w:rsid w:val="00AE3416"/>
    <w:rsid w:val="00AE5596"/>
    <w:rsid w:val="00AE6E0F"/>
    <w:rsid w:val="00AF10B7"/>
    <w:rsid w:val="00AF24D7"/>
    <w:rsid w:val="00B0148D"/>
    <w:rsid w:val="00B05FFA"/>
    <w:rsid w:val="00B10ACC"/>
    <w:rsid w:val="00B12E1D"/>
    <w:rsid w:val="00B13802"/>
    <w:rsid w:val="00B13E3B"/>
    <w:rsid w:val="00B1514F"/>
    <w:rsid w:val="00B157F2"/>
    <w:rsid w:val="00B173F3"/>
    <w:rsid w:val="00B20E7E"/>
    <w:rsid w:val="00B214A0"/>
    <w:rsid w:val="00B259C5"/>
    <w:rsid w:val="00B32955"/>
    <w:rsid w:val="00B32A4D"/>
    <w:rsid w:val="00B3319D"/>
    <w:rsid w:val="00B338D7"/>
    <w:rsid w:val="00B34643"/>
    <w:rsid w:val="00B378F7"/>
    <w:rsid w:val="00B4394F"/>
    <w:rsid w:val="00B43D28"/>
    <w:rsid w:val="00B50DC6"/>
    <w:rsid w:val="00B51B4E"/>
    <w:rsid w:val="00B52020"/>
    <w:rsid w:val="00B60C81"/>
    <w:rsid w:val="00B61579"/>
    <w:rsid w:val="00B61C1A"/>
    <w:rsid w:val="00B629E9"/>
    <w:rsid w:val="00B6390B"/>
    <w:rsid w:val="00B63C18"/>
    <w:rsid w:val="00B67571"/>
    <w:rsid w:val="00B6763C"/>
    <w:rsid w:val="00B70205"/>
    <w:rsid w:val="00B705A9"/>
    <w:rsid w:val="00B767EC"/>
    <w:rsid w:val="00B805DA"/>
    <w:rsid w:val="00B84710"/>
    <w:rsid w:val="00B84765"/>
    <w:rsid w:val="00B84CDF"/>
    <w:rsid w:val="00B8665B"/>
    <w:rsid w:val="00B90522"/>
    <w:rsid w:val="00B9318C"/>
    <w:rsid w:val="00B9581E"/>
    <w:rsid w:val="00B958B9"/>
    <w:rsid w:val="00B95E91"/>
    <w:rsid w:val="00B97957"/>
    <w:rsid w:val="00BA1004"/>
    <w:rsid w:val="00BA12A8"/>
    <w:rsid w:val="00BA1886"/>
    <w:rsid w:val="00BA466A"/>
    <w:rsid w:val="00BA49A0"/>
    <w:rsid w:val="00BA4ABE"/>
    <w:rsid w:val="00BA78B2"/>
    <w:rsid w:val="00BB2EFB"/>
    <w:rsid w:val="00BB3709"/>
    <w:rsid w:val="00BB3D45"/>
    <w:rsid w:val="00BB4BCA"/>
    <w:rsid w:val="00BB7327"/>
    <w:rsid w:val="00BC0F01"/>
    <w:rsid w:val="00BC157C"/>
    <w:rsid w:val="00BC46D7"/>
    <w:rsid w:val="00BD0BD0"/>
    <w:rsid w:val="00BD358C"/>
    <w:rsid w:val="00BD69C4"/>
    <w:rsid w:val="00BD6A51"/>
    <w:rsid w:val="00BD71D4"/>
    <w:rsid w:val="00BE2E71"/>
    <w:rsid w:val="00BE3644"/>
    <w:rsid w:val="00BE48DE"/>
    <w:rsid w:val="00BE4E87"/>
    <w:rsid w:val="00BE55FF"/>
    <w:rsid w:val="00BE56E9"/>
    <w:rsid w:val="00BE63E9"/>
    <w:rsid w:val="00BF0536"/>
    <w:rsid w:val="00BF12C7"/>
    <w:rsid w:val="00BF282A"/>
    <w:rsid w:val="00BF7DC8"/>
    <w:rsid w:val="00C00514"/>
    <w:rsid w:val="00C031D5"/>
    <w:rsid w:val="00C038D6"/>
    <w:rsid w:val="00C04490"/>
    <w:rsid w:val="00C07000"/>
    <w:rsid w:val="00C10064"/>
    <w:rsid w:val="00C11ABD"/>
    <w:rsid w:val="00C1248E"/>
    <w:rsid w:val="00C20EEE"/>
    <w:rsid w:val="00C2195B"/>
    <w:rsid w:val="00C22894"/>
    <w:rsid w:val="00C25642"/>
    <w:rsid w:val="00C27935"/>
    <w:rsid w:val="00C312D4"/>
    <w:rsid w:val="00C3270D"/>
    <w:rsid w:val="00C32DA9"/>
    <w:rsid w:val="00C3393B"/>
    <w:rsid w:val="00C35D3C"/>
    <w:rsid w:val="00C371DA"/>
    <w:rsid w:val="00C40E40"/>
    <w:rsid w:val="00C41176"/>
    <w:rsid w:val="00C44097"/>
    <w:rsid w:val="00C4453F"/>
    <w:rsid w:val="00C45F33"/>
    <w:rsid w:val="00C4725E"/>
    <w:rsid w:val="00C47C07"/>
    <w:rsid w:val="00C5107A"/>
    <w:rsid w:val="00C5137E"/>
    <w:rsid w:val="00C51F74"/>
    <w:rsid w:val="00C5356F"/>
    <w:rsid w:val="00C53574"/>
    <w:rsid w:val="00C55707"/>
    <w:rsid w:val="00C57837"/>
    <w:rsid w:val="00C60A36"/>
    <w:rsid w:val="00C60CBB"/>
    <w:rsid w:val="00C61493"/>
    <w:rsid w:val="00C61675"/>
    <w:rsid w:val="00C72CE8"/>
    <w:rsid w:val="00C75C05"/>
    <w:rsid w:val="00C765E0"/>
    <w:rsid w:val="00C765E1"/>
    <w:rsid w:val="00C8216B"/>
    <w:rsid w:val="00C841A6"/>
    <w:rsid w:val="00C878BF"/>
    <w:rsid w:val="00C9028F"/>
    <w:rsid w:val="00C922A7"/>
    <w:rsid w:val="00C9237F"/>
    <w:rsid w:val="00C934D9"/>
    <w:rsid w:val="00C95F3F"/>
    <w:rsid w:val="00CA146E"/>
    <w:rsid w:val="00CA1A21"/>
    <w:rsid w:val="00CA412F"/>
    <w:rsid w:val="00CA4C2D"/>
    <w:rsid w:val="00CA6CCF"/>
    <w:rsid w:val="00CB0170"/>
    <w:rsid w:val="00CB1E7C"/>
    <w:rsid w:val="00CB36F9"/>
    <w:rsid w:val="00CB425B"/>
    <w:rsid w:val="00CB518A"/>
    <w:rsid w:val="00CB5AF9"/>
    <w:rsid w:val="00CB7156"/>
    <w:rsid w:val="00CB7B81"/>
    <w:rsid w:val="00CB7BC4"/>
    <w:rsid w:val="00CC0DD9"/>
    <w:rsid w:val="00CC287F"/>
    <w:rsid w:val="00CC3EDB"/>
    <w:rsid w:val="00CC4B6B"/>
    <w:rsid w:val="00CC4DE7"/>
    <w:rsid w:val="00CC7BE9"/>
    <w:rsid w:val="00CD169B"/>
    <w:rsid w:val="00CD23DA"/>
    <w:rsid w:val="00CD3493"/>
    <w:rsid w:val="00CD67A7"/>
    <w:rsid w:val="00CD74C2"/>
    <w:rsid w:val="00CE17CC"/>
    <w:rsid w:val="00CE1A6C"/>
    <w:rsid w:val="00CE27D6"/>
    <w:rsid w:val="00CE76A0"/>
    <w:rsid w:val="00CE794B"/>
    <w:rsid w:val="00CF0BF1"/>
    <w:rsid w:val="00CF3BB8"/>
    <w:rsid w:val="00CF41BB"/>
    <w:rsid w:val="00CF5628"/>
    <w:rsid w:val="00CF67F4"/>
    <w:rsid w:val="00CF6E98"/>
    <w:rsid w:val="00D00BA9"/>
    <w:rsid w:val="00D01293"/>
    <w:rsid w:val="00D01800"/>
    <w:rsid w:val="00D023D6"/>
    <w:rsid w:val="00D02A74"/>
    <w:rsid w:val="00D03D07"/>
    <w:rsid w:val="00D04192"/>
    <w:rsid w:val="00D0430F"/>
    <w:rsid w:val="00D04824"/>
    <w:rsid w:val="00D0755F"/>
    <w:rsid w:val="00D1061B"/>
    <w:rsid w:val="00D10990"/>
    <w:rsid w:val="00D10F9A"/>
    <w:rsid w:val="00D170A0"/>
    <w:rsid w:val="00D21AD1"/>
    <w:rsid w:val="00D25F13"/>
    <w:rsid w:val="00D2737E"/>
    <w:rsid w:val="00D273F4"/>
    <w:rsid w:val="00D32B75"/>
    <w:rsid w:val="00D34547"/>
    <w:rsid w:val="00D34FE3"/>
    <w:rsid w:val="00D422D5"/>
    <w:rsid w:val="00D42C0F"/>
    <w:rsid w:val="00D4339F"/>
    <w:rsid w:val="00D440DC"/>
    <w:rsid w:val="00D44889"/>
    <w:rsid w:val="00D457BE"/>
    <w:rsid w:val="00D502E0"/>
    <w:rsid w:val="00D519F5"/>
    <w:rsid w:val="00D53096"/>
    <w:rsid w:val="00D534A1"/>
    <w:rsid w:val="00D560F0"/>
    <w:rsid w:val="00D615E3"/>
    <w:rsid w:val="00D617C9"/>
    <w:rsid w:val="00D646E5"/>
    <w:rsid w:val="00D66CFE"/>
    <w:rsid w:val="00D67C22"/>
    <w:rsid w:val="00D67EF4"/>
    <w:rsid w:val="00D714D2"/>
    <w:rsid w:val="00D768B2"/>
    <w:rsid w:val="00D76B2A"/>
    <w:rsid w:val="00D7702C"/>
    <w:rsid w:val="00D77043"/>
    <w:rsid w:val="00D77B07"/>
    <w:rsid w:val="00D803EF"/>
    <w:rsid w:val="00D83A4D"/>
    <w:rsid w:val="00D847DE"/>
    <w:rsid w:val="00D92D18"/>
    <w:rsid w:val="00D93B9B"/>
    <w:rsid w:val="00D93CDB"/>
    <w:rsid w:val="00D93FE4"/>
    <w:rsid w:val="00D95CB0"/>
    <w:rsid w:val="00DA5C9B"/>
    <w:rsid w:val="00DA6B9A"/>
    <w:rsid w:val="00DA7829"/>
    <w:rsid w:val="00DB019C"/>
    <w:rsid w:val="00DB2AA3"/>
    <w:rsid w:val="00DB62DD"/>
    <w:rsid w:val="00DB7D4E"/>
    <w:rsid w:val="00DC0FD9"/>
    <w:rsid w:val="00DC1886"/>
    <w:rsid w:val="00DC2872"/>
    <w:rsid w:val="00DC59D9"/>
    <w:rsid w:val="00DD1488"/>
    <w:rsid w:val="00DD2E0F"/>
    <w:rsid w:val="00DD3F0A"/>
    <w:rsid w:val="00DE0ED9"/>
    <w:rsid w:val="00DE166E"/>
    <w:rsid w:val="00DE1781"/>
    <w:rsid w:val="00DE1CAA"/>
    <w:rsid w:val="00DE4CFE"/>
    <w:rsid w:val="00DE5478"/>
    <w:rsid w:val="00DE7224"/>
    <w:rsid w:val="00DF2409"/>
    <w:rsid w:val="00DF3078"/>
    <w:rsid w:val="00DF3AE6"/>
    <w:rsid w:val="00DF44EC"/>
    <w:rsid w:val="00DF69EA"/>
    <w:rsid w:val="00E00B68"/>
    <w:rsid w:val="00E03634"/>
    <w:rsid w:val="00E0432B"/>
    <w:rsid w:val="00E05A2A"/>
    <w:rsid w:val="00E07C95"/>
    <w:rsid w:val="00E12BA6"/>
    <w:rsid w:val="00E15C82"/>
    <w:rsid w:val="00E15C9B"/>
    <w:rsid w:val="00E1603C"/>
    <w:rsid w:val="00E21826"/>
    <w:rsid w:val="00E243D9"/>
    <w:rsid w:val="00E24697"/>
    <w:rsid w:val="00E256CE"/>
    <w:rsid w:val="00E32C60"/>
    <w:rsid w:val="00E33BCE"/>
    <w:rsid w:val="00E34E61"/>
    <w:rsid w:val="00E40D98"/>
    <w:rsid w:val="00E4392A"/>
    <w:rsid w:val="00E4638C"/>
    <w:rsid w:val="00E512D2"/>
    <w:rsid w:val="00E532C4"/>
    <w:rsid w:val="00E54E62"/>
    <w:rsid w:val="00E55486"/>
    <w:rsid w:val="00E5553C"/>
    <w:rsid w:val="00E565E9"/>
    <w:rsid w:val="00E6327D"/>
    <w:rsid w:val="00E63AA9"/>
    <w:rsid w:val="00E6453D"/>
    <w:rsid w:val="00E67C8B"/>
    <w:rsid w:val="00E71443"/>
    <w:rsid w:val="00E8072E"/>
    <w:rsid w:val="00E818FC"/>
    <w:rsid w:val="00E8334B"/>
    <w:rsid w:val="00E85F6C"/>
    <w:rsid w:val="00E90639"/>
    <w:rsid w:val="00E90819"/>
    <w:rsid w:val="00E91B73"/>
    <w:rsid w:val="00E93C43"/>
    <w:rsid w:val="00E94423"/>
    <w:rsid w:val="00E94796"/>
    <w:rsid w:val="00EA1293"/>
    <w:rsid w:val="00EA4B16"/>
    <w:rsid w:val="00EA4DD2"/>
    <w:rsid w:val="00EB036A"/>
    <w:rsid w:val="00EB25E4"/>
    <w:rsid w:val="00EB4A46"/>
    <w:rsid w:val="00EB62CF"/>
    <w:rsid w:val="00EC1804"/>
    <w:rsid w:val="00EC1F96"/>
    <w:rsid w:val="00EC28D5"/>
    <w:rsid w:val="00EC2E2E"/>
    <w:rsid w:val="00EC4664"/>
    <w:rsid w:val="00EC49CA"/>
    <w:rsid w:val="00EC4D33"/>
    <w:rsid w:val="00EC5118"/>
    <w:rsid w:val="00EC58E9"/>
    <w:rsid w:val="00EC73E6"/>
    <w:rsid w:val="00ED0A27"/>
    <w:rsid w:val="00EE2A06"/>
    <w:rsid w:val="00EE3B02"/>
    <w:rsid w:val="00EE67AD"/>
    <w:rsid w:val="00EE7414"/>
    <w:rsid w:val="00EF3DED"/>
    <w:rsid w:val="00EF6C1C"/>
    <w:rsid w:val="00EF7677"/>
    <w:rsid w:val="00EF7AFF"/>
    <w:rsid w:val="00F010F5"/>
    <w:rsid w:val="00F01A9E"/>
    <w:rsid w:val="00F02FFE"/>
    <w:rsid w:val="00F10519"/>
    <w:rsid w:val="00F17AD3"/>
    <w:rsid w:val="00F22BAB"/>
    <w:rsid w:val="00F255A7"/>
    <w:rsid w:val="00F32447"/>
    <w:rsid w:val="00F33606"/>
    <w:rsid w:val="00F34113"/>
    <w:rsid w:val="00F3550B"/>
    <w:rsid w:val="00F36BB1"/>
    <w:rsid w:val="00F413E0"/>
    <w:rsid w:val="00F415BA"/>
    <w:rsid w:val="00F417A4"/>
    <w:rsid w:val="00F43BD0"/>
    <w:rsid w:val="00F45491"/>
    <w:rsid w:val="00F468D3"/>
    <w:rsid w:val="00F50110"/>
    <w:rsid w:val="00F52B2E"/>
    <w:rsid w:val="00F5316D"/>
    <w:rsid w:val="00F605CD"/>
    <w:rsid w:val="00F607E3"/>
    <w:rsid w:val="00F62177"/>
    <w:rsid w:val="00F67A91"/>
    <w:rsid w:val="00F67FFA"/>
    <w:rsid w:val="00F7023A"/>
    <w:rsid w:val="00F70332"/>
    <w:rsid w:val="00F72660"/>
    <w:rsid w:val="00F73D9B"/>
    <w:rsid w:val="00F742C1"/>
    <w:rsid w:val="00F83848"/>
    <w:rsid w:val="00F84747"/>
    <w:rsid w:val="00F84E67"/>
    <w:rsid w:val="00F87FA7"/>
    <w:rsid w:val="00F90FC7"/>
    <w:rsid w:val="00F92AC9"/>
    <w:rsid w:val="00F92BE4"/>
    <w:rsid w:val="00F94742"/>
    <w:rsid w:val="00F96BC5"/>
    <w:rsid w:val="00F96D1F"/>
    <w:rsid w:val="00F97CC0"/>
    <w:rsid w:val="00FA196E"/>
    <w:rsid w:val="00FA2C18"/>
    <w:rsid w:val="00FA4E0D"/>
    <w:rsid w:val="00FA4FB4"/>
    <w:rsid w:val="00FA5C9B"/>
    <w:rsid w:val="00FA6292"/>
    <w:rsid w:val="00FA7227"/>
    <w:rsid w:val="00FB0303"/>
    <w:rsid w:val="00FB1559"/>
    <w:rsid w:val="00FB28EA"/>
    <w:rsid w:val="00FB4522"/>
    <w:rsid w:val="00FB4F6A"/>
    <w:rsid w:val="00FB5F49"/>
    <w:rsid w:val="00FB69D1"/>
    <w:rsid w:val="00FB7F84"/>
    <w:rsid w:val="00FC127D"/>
    <w:rsid w:val="00FC2B91"/>
    <w:rsid w:val="00FC44B6"/>
    <w:rsid w:val="00FD0840"/>
    <w:rsid w:val="00FD19EE"/>
    <w:rsid w:val="00FD21B9"/>
    <w:rsid w:val="00FD3176"/>
    <w:rsid w:val="00FD35E0"/>
    <w:rsid w:val="00FE189A"/>
    <w:rsid w:val="00FE4090"/>
    <w:rsid w:val="00FE5DB5"/>
    <w:rsid w:val="00FE5EF0"/>
    <w:rsid w:val="00FE684C"/>
    <w:rsid w:val="00FE7C78"/>
    <w:rsid w:val="00FF22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193EF"/>
  <w15:chartTrackingRefBased/>
  <w15:docId w15:val="{5B19FDEF-E78A-47D5-B776-CBEF87AFD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B7585"/>
    <w:rPr>
      <w:sz w:val="16"/>
      <w:szCs w:val="16"/>
    </w:rPr>
  </w:style>
  <w:style w:type="paragraph" w:styleId="CommentText">
    <w:name w:val="annotation text"/>
    <w:basedOn w:val="Normal"/>
    <w:link w:val="CommentTextChar"/>
    <w:uiPriority w:val="99"/>
    <w:semiHidden/>
    <w:unhideWhenUsed/>
    <w:rsid w:val="009B7585"/>
    <w:pPr>
      <w:spacing w:line="240" w:lineRule="auto"/>
    </w:pPr>
    <w:rPr>
      <w:sz w:val="20"/>
      <w:szCs w:val="20"/>
    </w:rPr>
  </w:style>
  <w:style w:type="character" w:customStyle="1" w:styleId="CommentTextChar">
    <w:name w:val="Comment Text Char"/>
    <w:basedOn w:val="DefaultParagraphFont"/>
    <w:link w:val="CommentText"/>
    <w:uiPriority w:val="99"/>
    <w:semiHidden/>
    <w:rsid w:val="009B7585"/>
    <w:rPr>
      <w:sz w:val="20"/>
      <w:szCs w:val="20"/>
    </w:rPr>
  </w:style>
  <w:style w:type="paragraph" w:styleId="CommentSubject">
    <w:name w:val="annotation subject"/>
    <w:basedOn w:val="CommentText"/>
    <w:next w:val="CommentText"/>
    <w:link w:val="CommentSubjectChar"/>
    <w:uiPriority w:val="99"/>
    <w:semiHidden/>
    <w:unhideWhenUsed/>
    <w:rsid w:val="009B7585"/>
    <w:rPr>
      <w:b/>
      <w:bCs/>
    </w:rPr>
  </w:style>
  <w:style w:type="character" w:customStyle="1" w:styleId="CommentSubjectChar">
    <w:name w:val="Comment Subject Char"/>
    <w:basedOn w:val="CommentTextChar"/>
    <w:link w:val="CommentSubject"/>
    <w:uiPriority w:val="99"/>
    <w:semiHidden/>
    <w:rsid w:val="009B7585"/>
    <w:rPr>
      <w:b/>
      <w:bCs/>
      <w:sz w:val="20"/>
      <w:szCs w:val="20"/>
    </w:rPr>
  </w:style>
  <w:style w:type="paragraph" w:styleId="BalloonText">
    <w:name w:val="Balloon Text"/>
    <w:basedOn w:val="Normal"/>
    <w:link w:val="BalloonTextChar"/>
    <w:uiPriority w:val="99"/>
    <w:semiHidden/>
    <w:unhideWhenUsed/>
    <w:rsid w:val="009B75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7585"/>
    <w:rPr>
      <w:rFonts w:ascii="Segoe UI" w:hAnsi="Segoe UI" w:cs="Segoe UI"/>
      <w:sz w:val="18"/>
      <w:szCs w:val="18"/>
    </w:rPr>
  </w:style>
  <w:style w:type="paragraph" w:styleId="ListParagraph">
    <w:name w:val="List Paragraph"/>
    <w:basedOn w:val="Normal"/>
    <w:uiPriority w:val="34"/>
    <w:qFormat/>
    <w:rsid w:val="005F596B"/>
    <w:pPr>
      <w:ind w:left="720"/>
      <w:contextualSpacing/>
    </w:pPr>
  </w:style>
  <w:style w:type="paragraph" w:styleId="FootnoteText">
    <w:name w:val="footnote text"/>
    <w:basedOn w:val="Normal"/>
    <w:link w:val="FootnoteTextChar"/>
    <w:uiPriority w:val="99"/>
    <w:semiHidden/>
    <w:unhideWhenUsed/>
    <w:rsid w:val="00954E8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54E8A"/>
    <w:rPr>
      <w:sz w:val="20"/>
      <w:szCs w:val="20"/>
    </w:rPr>
  </w:style>
  <w:style w:type="character" w:styleId="FootnoteReference">
    <w:name w:val="footnote reference"/>
    <w:basedOn w:val="DefaultParagraphFont"/>
    <w:uiPriority w:val="99"/>
    <w:semiHidden/>
    <w:unhideWhenUsed/>
    <w:rsid w:val="00954E8A"/>
    <w:rPr>
      <w:vertAlign w:val="superscript"/>
    </w:rPr>
  </w:style>
  <w:style w:type="table" w:styleId="TableGrid">
    <w:name w:val="Table Grid"/>
    <w:basedOn w:val="TableNormal"/>
    <w:uiPriority w:val="59"/>
    <w:rsid w:val="0048576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5491"/>
    <w:rPr>
      <w:color w:val="0000FF" w:themeColor="hyperlink"/>
      <w:u w:val="single"/>
    </w:rPr>
  </w:style>
  <w:style w:type="character" w:customStyle="1" w:styleId="rpc41">
    <w:name w:val="_rpc_41"/>
    <w:basedOn w:val="DefaultParagraphFont"/>
    <w:rsid w:val="00F45491"/>
  </w:style>
  <w:style w:type="character" w:styleId="EndnoteReference">
    <w:name w:val="endnote reference"/>
    <w:basedOn w:val="DefaultParagraphFont"/>
    <w:uiPriority w:val="99"/>
    <w:semiHidden/>
    <w:unhideWhenUsed/>
    <w:rsid w:val="000F7E7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86678">
      <w:bodyDiv w:val="1"/>
      <w:marLeft w:val="0"/>
      <w:marRight w:val="0"/>
      <w:marTop w:val="0"/>
      <w:marBottom w:val="0"/>
      <w:divBdr>
        <w:top w:val="none" w:sz="0" w:space="0" w:color="auto"/>
        <w:left w:val="none" w:sz="0" w:space="0" w:color="auto"/>
        <w:bottom w:val="none" w:sz="0" w:space="0" w:color="auto"/>
        <w:right w:val="none" w:sz="0" w:space="0" w:color="auto"/>
      </w:divBdr>
    </w:div>
    <w:div w:id="45689497">
      <w:bodyDiv w:val="1"/>
      <w:marLeft w:val="0"/>
      <w:marRight w:val="0"/>
      <w:marTop w:val="0"/>
      <w:marBottom w:val="0"/>
      <w:divBdr>
        <w:top w:val="none" w:sz="0" w:space="0" w:color="auto"/>
        <w:left w:val="none" w:sz="0" w:space="0" w:color="auto"/>
        <w:bottom w:val="none" w:sz="0" w:space="0" w:color="auto"/>
        <w:right w:val="none" w:sz="0" w:space="0" w:color="auto"/>
      </w:divBdr>
    </w:div>
    <w:div w:id="49692326">
      <w:bodyDiv w:val="1"/>
      <w:marLeft w:val="0"/>
      <w:marRight w:val="0"/>
      <w:marTop w:val="0"/>
      <w:marBottom w:val="0"/>
      <w:divBdr>
        <w:top w:val="none" w:sz="0" w:space="0" w:color="auto"/>
        <w:left w:val="none" w:sz="0" w:space="0" w:color="auto"/>
        <w:bottom w:val="none" w:sz="0" w:space="0" w:color="auto"/>
        <w:right w:val="none" w:sz="0" w:space="0" w:color="auto"/>
      </w:divBdr>
    </w:div>
    <w:div w:id="62605462">
      <w:bodyDiv w:val="1"/>
      <w:marLeft w:val="0"/>
      <w:marRight w:val="0"/>
      <w:marTop w:val="0"/>
      <w:marBottom w:val="0"/>
      <w:divBdr>
        <w:top w:val="none" w:sz="0" w:space="0" w:color="auto"/>
        <w:left w:val="none" w:sz="0" w:space="0" w:color="auto"/>
        <w:bottom w:val="none" w:sz="0" w:space="0" w:color="auto"/>
        <w:right w:val="none" w:sz="0" w:space="0" w:color="auto"/>
      </w:divBdr>
    </w:div>
    <w:div w:id="74283284">
      <w:bodyDiv w:val="1"/>
      <w:marLeft w:val="0"/>
      <w:marRight w:val="0"/>
      <w:marTop w:val="0"/>
      <w:marBottom w:val="0"/>
      <w:divBdr>
        <w:top w:val="none" w:sz="0" w:space="0" w:color="auto"/>
        <w:left w:val="none" w:sz="0" w:space="0" w:color="auto"/>
        <w:bottom w:val="none" w:sz="0" w:space="0" w:color="auto"/>
        <w:right w:val="none" w:sz="0" w:space="0" w:color="auto"/>
      </w:divBdr>
    </w:div>
    <w:div w:id="182137904">
      <w:bodyDiv w:val="1"/>
      <w:marLeft w:val="0"/>
      <w:marRight w:val="0"/>
      <w:marTop w:val="0"/>
      <w:marBottom w:val="0"/>
      <w:divBdr>
        <w:top w:val="none" w:sz="0" w:space="0" w:color="auto"/>
        <w:left w:val="none" w:sz="0" w:space="0" w:color="auto"/>
        <w:bottom w:val="none" w:sz="0" w:space="0" w:color="auto"/>
        <w:right w:val="none" w:sz="0" w:space="0" w:color="auto"/>
      </w:divBdr>
    </w:div>
    <w:div w:id="215549990">
      <w:bodyDiv w:val="1"/>
      <w:marLeft w:val="0"/>
      <w:marRight w:val="0"/>
      <w:marTop w:val="0"/>
      <w:marBottom w:val="0"/>
      <w:divBdr>
        <w:top w:val="none" w:sz="0" w:space="0" w:color="auto"/>
        <w:left w:val="none" w:sz="0" w:space="0" w:color="auto"/>
        <w:bottom w:val="none" w:sz="0" w:space="0" w:color="auto"/>
        <w:right w:val="none" w:sz="0" w:space="0" w:color="auto"/>
      </w:divBdr>
    </w:div>
    <w:div w:id="237520260">
      <w:bodyDiv w:val="1"/>
      <w:marLeft w:val="0"/>
      <w:marRight w:val="0"/>
      <w:marTop w:val="0"/>
      <w:marBottom w:val="0"/>
      <w:divBdr>
        <w:top w:val="none" w:sz="0" w:space="0" w:color="auto"/>
        <w:left w:val="none" w:sz="0" w:space="0" w:color="auto"/>
        <w:bottom w:val="none" w:sz="0" w:space="0" w:color="auto"/>
        <w:right w:val="none" w:sz="0" w:space="0" w:color="auto"/>
      </w:divBdr>
    </w:div>
    <w:div w:id="265575110">
      <w:bodyDiv w:val="1"/>
      <w:marLeft w:val="0"/>
      <w:marRight w:val="0"/>
      <w:marTop w:val="0"/>
      <w:marBottom w:val="0"/>
      <w:divBdr>
        <w:top w:val="none" w:sz="0" w:space="0" w:color="auto"/>
        <w:left w:val="none" w:sz="0" w:space="0" w:color="auto"/>
        <w:bottom w:val="none" w:sz="0" w:space="0" w:color="auto"/>
        <w:right w:val="none" w:sz="0" w:space="0" w:color="auto"/>
      </w:divBdr>
    </w:div>
    <w:div w:id="326860545">
      <w:bodyDiv w:val="1"/>
      <w:marLeft w:val="0"/>
      <w:marRight w:val="0"/>
      <w:marTop w:val="0"/>
      <w:marBottom w:val="0"/>
      <w:divBdr>
        <w:top w:val="none" w:sz="0" w:space="0" w:color="auto"/>
        <w:left w:val="none" w:sz="0" w:space="0" w:color="auto"/>
        <w:bottom w:val="none" w:sz="0" w:space="0" w:color="auto"/>
        <w:right w:val="none" w:sz="0" w:space="0" w:color="auto"/>
      </w:divBdr>
    </w:div>
    <w:div w:id="342824131">
      <w:bodyDiv w:val="1"/>
      <w:marLeft w:val="0"/>
      <w:marRight w:val="0"/>
      <w:marTop w:val="0"/>
      <w:marBottom w:val="0"/>
      <w:divBdr>
        <w:top w:val="none" w:sz="0" w:space="0" w:color="auto"/>
        <w:left w:val="none" w:sz="0" w:space="0" w:color="auto"/>
        <w:bottom w:val="none" w:sz="0" w:space="0" w:color="auto"/>
        <w:right w:val="none" w:sz="0" w:space="0" w:color="auto"/>
      </w:divBdr>
    </w:div>
    <w:div w:id="344211011">
      <w:bodyDiv w:val="1"/>
      <w:marLeft w:val="0"/>
      <w:marRight w:val="0"/>
      <w:marTop w:val="0"/>
      <w:marBottom w:val="0"/>
      <w:divBdr>
        <w:top w:val="none" w:sz="0" w:space="0" w:color="auto"/>
        <w:left w:val="none" w:sz="0" w:space="0" w:color="auto"/>
        <w:bottom w:val="none" w:sz="0" w:space="0" w:color="auto"/>
        <w:right w:val="none" w:sz="0" w:space="0" w:color="auto"/>
      </w:divBdr>
    </w:div>
    <w:div w:id="352001535">
      <w:bodyDiv w:val="1"/>
      <w:marLeft w:val="0"/>
      <w:marRight w:val="0"/>
      <w:marTop w:val="0"/>
      <w:marBottom w:val="0"/>
      <w:divBdr>
        <w:top w:val="none" w:sz="0" w:space="0" w:color="auto"/>
        <w:left w:val="none" w:sz="0" w:space="0" w:color="auto"/>
        <w:bottom w:val="none" w:sz="0" w:space="0" w:color="auto"/>
        <w:right w:val="none" w:sz="0" w:space="0" w:color="auto"/>
      </w:divBdr>
    </w:div>
    <w:div w:id="357047893">
      <w:bodyDiv w:val="1"/>
      <w:marLeft w:val="0"/>
      <w:marRight w:val="0"/>
      <w:marTop w:val="0"/>
      <w:marBottom w:val="0"/>
      <w:divBdr>
        <w:top w:val="none" w:sz="0" w:space="0" w:color="auto"/>
        <w:left w:val="none" w:sz="0" w:space="0" w:color="auto"/>
        <w:bottom w:val="none" w:sz="0" w:space="0" w:color="auto"/>
        <w:right w:val="none" w:sz="0" w:space="0" w:color="auto"/>
      </w:divBdr>
    </w:div>
    <w:div w:id="357505940">
      <w:bodyDiv w:val="1"/>
      <w:marLeft w:val="0"/>
      <w:marRight w:val="0"/>
      <w:marTop w:val="0"/>
      <w:marBottom w:val="0"/>
      <w:divBdr>
        <w:top w:val="none" w:sz="0" w:space="0" w:color="auto"/>
        <w:left w:val="none" w:sz="0" w:space="0" w:color="auto"/>
        <w:bottom w:val="none" w:sz="0" w:space="0" w:color="auto"/>
        <w:right w:val="none" w:sz="0" w:space="0" w:color="auto"/>
      </w:divBdr>
    </w:div>
    <w:div w:id="399254556">
      <w:bodyDiv w:val="1"/>
      <w:marLeft w:val="0"/>
      <w:marRight w:val="0"/>
      <w:marTop w:val="0"/>
      <w:marBottom w:val="0"/>
      <w:divBdr>
        <w:top w:val="none" w:sz="0" w:space="0" w:color="auto"/>
        <w:left w:val="none" w:sz="0" w:space="0" w:color="auto"/>
        <w:bottom w:val="none" w:sz="0" w:space="0" w:color="auto"/>
        <w:right w:val="none" w:sz="0" w:space="0" w:color="auto"/>
      </w:divBdr>
    </w:div>
    <w:div w:id="402994640">
      <w:bodyDiv w:val="1"/>
      <w:marLeft w:val="0"/>
      <w:marRight w:val="0"/>
      <w:marTop w:val="0"/>
      <w:marBottom w:val="0"/>
      <w:divBdr>
        <w:top w:val="none" w:sz="0" w:space="0" w:color="auto"/>
        <w:left w:val="none" w:sz="0" w:space="0" w:color="auto"/>
        <w:bottom w:val="none" w:sz="0" w:space="0" w:color="auto"/>
        <w:right w:val="none" w:sz="0" w:space="0" w:color="auto"/>
      </w:divBdr>
    </w:div>
    <w:div w:id="426924058">
      <w:bodyDiv w:val="1"/>
      <w:marLeft w:val="0"/>
      <w:marRight w:val="0"/>
      <w:marTop w:val="0"/>
      <w:marBottom w:val="0"/>
      <w:divBdr>
        <w:top w:val="none" w:sz="0" w:space="0" w:color="auto"/>
        <w:left w:val="none" w:sz="0" w:space="0" w:color="auto"/>
        <w:bottom w:val="none" w:sz="0" w:space="0" w:color="auto"/>
        <w:right w:val="none" w:sz="0" w:space="0" w:color="auto"/>
      </w:divBdr>
    </w:div>
    <w:div w:id="458308358">
      <w:bodyDiv w:val="1"/>
      <w:marLeft w:val="0"/>
      <w:marRight w:val="0"/>
      <w:marTop w:val="0"/>
      <w:marBottom w:val="0"/>
      <w:divBdr>
        <w:top w:val="none" w:sz="0" w:space="0" w:color="auto"/>
        <w:left w:val="none" w:sz="0" w:space="0" w:color="auto"/>
        <w:bottom w:val="none" w:sz="0" w:space="0" w:color="auto"/>
        <w:right w:val="none" w:sz="0" w:space="0" w:color="auto"/>
      </w:divBdr>
    </w:div>
    <w:div w:id="479885736">
      <w:bodyDiv w:val="1"/>
      <w:marLeft w:val="0"/>
      <w:marRight w:val="0"/>
      <w:marTop w:val="0"/>
      <w:marBottom w:val="0"/>
      <w:divBdr>
        <w:top w:val="none" w:sz="0" w:space="0" w:color="auto"/>
        <w:left w:val="none" w:sz="0" w:space="0" w:color="auto"/>
        <w:bottom w:val="none" w:sz="0" w:space="0" w:color="auto"/>
        <w:right w:val="none" w:sz="0" w:space="0" w:color="auto"/>
      </w:divBdr>
    </w:div>
    <w:div w:id="484323636">
      <w:bodyDiv w:val="1"/>
      <w:marLeft w:val="0"/>
      <w:marRight w:val="0"/>
      <w:marTop w:val="0"/>
      <w:marBottom w:val="0"/>
      <w:divBdr>
        <w:top w:val="none" w:sz="0" w:space="0" w:color="auto"/>
        <w:left w:val="none" w:sz="0" w:space="0" w:color="auto"/>
        <w:bottom w:val="none" w:sz="0" w:space="0" w:color="auto"/>
        <w:right w:val="none" w:sz="0" w:space="0" w:color="auto"/>
      </w:divBdr>
    </w:div>
    <w:div w:id="501821797">
      <w:bodyDiv w:val="1"/>
      <w:marLeft w:val="0"/>
      <w:marRight w:val="0"/>
      <w:marTop w:val="0"/>
      <w:marBottom w:val="0"/>
      <w:divBdr>
        <w:top w:val="none" w:sz="0" w:space="0" w:color="auto"/>
        <w:left w:val="none" w:sz="0" w:space="0" w:color="auto"/>
        <w:bottom w:val="none" w:sz="0" w:space="0" w:color="auto"/>
        <w:right w:val="none" w:sz="0" w:space="0" w:color="auto"/>
      </w:divBdr>
    </w:div>
    <w:div w:id="506334627">
      <w:bodyDiv w:val="1"/>
      <w:marLeft w:val="0"/>
      <w:marRight w:val="0"/>
      <w:marTop w:val="0"/>
      <w:marBottom w:val="0"/>
      <w:divBdr>
        <w:top w:val="none" w:sz="0" w:space="0" w:color="auto"/>
        <w:left w:val="none" w:sz="0" w:space="0" w:color="auto"/>
        <w:bottom w:val="none" w:sz="0" w:space="0" w:color="auto"/>
        <w:right w:val="none" w:sz="0" w:space="0" w:color="auto"/>
      </w:divBdr>
    </w:div>
    <w:div w:id="540553315">
      <w:bodyDiv w:val="1"/>
      <w:marLeft w:val="0"/>
      <w:marRight w:val="0"/>
      <w:marTop w:val="0"/>
      <w:marBottom w:val="0"/>
      <w:divBdr>
        <w:top w:val="none" w:sz="0" w:space="0" w:color="auto"/>
        <w:left w:val="none" w:sz="0" w:space="0" w:color="auto"/>
        <w:bottom w:val="none" w:sz="0" w:space="0" w:color="auto"/>
        <w:right w:val="none" w:sz="0" w:space="0" w:color="auto"/>
      </w:divBdr>
    </w:div>
    <w:div w:id="544295730">
      <w:bodyDiv w:val="1"/>
      <w:marLeft w:val="0"/>
      <w:marRight w:val="0"/>
      <w:marTop w:val="0"/>
      <w:marBottom w:val="0"/>
      <w:divBdr>
        <w:top w:val="none" w:sz="0" w:space="0" w:color="auto"/>
        <w:left w:val="none" w:sz="0" w:space="0" w:color="auto"/>
        <w:bottom w:val="none" w:sz="0" w:space="0" w:color="auto"/>
        <w:right w:val="none" w:sz="0" w:space="0" w:color="auto"/>
      </w:divBdr>
    </w:div>
    <w:div w:id="624702465">
      <w:bodyDiv w:val="1"/>
      <w:marLeft w:val="0"/>
      <w:marRight w:val="0"/>
      <w:marTop w:val="0"/>
      <w:marBottom w:val="0"/>
      <w:divBdr>
        <w:top w:val="none" w:sz="0" w:space="0" w:color="auto"/>
        <w:left w:val="none" w:sz="0" w:space="0" w:color="auto"/>
        <w:bottom w:val="none" w:sz="0" w:space="0" w:color="auto"/>
        <w:right w:val="none" w:sz="0" w:space="0" w:color="auto"/>
      </w:divBdr>
    </w:div>
    <w:div w:id="648293814">
      <w:bodyDiv w:val="1"/>
      <w:marLeft w:val="0"/>
      <w:marRight w:val="0"/>
      <w:marTop w:val="0"/>
      <w:marBottom w:val="0"/>
      <w:divBdr>
        <w:top w:val="none" w:sz="0" w:space="0" w:color="auto"/>
        <w:left w:val="none" w:sz="0" w:space="0" w:color="auto"/>
        <w:bottom w:val="none" w:sz="0" w:space="0" w:color="auto"/>
        <w:right w:val="none" w:sz="0" w:space="0" w:color="auto"/>
      </w:divBdr>
    </w:div>
    <w:div w:id="715005090">
      <w:bodyDiv w:val="1"/>
      <w:marLeft w:val="0"/>
      <w:marRight w:val="0"/>
      <w:marTop w:val="0"/>
      <w:marBottom w:val="0"/>
      <w:divBdr>
        <w:top w:val="none" w:sz="0" w:space="0" w:color="auto"/>
        <w:left w:val="none" w:sz="0" w:space="0" w:color="auto"/>
        <w:bottom w:val="none" w:sz="0" w:space="0" w:color="auto"/>
        <w:right w:val="none" w:sz="0" w:space="0" w:color="auto"/>
      </w:divBdr>
    </w:div>
    <w:div w:id="721446693">
      <w:bodyDiv w:val="1"/>
      <w:marLeft w:val="0"/>
      <w:marRight w:val="0"/>
      <w:marTop w:val="0"/>
      <w:marBottom w:val="0"/>
      <w:divBdr>
        <w:top w:val="none" w:sz="0" w:space="0" w:color="auto"/>
        <w:left w:val="none" w:sz="0" w:space="0" w:color="auto"/>
        <w:bottom w:val="none" w:sz="0" w:space="0" w:color="auto"/>
        <w:right w:val="none" w:sz="0" w:space="0" w:color="auto"/>
      </w:divBdr>
    </w:div>
    <w:div w:id="722293035">
      <w:bodyDiv w:val="1"/>
      <w:marLeft w:val="0"/>
      <w:marRight w:val="0"/>
      <w:marTop w:val="0"/>
      <w:marBottom w:val="0"/>
      <w:divBdr>
        <w:top w:val="none" w:sz="0" w:space="0" w:color="auto"/>
        <w:left w:val="none" w:sz="0" w:space="0" w:color="auto"/>
        <w:bottom w:val="none" w:sz="0" w:space="0" w:color="auto"/>
        <w:right w:val="none" w:sz="0" w:space="0" w:color="auto"/>
      </w:divBdr>
    </w:div>
    <w:div w:id="773669825">
      <w:bodyDiv w:val="1"/>
      <w:marLeft w:val="0"/>
      <w:marRight w:val="0"/>
      <w:marTop w:val="0"/>
      <w:marBottom w:val="0"/>
      <w:divBdr>
        <w:top w:val="none" w:sz="0" w:space="0" w:color="auto"/>
        <w:left w:val="none" w:sz="0" w:space="0" w:color="auto"/>
        <w:bottom w:val="none" w:sz="0" w:space="0" w:color="auto"/>
        <w:right w:val="none" w:sz="0" w:space="0" w:color="auto"/>
      </w:divBdr>
    </w:div>
    <w:div w:id="784231413">
      <w:bodyDiv w:val="1"/>
      <w:marLeft w:val="0"/>
      <w:marRight w:val="0"/>
      <w:marTop w:val="0"/>
      <w:marBottom w:val="0"/>
      <w:divBdr>
        <w:top w:val="none" w:sz="0" w:space="0" w:color="auto"/>
        <w:left w:val="none" w:sz="0" w:space="0" w:color="auto"/>
        <w:bottom w:val="none" w:sz="0" w:space="0" w:color="auto"/>
        <w:right w:val="none" w:sz="0" w:space="0" w:color="auto"/>
      </w:divBdr>
    </w:div>
    <w:div w:id="796988352">
      <w:bodyDiv w:val="1"/>
      <w:marLeft w:val="0"/>
      <w:marRight w:val="0"/>
      <w:marTop w:val="0"/>
      <w:marBottom w:val="0"/>
      <w:divBdr>
        <w:top w:val="none" w:sz="0" w:space="0" w:color="auto"/>
        <w:left w:val="none" w:sz="0" w:space="0" w:color="auto"/>
        <w:bottom w:val="none" w:sz="0" w:space="0" w:color="auto"/>
        <w:right w:val="none" w:sz="0" w:space="0" w:color="auto"/>
      </w:divBdr>
    </w:div>
    <w:div w:id="798259376">
      <w:bodyDiv w:val="1"/>
      <w:marLeft w:val="0"/>
      <w:marRight w:val="0"/>
      <w:marTop w:val="0"/>
      <w:marBottom w:val="0"/>
      <w:divBdr>
        <w:top w:val="none" w:sz="0" w:space="0" w:color="auto"/>
        <w:left w:val="none" w:sz="0" w:space="0" w:color="auto"/>
        <w:bottom w:val="none" w:sz="0" w:space="0" w:color="auto"/>
        <w:right w:val="none" w:sz="0" w:space="0" w:color="auto"/>
      </w:divBdr>
    </w:div>
    <w:div w:id="823552166">
      <w:bodyDiv w:val="1"/>
      <w:marLeft w:val="0"/>
      <w:marRight w:val="0"/>
      <w:marTop w:val="0"/>
      <w:marBottom w:val="0"/>
      <w:divBdr>
        <w:top w:val="none" w:sz="0" w:space="0" w:color="auto"/>
        <w:left w:val="none" w:sz="0" w:space="0" w:color="auto"/>
        <w:bottom w:val="none" w:sz="0" w:space="0" w:color="auto"/>
        <w:right w:val="none" w:sz="0" w:space="0" w:color="auto"/>
      </w:divBdr>
    </w:div>
    <w:div w:id="838232710">
      <w:bodyDiv w:val="1"/>
      <w:marLeft w:val="0"/>
      <w:marRight w:val="0"/>
      <w:marTop w:val="0"/>
      <w:marBottom w:val="0"/>
      <w:divBdr>
        <w:top w:val="none" w:sz="0" w:space="0" w:color="auto"/>
        <w:left w:val="none" w:sz="0" w:space="0" w:color="auto"/>
        <w:bottom w:val="none" w:sz="0" w:space="0" w:color="auto"/>
        <w:right w:val="none" w:sz="0" w:space="0" w:color="auto"/>
      </w:divBdr>
    </w:div>
    <w:div w:id="841159990">
      <w:bodyDiv w:val="1"/>
      <w:marLeft w:val="0"/>
      <w:marRight w:val="0"/>
      <w:marTop w:val="0"/>
      <w:marBottom w:val="0"/>
      <w:divBdr>
        <w:top w:val="none" w:sz="0" w:space="0" w:color="auto"/>
        <w:left w:val="none" w:sz="0" w:space="0" w:color="auto"/>
        <w:bottom w:val="none" w:sz="0" w:space="0" w:color="auto"/>
        <w:right w:val="none" w:sz="0" w:space="0" w:color="auto"/>
      </w:divBdr>
    </w:div>
    <w:div w:id="855658242">
      <w:bodyDiv w:val="1"/>
      <w:marLeft w:val="0"/>
      <w:marRight w:val="0"/>
      <w:marTop w:val="0"/>
      <w:marBottom w:val="0"/>
      <w:divBdr>
        <w:top w:val="none" w:sz="0" w:space="0" w:color="auto"/>
        <w:left w:val="none" w:sz="0" w:space="0" w:color="auto"/>
        <w:bottom w:val="none" w:sz="0" w:space="0" w:color="auto"/>
        <w:right w:val="none" w:sz="0" w:space="0" w:color="auto"/>
      </w:divBdr>
    </w:div>
    <w:div w:id="892933139">
      <w:bodyDiv w:val="1"/>
      <w:marLeft w:val="0"/>
      <w:marRight w:val="0"/>
      <w:marTop w:val="0"/>
      <w:marBottom w:val="0"/>
      <w:divBdr>
        <w:top w:val="none" w:sz="0" w:space="0" w:color="auto"/>
        <w:left w:val="none" w:sz="0" w:space="0" w:color="auto"/>
        <w:bottom w:val="none" w:sz="0" w:space="0" w:color="auto"/>
        <w:right w:val="none" w:sz="0" w:space="0" w:color="auto"/>
      </w:divBdr>
    </w:div>
    <w:div w:id="916747806">
      <w:bodyDiv w:val="1"/>
      <w:marLeft w:val="0"/>
      <w:marRight w:val="0"/>
      <w:marTop w:val="0"/>
      <w:marBottom w:val="0"/>
      <w:divBdr>
        <w:top w:val="none" w:sz="0" w:space="0" w:color="auto"/>
        <w:left w:val="none" w:sz="0" w:space="0" w:color="auto"/>
        <w:bottom w:val="none" w:sz="0" w:space="0" w:color="auto"/>
        <w:right w:val="none" w:sz="0" w:space="0" w:color="auto"/>
      </w:divBdr>
    </w:div>
    <w:div w:id="922027080">
      <w:bodyDiv w:val="1"/>
      <w:marLeft w:val="0"/>
      <w:marRight w:val="0"/>
      <w:marTop w:val="0"/>
      <w:marBottom w:val="0"/>
      <w:divBdr>
        <w:top w:val="none" w:sz="0" w:space="0" w:color="auto"/>
        <w:left w:val="none" w:sz="0" w:space="0" w:color="auto"/>
        <w:bottom w:val="none" w:sz="0" w:space="0" w:color="auto"/>
        <w:right w:val="none" w:sz="0" w:space="0" w:color="auto"/>
      </w:divBdr>
    </w:div>
    <w:div w:id="997997268">
      <w:bodyDiv w:val="1"/>
      <w:marLeft w:val="0"/>
      <w:marRight w:val="0"/>
      <w:marTop w:val="0"/>
      <w:marBottom w:val="0"/>
      <w:divBdr>
        <w:top w:val="none" w:sz="0" w:space="0" w:color="auto"/>
        <w:left w:val="none" w:sz="0" w:space="0" w:color="auto"/>
        <w:bottom w:val="none" w:sz="0" w:space="0" w:color="auto"/>
        <w:right w:val="none" w:sz="0" w:space="0" w:color="auto"/>
      </w:divBdr>
    </w:div>
    <w:div w:id="1010134995">
      <w:bodyDiv w:val="1"/>
      <w:marLeft w:val="0"/>
      <w:marRight w:val="0"/>
      <w:marTop w:val="0"/>
      <w:marBottom w:val="0"/>
      <w:divBdr>
        <w:top w:val="none" w:sz="0" w:space="0" w:color="auto"/>
        <w:left w:val="none" w:sz="0" w:space="0" w:color="auto"/>
        <w:bottom w:val="none" w:sz="0" w:space="0" w:color="auto"/>
        <w:right w:val="none" w:sz="0" w:space="0" w:color="auto"/>
      </w:divBdr>
    </w:div>
    <w:div w:id="1014261922">
      <w:bodyDiv w:val="1"/>
      <w:marLeft w:val="0"/>
      <w:marRight w:val="0"/>
      <w:marTop w:val="0"/>
      <w:marBottom w:val="0"/>
      <w:divBdr>
        <w:top w:val="none" w:sz="0" w:space="0" w:color="auto"/>
        <w:left w:val="none" w:sz="0" w:space="0" w:color="auto"/>
        <w:bottom w:val="none" w:sz="0" w:space="0" w:color="auto"/>
        <w:right w:val="none" w:sz="0" w:space="0" w:color="auto"/>
      </w:divBdr>
    </w:div>
    <w:div w:id="1042369518">
      <w:bodyDiv w:val="1"/>
      <w:marLeft w:val="0"/>
      <w:marRight w:val="0"/>
      <w:marTop w:val="0"/>
      <w:marBottom w:val="0"/>
      <w:divBdr>
        <w:top w:val="none" w:sz="0" w:space="0" w:color="auto"/>
        <w:left w:val="none" w:sz="0" w:space="0" w:color="auto"/>
        <w:bottom w:val="none" w:sz="0" w:space="0" w:color="auto"/>
        <w:right w:val="none" w:sz="0" w:space="0" w:color="auto"/>
      </w:divBdr>
    </w:div>
    <w:div w:id="1043289425">
      <w:bodyDiv w:val="1"/>
      <w:marLeft w:val="0"/>
      <w:marRight w:val="0"/>
      <w:marTop w:val="0"/>
      <w:marBottom w:val="0"/>
      <w:divBdr>
        <w:top w:val="none" w:sz="0" w:space="0" w:color="auto"/>
        <w:left w:val="none" w:sz="0" w:space="0" w:color="auto"/>
        <w:bottom w:val="none" w:sz="0" w:space="0" w:color="auto"/>
        <w:right w:val="none" w:sz="0" w:space="0" w:color="auto"/>
      </w:divBdr>
    </w:div>
    <w:div w:id="1054893058">
      <w:bodyDiv w:val="1"/>
      <w:marLeft w:val="0"/>
      <w:marRight w:val="0"/>
      <w:marTop w:val="0"/>
      <w:marBottom w:val="0"/>
      <w:divBdr>
        <w:top w:val="none" w:sz="0" w:space="0" w:color="auto"/>
        <w:left w:val="none" w:sz="0" w:space="0" w:color="auto"/>
        <w:bottom w:val="none" w:sz="0" w:space="0" w:color="auto"/>
        <w:right w:val="none" w:sz="0" w:space="0" w:color="auto"/>
      </w:divBdr>
    </w:div>
    <w:div w:id="1115902721">
      <w:bodyDiv w:val="1"/>
      <w:marLeft w:val="0"/>
      <w:marRight w:val="0"/>
      <w:marTop w:val="0"/>
      <w:marBottom w:val="0"/>
      <w:divBdr>
        <w:top w:val="none" w:sz="0" w:space="0" w:color="auto"/>
        <w:left w:val="none" w:sz="0" w:space="0" w:color="auto"/>
        <w:bottom w:val="none" w:sz="0" w:space="0" w:color="auto"/>
        <w:right w:val="none" w:sz="0" w:space="0" w:color="auto"/>
      </w:divBdr>
    </w:div>
    <w:div w:id="1181893602">
      <w:bodyDiv w:val="1"/>
      <w:marLeft w:val="0"/>
      <w:marRight w:val="0"/>
      <w:marTop w:val="0"/>
      <w:marBottom w:val="0"/>
      <w:divBdr>
        <w:top w:val="none" w:sz="0" w:space="0" w:color="auto"/>
        <w:left w:val="none" w:sz="0" w:space="0" w:color="auto"/>
        <w:bottom w:val="none" w:sz="0" w:space="0" w:color="auto"/>
        <w:right w:val="none" w:sz="0" w:space="0" w:color="auto"/>
      </w:divBdr>
    </w:div>
    <w:div w:id="1184124496">
      <w:bodyDiv w:val="1"/>
      <w:marLeft w:val="0"/>
      <w:marRight w:val="0"/>
      <w:marTop w:val="0"/>
      <w:marBottom w:val="0"/>
      <w:divBdr>
        <w:top w:val="none" w:sz="0" w:space="0" w:color="auto"/>
        <w:left w:val="none" w:sz="0" w:space="0" w:color="auto"/>
        <w:bottom w:val="none" w:sz="0" w:space="0" w:color="auto"/>
        <w:right w:val="none" w:sz="0" w:space="0" w:color="auto"/>
      </w:divBdr>
    </w:div>
    <w:div w:id="1195342138">
      <w:bodyDiv w:val="1"/>
      <w:marLeft w:val="0"/>
      <w:marRight w:val="0"/>
      <w:marTop w:val="0"/>
      <w:marBottom w:val="0"/>
      <w:divBdr>
        <w:top w:val="none" w:sz="0" w:space="0" w:color="auto"/>
        <w:left w:val="none" w:sz="0" w:space="0" w:color="auto"/>
        <w:bottom w:val="none" w:sz="0" w:space="0" w:color="auto"/>
        <w:right w:val="none" w:sz="0" w:space="0" w:color="auto"/>
      </w:divBdr>
    </w:div>
    <w:div w:id="1204829903">
      <w:bodyDiv w:val="1"/>
      <w:marLeft w:val="0"/>
      <w:marRight w:val="0"/>
      <w:marTop w:val="0"/>
      <w:marBottom w:val="0"/>
      <w:divBdr>
        <w:top w:val="none" w:sz="0" w:space="0" w:color="auto"/>
        <w:left w:val="none" w:sz="0" w:space="0" w:color="auto"/>
        <w:bottom w:val="none" w:sz="0" w:space="0" w:color="auto"/>
        <w:right w:val="none" w:sz="0" w:space="0" w:color="auto"/>
      </w:divBdr>
    </w:div>
    <w:div w:id="1222713035">
      <w:bodyDiv w:val="1"/>
      <w:marLeft w:val="0"/>
      <w:marRight w:val="0"/>
      <w:marTop w:val="0"/>
      <w:marBottom w:val="0"/>
      <w:divBdr>
        <w:top w:val="none" w:sz="0" w:space="0" w:color="auto"/>
        <w:left w:val="none" w:sz="0" w:space="0" w:color="auto"/>
        <w:bottom w:val="none" w:sz="0" w:space="0" w:color="auto"/>
        <w:right w:val="none" w:sz="0" w:space="0" w:color="auto"/>
      </w:divBdr>
    </w:div>
    <w:div w:id="1235506996">
      <w:bodyDiv w:val="1"/>
      <w:marLeft w:val="0"/>
      <w:marRight w:val="0"/>
      <w:marTop w:val="0"/>
      <w:marBottom w:val="0"/>
      <w:divBdr>
        <w:top w:val="none" w:sz="0" w:space="0" w:color="auto"/>
        <w:left w:val="none" w:sz="0" w:space="0" w:color="auto"/>
        <w:bottom w:val="none" w:sz="0" w:space="0" w:color="auto"/>
        <w:right w:val="none" w:sz="0" w:space="0" w:color="auto"/>
      </w:divBdr>
    </w:div>
    <w:div w:id="1251162715">
      <w:bodyDiv w:val="1"/>
      <w:marLeft w:val="0"/>
      <w:marRight w:val="0"/>
      <w:marTop w:val="0"/>
      <w:marBottom w:val="0"/>
      <w:divBdr>
        <w:top w:val="none" w:sz="0" w:space="0" w:color="auto"/>
        <w:left w:val="none" w:sz="0" w:space="0" w:color="auto"/>
        <w:bottom w:val="none" w:sz="0" w:space="0" w:color="auto"/>
        <w:right w:val="none" w:sz="0" w:space="0" w:color="auto"/>
      </w:divBdr>
    </w:div>
    <w:div w:id="1258758621">
      <w:bodyDiv w:val="1"/>
      <w:marLeft w:val="0"/>
      <w:marRight w:val="0"/>
      <w:marTop w:val="0"/>
      <w:marBottom w:val="0"/>
      <w:divBdr>
        <w:top w:val="none" w:sz="0" w:space="0" w:color="auto"/>
        <w:left w:val="none" w:sz="0" w:space="0" w:color="auto"/>
        <w:bottom w:val="none" w:sz="0" w:space="0" w:color="auto"/>
        <w:right w:val="none" w:sz="0" w:space="0" w:color="auto"/>
      </w:divBdr>
    </w:div>
    <w:div w:id="1298727448">
      <w:bodyDiv w:val="1"/>
      <w:marLeft w:val="0"/>
      <w:marRight w:val="0"/>
      <w:marTop w:val="0"/>
      <w:marBottom w:val="0"/>
      <w:divBdr>
        <w:top w:val="none" w:sz="0" w:space="0" w:color="auto"/>
        <w:left w:val="none" w:sz="0" w:space="0" w:color="auto"/>
        <w:bottom w:val="none" w:sz="0" w:space="0" w:color="auto"/>
        <w:right w:val="none" w:sz="0" w:space="0" w:color="auto"/>
      </w:divBdr>
    </w:div>
    <w:div w:id="1334995867">
      <w:bodyDiv w:val="1"/>
      <w:marLeft w:val="0"/>
      <w:marRight w:val="0"/>
      <w:marTop w:val="0"/>
      <w:marBottom w:val="0"/>
      <w:divBdr>
        <w:top w:val="none" w:sz="0" w:space="0" w:color="auto"/>
        <w:left w:val="none" w:sz="0" w:space="0" w:color="auto"/>
        <w:bottom w:val="none" w:sz="0" w:space="0" w:color="auto"/>
        <w:right w:val="none" w:sz="0" w:space="0" w:color="auto"/>
      </w:divBdr>
    </w:div>
    <w:div w:id="1402290880">
      <w:bodyDiv w:val="1"/>
      <w:marLeft w:val="0"/>
      <w:marRight w:val="0"/>
      <w:marTop w:val="0"/>
      <w:marBottom w:val="0"/>
      <w:divBdr>
        <w:top w:val="none" w:sz="0" w:space="0" w:color="auto"/>
        <w:left w:val="none" w:sz="0" w:space="0" w:color="auto"/>
        <w:bottom w:val="none" w:sz="0" w:space="0" w:color="auto"/>
        <w:right w:val="none" w:sz="0" w:space="0" w:color="auto"/>
      </w:divBdr>
    </w:div>
    <w:div w:id="1491209964">
      <w:bodyDiv w:val="1"/>
      <w:marLeft w:val="0"/>
      <w:marRight w:val="0"/>
      <w:marTop w:val="0"/>
      <w:marBottom w:val="0"/>
      <w:divBdr>
        <w:top w:val="none" w:sz="0" w:space="0" w:color="auto"/>
        <w:left w:val="none" w:sz="0" w:space="0" w:color="auto"/>
        <w:bottom w:val="none" w:sz="0" w:space="0" w:color="auto"/>
        <w:right w:val="none" w:sz="0" w:space="0" w:color="auto"/>
      </w:divBdr>
    </w:div>
    <w:div w:id="1526602674">
      <w:bodyDiv w:val="1"/>
      <w:marLeft w:val="0"/>
      <w:marRight w:val="0"/>
      <w:marTop w:val="0"/>
      <w:marBottom w:val="0"/>
      <w:divBdr>
        <w:top w:val="none" w:sz="0" w:space="0" w:color="auto"/>
        <w:left w:val="none" w:sz="0" w:space="0" w:color="auto"/>
        <w:bottom w:val="none" w:sz="0" w:space="0" w:color="auto"/>
        <w:right w:val="none" w:sz="0" w:space="0" w:color="auto"/>
      </w:divBdr>
    </w:div>
    <w:div w:id="1536381415">
      <w:bodyDiv w:val="1"/>
      <w:marLeft w:val="0"/>
      <w:marRight w:val="0"/>
      <w:marTop w:val="0"/>
      <w:marBottom w:val="0"/>
      <w:divBdr>
        <w:top w:val="none" w:sz="0" w:space="0" w:color="auto"/>
        <w:left w:val="none" w:sz="0" w:space="0" w:color="auto"/>
        <w:bottom w:val="none" w:sz="0" w:space="0" w:color="auto"/>
        <w:right w:val="none" w:sz="0" w:space="0" w:color="auto"/>
      </w:divBdr>
    </w:div>
    <w:div w:id="1538927523">
      <w:bodyDiv w:val="1"/>
      <w:marLeft w:val="0"/>
      <w:marRight w:val="0"/>
      <w:marTop w:val="0"/>
      <w:marBottom w:val="0"/>
      <w:divBdr>
        <w:top w:val="none" w:sz="0" w:space="0" w:color="auto"/>
        <w:left w:val="none" w:sz="0" w:space="0" w:color="auto"/>
        <w:bottom w:val="none" w:sz="0" w:space="0" w:color="auto"/>
        <w:right w:val="none" w:sz="0" w:space="0" w:color="auto"/>
      </w:divBdr>
    </w:div>
    <w:div w:id="1559779259">
      <w:bodyDiv w:val="1"/>
      <w:marLeft w:val="0"/>
      <w:marRight w:val="0"/>
      <w:marTop w:val="0"/>
      <w:marBottom w:val="0"/>
      <w:divBdr>
        <w:top w:val="none" w:sz="0" w:space="0" w:color="auto"/>
        <w:left w:val="none" w:sz="0" w:space="0" w:color="auto"/>
        <w:bottom w:val="none" w:sz="0" w:space="0" w:color="auto"/>
        <w:right w:val="none" w:sz="0" w:space="0" w:color="auto"/>
      </w:divBdr>
    </w:div>
    <w:div w:id="1601446054">
      <w:bodyDiv w:val="1"/>
      <w:marLeft w:val="0"/>
      <w:marRight w:val="0"/>
      <w:marTop w:val="0"/>
      <w:marBottom w:val="0"/>
      <w:divBdr>
        <w:top w:val="none" w:sz="0" w:space="0" w:color="auto"/>
        <w:left w:val="none" w:sz="0" w:space="0" w:color="auto"/>
        <w:bottom w:val="none" w:sz="0" w:space="0" w:color="auto"/>
        <w:right w:val="none" w:sz="0" w:space="0" w:color="auto"/>
      </w:divBdr>
    </w:div>
    <w:div w:id="1612862573">
      <w:bodyDiv w:val="1"/>
      <w:marLeft w:val="0"/>
      <w:marRight w:val="0"/>
      <w:marTop w:val="0"/>
      <w:marBottom w:val="0"/>
      <w:divBdr>
        <w:top w:val="none" w:sz="0" w:space="0" w:color="auto"/>
        <w:left w:val="none" w:sz="0" w:space="0" w:color="auto"/>
        <w:bottom w:val="none" w:sz="0" w:space="0" w:color="auto"/>
        <w:right w:val="none" w:sz="0" w:space="0" w:color="auto"/>
      </w:divBdr>
    </w:div>
    <w:div w:id="1650669808">
      <w:bodyDiv w:val="1"/>
      <w:marLeft w:val="0"/>
      <w:marRight w:val="0"/>
      <w:marTop w:val="0"/>
      <w:marBottom w:val="0"/>
      <w:divBdr>
        <w:top w:val="none" w:sz="0" w:space="0" w:color="auto"/>
        <w:left w:val="none" w:sz="0" w:space="0" w:color="auto"/>
        <w:bottom w:val="none" w:sz="0" w:space="0" w:color="auto"/>
        <w:right w:val="none" w:sz="0" w:space="0" w:color="auto"/>
      </w:divBdr>
    </w:div>
    <w:div w:id="1668509384">
      <w:bodyDiv w:val="1"/>
      <w:marLeft w:val="0"/>
      <w:marRight w:val="0"/>
      <w:marTop w:val="0"/>
      <w:marBottom w:val="0"/>
      <w:divBdr>
        <w:top w:val="none" w:sz="0" w:space="0" w:color="auto"/>
        <w:left w:val="none" w:sz="0" w:space="0" w:color="auto"/>
        <w:bottom w:val="none" w:sz="0" w:space="0" w:color="auto"/>
        <w:right w:val="none" w:sz="0" w:space="0" w:color="auto"/>
      </w:divBdr>
    </w:div>
    <w:div w:id="1764305074">
      <w:bodyDiv w:val="1"/>
      <w:marLeft w:val="0"/>
      <w:marRight w:val="0"/>
      <w:marTop w:val="0"/>
      <w:marBottom w:val="0"/>
      <w:divBdr>
        <w:top w:val="none" w:sz="0" w:space="0" w:color="auto"/>
        <w:left w:val="none" w:sz="0" w:space="0" w:color="auto"/>
        <w:bottom w:val="none" w:sz="0" w:space="0" w:color="auto"/>
        <w:right w:val="none" w:sz="0" w:space="0" w:color="auto"/>
      </w:divBdr>
    </w:div>
    <w:div w:id="1776709972">
      <w:bodyDiv w:val="1"/>
      <w:marLeft w:val="0"/>
      <w:marRight w:val="0"/>
      <w:marTop w:val="0"/>
      <w:marBottom w:val="0"/>
      <w:divBdr>
        <w:top w:val="none" w:sz="0" w:space="0" w:color="auto"/>
        <w:left w:val="none" w:sz="0" w:space="0" w:color="auto"/>
        <w:bottom w:val="none" w:sz="0" w:space="0" w:color="auto"/>
        <w:right w:val="none" w:sz="0" w:space="0" w:color="auto"/>
      </w:divBdr>
    </w:div>
    <w:div w:id="1786197824">
      <w:bodyDiv w:val="1"/>
      <w:marLeft w:val="0"/>
      <w:marRight w:val="0"/>
      <w:marTop w:val="0"/>
      <w:marBottom w:val="0"/>
      <w:divBdr>
        <w:top w:val="none" w:sz="0" w:space="0" w:color="auto"/>
        <w:left w:val="none" w:sz="0" w:space="0" w:color="auto"/>
        <w:bottom w:val="none" w:sz="0" w:space="0" w:color="auto"/>
        <w:right w:val="none" w:sz="0" w:space="0" w:color="auto"/>
      </w:divBdr>
    </w:div>
    <w:div w:id="1787844699">
      <w:bodyDiv w:val="1"/>
      <w:marLeft w:val="0"/>
      <w:marRight w:val="0"/>
      <w:marTop w:val="0"/>
      <w:marBottom w:val="0"/>
      <w:divBdr>
        <w:top w:val="none" w:sz="0" w:space="0" w:color="auto"/>
        <w:left w:val="none" w:sz="0" w:space="0" w:color="auto"/>
        <w:bottom w:val="none" w:sz="0" w:space="0" w:color="auto"/>
        <w:right w:val="none" w:sz="0" w:space="0" w:color="auto"/>
      </w:divBdr>
    </w:div>
    <w:div w:id="1832333902">
      <w:bodyDiv w:val="1"/>
      <w:marLeft w:val="0"/>
      <w:marRight w:val="0"/>
      <w:marTop w:val="0"/>
      <w:marBottom w:val="0"/>
      <w:divBdr>
        <w:top w:val="none" w:sz="0" w:space="0" w:color="auto"/>
        <w:left w:val="none" w:sz="0" w:space="0" w:color="auto"/>
        <w:bottom w:val="none" w:sz="0" w:space="0" w:color="auto"/>
        <w:right w:val="none" w:sz="0" w:space="0" w:color="auto"/>
      </w:divBdr>
    </w:div>
    <w:div w:id="1841386781">
      <w:bodyDiv w:val="1"/>
      <w:marLeft w:val="0"/>
      <w:marRight w:val="0"/>
      <w:marTop w:val="0"/>
      <w:marBottom w:val="0"/>
      <w:divBdr>
        <w:top w:val="none" w:sz="0" w:space="0" w:color="auto"/>
        <w:left w:val="none" w:sz="0" w:space="0" w:color="auto"/>
        <w:bottom w:val="none" w:sz="0" w:space="0" w:color="auto"/>
        <w:right w:val="none" w:sz="0" w:space="0" w:color="auto"/>
      </w:divBdr>
    </w:div>
    <w:div w:id="1890533078">
      <w:bodyDiv w:val="1"/>
      <w:marLeft w:val="0"/>
      <w:marRight w:val="0"/>
      <w:marTop w:val="0"/>
      <w:marBottom w:val="0"/>
      <w:divBdr>
        <w:top w:val="none" w:sz="0" w:space="0" w:color="auto"/>
        <w:left w:val="none" w:sz="0" w:space="0" w:color="auto"/>
        <w:bottom w:val="none" w:sz="0" w:space="0" w:color="auto"/>
        <w:right w:val="none" w:sz="0" w:space="0" w:color="auto"/>
      </w:divBdr>
    </w:div>
    <w:div w:id="1904294022">
      <w:bodyDiv w:val="1"/>
      <w:marLeft w:val="0"/>
      <w:marRight w:val="0"/>
      <w:marTop w:val="0"/>
      <w:marBottom w:val="0"/>
      <w:divBdr>
        <w:top w:val="none" w:sz="0" w:space="0" w:color="auto"/>
        <w:left w:val="none" w:sz="0" w:space="0" w:color="auto"/>
        <w:bottom w:val="none" w:sz="0" w:space="0" w:color="auto"/>
        <w:right w:val="none" w:sz="0" w:space="0" w:color="auto"/>
      </w:divBdr>
    </w:div>
    <w:div w:id="1916353661">
      <w:bodyDiv w:val="1"/>
      <w:marLeft w:val="0"/>
      <w:marRight w:val="0"/>
      <w:marTop w:val="0"/>
      <w:marBottom w:val="0"/>
      <w:divBdr>
        <w:top w:val="none" w:sz="0" w:space="0" w:color="auto"/>
        <w:left w:val="none" w:sz="0" w:space="0" w:color="auto"/>
        <w:bottom w:val="none" w:sz="0" w:space="0" w:color="auto"/>
        <w:right w:val="none" w:sz="0" w:space="0" w:color="auto"/>
      </w:divBdr>
    </w:div>
    <w:div w:id="1919093226">
      <w:bodyDiv w:val="1"/>
      <w:marLeft w:val="0"/>
      <w:marRight w:val="0"/>
      <w:marTop w:val="0"/>
      <w:marBottom w:val="0"/>
      <w:divBdr>
        <w:top w:val="none" w:sz="0" w:space="0" w:color="auto"/>
        <w:left w:val="none" w:sz="0" w:space="0" w:color="auto"/>
        <w:bottom w:val="none" w:sz="0" w:space="0" w:color="auto"/>
        <w:right w:val="none" w:sz="0" w:space="0" w:color="auto"/>
      </w:divBdr>
    </w:div>
    <w:div w:id="1939558007">
      <w:bodyDiv w:val="1"/>
      <w:marLeft w:val="0"/>
      <w:marRight w:val="0"/>
      <w:marTop w:val="0"/>
      <w:marBottom w:val="0"/>
      <w:divBdr>
        <w:top w:val="none" w:sz="0" w:space="0" w:color="auto"/>
        <w:left w:val="none" w:sz="0" w:space="0" w:color="auto"/>
        <w:bottom w:val="none" w:sz="0" w:space="0" w:color="auto"/>
        <w:right w:val="none" w:sz="0" w:space="0" w:color="auto"/>
      </w:divBdr>
    </w:div>
    <w:div w:id="1941914789">
      <w:bodyDiv w:val="1"/>
      <w:marLeft w:val="0"/>
      <w:marRight w:val="0"/>
      <w:marTop w:val="0"/>
      <w:marBottom w:val="0"/>
      <w:divBdr>
        <w:top w:val="none" w:sz="0" w:space="0" w:color="auto"/>
        <w:left w:val="none" w:sz="0" w:space="0" w:color="auto"/>
        <w:bottom w:val="none" w:sz="0" w:space="0" w:color="auto"/>
        <w:right w:val="none" w:sz="0" w:space="0" w:color="auto"/>
      </w:divBdr>
    </w:div>
    <w:div w:id="2023781809">
      <w:bodyDiv w:val="1"/>
      <w:marLeft w:val="0"/>
      <w:marRight w:val="0"/>
      <w:marTop w:val="0"/>
      <w:marBottom w:val="0"/>
      <w:divBdr>
        <w:top w:val="none" w:sz="0" w:space="0" w:color="auto"/>
        <w:left w:val="none" w:sz="0" w:space="0" w:color="auto"/>
        <w:bottom w:val="none" w:sz="0" w:space="0" w:color="auto"/>
        <w:right w:val="none" w:sz="0" w:space="0" w:color="auto"/>
      </w:divBdr>
    </w:div>
    <w:div w:id="2053849018">
      <w:bodyDiv w:val="1"/>
      <w:marLeft w:val="0"/>
      <w:marRight w:val="0"/>
      <w:marTop w:val="0"/>
      <w:marBottom w:val="0"/>
      <w:divBdr>
        <w:top w:val="none" w:sz="0" w:space="0" w:color="auto"/>
        <w:left w:val="none" w:sz="0" w:space="0" w:color="auto"/>
        <w:bottom w:val="none" w:sz="0" w:space="0" w:color="auto"/>
        <w:right w:val="none" w:sz="0" w:space="0" w:color="auto"/>
      </w:divBdr>
    </w:div>
    <w:div w:id="2060783079">
      <w:bodyDiv w:val="1"/>
      <w:marLeft w:val="0"/>
      <w:marRight w:val="0"/>
      <w:marTop w:val="0"/>
      <w:marBottom w:val="0"/>
      <w:divBdr>
        <w:top w:val="none" w:sz="0" w:space="0" w:color="auto"/>
        <w:left w:val="none" w:sz="0" w:space="0" w:color="auto"/>
        <w:bottom w:val="none" w:sz="0" w:space="0" w:color="auto"/>
        <w:right w:val="none" w:sz="0" w:space="0" w:color="auto"/>
      </w:divBdr>
    </w:div>
    <w:div w:id="2062748962">
      <w:bodyDiv w:val="1"/>
      <w:marLeft w:val="0"/>
      <w:marRight w:val="0"/>
      <w:marTop w:val="0"/>
      <w:marBottom w:val="0"/>
      <w:divBdr>
        <w:top w:val="none" w:sz="0" w:space="0" w:color="auto"/>
        <w:left w:val="none" w:sz="0" w:space="0" w:color="auto"/>
        <w:bottom w:val="none" w:sz="0" w:space="0" w:color="auto"/>
        <w:right w:val="none" w:sz="0" w:space="0" w:color="auto"/>
      </w:divBdr>
    </w:div>
    <w:div w:id="2089843915">
      <w:bodyDiv w:val="1"/>
      <w:marLeft w:val="0"/>
      <w:marRight w:val="0"/>
      <w:marTop w:val="0"/>
      <w:marBottom w:val="0"/>
      <w:divBdr>
        <w:top w:val="none" w:sz="0" w:space="0" w:color="auto"/>
        <w:left w:val="none" w:sz="0" w:space="0" w:color="auto"/>
        <w:bottom w:val="none" w:sz="0" w:space="0" w:color="auto"/>
        <w:right w:val="none" w:sz="0" w:space="0" w:color="auto"/>
      </w:divBdr>
    </w:div>
    <w:div w:id="2145153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g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gi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gi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FC05EB-D5BB-4526-8854-FEB671EF81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32695</Words>
  <Characters>264831</Characters>
  <Application>Microsoft Office Word</Application>
  <DocSecurity>0</DocSecurity>
  <Lines>2206</Lines>
  <Paragraphs>593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Turun yliopisto</Company>
  <LinksUpToDate>false</LinksUpToDate>
  <CharactersWithSpaces>296933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Tommi</dc:creator>
  <cp:keywords/>
  <dc:description/>
  <cp:lastModifiedBy>Tommi Kumpulainen</cp:lastModifiedBy>
  <cp:revision>2</cp:revision>
  <cp:lastPrinted>2018-01-22T06:26:00Z</cp:lastPrinted>
  <dcterms:created xsi:type="dcterms:W3CDTF">2018-03-13T06:29:00Z</dcterms:created>
  <dcterms:modified xsi:type="dcterms:W3CDTF">2018-03-13T06:29:00Z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16th edition (author-date)</vt:lpwstr>
  </property>
  <property fmtid="{D5CDD505-2E9C-101B-9397-08002B2CF9AE}" pid="8" name="Mendeley Recent Style Id 3_1">
    <vt:lpwstr>http://www.zotero.org/styles/emerald-harvard</vt:lpwstr>
  </property>
  <property fmtid="{D5CDD505-2E9C-101B-9397-08002B2CF9AE}" pid="9" name="Mendeley Recent Style Name 3_1">
    <vt:lpwstr>Emerald journals (Harvard)</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5e4237e3-cb22-31f2-a844-a8a9c9e7bf13</vt:lpwstr>
  </property>
  <property fmtid="{D5CDD505-2E9C-101B-9397-08002B2CF9AE}" pid="24" name="Mendeley Citation Style_1">
    <vt:lpwstr>http://www.zotero.org/styles/apa</vt:lpwstr>
  </property>
</Properties>
</file>