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52CC5" w:rsidRDefault="008762BD" w:rsidP="00B37A16">
      <w:pPr>
        <w:pStyle w:val="Heading1"/>
      </w:pPr>
      <w:r>
        <w:t>Aistimusten merkitys</w:t>
      </w:r>
      <w:r w:rsidR="00B37A16" w:rsidRPr="00B37A16">
        <w:t xml:space="preserve"> havainnossa Descartesilla</w:t>
      </w:r>
    </w:p>
    <w:p w:rsidR="001B2C99" w:rsidRDefault="001B2C99" w:rsidP="001B2C99">
      <w:pPr>
        <w:spacing w:after="0" w:line="240" w:lineRule="auto"/>
        <w:jc w:val="center"/>
      </w:pPr>
      <w:r>
        <w:t>Jani Sinokki</w:t>
      </w:r>
    </w:p>
    <w:p w:rsidR="001B2C99" w:rsidRPr="001B2C99" w:rsidRDefault="001B2C99" w:rsidP="001B2C99">
      <w:pPr>
        <w:spacing w:line="240" w:lineRule="auto"/>
        <w:jc w:val="center"/>
      </w:pPr>
      <w:r>
        <w:t>Turun yliopisto</w:t>
      </w:r>
    </w:p>
    <w:p w:rsidR="00B37A16" w:rsidRDefault="00B37A16" w:rsidP="00B37A16">
      <w:r>
        <w:t>Mikä tarkallee</w:t>
      </w:r>
      <w:r w:rsidRPr="00B37A16">
        <w:t>n ottaen on aistimusten rooli ulkoisten objektien havaitsemisessa Descartesin mukaan?</w:t>
      </w:r>
      <w:r>
        <w:t xml:space="preserve"> Metafysiikkansa tärkeimmässä esityksessä, </w:t>
      </w:r>
      <w:r w:rsidRPr="00B37A16">
        <w:rPr>
          <w:i/>
        </w:rPr>
        <w:t>Miet</w:t>
      </w:r>
      <w:r>
        <w:rPr>
          <w:i/>
        </w:rPr>
        <w:t>iskelyjä</w:t>
      </w:r>
      <w:r w:rsidRPr="00B37A16">
        <w:rPr>
          <w:i/>
        </w:rPr>
        <w:t xml:space="preserve"> ensimmäisestä filosofiasta</w:t>
      </w:r>
      <w:r>
        <w:t>, Descartes esittää, ettei ulkoisia olioita havaita aistien avulla, vaan pelkästään mielen tarkastelulla:</w:t>
      </w:r>
    </w:p>
    <w:p w:rsidR="00B37A16" w:rsidRDefault="00B37A16" w:rsidP="00B37A16">
      <w:pPr>
        <w:pStyle w:val="Quote"/>
      </w:pPr>
      <w:r w:rsidRPr="00B37A16">
        <w:t>Mikä onkaan tämä vaha, jonka ainoastaan mieli havaitsee</w:t>
      </w:r>
      <w:r w:rsidR="009605AC">
        <w:t xml:space="preserve"> (lat. </w:t>
      </w:r>
      <w:proofErr w:type="spellStart"/>
      <w:r w:rsidR="009605AC" w:rsidRPr="009605AC">
        <w:rPr>
          <w:i/>
        </w:rPr>
        <w:t>percipitur</w:t>
      </w:r>
      <w:proofErr w:type="spellEnd"/>
      <w:r w:rsidR="009605AC">
        <w:t>)</w:t>
      </w:r>
      <w:r w:rsidRPr="00B37A16">
        <w:t>? Se on tietenkin sama vaha, jonka näen</w:t>
      </w:r>
      <w:r w:rsidR="009605AC">
        <w:t xml:space="preserve"> (</w:t>
      </w:r>
      <w:r w:rsidR="009605AC" w:rsidRPr="00BE0EEF">
        <w:rPr>
          <w:i/>
        </w:rPr>
        <w:t>video</w:t>
      </w:r>
      <w:r w:rsidR="009605AC">
        <w:t>)</w:t>
      </w:r>
      <w:r w:rsidRPr="00B37A16">
        <w:t>, jota kosketan</w:t>
      </w:r>
      <w:r w:rsidR="009605AC">
        <w:t xml:space="preserve"> (</w:t>
      </w:r>
      <w:r w:rsidR="009605AC" w:rsidRPr="00BE0EEF">
        <w:rPr>
          <w:i/>
        </w:rPr>
        <w:t>tango</w:t>
      </w:r>
      <w:r w:rsidR="009605AC">
        <w:t>)</w:t>
      </w:r>
      <w:r w:rsidRPr="00B37A16">
        <w:t xml:space="preserve"> ja jota kuvittelen</w:t>
      </w:r>
      <w:r w:rsidR="009605AC">
        <w:t xml:space="preserve"> (</w:t>
      </w:r>
      <w:proofErr w:type="spellStart"/>
      <w:r w:rsidR="009605AC" w:rsidRPr="00BE0EEF">
        <w:rPr>
          <w:i/>
        </w:rPr>
        <w:t>imaginor</w:t>
      </w:r>
      <w:proofErr w:type="spellEnd"/>
      <w:r w:rsidR="009605AC">
        <w:t>)</w:t>
      </w:r>
      <w:r w:rsidRPr="00B37A16">
        <w:t>, siis sama minä pidin sitä alusta alkaen. Täytyy kuitenkin huomata, että sen havaitseminen</w:t>
      </w:r>
      <w:r w:rsidR="00BE0EEF">
        <w:t xml:space="preserve"> (</w:t>
      </w:r>
      <w:proofErr w:type="spellStart"/>
      <w:r w:rsidR="00BE0EEF" w:rsidRPr="00BE0EEF">
        <w:rPr>
          <w:i/>
        </w:rPr>
        <w:t>perceptio</w:t>
      </w:r>
      <w:proofErr w:type="spellEnd"/>
      <w:r w:rsidR="00BE0EEF">
        <w:t>)</w:t>
      </w:r>
      <w:r w:rsidRPr="00B37A16">
        <w:t xml:space="preserve"> ei ole eikä koskaan ollutkaan näkemistä, koskettamista eikä kuvittelemista, vaikka ensin siltä näytti, vaan ainoastaan mielen tarkastelua</w:t>
      </w:r>
      <w:r w:rsidR="00BE0EEF">
        <w:t xml:space="preserve"> (</w:t>
      </w:r>
      <w:proofErr w:type="spellStart"/>
      <w:r w:rsidR="00BE0EEF" w:rsidRPr="00BE0EEF">
        <w:rPr>
          <w:i/>
        </w:rPr>
        <w:t>solius</w:t>
      </w:r>
      <w:proofErr w:type="spellEnd"/>
      <w:r w:rsidR="00BE0EEF" w:rsidRPr="00BE0EEF">
        <w:rPr>
          <w:i/>
        </w:rPr>
        <w:t xml:space="preserve"> </w:t>
      </w:r>
      <w:proofErr w:type="spellStart"/>
      <w:r w:rsidR="00BE0EEF" w:rsidRPr="00BE0EEF">
        <w:rPr>
          <w:i/>
        </w:rPr>
        <w:t>mentis</w:t>
      </w:r>
      <w:proofErr w:type="spellEnd"/>
      <w:r w:rsidR="00BE0EEF" w:rsidRPr="00BE0EEF">
        <w:rPr>
          <w:i/>
        </w:rPr>
        <w:t xml:space="preserve"> </w:t>
      </w:r>
      <w:proofErr w:type="spellStart"/>
      <w:r w:rsidR="00BE0EEF" w:rsidRPr="00BE0EEF">
        <w:rPr>
          <w:i/>
        </w:rPr>
        <w:t>inspectio</w:t>
      </w:r>
      <w:proofErr w:type="spellEnd"/>
      <w:r w:rsidR="00BE0EEF">
        <w:t>)</w:t>
      </w:r>
      <w:r w:rsidRPr="00B37A16">
        <w:t xml:space="preserve">, joka voi olla joko epätäydellistä ja epämääräistä kuten aikaisemmin tai selvää ja tarkkaa kuten nyt, sen mukaan, kiinnitänkö vähemmän vai enemmän huomiota </w:t>
      </w:r>
      <w:r w:rsidR="00BE0EEF">
        <w:t>(</w:t>
      </w:r>
      <w:proofErr w:type="spellStart"/>
      <w:r w:rsidR="00BE0EEF" w:rsidRPr="00BE0EEF">
        <w:rPr>
          <w:i/>
        </w:rPr>
        <w:t>attendo</w:t>
      </w:r>
      <w:proofErr w:type="spellEnd"/>
      <w:r w:rsidR="00BE0EEF">
        <w:t xml:space="preserve">) </w:t>
      </w:r>
      <w:r w:rsidRPr="00B37A16">
        <w:t>asioihin, joista vaha koostuu.</w:t>
      </w:r>
      <w:r>
        <w:rPr>
          <w:rStyle w:val="FootnoteReference"/>
        </w:rPr>
        <w:footnoteReference w:id="1"/>
      </w:r>
    </w:p>
    <w:p w:rsidR="005A19A5" w:rsidRDefault="000A78B0" w:rsidP="000A78B0">
      <w:r>
        <w:t xml:space="preserve">Yksi tapa ymmärtää Descartesin väite on ajatella, että suhde havaitsijan ja objektin välillä edellyttää päättelyä aistimuksista itse olion (so. substanssin) läsnäoloon. Tähän suuntaan viittaa erityisesti se, että Descartes näyttää vahanpalaesimerkin yhteydessä samaistavan mielen tarkastelun nimenomaan </w:t>
      </w:r>
      <w:r w:rsidRPr="000A78B0">
        <w:rPr>
          <w:i/>
        </w:rPr>
        <w:t>arvostelmakyvyn</w:t>
      </w:r>
      <w:r w:rsidR="005A19A5">
        <w:t xml:space="preserve"> käyttämiseen.</w:t>
      </w:r>
    </w:p>
    <w:p w:rsidR="000A78B0" w:rsidRDefault="009B057A" w:rsidP="000A78B0">
      <w:r>
        <w:t xml:space="preserve">Toinen </w:t>
      </w:r>
      <w:r w:rsidR="00751495">
        <w:t>mahdollisuus on</w:t>
      </w:r>
      <w:r w:rsidR="000A78B0">
        <w:t xml:space="preserve"> ajatella, että itse asiassa aistimukset ovat suhteellisen yhdentekeviä havainto-relaatiolle, ja että tämä relaatio muodostuu tietyllä tapaa syvemmän maailma</w:t>
      </w:r>
      <w:r w:rsidR="00751495">
        <w:t>n</w:t>
      </w:r>
      <w:r w:rsidR="000A78B0">
        <w:t xml:space="preserve"> rakenteen ymmärtämisestä. Tässä</w:t>
      </w:r>
      <w:r w:rsidR="00751495">
        <w:t>kin näkemyksessä</w:t>
      </w:r>
      <w:r w:rsidR="000A78B0">
        <w:t xml:space="preserve"> aistimuksilla on </w:t>
      </w:r>
      <w:r>
        <w:t xml:space="preserve">kyllä tietty rooli, mutta </w:t>
      </w:r>
      <w:r w:rsidR="00423BCA">
        <w:t>kyse ei</w:t>
      </w:r>
      <w:r w:rsidR="000A78B0">
        <w:t xml:space="preserve"> ole päättelystä aistimu</w:t>
      </w:r>
      <w:r w:rsidR="00751495">
        <w:t>ksista</w:t>
      </w:r>
      <w:r w:rsidR="000A78B0">
        <w:t xml:space="preserve"> objektin läsnäoloon, kuten edellisessä näkemyksessä, vaan päättelykyvyn käyttäminen kohdistuu pikemmin olioiden – ajattelijan ja objektin, tässä tapauksessa – välisten </w:t>
      </w:r>
      <w:r w:rsidR="007F36AA">
        <w:t>suhteiden ymmärtämiseen laajemman</w:t>
      </w:r>
      <w:r w:rsidR="000A78B0">
        <w:t xml:space="preserve"> </w:t>
      </w:r>
      <w:r w:rsidR="00751495">
        <w:t>metafyysisen</w:t>
      </w:r>
      <w:r w:rsidR="000A78B0">
        <w:t xml:space="preserve"> viitekehyksen</w:t>
      </w:r>
      <w:r w:rsidR="00751495">
        <w:t xml:space="preserve"> – maailmankuvan –</w:t>
      </w:r>
      <w:r w:rsidR="005A19A5">
        <w:t xml:space="preserve"> avulla. </w:t>
      </w:r>
      <w:r w:rsidR="000A78B0">
        <w:t xml:space="preserve">Haluan tässä kirjoituksessa tarkastella tätä jälkimmäistä vaihtoehtoa mahdollisena tulkintana Descartesin </w:t>
      </w:r>
      <w:r>
        <w:t>havaintokäsityksessä pohtien samalla er</w:t>
      </w:r>
      <w:r w:rsidR="00751495">
        <w:t>ityisesti aistimusten toimintoa havainnossa.</w:t>
      </w:r>
    </w:p>
    <w:p w:rsidR="007B0C7C" w:rsidRDefault="007B0C7C" w:rsidP="007B0C7C">
      <w:pPr>
        <w:pStyle w:val="Heading1"/>
      </w:pPr>
      <w:r>
        <w:t>Vahanpala</w:t>
      </w:r>
    </w:p>
    <w:p w:rsidR="007B0C7C" w:rsidRDefault="007B0C7C" w:rsidP="007B0C7C">
      <w:r>
        <w:t xml:space="preserve">Tarkasteluni keskittyy pääasiassa siihen näkemykseen havainnosta, jonka Descartes esittää </w:t>
      </w:r>
      <w:r>
        <w:rPr>
          <w:i/>
        </w:rPr>
        <w:t>Mietiskelyissä</w:t>
      </w:r>
      <w:r>
        <w:t>. On kuitenkin syytä huomata, että toisaalla Descartes täsmällisesti määrittelee hava</w:t>
      </w:r>
      <w:r w:rsidR="0081220B">
        <w:t xml:space="preserve">innoksi kaikenlaisen olioihin (lat. </w:t>
      </w:r>
      <w:proofErr w:type="spellStart"/>
      <w:r w:rsidR="0081220B">
        <w:rPr>
          <w:i/>
        </w:rPr>
        <w:t>res</w:t>
      </w:r>
      <w:proofErr w:type="spellEnd"/>
      <w:r w:rsidR="0081220B">
        <w:t>) tai näiden ominaisuuksiin, tai ikuisiin totuuksiin kohdistuvan</w:t>
      </w:r>
      <w:r w:rsidR="00237670">
        <w:t xml:space="preserve"> ajattelemisen, eli ymmärryksen toiminnan.</w:t>
      </w:r>
      <w:r w:rsidR="0081220B">
        <w:rPr>
          <w:rStyle w:val="FootnoteReference"/>
        </w:rPr>
        <w:footnoteReference w:id="2"/>
      </w:r>
      <w:r>
        <w:t xml:space="preserve"> Havainto onkin hänelle toinen kahdesta mielen keskeisestä kyvystä, ja toinen on tahtokyky.</w:t>
      </w:r>
      <w:r w:rsidR="00237670">
        <w:rPr>
          <w:rStyle w:val="FootnoteReference"/>
        </w:rPr>
        <w:footnoteReference w:id="3"/>
      </w:r>
      <w:r w:rsidR="00237670">
        <w:t xml:space="preserve"> </w:t>
      </w:r>
      <w:r>
        <w:t>Arvostelmakyky puolestaan edellyttää molempia: havaintoa jostakin oliosta, ja tahdonalaista jonkin ominaisuuden myöntämistä tai kieltämistä tuosta oliosta.</w:t>
      </w:r>
      <w:r w:rsidR="00237670">
        <w:rPr>
          <w:rStyle w:val="FootnoteReference"/>
        </w:rPr>
        <w:footnoteReference w:id="4"/>
      </w:r>
      <w:r>
        <w:t xml:space="preserve"> Tässä näkemyksessä ”aisti-havainto” on siis yleisemmän </w:t>
      </w:r>
      <w:r w:rsidR="00237670">
        <w:t xml:space="preserve">olioiden järjellä </w:t>
      </w:r>
      <w:r>
        <w:t xml:space="preserve">havaitsemisen alaluokka, jossa </w:t>
      </w:r>
      <w:r w:rsidR="00237670">
        <w:t>ymmärryksen toiminta liittyy aisteihin.</w:t>
      </w:r>
    </w:p>
    <w:p w:rsidR="007B446F" w:rsidRDefault="007B446F" w:rsidP="007B0C7C">
      <w:r>
        <w:lastRenderedPageBreak/>
        <w:t>Keskeisin kysymys, joka minua kiinnostaa tässä kirjoituksessa, koskee aistimusten luonnetta ja roolia aisti-havainnossa. Toisessa mietiskelyssä Descartes toteaa, ettei aistimista voi tapahtua ilman ruumista – aistiminen täsmällisesti edellyttää aistielimien toimintaa. Descartes etenee metodisen epäilyksen avulla, ja pohtii oman itsensä luonnetta:</w:t>
      </w:r>
    </w:p>
    <w:p w:rsidR="007B446F" w:rsidRDefault="007B446F" w:rsidP="007B446F">
      <w:pPr>
        <w:pStyle w:val="Quote"/>
      </w:pPr>
      <w:r>
        <w:t>Aistiminen</w:t>
      </w:r>
      <w:r w:rsidR="00BE0EEF">
        <w:t xml:space="preserve"> (</w:t>
      </w:r>
      <w:proofErr w:type="spellStart"/>
      <w:r w:rsidR="00BE0EEF">
        <w:rPr>
          <w:i/>
        </w:rPr>
        <w:t>sentire</w:t>
      </w:r>
      <w:proofErr w:type="spellEnd"/>
      <w:r w:rsidR="00BE0EEF">
        <w:t>)</w:t>
      </w:r>
      <w:r>
        <w:t>? Ei tietysti sitäkään tapahdu ilman ruumista, ja unissa olen luullut aistivani</w:t>
      </w:r>
      <w:r w:rsidR="00BE0EEF">
        <w:t xml:space="preserve"> (</w:t>
      </w:r>
      <w:proofErr w:type="spellStart"/>
      <w:r w:rsidR="00BE0EEF" w:rsidRPr="00BE0EEF">
        <w:rPr>
          <w:i/>
        </w:rPr>
        <w:t>sentire</w:t>
      </w:r>
      <w:proofErr w:type="spellEnd"/>
      <w:r w:rsidR="00BE0EEF" w:rsidRPr="00BE0EEF">
        <w:rPr>
          <w:i/>
        </w:rPr>
        <w:t xml:space="preserve"> </w:t>
      </w:r>
      <w:proofErr w:type="spellStart"/>
      <w:r w:rsidR="00BE0EEF" w:rsidRPr="00BE0EEF">
        <w:rPr>
          <w:i/>
        </w:rPr>
        <w:t>visus</w:t>
      </w:r>
      <w:proofErr w:type="spellEnd"/>
      <w:r w:rsidR="00BE0EEF">
        <w:t>)</w:t>
      </w:r>
      <w:r>
        <w:t xml:space="preserve"> paljon sellaista, mistä olen sitten käsittänyt, etten olekaan aistinut</w:t>
      </w:r>
      <w:r w:rsidR="00BE0EEF">
        <w:t xml:space="preserve"> (</w:t>
      </w:r>
      <w:proofErr w:type="spellStart"/>
      <w:r w:rsidR="00BE0EEF" w:rsidRPr="00BE0EEF">
        <w:rPr>
          <w:i/>
        </w:rPr>
        <w:t>non</w:t>
      </w:r>
      <w:proofErr w:type="spellEnd"/>
      <w:r w:rsidR="00BE0EEF" w:rsidRPr="00BE0EEF">
        <w:rPr>
          <w:i/>
        </w:rPr>
        <w:t xml:space="preserve"> </w:t>
      </w:r>
      <w:proofErr w:type="spellStart"/>
      <w:r w:rsidR="00BE0EEF" w:rsidRPr="00BE0EEF">
        <w:rPr>
          <w:i/>
        </w:rPr>
        <w:t>sensisse</w:t>
      </w:r>
      <w:proofErr w:type="spellEnd"/>
      <w:r w:rsidR="00BE0EEF">
        <w:t>)</w:t>
      </w:r>
      <w:r>
        <w:t xml:space="preserve"> sitä. Ajattelu</w:t>
      </w:r>
      <w:r w:rsidR="00BE0EEF">
        <w:t xml:space="preserve"> (</w:t>
      </w:r>
      <w:proofErr w:type="spellStart"/>
      <w:r w:rsidR="00BE0EEF" w:rsidRPr="00BE0EEF">
        <w:rPr>
          <w:i/>
        </w:rPr>
        <w:t>cogitare</w:t>
      </w:r>
      <w:proofErr w:type="spellEnd"/>
      <w:r w:rsidR="00BE0EEF">
        <w:t>)</w:t>
      </w:r>
      <w:r>
        <w:t>? Nyt löydän sen – ajattelu: ainoastaan sitä ei voi ottaa minulta pois.</w:t>
      </w:r>
      <w:r>
        <w:rPr>
          <w:rStyle w:val="FootnoteReference"/>
        </w:rPr>
        <w:footnoteReference w:id="5"/>
      </w:r>
    </w:p>
    <w:p w:rsidR="007B446F" w:rsidRDefault="007B446F" w:rsidP="007B0C7C">
      <w:r>
        <w:t xml:space="preserve">Tarkastellessaan vähän myöhemmin ajattelun ja aistimisen suhdetta, Descartes kuitenkin tekee tähän aistimisen ruumiiseen yhdistävään näkemykseen tärkeän täsmennyksen. Aistiminen voidaan käsittää myös tavalla, joka </w:t>
      </w:r>
      <w:proofErr w:type="spellStart"/>
      <w:r>
        <w:t>sulkeistaa</w:t>
      </w:r>
      <w:proofErr w:type="spellEnd"/>
      <w:r>
        <w:t xml:space="preserve"> ruumiin, ja jättää jäljelle vain sen, mikä kuluu ajatteluun: </w:t>
      </w:r>
    </w:p>
    <w:p w:rsidR="007B446F" w:rsidRDefault="00E2091C" w:rsidP="00D33E72">
      <w:pPr>
        <w:pStyle w:val="Quote"/>
      </w:pPr>
      <w:r>
        <w:t>Minä vihdoin olen myös se, joka aistii</w:t>
      </w:r>
      <w:r w:rsidR="00BE0EEF">
        <w:t xml:space="preserve"> (</w:t>
      </w:r>
      <w:proofErr w:type="spellStart"/>
      <w:r w:rsidR="00BE0EEF" w:rsidRPr="00BE0EEF">
        <w:rPr>
          <w:i/>
        </w:rPr>
        <w:t>sentio</w:t>
      </w:r>
      <w:proofErr w:type="spellEnd"/>
      <w:r w:rsidR="00BE0EEF">
        <w:t>)</w:t>
      </w:r>
      <w:r>
        <w:t xml:space="preserve"> eli joka huomaa aineellisia olioita ikään kuin aistien kautta</w:t>
      </w:r>
      <w:r w:rsidR="00D33E72">
        <w:t xml:space="preserve"> (</w:t>
      </w:r>
      <w:proofErr w:type="spellStart"/>
      <w:r w:rsidR="00D33E72" w:rsidRPr="00D33E72">
        <w:rPr>
          <w:i/>
        </w:rPr>
        <w:t>sive</w:t>
      </w:r>
      <w:proofErr w:type="spellEnd"/>
      <w:r w:rsidR="00D33E72" w:rsidRPr="00D33E72">
        <w:rPr>
          <w:i/>
        </w:rPr>
        <w:t xml:space="preserve"> </w:t>
      </w:r>
      <w:proofErr w:type="spellStart"/>
      <w:r w:rsidR="00D33E72" w:rsidRPr="00D33E72">
        <w:rPr>
          <w:i/>
        </w:rPr>
        <w:t>qui</w:t>
      </w:r>
      <w:proofErr w:type="spellEnd"/>
      <w:r w:rsidR="00D33E72" w:rsidRPr="00D33E72">
        <w:rPr>
          <w:i/>
        </w:rPr>
        <w:t xml:space="preserve"> </w:t>
      </w:r>
      <w:proofErr w:type="spellStart"/>
      <w:r w:rsidR="00D33E72" w:rsidRPr="00D33E72">
        <w:rPr>
          <w:i/>
        </w:rPr>
        <w:t>res</w:t>
      </w:r>
      <w:proofErr w:type="spellEnd"/>
      <w:r w:rsidR="00D33E72" w:rsidRPr="00D33E72">
        <w:rPr>
          <w:i/>
        </w:rPr>
        <w:t xml:space="preserve"> </w:t>
      </w:r>
      <w:proofErr w:type="spellStart"/>
      <w:r w:rsidR="00D33E72" w:rsidRPr="00D33E72">
        <w:rPr>
          <w:i/>
        </w:rPr>
        <w:t>corporeas</w:t>
      </w:r>
      <w:proofErr w:type="spellEnd"/>
      <w:r w:rsidR="00D33E72" w:rsidRPr="00D33E72">
        <w:rPr>
          <w:i/>
        </w:rPr>
        <w:t xml:space="preserve"> </w:t>
      </w:r>
      <w:proofErr w:type="spellStart"/>
      <w:r w:rsidR="00D33E72" w:rsidRPr="00D33E72">
        <w:rPr>
          <w:i/>
        </w:rPr>
        <w:t>tanquam</w:t>
      </w:r>
      <w:proofErr w:type="spellEnd"/>
      <w:r w:rsidR="00D33E72" w:rsidRPr="00D33E72">
        <w:rPr>
          <w:i/>
        </w:rPr>
        <w:t xml:space="preserve"> per </w:t>
      </w:r>
      <w:proofErr w:type="spellStart"/>
      <w:r w:rsidR="00D33E72" w:rsidRPr="00D33E72">
        <w:rPr>
          <w:i/>
        </w:rPr>
        <w:t>sensus</w:t>
      </w:r>
      <w:proofErr w:type="spellEnd"/>
      <w:r w:rsidR="00D33E72" w:rsidRPr="00D33E72">
        <w:rPr>
          <w:i/>
        </w:rPr>
        <w:t xml:space="preserve"> </w:t>
      </w:r>
      <w:proofErr w:type="spellStart"/>
      <w:r w:rsidR="00D33E72" w:rsidRPr="00D33E72">
        <w:rPr>
          <w:i/>
        </w:rPr>
        <w:t>animadverto</w:t>
      </w:r>
      <w:proofErr w:type="spellEnd"/>
      <w:r w:rsidR="00D33E72">
        <w:t>)</w:t>
      </w:r>
      <w:r>
        <w:t>; näen nimittäin nyt valoa, kuulen hälyä ja tunnen lämpöä. Ne ovat epätosia, kun kerran nukun. Mutta varmasti olen näkevinäni</w:t>
      </w:r>
      <w:r w:rsidR="00D33E72">
        <w:t xml:space="preserve"> (</w:t>
      </w:r>
      <w:proofErr w:type="spellStart"/>
      <w:r w:rsidR="00D33E72" w:rsidRPr="00D33E72">
        <w:rPr>
          <w:i/>
        </w:rPr>
        <w:t>videre</w:t>
      </w:r>
      <w:proofErr w:type="spellEnd"/>
      <w:r w:rsidR="00D33E72" w:rsidRPr="00D33E72">
        <w:rPr>
          <w:i/>
        </w:rPr>
        <w:t xml:space="preserve"> </w:t>
      </w:r>
      <w:proofErr w:type="spellStart"/>
      <w:r w:rsidR="00D33E72" w:rsidRPr="00D33E72">
        <w:rPr>
          <w:i/>
        </w:rPr>
        <w:t>videor</w:t>
      </w:r>
      <w:proofErr w:type="spellEnd"/>
      <w:r w:rsidR="00D33E72">
        <w:t>)</w:t>
      </w:r>
      <w:r>
        <w:t>, kuulevinani ja tuntevinani. Tämä ei voi olla epätotta, ja juuri tätä minussa varsinaisesti sanotaan aistimiseksi</w:t>
      </w:r>
      <w:r w:rsidR="00D33E72">
        <w:t xml:space="preserve"> (</w:t>
      </w:r>
      <w:r w:rsidR="00D33E72" w:rsidRPr="00D33E72">
        <w:rPr>
          <w:i/>
        </w:rPr>
        <w:t xml:space="preserve">in me </w:t>
      </w:r>
      <w:proofErr w:type="spellStart"/>
      <w:r w:rsidR="00D33E72" w:rsidRPr="00D33E72">
        <w:rPr>
          <w:i/>
        </w:rPr>
        <w:t>sentire</w:t>
      </w:r>
      <w:proofErr w:type="spellEnd"/>
      <w:r w:rsidR="00D33E72" w:rsidRPr="00D33E72">
        <w:rPr>
          <w:i/>
        </w:rPr>
        <w:t xml:space="preserve"> </w:t>
      </w:r>
      <w:proofErr w:type="spellStart"/>
      <w:r w:rsidR="00D33E72" w:rsidRPr="00D33E72">
        <w:rPr>
          <w:i/>
        </w:rPr>
        <w:t>appellatur</w:t>
      </w:r>
      <w:proofErr w:type="spellEnd"/>
      <w:r w:rsidR="00D33E72">
        <w:t>)</w:t>
      </w:r>
      <w:r>
        <w:t>. Ja näin täsmällisesti ottaen se on nimenomaan ajattelua.</w:t>
      </w:r>
      <w:r>
        <w:rPr>
          <w:rStyle w:val="FootnoteReference"/>
        </w:rPr>
        <w:footnoteReference w:id="6"/>
      </w:r>
    </w:p>
    <w:p w:rsidR="007B446F" w:rsidRDefault="00E2091C" w:rsidP="007B0C7C">
      <w:r>
        <w:t>Olioiden havaitseminen aistein siis edellyttää ruumiin läsnäoloa, mutta metodisen epäilyn avulla voimme huomata, että olioiden ja ruumiinkin olemassaoloa voidaan epäillä. Jäljelle jää vain se, mitä ei voida epäillä, ja tämä on vaikutelma olion havaitsemisesta. Tässä vaikutelman merkityksessä aistihavainto on jotakin ajatteluun puhtaasti kuuluvaa, eikä tällaisen vaikutelman omaaminen edellytä ruumiin läsnäoloa.</w:t>
      </w:r>
    </w:p>
    <w:p w:rsidR="00E2091C" w:rsidRDefault="00E2091C" w:rsidP="007B0C7C">
      <w:r>
        <w:t xml:space="preserve">Tärkeä kysymys, joka on syytä tuoda esiin tässä yhteydessä, koskee </w:t>
      </w:r>
      <w:r w:rsidRPr="00B276AA">
        <w:rPr>
          <w:i/>
        </w:rPr>
        <w:t>havaintovaikutelman</w:t>
      </w:r>
      <w:r>
        <w:t xml:space="preserve"> ja niin sanotun </w:t>
      </w:r>
      <w:r w:rsidRPr="00B276AA">
        <w:rPr>
          <w:i/>
        </w:rPr>
        <w:t>aistimuksen</w:t>
      </w:r>
      <w:r>
        <w:t xml:space="preserve"> suhdetta. Vaikka aistimuksilla varmasti on merkittävä rooli havaintovaikutelmassa, niiden välinen suhde ei ole aivan selvä. Aistimus on jonkinlainen kokemuksen ominaisuus tai piir</w:t>
      </w:r>
      <w:r w:rsidR="00B276AA">
        <w:t>re, kuten punaisen värin kokeminen</w:t>
      </w:r>
      <w:r>
        <w:t xml:space="preserve"> tai lämmön tuntemus. Kuitenkin lienee selvää, että pelkkä punaisen värin kokeminen näköhavainnossa tai lämmön tunteminen ei vielä sinänsä ole riittävää havaintovaikutelmalle </w:t>
      </w:r>
      <w:r w:rsidR="008762BD">
        <w:t xml:space="preserve">vaikkapa </w:t>
      </w:r>
      <w:r>
        <w:t>tomaattikeiton</w:t>
      </w:r>
      <w:r w:rsidR="00B276AA">
        <w:t xml:space="preserve"> läsnäolosta. </w:t>
      </w:r>
      <w:r w:rsidR="00A96C11">
        <w:t xml:space="preserve">Suhde, joka aistimusten ja vaikutelman tomaattikeiton näkemisestä on, on selvästi ainakin sen verran monimutkainen, ettei pidä hätiköidysti olettaa aistimusten tyhjentävästi muodostavan </w:t>
      </w:r>
      <w:r w:rsidR="00B276AA">
        <w:t xml:space="preserve">edes </w:t>
      </w:r>
      <w:r w:rsidR="00A96C11">
        <w:t>havaintovaikutelmaa.</w:t>
      </w:r>
    </w:p>
    <w:p w:rsidR="00CC3CC7" w:rsidRDefault="008762BD" w:rsidP="007B0C7C">
      <w:r>
        <w:t>Descartes käsittelee nimenomaisesti havaintovaikutelman muodostumista vahanpala-esimerkissä</w:t>
      </w:r>
      <w:r w:rsidR="00CC3CC7">
        <w:t>.</w:t>
      </w:r>
    </w:p>
    <w:p w:rsidR="00CC3CC7" w:rsidRDefault="00CC3CC7" w:rsidP="00CC3CC7">
      <w:pPr>
        <w:pStyle w:val="Quote"/>
      </w:pPr>
      <w:r>
        <w:t>Harkitkaamme niitä asioita, joita meidän tavallisesti arvellaan käsittävän</w:t>
      </w:r>
      <w:r w:rsidR="00D33E72">
        <w:t xml:space="preserve"> (</w:t>
      </w:r>
      <w:proofErr w:type="spellStart"/>
      <w:r w:rsidR="00D33E72" w:rsidRPr="00D33E72">
        <w:rPr>
          <w:i/>
        </w:rPr>
        <w:t>comprehendi</w:t>
      </w:r>
      <w:proofErr w:type="spellEnd"/>
      <w:r w:rsidR="00D33E72">
        <w:t>)</w:t>
      </w:r>
      <w:r>
        <w:t xml:space="preserve"> kaikkein tarkimmin: nimittäin kappaleita, joita kosketamme</w:t>
      </w:r>
      <w:r w:rsidR="00D33E72">
        <w:t xml:space="preserve"> (</w:t>
      </w:r>
      <w:proofErr w:type="spellStart"/>
      <w:r w:rsidR="00D33E72" w:rsidRPr="00D33E72">
        <w:rPr>
          <w:i/>
        </w:rPr>
        <w:t>tangimus</w:t>
      </w:r>
      <w:proofErr w:type="spellEnd"/>
      <w:r w:rsidR="00D33E72">
        <w:t>)</w:t>
      </w:r>
      <w:r>
        <w:t xml:space="preserve"> ja joita näemme</w:t>
      </w:r>
      <w:r w:rsidR="00D33E72">
        <w:t xml:space="preserve"> (</w:t>
      </w:r>
      <w:proofErr w:type="spellStart"/>
      <w:r w:rsidR="00D33E72" w:rsidRPr="00D33E72">
        <w:rPr>
          <w:i/>
        </w:rPr>
        <w:t>videmus</w:t>
      </w:r>
      <w:proofErr w:type="spellEnd"/>
      <w:r w:rsidR="00D33E72">
        <w:t>)</w:t>
      </w:r>
      <w:r>
        <w:t>. [- -] Otamme esimerkiksi tämän vahanpalan. Se on vasta äskettäin otettu vahakennosta; siitä ei ole hävinnyt kaikki hunajan maku, siinä on jäljellä hieman niiden kukkien tuoksua, joista se on kerätty. Sen väri, muoto ja suuruus ovat nähtävissä</w:t>
      </w:r>
      <w:r w:rsidR="00D33E72">
        <w:t xml:space="preserve"> (</w:t>
      </w:r>
      <w:proofErr w:type="spellStart"/>
      <w:r w:rsidR="00D33E72" w:rsidRPr="00D33E72">
        <w:rPr>
          <w:i/>
        </w:rPr>
        <w:t>manifesta</w:t>
      </w:r>
      <w:proofErr w:type="spellEnd"/>
      <w:r w:rsidR="00D33E72" w:rsidRPr="00D33E72">
        <w:rPr>
          <w:i/>
        </w:rPr>
        <w:t xml:space="preserve"> </w:t>
      </w:r>
      <w:proofErr w:type="spellStart"/>
      <w:r w:rsidR="00D33E72" w:rsidRPr="00D33E72">
        <w:rPr>
          <w:i/>
        </w:rPr>
        <w:t>sunt</w:t>
      </w:r>
      <w:proofErr w:type="spellEnd"/>
      <w:r w:rsidR="00D33E72">
        <w:t>) [”nähtävissä” on ongelmallinen suomennos; po. ovat ilmeisiä]</w:t>
      </w:r>
      <w:r>
        <w:t xml:space="preserve">, se on kova ja kylmä, sitä on helppo kosketella, ja jos sitä napauttaa, siitä lähtee ääni. Siinä on </w:t>
      </w:r>
      <w:r>
        <w:lastRenderedPageBreak/>
        <w:t>siis kaikki mitä näköjään tarvitaan, jotta jokin kappale voitaisiin tuntea aivan tarkasti</w:t>
      </w:r>
      <w:r w:rsidR="00D33E72">
        <w:t xml:space="preserve"> (</w:t>
      </w:r>
      <w:proofErr w:type="spellStart"/>
      <w:r w:rsidR="00D33E72" w:rsidRPr="00D33E72">
        <w:rPr>
          <w:i/>
        </w:rPr>
        <w:t>distinctissime</w:t>
      </w:r>
      <w:proofErr w:type="spellEnd"/>
      <w:r w:rsidR="00D33E72" w:rsidRPr="00D33E72">
        <w:rPr>
          <w:i/>
        </w:rPr>
        <w:t xml:space="preserve"> </w:t>
      </w:r>
      <w:proofErr w:type="spellStart"/>
      <w:r w:rsidR="00D33E72" w:rsidRPr="00D33E72">
        <w:rPr>
          <w:i/>
        </w:rPr>
        <w:t>cognosci</w:t>
      </w:r>
      <w:proofErr w:type="spellEnd"/>
      <w:r w:rsidR="00D33E72">
        <w:t>)</w:t>
      </w:r>
      <w:r>
        <w:t>.</w:t>
      </w:r>
      <w:r>
        <w:rPr>
          <w:rStyle w:val="FootnoteReference"/>
        </w:rPr>
        <w:footnoteReference w:id="7"/>
      </w:r>
    </w:p>
    <w:p w:rsidR="00CC3CC7" w:rsidRPr="005A19A5" w:rsidRDefault="00CC3CC7" w:rsidP="005A19A5">
      <w:r>
        <w:t>Huomattava seikka tässä yhteydessä on se, että kaikki ominaisuudet, joiden perusteella tässä alkutilanteessa päätyisi kuvittelemaan, että vaha havaitaan aistien avulla, kuuluvat pikemmin vahalle kuin havaintokokemukselle. Itse asiassa aistimukset sinänsä ei</w:t>
      </w:r>
      <w:r w:rsidR="00B276AA">
        <w:t>vät näyttele mitään roolia Descartesin kuvauksessa tapauksest</w:t>
      </w:r>
      <w:r>
        <w:t>a. Tämä on sikäli ymmärrettävää, että – kuten yllä todettiin – myös olioiden ominaisuudet ovat yleisen havaintokyvyn kohteita kuten oliot ja ikuiset totuudetkin. Ero aistimusten ja olion aistien avulla havaittavien ominaisuuksien välillä on siis selvä.</w:t>
      </w:r>
      <w:r w:rsidR="00B276AA">
        <w:t xml:space="preserve"> Aistimukset ovat kokemuksen ominaisuuksia, eivät havainnon kohteena olevan mielenulkoisen olion.</w:t>
      </w:r>
      <w:r w:rsidR="005A19A5">
        <w:t xml:space="preserve"> Kyse on yhtäältä olion havaitsemisen sinänsä, ja toisaalta tämän havaitsemisen </w:t>
      </w:r>
      <w:r w:rsidR="005A19A5" w:rsidRPr="005A19A5">
        <w:rPr>
          <w:i/>
        </w:rPr>
        <w:t>välineen</w:t>
      </w:r>
      <w:r w:rsidR="005A19A5">
        <w:rPr>
          <w:i/>
        </w:rPr>
        <w:t xml:space="preserve"> </w:t>
      </w:r>
      <w:r w:rsidR="005A19A5" w:rsidRPr="005A19A5">
        <w:t xml:space="preserve">tai </w:t>
      </w:r>
      <w:r w:rsidR="005A19A5">
        <w:rPr>
          <w:i/>
        </w:rPr>
        <w:t>mekanismin</w:t>
      </w:r>
      <w:r w:rsidR="005A19A5">
        <w:t xml:space="preserve"> erottamisesta toisistaan. Aistimus on siis väline, jonka avulla havaintoyhteys ulkoisen olion ominaisuuksiin voi muodostua. Voimme kyllä kiinnittää huomiomme tuon välineenkin omiin ominaisuuksiin ulkoisen olion ominaisuuksien sijaan, mutta havaintosuhteen analyysin kannalta lienee viisasta pitää nämä asiat erillään. Käytänkin tässä kirjoituksessa ilmausta </w:t>
      </w:r>
      <w:r w:rsidR="005A19A5" w:rsidRPr="005A19A5">
        <w:rPr>
          <w:i/>
        </w:rPr>
        <w:t>aistimus</w:t>
      </w:r>
      <w:r w:rsidR="005A19A5">
        <w:rPr>
          <w:i/>
        </w:rPr>
        <w:t xml:space="preserve"> </w:t>
      </w:r>
      <w:r w:rsidR="005A19A5">
        <w:t xml:space="preserve">tarkoittaessani havainnon mekanismin ominaisuuksia (esim. kylmyyden tuntemus) ja ilmausta </w:t>
      </w:r>
      <w:r w:rsidR="005A19A5" w:rsidRPr="005A19A5">
        <w:rPr>
          <w:i/>
        </w:rPr>
        <w:t>havaittava ominaisuus</w:t>
      </w:r>
      <w:r w:rsidR="005A19A5">
        <w:t xml:space="preserve"> viitatessani siihen ulkoisen olion itsenäisesti omaamaan ominaisuuteen, joka tulee edellisen avulla tai vuoksi havaituksi.</w:t>
      </w:r>
    </w:p>
    <w:p w:rsidR="00CC3CC7" w:rsidRDefault="00CC3CC7" w:rsidP="007B0C7C">
      <w:r>
        <w:t>Descartes huomioi seuraavaksi, että kaikki vahan havaittava</w:t>
      </w:r>
      <w:r w:rsidR="008A0FAA">
        <w:t>t</w:t>
      </w:r>
      <w:r>
        <w:t xml:space="preserve"> ominaisuudet voivat muuttua ja siitä huolimatta itse vaha pysyy samana:</w:t>
      </w:r>
    </w:p>
    <w:p w:rsidR="00CC3CC7" w:rsidRDefault="00CC3CC7" w:rsidP="008A0FAA">
      <w:pPr>
        <w:pStyle w:val="Quote"/>
      </w:pPr>
      <w:r>
        <w:t>Mutta nyt, kun puhun, vienkin sen aivan lähelle tulta. Maun rippeet haihtuvat, tuoksu katoaa, väri vaihtuu, muoto häviää, koko kasvaa, vaha muuttuu juoksevaksi ja kuumaksi, sitä voi tuskin koskettaa, ja jos sitä nyt lyö, siitä ei lähde ääntä. Onko sama vaha yhä jäljellä? On pakko myöntää, että se on jäljellä; kukaan ei kiellä tätä, kukaan ei ole toista mieltä. Mikä siinä vahassa siis oli sellaista, mikä käsitettiin niin tarkasti</w:t>
      </w:r>
      <w:r w:rsidR="00D33E72">
        <w:t xml:space="preserve"> (</w:t>
      </w:r>
      <w:proofErr w:type="spellStart"/>
      <w:r w:rsidR="00D33E72" w:rsidRPr="00D33E72">
        <w:rPr>
          <w:i/>
        </w:rPr>
        <w:t>distincte</w:t>
      </w:r>
      <w:proofErr w:type="spellEnd"/>
      <w:r w:rsidR="00D33E72" w:rsidRPr="00D33E72">
        <w:rPr>
          <w:i/>
        </w:rPr>
        <w:t xml:space="preserve"> </w:t>
      </w:r>
      <w:proofErr w:type="spellStart"/>
      <w:r w:rsidR="00D33E72" w:rsidRPr="00D33E72">
        <w:rPr>
          <w:i/>
        </w:rPr>
        <w:t>comprehendebatur</w:t>
      </w:r>
      <w:proofErr w:type="spellEnd"/>
      <w:r w:rsidR="00D33E72">
        <w:t>)</w:t>
      </w:r>
      <w:r>
        <w:t>? Ei varmastikaan mikään aisteilla kohtaamani</w:t>
      </w:r>
      <w:r w:rsidR="00D33E72">
        <w:t xml:space="preserve"> (</w:t>
      </w:r>
      <w:proofErr w:type="spellStart"/>
      <w:r w:rsidR="00D33E72" w:rsidRPr="00D33E72">
        <w:rPr>
          <w:i/>
        </w:rPr>
        <w:t>sensibus</w:t>
      </w:r>
      <w:proofErr w:type="spellEnd"/>
      <w:r w:rsidR="00D33E72" w:rsidRPr="00D33E72">
        <w:t xml:space="preserve"> </w:t>
      </w:r>
      <w:proofErr w:type="spellStart"/>
      <w:r w:rsidR="00D33E72" w:rsidRPr="00D33E72">
        <w:rPr>
          <w:i/>
        </w:rPr>
        <w:t>attingebam</w:t>
      </w:r>
      <w:proofErr w:type="spellEnd"/>
      <w:r w:rsidR="00D33E72">
        <w:t>)</w:t>
      </w:r>
      <w:r>
        <w:t>, sillä kaikki, minkä saattoi maistaa, haistaa, nähdä, tuntea tai kuulla, on jo muuttunut, mutta vaha on jäljellä.</w:t>
      </w:r>
      <w:r>
        <w:rPr>
          <w:rStyle w:val="FootnoteReference"/>
        </w:rPr>
        <w:footnoteReference w:id="8"/>
      </w:r>
    </w:p>
    <w:p w:rsidR="00CC3CC7" w:rsidRDefault="008A0FAA" w:rsidP="007B0C7C">
      <w:r>
        <w:t>Descartesin argumentti koskee nim</w:t>
      </w:r>
      <w:r w:rsidR="005A19A5">
        <w:t>enomaan vahalle, ei kokemuksellemme (so. havainnon mekanismille)</w:t>
      </w:r>
      <w:r>
        <w:t>, kuuluvia ominaisuuksia.</w:t>
      </w:r>
      <w:r w:rsidR="00D33E72">
        <w:t xml:space="preserve"> Juuri olion ominaisuudet ovat se mitä me </w:t>
      </w:r>
      <w:r w:rsidR="00D33E72" w:rsidRPr="00D33E72">
        <w:rPr>
          <w:i/>
        </w:rPr>
        <w:t>käsitämme</w:t>
      </w:r>
      <w:r w:rsidR="00D33E72">
        <w:t xml:space="preserve"> (lat. </w:t>
      </w:r>
      <w:proofErr w:type="spellStart"/>
      <w:r w:rsidR="00D33E72">
        <w:t>comprehendere</w:t>
      </w:r>
      <w:proofErr w:type="spellEnd"/>
      <w:r w:rsidR="00D33E72">
        <w:t>).</w:t>
      </w:r>
      <w:r>
        <w:t xml:space="preserve"> Olio saattaa menettää kaikki aiemmat ominaisuutensa ja saada tilalle uusia, sille aiemmin kuulumattomia</w:t>
      </w:r>
      <w:r w:rsidR="005A19A5">
        <w:t xml:space="preserve"> ominaisuuksia</w:t>
      </w:r>
      <w:r>
        <w:t xml:space="preserve">, ja silti säilyttää oman itseytensä tai samuutensa. Koska näin on, ei suhde tuohon muutosten läpi säilyvään olion itseensä voi olla pelkästään aistein havaittavien ominaisuuksien tuottamaa. </w:t>
      </w:r>
      <w:r w:rsidR="005A19A5">
        <w:t>(</w:t>
      </w:r>
      <w:r>
        <w:t>Tämä vahanpala-argumentin johtopäätös on lainattu yllä, aivan kirjoituksen alussa, joten en toista sitä enää tässä.</w:t>
      </w:r>
      <w:r w:rsidR="005A19A5">
        <w:t>)</w:t>
      </w:r>
    </w:p>
    <w:p w:rsidR="008A0FAA" w:rsidRDefault="008A0FAA" w:rsidP="007B0C7C">
      <w:r>
        <w:t>Nyt kaksi kysymystä aistihavainnon luonteesta voidaan esittää täsmällisemmin. Ensinnä, mikä on aistimusten täsmällinen rooli olion aistein havaittavien ominaisuuksien havaitsemisessa? Toiseksi, miten havaintokokemuksessa esiintyvä vaikutelma aistihavainnosta pitää käsittää? Tarkastelen näitä kysymyksiä tässä järjestyksessä.</w:t>
      </w:r>
    </w:p>
    <w:p w:rsidR="008A0FAA" w:rsidRDefault="009B057A" w:rsidP="008A0FAA">
      <w:pPr>
        <w:pStyle w:val="Heading1"/>
      </w:pPr>
      <w:r>
        <w:t>Aistimukset ja aistihavainto</w:t>
      </w:r>
    </w:p>
    <w:p w:rsidR="00043F61" w:rsidRDefault="00B276AA" w:rsidP="008A0FAA">
      <w:r>
        <w:lastRenderedPageBreak/>
        <w:t>Edellisen</w:t>
      </w:r>
      <w:r w:rsidR="00043F61">
        <w:t xml:space="preserve"> vahanpala-</w:t>
      </w:r>
      <w:r>
        <w:t>argumentin tarkoitus on</w:t>
      </w:r>
      <w:r w:rsidR="008A0FAA">
        <w:t xml:space="preserve"> osoittaa, että avaruudelliset(</w:t>
      </w:r>
      <w:proofErr w:type="spellStart"/>
      <w:r w:rsidR="008A0FAA">
        <w:t>kaan</w:t>
      </w:r>
      <w:proofErr w:type="spellEnd"/>
      <w:r w:rsidR="008A0FAA">
        <w:t>) substanssit eivät tule havaituksi pelkästään aistien avulla, toisin kuin Descartesin yleisen kritiikin kohteena olevat aristoteelikot ajattelivat.</w:t>
      </w:r>
      <w:r w:rsidR="008A0FAA">
        <w:rPr>
          <w:rStyle w:val="FootnoteReference"/>
        </w:rPr>
        <w:footnoteReference w:id="9"/>
      </w:r>
      <w:r w:rsidR="00043F61">
        <w:t xml:space="preserve"> Mutta mikä rooli aisteilla sitten on vahanpalan havaitsemisessa? Ainakin on selvää, että aistien toiminta on jollain tavalla välttämätöntä aistihavainnon muodostumiselle. Descartes näyttää myös ajattelevan, että varsinainen havaintosuhde on </w:t>
      </w:r>
      <w:r w:rsidR="00927247">
        <w:t xml:space="preserve">täsmällisemmin </w:t>
      </w:r>
      <w:r w:rsidR="00043F61">
        <w:t>arvoste</w:t>
      </w:r>
      <w:r w:rsidR="00927247">
        <w:t>lukykymme tuottamaa:</w:t>
      </w:r>
    </w:p>
    <w:p w:rsidR="00927247" w:rsidRDefault="00927247" w:rsidP="00927247">
      <w:pPr>
        <w:pStyle w:val="Quote"/>
      </w:pPr>
      <w:r>
        <w:t>Mutta nyt vilkaisen sattumalta ikkunasta ja näen ihmisiä kulkemassa kadulla, ja kielenkäytön mukaan sanon näkeväni heidät itsensä aivan kuten vahan. Mitä muuta kuitenkaan näen</w:t>
      </w:r>
      <w:r w:rsidR="00923BBF">
        <w:t xml:space="preserve"> (</w:t>
      </w:r>
      <w:r w:rsidR="00923BBF" w:rsidRPr="00923BBF">
        <w:rPr>
          <w:i/>
        </w:rPr>
        <w:t>video</w:t>
      </w:r>
      <w:r w:rsidR="00923BBF">
        <w:t>)</w:t>
      </w:r>
      <w:r>
        <w:t xml:space="preserve"> kuin hattuja ja viittoja, joiden alla voisi piillä automaatteja. Mutta arvo</w:t>
      </w:r>
      <w:r w:rsidR="00923BBF">
        <w:t>stelmani mukaan he ovat ihmisiä (</w:t>
      </w:r>
      <w:proofErr w:type="spellStart"/>
      <w:r w:rsidR="00923BBF" w:rsidRPr="00923BBF">
        <w:rPr>
          <w:i/>
        </w:rPr>
        <w:t>sed</w:t>
      </w:r>
      <w:proofErr w:type="spellEnd"/>
      <w:r w:rsidR="00923BBF" w:rsidRPr="00923BBF">
        <w:rPr>
          <w:i/>
        </w:rPr>
        <w:t xml:space="preserve"> </w:t>
      </w:r>
      <w:proofErr w:type="spellStart"/>
      <w:r w:rsidR="00923BBF" w:rsidRPr="00923BBF">
        <w:rPr>
          <w:i/>
        </w:rPr>
        <w:t>judico</w:t>
      </w:r>
      <w:proofErr w:type="spellEnd"/>
      <w:r w:rsidR="00923BBF" w:rsidRPr="00923BBF">
        <w:rPr>
          <w:i/>
        </w:rPr>
        <w:t xml:space="preserve"> </w:t>
      </w:r>
      <w:proofErr w:type="spellStart"/>
      <w:r w:rsidR="00923BBF" w:rsidRPr="00923BBF">
        <w:rPr>
          <w:i/>
        </w:rPr>
        <w:t>homines</w:t>
      </w:r>
      <w:proofErr w:type="spellEnd"/>
      <w:r w:rsidR="00923BBF" w:rsidRPr="00923BBF">
        <w:rPr>
          <w:i/>
        </w:rPr>
        <w:t xml:space="preserve"> </w:t>
      </w:r>
      <w:proofErr w:type="spellStart"/>
      <w:r w:rsidR="00923BBF" w:rsidRPr="00923BBF">
        <w:rPr>
          <w:i/>
        </w:rPr>
        <w:t>esse</w:t>
      </w:r>
      <w:proofErr w:type="spellEnd"/>
      <w:r w:rsidR="00923BBF">
        <w:t>)</w:t>
      </w:r>
      <w:r>
        <w:t xml:space="preserve"> Ja täten käsitän ainoastaan mielessäni olevan arvostelukyvyn</w:t>
      </w:r>
      <w:r w:rsidR="00923BBF">
        <w:t xml:space="preserve"> (</w:t>
      </w:r>
      <w:proofErr w:type="spellStart"/>
      <w:r w:rsidR="00923BBF" w:rsidRPr="00923BBF">
        <w:rPr>
          <w:i/>
        </w:rPr>
        <w:t>judicandi</w:t>
      </w:r>
      <w:proofErr w:type="spellEnd"/>
      <w:r w:rsidR="00923BBF" w:rsidRPr="00923BBF">
        <w:rPr>
          <w:i/>
        </w:rPr>
        <w:t xml:space="preserve"> </w:t>
      </w:r>
      <w:proofErr w:type="spellStart"/>
      <w:r w:rsidR="00923BBF" w:rsidRPr="00923BBF">
        <w:rPr>
          <w:i/>
        </w:rPr>
        <w:t>facultate</w:t>
      </w:r>
      <w:proofErr w:type="spellEnd"/>
      <w:r w:rsidR="00923BBF">
        <w:t>)</w:t>
      </w:r>
      <w:r>
        <w:t xml:space="preserve"> avulla sen, minkä arvelin näkeväni silmilläni</w:t>
      </w:r>
      <w:r w:rsidR="00923BBF">
        <w:t xml:space="preserve"> (</w:t>
      </w:r>
      <w:proofErr w:type="spellStart"/>
      <w:r w:rsidR="00923BBF" w:rsidRPr="00923BBF">
        <w:rPr>
          <w:i/>
        </w:rPr>
        <w:t>putabam</w:t>
      </w:r>
      <w:proofErr w:type="spellEnd"/>
      <w:r w:rsidR="00923BBF" w:rsidRPr="00923BBF">
        <w:rPr>
          <w:i/>
        </w:rPr>
        <w:t xml:space="preserve"> me </w:t>
      </w:r>
      <w:proofErr w:type="spellStart"/>
      <w:r w:rsidR="00923BBF" w:rsidRPr="00923BBF">
        <w:rPr>
          <w:i/>
        </w:rPr>
        <w:t>videre</w:t>
      </w:r>
      <w:proofErr w:type="spellEnd"/>
      <w:r w:rsidR="00923BBF" w:rsidRPr="00923BBF">
        <w:rPr>
          <w:i/>
        </w:rPr>
        <w:t xml:space="preserve"> </w:t>
      </w:r>
      <w:proofErr w:type="spellStart"/>
      <w:r w:rsidR="00923BBF" w:rsidRPr="00923BBF">
        <w:rPr>
          <w:i/>
        </w:rPr>
        <w:t>oculis</w:t>
      </w:r>
      <w:proofErr w:type="spellEnd"/>
      <w:r w:rsidR="00923BBF">
        <w:t>)</w:t>
      </w:r>
      <w:r>
        <w:t>.</w:t>
      </w:r>
      <w:r>
        <w:rPr>
          <w:rStyle w:val="FootnoteReference"/>
        </w:rPr>
        <w:footnoteReference w:id="10"/>
      </w:r>
    </w:p>
    <w:p w:rsidR="00927247" w:rsidRDefault="00927247" w:rsidP="008A0FAA">
      <w:r>
        <w:t>Yksi vaihtoehto ymmärtää mitä Descartes ajaa takaa olisi ajatella, että mielessä olevat aistimukset vastaavat esimerkin vaatteita, jotka verhoavat ihmisiä. Näin ollen Descartes väittäisi, että havaintosuhde ulkoiseen olioon muodostuu aistimusten perusteella tehdylle arvostelmalle. Tämä näkemys kuitenkin edellyttäisi vahan havaittujen ominaisuuksien, kuten värin, maun, ja tilavuuden mieltämistä aistimuks</w:t>
      </w:r>
      <w:r w:rsidR="009B057A">
        <w:t xml:space="preserve">iksi, mikä vaikuttaa ongelmalliselta tulkinnalta. Descartes on </w:t>
      </w:r>
      <w:r w:rsidR="00B276AA">
        <w:t>systemaattinen</w:t>
      </w:r>
      <w:r w:rsidR="009B057A">
        <w:t xml:space="preserve"> aistimuksia ja olioiden aistittuja ominaisuuksia koskevassa kielenkäytössään viitaten edelliset ajattelijan mielen ominaisuuksiksi, jälkimmäiset olion.</w:t>
      </w:r>
      <w:r w:rsidR="009B057A">
        <w:rPr>
          <w:rStyle w:val="FootnoteReference"/>
        </w:rPr>
        <w:footnoteReference w:id="11"/>
      </w:r>
      <w:r w:rsidR="006F68C3">
        <w:t xml:space="preserve"> </w:t>
      </w:r>
      <w:r w:rsidR="00B276AA">
        <w:t>Kuten yllä todettiin, v</w:t>
      </w:r>
      <w:r>
        <w:t>ahanpala-argumentti ei</w:t>
      </w:r>
      <w:r w:rsidR="006F68C3">
        <w:t xml:space="preserve"> itse</w:t>
      </w:r>
      <w:r w:rsidR="00B276AA">
        <w:t xml:space="preserve"> </w:t>
      </w:r>
      <w:r w:rsidR="006F68C3">
        <w:t>asiassa</w:t>
      </w:r>
      <w:r>
        <w:t xml:space="preserve"> erota vahaa sen mielessä aiheuttamista aistimuksista lainkaan, vaan vain vaha-substanssin sen omaamista ominaisuuksista. </w:t>
      </w:r>
      <w:r w:rsidR="006F68C3">
        <w:t xml:space="preserve">Kyse on siis koko ajan pikemmin havaitsemisesta kuin aistimisesta. </w:t>
      </w:r>
      <w:r>
        <w:t>Siksi lupaavampi tapa ymmärtää Descartesin näkemystä onkin samaistaa oletettujen ihmisten vaatteet vaha-substanssin omaamiin ominaisuuksiin, kuin vahan miel</w:t>
      </w:r>
      <w:r w:rsidR="00D07B46">
        <w:t>essä aiheuttamiin aistimuksiin.</w:t>
      </w:r>
    </w:p>
    <w:p w:rsidR="00D07B46" w:rsidRDefault="00D07B46" w:rsidP="005238BA">
      <w:r>
        <w:t xml:space="preserve">Jos havaintosuhde perustuu arvostelmalle havainnonkohteen ominaisuuksien perusteella, miten aistimukset suhtautuvat sitten näihin havainnonkohteen ominaisuuksiin, kuten muotoon, väriin ja lämpötilaan? </w:t>
      </w:r>
      <w:r w:rsidR="00B276AA">
        <w:t xml:space="preserve">Epäilemättä juuri ulkoisten olioiden ominaisuuksien (esim. valoa heijastavan pintarakenteen) ja havaintokokemuksessa esiintyvän aistimuksen (väri) välinen suhde on hyvin läheinen. </w:t>
      </w:r>
      <w:r>
        <w:t>Kuudennessa mietiskelyssä Descartes esittää fysiologis-kausaalisen mallin, jonka mukaan avaruudellisten olioiden fysikaaliset ominaisuudet vaikuttavat ilman tai muun välittävän aineen avulla aistielimiimme. Aistinelinten ärsykkeet vaikuttavat hermoston välityksellä aivoihin, ja mielessä olevat aistimukset ovat vakioisessa suhteessa aivojen tiloihin.</w:t>
      </w:r>
      <w:r>
        <w:rPr>
          <w:rStyle w:val="FootnoteReference"/>
        </w:rPr>
        <w:footnoteReference w:id="12"/>
      </w:r>
      <w:r>
        <w:t xml:space="preserve"> </w:t>
      </w:r>
      <w:r w:rsidR="005238BA">
        <w:t>Descartes selventää tätä näkemystä vastauksessa kuudensiin vastaväitteisiin erottamalla aistimisessa kolme astetta:</w:t>
      </w:r>
    </w:p>
    <w:p w:rsidR="005238BA" w:rsidRPr="005238BA" w:rsidRDefault="005238BA" w:rsidP="00BB6083">
      <w:pPr>
        <w:pStyle w:val="Quote"/>
      </w:pPr>
      <w:r>
        <w:t xml:space="preserve">Ensimmäiseen kuuluu vain se, kuinka ulkopuoliset objektit vaikuttavat välittömästi ruumiin elimeen, ja tämä ei voi olla muuta kuin tuo elimen partikkelien liikettä ja liikkeestä johtuvaa muodon ja sijainnin muutosta. Toinen aste sisältää kaiken sen, </w:t>
      </w:r>
      <w:r>
        <w:lastRenderedPageBreak/>
        <w:t>mikä on mielessä välitöntä tulosta siitä, että mieli on yhdistynyt tällaisten vaikutusten alaiseen ruumiilliseen elimeen. Sellaisia tuloksia ovat kivun, mielihyvän, janon, nälän, värien, äänen, maun, hajun, lämmön, kylmän ja muiden sellaisten aistimukset</w:t>
      </w:r>
      <w:r w:rsidR="00923BBF">
        <w:t xml:space="preserve"> (</w:t>
      </w:r>
      <w:proofErr w:type="spellStart"/>
      <w:r w:rsidR="00923BBF" w:rsidRPr="00923BBF">
        <w:rPr>
          <w:i/>
        </w:rPr>
        <w:t>perceptiones</w:t>
      </w:r>
      <w:proofErr w:type="spellEnd"/>
      <w:r w:rsidR="00923BBF">
        <w:t>)</w:t>
      </w:r>
      <w:r>
        <w:t xml:space="preserve">. </w:t>
      </w:r>
      <w:r w:rsidR="00BB6083">
        <w:t>Kuudennessa mietiskelyssä sanotaan, että ne syntyvät, koska mieli ja ruumis ovat yhdistyneet ikään kuin toisiinsa sekoittuen. Vihdoin kolmas aste käsittää kaikki ne arvostelmat, joita olemme pienestä pitäen tottuneet tekemään ulkopuolisista asioista ruumiillisten liikkeiden vuoksi.</w:t>
      </w:r>
      <w:r w:rsidR="00BB6083">
        <w:rPr>
          <w:rStyle w:val="FootnoteReference"/>
        </w:rPr>
        <w:footnoteReference w:id="13"/>
      </w:r>
    </w:p>
    <w:p w:rsidR="00C959E3" w:rsidRDefault="00BB6083" w:rsidP="008A0FAA">
      <w:r>
        <w:t>Descartes näyttää ajattelevan, että aistinprosessi ruumiillisine</w:t>
      </w:r>
      <w:r w:rsidR="00B276AA">
        <w:t xml:space="preserve"> (1. aste)</w:t>
      </w:r>
      <w:r>
        <w:t xml:space="preserve"> sekä mielellisine</w:t>
      </w:r>
      <w:r w:rsidR="00B276AA">
        <w:t xml:space="preserve"> (2. aste)</w:t>
      </w:r>
      <w:r>
        <w:t xml:space="preserve"> osineen osaksi konstituoi ulkoisten olioiden ominaisuuksien havaitsemisen. Jotta varsinainen havainto ulkoisista asioista voisi muodostua, tarvitaan sekä tämä aistinprosessi että arvostelmakyvyn toiminta</w:t>
      </w:r>
      <w:r w:rsidR="00B276AA">
        <w:t xml:space="preserve"> (3. aste)</w:t>
      </w:r>
      <w:r>
        <w:t xml:space="preserve"> tuon prosessin perusteella.</w:t>
      </w:r>
      <w:r w:rsidR="00923BBF">
        <w:t xml:space="preserve"> </w:t>
      </w:r>
    </w:p>
    <w:p w:rsidR="00BB6083" w:rsidRDefault="00923BBF" w:rsidP="008A0FAA">
      <w:r>
        <w:t>Tässä kohtaa on syytä kiinnittää huomiota Descartesin kielenkäyttöön</w:t>
      </w:r>
      <w:r w:rsidR="00C959E3">
        <w:t xml:space="preserve"> lainauksessa</w:t>
      </w:r>
      <w:r>
        <w:t xml:space="preserve">. Kuten yllä totesin vahanpalaesimerkin yhteydessä, tyypillisesti havaitsemme </w:t>
      </w:r>
      <w:r w:rsidR="00C959E3">
        <w:t xml:space="preserve">nimenomaan ulkoisten </w:t>
      </w:r>
      <w:r>
        <w:t>olioiden ominaisuuksia aistiprosessin perusteella, ja aistimuksilla on</w:t>
      </w:r>
      <w:r w:rsidR="00C959E3">
        <w:t xml:space="preserve"> tietty rooli tässä prosessissa (2. aste).</w:t>
      </w:r>
      <w:r>
        <w:t xml:space="preserve"> Yllä olevassa lainauksessa Descartes </w:t>
      </w:r>
      <w:r w:rsidR="00C959E3">
        <w:t>käyttää havainto-ilmausta sen tavallisessa merkityksessä, mutta havainnon kohde on tässä kehomme aistimus (kipu, mielihyvä, jne.) ulkoisen objektin ominaisuuksien sijaan. Toisin sanoen, kiinnittäessämme huomiomme aistimuksiimme, noista aistimuksista tulee havaintomme ja arvostelmakykymme kohteita.</w:t>
      </w:r>
      <w:r w:rsidR="00142F22">
        <w:rPr>
          <w:rStyle w:val="FootnoteReference"/>
        </w:rPr>
        <w:footnoteReference w:id="14"/>
      </w:r>
      <w:r w:rsidR="00C959E3">
        <w:t xml:space="preserve"> Palaan tähän seikkaan tuonnempana.</w:t>
      </w:r>
    </w:p>
    <w:p w:rsidR="00D07B46" w:rsidRDefault="003B5444" w:rsidP="008A0FAA">
      <w:r>
        <w:t>Se, mitä yllä esitetty kolmijako</w:t>
      </w:r>
      <w:r w:rsidR="00BB6083">
        <w:t xml:space="preserve"> tarkoittaa, voidaan ymmärtää karkeasti ottaen kahdella tavalla. Konservatiivinen tapa ymmärtää Descartesin näkemys olisi ajatella, että aistinprosessi, erityisesti mielessä olevat aistimukset (so. toinen aste) ovat </w:t>
      </w:r>
      <w:r w:rsidR="00BB6083" w:rsidRPr="00BB6083">
        <w:rPr>
          <w:i/>
        </w:rPr>
        <w:t>evidenssiä</w:t>
      </w:r>
      <w:r w:rsidR="00BB6083">
        <w:t xml:space="preserve">, jonka perustella ymmärrys </w:t>
      </w:r>
      <w:r w:rsidR="00BB6083" w:rsidRPr="00BB6083">
        <w:rPr>
          <w:i/>
        </w:rPr>
        <w:t>päättelee</w:t>
      </w:r>
      <w:r w:rsidR="00BB6083">
        <w:t xml:space="preserve"> ulkoisten olioiden ominaisuuksia. Tällöin mieli olisi </w:t>
      </w:r>
      <w:r w:rsidR="00D8251D">
        <w:t>kuin aistimusten muodostamien väri</w:t>
      </w:r>
      <w:r w:rsidR="00BB6083">
        <w:t xml:space="preserve">kuvien galleria, jonka </w:t>
      </w:r>
      <w:r w:rsidR="00D8251D">
        <w:t>epäsuora pääsy ulkomaailmaan olisi noille</w:t>
      </w:r>
      <w:r w:rsidR="00BB6083">
        <w:t xml:space="preserve"> </w:t>
      </w:r>
      <w:r w:rsidR="00D8251D">
        <w:t xml:space="preserve">kuville perustuvan </w:t>
      </w:r>
      <w:r w:rsidR="00BB6083">
        <w:t>päättelyn tulosta. Hieman vähemmän ongelmallinen tapa olisi ajatella, että aistimukset ovat pikemmin mi</w:t>
      </w:r>
      <w:r w:rsidR="00A7009D">
        <w:t>eli-ruumis-yhteyden luonnollisen vuorovaikutuksen muotoja, ja</w:t>
      </w:r>
      <w:r w:rsidR="00BB6083">
        <w:t xml:space="preserve"> </w:t>
      </w:r>
      <w:r w:rsidR="00D8251D">
        <w:t>että ne tarjoavat</w:t>
      </w:r>
      <w:r w:rsidR="00BB6083">
        <w:t xml:space="preserve"> pikemmin</w:t>
      </w:r>
      <w:r w:rsidR="00A7009D">
        <w:t xml:space="preserve"> </w:t>
      </w:r>
      <w:r w:rsidR="00D8251D">
        <w:t xml:space="preserve">tilaisuuksia soveltaa tiettyä käsitystä maailman toiminasta omaan tilaamme. </w:t>
      </w:r>
      <w:r w:rsidR="00A7009D">
        <w:t>Mikäli tässä yhteydessä on edes mielekästä puhua päättelyistä (Descartesin tarkoittamat olevat arvostelmat ovat tyypillisesti vaistonvaraisia ja tiedostamattomia reaktioita, eivät päättelyitä) olisi ni</w:t>
      </w:r>
      <w:r w:rsidR="00D8251D">
        <w:t>iden premisseinä</w:t>
      </w:r>
      <w:r w:rsidR="00A7009D">
        <w:t xml:space="preserve"> pidettävä tä</w:t>
      </w:r>
      <w:r w:rsidR="00D8251D">
        <w:t>llöin pikemmin juuri</w:t>
      </w:r>
      <w:r w:rsidR="00A7009D">
        <w:t xml:space="preserve"> käsitystämme</w:t>
      </w:r>
      <w:r w:rsidR="00D8251D">
        <w:t xml:space="preserve"> maailman toiminnasta kuin tiettynä hetkenä esiintyviä aistimuksia.</w:t>
      </w:r>
    </w:p>
    <w:p w:rsidR="00D8251D" w:rsidRDefault="00A7009D" w:rsidP="008A0FAA">
      <w:r>
        <w:t xml:space="preserve">Ero näiden näkemyksien välillä on merkittävä. Ensimmäinen painottaa tiettynä ajanhetkenä esiintyvien aistimusten roolia tuossa tilanteessa tehtävissä päättelyissä, joka antaa ymmärtää että </w:t>
      </w:r>
      <w:r w:rsidR="00755718">
        <w:t xml:space="preserve">ainakin </w:t>
      </w:r>
      <w:r>
        <w:t>noin p</w:t>
      </w:r>
      <w:r w:rsidR="00D8251D">
        <w:t>eriaatteessa elämme aistimustemme vankeina ja että pääsymme ulkoisiin olioihin on vain päättelyn tuottamaa, j</w:t>
      </w:r>
      <w:r w:rsidR="001F4BC8">
        <w:t xml:space="preserve">a siksi välillistä. </w:t>
      </w:r>
      <w:r w:rsidR="00D8251D">
        <w:t>Jälkimmäisen näkemyksen puitteissa on taas luontevaa ajatella, että elämme – ainakin skeptisten mahdollisuuksien pohtimisen ulkopuolella – olioiden keskuudessa ja olemme suorassa yhteydessä olioihin itseensä. Tämä on mahdollista, koska havaintosuhtee</w:t>
      </w:r>
      <w:r w:rsidR="00755718">
        <w:t>mme olioihin on ymmärryksen muodostama</w:t>
      </w:r>
      <w:r w:rsidR="00D8251D">
        <w:t xml:space="preserve">, ei aistien. </w:t>
      </w:r>
      <w:r w:rsidR="00755718">
        <w:t xml:space="preserve">Ympäröivien olioiden havaitseminen on toisin sanoen noiden olioiden ymmärtämistä. </w:t>
      </w:r>
      <w:r w:rsidR="00D8251D">
        <w:t>Aistien tarkoitus on toimittaa meille informaatiota meitä ympäröivistä asioista, mutta aistien toimintaan liittyviä ominaisuuksia</w:t>
      </w:r>
      <w:r w:rsidR="001F4BC8">
        <w:t xml:space="preserve"> ei tule suoraan samaistaa tuohon informaatioon. Värit, hajut ja maut ovat aistien toimintaan liittyviä ominaisuuksia, jotka</w:t>
      </w:r>
      <w:r w:rsidR="00755718">
        <w:t xml:space="preserve"> Descartesin mukaan</w:t>
      </w:r>
      <w:r w:rsidR="001F4BC8">
        <w:t xml:space="preserve"> seuraavat mielen </w:t>
      </w:r>
      <w:r w:rsidR="001F4BC8">
        <w:lastRenderedPageBreak/>
        <w:t>ja ruumiin likeisestä suhteesta.</w:t>
      </w:r>
      <w:r w:rsidR="00755718">
        <w:rPr>
          <w:rStyle w:val="FootnoteReference"/>
        </w:rPr>
        <w:footnoteReference w:id="15"/>
      </w:r>
      <w:r w:rsidR="001F4BC8">
        <w:t xml:space="preserve"> Voimme tietysti kiinnittää huomiomme myös noihin aistien</w:t>
      </w:r>
      <w:r w:rsidR="003B5444">
        <w:t xml:space="preserve"> ja mielen ja ruumiin yhteenliittymän synnyttämiin</w:t>
      </w:r>
      <w:r w:rsidR="001F4BC8">
        <w:t xml:space="preserve"> ominaisuuksiin, mutta tällöin huomionkohteena oleva asia on hyvin erilainen kuin silloin kun yritämme päästä perille ulkoisten olioiden ominaisuuksista.</w:t>
      </w:r>
      <w:r w:rsidR="005A19A5">
        <w:t xml:space="preserve"> Tällöin kiinnitämme huomiomme havainnon mekanismin piirteisiin</w:t>
      </w:r>
      <w:r w:rsidR="003B5444">
        <w:t xml:space="preserve"> (so. aistimuksiin)</w:t>
      </w:r>
      <w:r w:rsidR="005A19A5">
        <w:t xml:space="preserve"> itse havainnon kohteen </w:t>
      </w:r>
      <w:r w:rsidR="003B5444">
        <w:t xml:space="preserve">ominaisuuksien </w:t>
      </w:r>
      <w:r w:rsidR="005A19A5">
        <w:t>sijaan.</w:t>
      </w:r>
    </w:p>
    <w:p w:rsidR="001F4BC8" w:rsidRDefault="001F4BC8" w:rsidP="008A0FAA">
      <w:r>
        <w:t>Jälkimmäinen vaihtoehto näyttää sopivan par</w:t>
      </w:r>
      <w:r w:rsidR="00755718">
        <w:t>emmin Descartesin näkemykseen. Kuten edellä todettiin, t</w:t>
      </w:r>
      <w:r>
        <w:t>yypillisesti hän erottaa tarkasti aistimuksista puhumisen olioiden ja niiden ominaisuuksien havaitsemisesta puhumisesta. Juuri aistimukset ja niiden mahdollistamat väärintulkinnat ulkoisten olioiden ominaisuuksista selittävät hänen</w:t>
      </w:r>
      <w:r w:rsidR="00F664C1">
        <w:t xml:space="preserve"> näkemyksensä puitteissa tiettyjä piintyneitä virheellisiä oletuksia, joita Descartes pyrkii selvittämään. Täsmällisesti ottaen Descartes varoittaa meitä sekoittamasta aistien ominaisuuksia ulkoisten olioiden ominaisuuksiin, ja selventää näkemystään seuraavalla tavalla vastauksissa neljänsiin vastaväitteisiin:</w:t>
      </w:r>
    </w:p>
    <w:p w:rsidR="00F664C1" w:rsidRPr="004F501D" w:rsidRDefault="00F664C1" w:rsidP="004F501D">
      <w:pPr>
        <w:pStyle w:val="Quote"/>
      </w:pPr>
      <w:r>
        <w:t>Hämärissä ja epämääräisissä ideoissa, joihin nämä lämmön ja kylmyyden ideat on luettava, sattuu nimittäin usein, että ne liitetään</w:t>
      </w:r>
      <w:r w:rsidR="003B5444">
        <w:t xml:space="preserve"> (</w:t>
      </w:r>
      <w:proofErr w:type="spellStart"/>
      <w:r w:rsidR="003B5444" w:rsidRPr="003B5444">
        <w:rPr>
          <w:i/>
        </w:rPr>
        <w:t>referantur</w:t>
      </w:r>
      <w:proofErr w:type="spellEnd"/>
      <w:r w:rsidR="003B5444">
        <w:t>)</w:t>
      </w:r>
      <w:r>
        <w:t xml:space="preserve"> johonkin muuhun kuin siihen, minkä ideoita ne todella ovat. Täten jos kylmyys on pelk</w:t>
      </w:r>
      <w:r w:rsidR="005A19A5">
        <w:t>kä puute, niin kylmyyden idea ei</w:t>
      </w:r>
      <w:r>
        <w:t xml:space="preserve"> ole itse kylmyys sikäli kuin se on objektiivisesti ymmärryksessä, vaan jotakin muuta, joka virheellisesti pannaan tämän puutteen sijaan; se on silkka aistimus</w:t>
      </w:r>
      <w:r w:rsidR="004F501D">
        <w:t xml:space="preserve"> (</w:t>
      </w:r>
      <w:proofErr w:type="spellStart"/>
      <w:r w:rsidR="004F501D" w:rsidRPr="004F501D">
        <w:rPr>
          <w:i/>
        </w:rPr>
        <w:t>sensus</w:t>
      </w:r>
      <w:proofErr w:type="spellEnd"/>
      <w:r w:rsidR="004F501D">
        <w:t>)</w:t>
      </w:r>
      <w:r>
        <w:t>, jolla ei ole mitään olemista ymmärryksen ulkopuolella</w:t>
      </w:r>
      <w:r w:rsidR="004F501D">
        <w:t xml:space="preserve"> (</w:t>
      </w:r>
      <w:proofErr w:type="spellStart"/>
      <w:r w:rsidR="004F501D" w:rsidRPr="004F501D">
        <w:rPr>
          <w:i/>
        </w:rPr>
        <w:t>nempe</w:t>
      </w:r>
      <w:proofErr w:type="spellEnd"/>
      <w:r w:rsidR="004F501D" w:rsidRPr="004F501D">
        <w:rPr>
          <w:i/>
        </w:rPr>
        <w:t xml:space="preserve"> </w:t>
      </w:r>
      <w:proofErr w:type="spellStart"/>
      <w:r w:rsidR="004F501D" w:rsidRPr="004F501D">
        <w:rPr>
          <w:i/>
        </w:rPr>
        <w:t>est</w:t>
      </w:r>
      <w:proofErr w:type="spellEnd"/>
      <w:r w:rsidR="004F501D" w:rsidRPr="004F501D">
        <w:rPr>
          <w:i/>
        </w:rPr>
        <w:t xml:space="preserve"> </w:t>
      </w:r>
      <w:proofErr w:type="spellStart"/>
      <w:r w:rsidR="004F501D" w:rsidRPr="004F501D">
        <w:rPr>
          <w:i/>
        </w:rPr>
        <w:t>sensus</w:t>
      </w:r>
      <w:proofErr w:type="spellEnd"/>
      <w:r w:rsidR="004F501D" w:rsidRPr="004F501D">
        <w:rPr>
          <w:i/>
        </w:rPr>
        <w:t xml:space="preserve"> </w:t>
      </w:r>
      <w:proofErr w:type="spellStart"/>
      <w:r w:rsidR="004F501D" w:rsidRPr="004F501D">
        <w:rPr>
          <w:i/>
        </w:rPr>
        <w:t>quidam</w:t>
      </w:r>
      <w:proofErr w:type="spellEnd"/>
      <w:r w:rsidR="004F501D" w:rsidRPr="004F501D">
        <w:rPr>
          <w:i/>
        </w:rPr>
        <w:t xml:space="preserve"> </w:t>
      </w:r>
      <w:proofErr w:type="spellStart"/>
      <w:r w:rsidR="004F501D" w:rsidRPr="004F501D">
        <w:rPr>
          <w:i/>
        </w:rPr>
        <w:t>nullum</w:t>
      </w:r>
      <w:proofErr w:type="spellEnd"/>
      <w:r w:rsidR="004F501D" w:rsidRPr="004F501D">
        <w:rPr>
          <w:i/>
        </w:rPr>
        <w:t xml:space="preserve"> </w:t>
      </w:r>
      <w:proofErr w:type="spellStart"/>
      <w:r w:rsidR="004F501D" w:rsidRPr="004F501D">
        <w:rPr>
          <w:i/>
        </w:rPr>
        <w:t>habens</w:t>
      </w:r>
      <w:proofErr w:type="spellEnd"/>
      <w:r w:rsidR="004F501D" w:rsidRPr="004F501D">
        <w:rPr>
          <w:i/>
        </w:rPr>
        <w:t xml:space="preserve"> </w:t>
      </w:r>
      <w:proofErr w:type="spellStart"/>
      <w:r w:rsidR="004F501D" w:rsidRPr="004F501D">
        <w:rPr>
          <w:i/>
        </w:rPr>
        <w:t>esse</w:t>
      </w:r>
      <w:proofErr w:type="spellEnd"/>
      <w:r w:rsidR="004F501D" w:rsidRPr="004F501D">
        <w:rPr>
          <w:i/>
        </w:rPr>
        <w:t xml:space="preserve"> </w:t>
      </w:r>
      <w:proofErr w:type="spellStart"/>
      <w:r w:rsidR="004F501D" w:rsidRPr="004F501D">
        <w:rPr>
          <w:i/>
        </w:rPr>
        <w:t>extra</w:t>
      </w:r>
      <w:proofErr w:type="spellEnd"/>
      <w:r w:rsidR="004F501D" w:rsidRPr="004F501D">
        <w:rPr>
          <w:i/>
        </w:rPr>
        <w:t xml:space="preserve"> </w:t>
      </w:r>
      <w:proofErr w:type="spellStart"/>
      <w:r w:rsidR="004F501D" w:rsidRPr="004F501D">
        <w:rPr>
          <w:i/>
        </w:rPr>
        <w:t>intellectum</w:t>
      </w:r>
      <w:proofErr w:type="spellEnd"/>
      <w:r w:rsidR="004F501D" w:rsidRPr="004F501D">
        <w:t>.)</w:t>
      </w:r>
      <w:r w:rsidRPr="004F501D">
        <w:t>.</w:t>
      </w:r>
      <w:r>
        <w:rPr>
          <w:rStyle w:val="FootnoteReference"/>
        </w:rPr>
        <w:footnoteReference w:id="16"/>
      </w:r>
    </w:p>
    <w:p w:rsidR="00B07BD1" w:rsidRDefault="00F664C1" w:rsidP="008A0FAA">
      <w:r>
        <w:t xml:space="preserve">Tulkintani Descartesin näkemyksestä on seuraava. Havaintomme ulkoisten olioiden ominaisuuksista ovat usein, tai ehkä jopa aina, hämäriä ja epämääräisiä. Tämä </w:t>
      </w:r>
      <w:r w:rsidR="005F4F9F">
        <w:t xml:space="preserve">vääristyminen </w:t>
      </w:r>
      <w:r>
        <w:t>johtuu mieli–ruumis-yhteyden omituisuuksista, joi</w:t>
      </w:r>
      <w:r w:rsidR="005F4F9F">
        <w:t xml:space="preserve">ta ei ole syytä tässä yhteydessä tarkastella, koska se </w:t>
      </w:r>
      <w:r>
        <w:t>veisi huom</w:t>
      </w:r>
      <w:r w:rsidR="00B07BD1">
        <w:t>iomme liian kauas itse asiasta. Riittää, että muistamme Descartesin ajattelevan aistimuksen kausaalisen syntymisen olevan monimutkaisen fysikaalisesta liikkeestä koostuvan ketjun tulosta, jossa ulkoiset fysikaaliset tilat vaikuttavat aistielimiimme. Aistinelinten ärsytys aiheuttaa liikettä hermoissa, jotka siirtyvät aivoihimme, joiden tila on säännönmukaisessa yhteydessä mielessä oleviin aistimuksiimme. Havaintojen hämäryys ja epämääräisyys johtuvat siis siitä, että alkuperäinen liike (esimerkiksi ulkoisen olion pintarakenteen ja valonsäteiden vuorovaikutuksessa) muuttaa muotoaan niin monta kertaa kausaalisen välittymisen aikana, että alkuperäistä liikettä ei ole mahdollista (ainakaan ihmismielen rajoittuneen ymmärryskyvyn) tavoittaa tai rekonstruoida mielessä ilmenevän lopputuloksen perusteella.</w:t>
      </w:r>
      <w:r w:rsidR="00262B61">
        <w:rPr>
          <w:rStyle w:val="FootnoteReference"/>
        </w:rPr>
        <w:footnoteReference w:id="17"/>
      </w:r>
    </w:p>
    <w:p w:rsidR="00F664C1" w:rsidRDefault="005F4F9F" w:rsidP="008A0FAA">
      <w:r>
        <w:t xml:space="preserve">Olennaista on erottaa koettu lämpö ja kylmyys oletetuista </w:t>
      </w:r>
      <w:r w:rsidR="006F68C3">
        <w:t xml:space="preserve">ulkoisten </w:t>
      </w:r>
      <w:r>
        <w:t>olioiden ominaisuuksista. Descartes esittää, että tietyt ulkoiset (fysikaaliset) ominaisuudet x ja y ovat se, mihin käsityksemme lämmöstä ja kylmästä, samassa järjestyksessä, viittaavat mielen ulkopuolella.</w:t>
      </w:r>
      <w:r w:rsidR="006F68C3">
        <w:t xml:space="preserve"> Ominaisuus x aiheuttaa meissä </w:t>
      </w:r>
      <w:r w:rsidR="00B07BD1">
        <w:t>ruumiimme välityksellä lämpöaistimuksen, ja ominaisuus y</w:t>
      </w:r>
      <w:r w:rsidR="004F501D">
        <w:t xml:space="preserve"> kylmyyden aistimuksen (ruumiin toiminta on aistimisen 1. aste; mielellinen aistimus 2. aste).</w:t>
      </w:r>
      <w:r w:rsidR="00B07BD1">
        <w:t xml:space="preserve"> Se, että havaintomme ulkoisista ominaisuuksista x ja y ovat hämäriä ja epämääräisiä, ei poista sitä tosiasiaa että noiden havaintojen kohteet ovat nimenoma</w:t>
      </w:r>
      <w:r w:rsidR="004F501D">
        <w:t xml:space="preserve">an ulkoiset ominaisuudet x ja y (ja voimme tietysti kääntää huomiomme pois ulkoisista olioista omaan </w:t>
      </w:r>
      <w:r w:rsidR="004F501D">
        <w:lastRenderedPageBreak/>
        <w:t>aistiprosessiimme, jolloin havainnonkohde on aistimus).</w:t>
      </w:r>
      <w:r w:rsidR="00B07BD1">
        <w:t xml:space="preserve"> Kuitenkin olemme alttiita tai jopa taipuvaisia v</w:t>
      </w:r>
      <w:r w:rsidR="00A057F8">
        <w:t>irheellisesti olettamaan, että n</w:t>
      </w:r>
      <w:r w:rsidR="00B07BD1">
        <w:t xml:space="preserve">uo </w:t>
      </w:r>
      <w:r w:rsidR="00A057F8">
        <w:t>havainnot ovat todenmukaisia</w:t>
      </w:r>
      <w:r w:rsidR="00B07BD1">
        <w:t xml:space="preserve"> noista ulkoisista ominaisuuksista. </w:t>
      </w:r>
      <w:r w:rsidR="00A057F8">
        <w:t>Kuitenkaan ei ole mitään syytä olettaa, että ominaisuudet x ja y muistuttaisivat todellisuudessa sitä, miten ne meille havainnossa näyttäytyvät. Virhe, jonka olemme alttiita tekemään, on siis se, että sekoitamme aistimuksen ominaisuuden, lämmön tai kylmyyden kokemuksen, havaittuun ulkoiseen ominaisuuteen x tai y.</w:t>
      </w:r>
      <w:r w:rsidR="004F501D">
        <w:t xml:space="preserve"> Toisin sanoen, erehdyksemme koskee havaintomme kohdetta, yritämme arvostella ulkoista ominaisuutta, mutta virheellisesti </w:t>
      </w:r>
      <w:r w:rsidR="004F501D" w:rsidRPr="004F501D">
        <w:rPr>
          <w:i/>
        </w:rPr>
        <w:t>liitämme</w:t>
      </w:r>
      <w:r w:rsidR="004F501D">
        <w:t xml:space="preserve"> (</w:t>
      </w:r>
      <w:proofErr w:type="spellStart"/>
      <w:r w:rsidR="004F501D" w:rsidRPr="004F501D">
        <w:rPr>
          <w:i/>
        </w:rPr>
        <w:t>referantur</w:t>
      </w:r>
      <w:proofErr w:type="spellEnd"/>
      <w:r w:rsidR="004F501D">
        <w:t>) toisen havainnon mahdollisen kohteen, aistimuksen, tuohon arvostelman varsinaiseen kohteeseen.</w:t>
      </w:r>
    </w:p>
    <w:p w:rsidR="00812E2A" w:rsidRDefault="00A057F8" w:rsidP="008A0FAA">
      <w:r>
        <w:t xml:space="preserve">Descartesin argumentti tämän näkemyksen puolesta on yksinkertainen. Voi olla niin, että esimerkiksi ominaisuus y onkin fysikaalisesti katsoen vain ominaisuuden x puutetta. Jos fysikaalinen lämpö (ominaisuus x) on esimerkiksi partikkelien nopeaa liikettä, fysikaalinen kylmyys saattaa olla vain tuon </w:t>
      </w:r>
      <w:r w:rsidR="0002751F">
        <w:t>liikkeen puutetta. Vaikka näin olisi (Descartesin fysiikan mukaan näin myös on), kokisimme havainnossa silti</w:t>
      </w:r>
      <w:r>
        <w:t xml:space="preserve"> myös kylmyyden (ominaisuuden y) positiivisena ominaisuutena, emmekä minkään puutteena. Tämä mahdolli</w:t>
      </w:r>
      <w:r w:rsidR="004F501D">
        <w:t>nen ilmiö kaipaa selitystä. S</w:t>
      </w:r>
      <w:r w:rsidR="00310C56">
        <w:t>elitys</w:t>
      </w:r>
      <w:r>
        <w:t xml:space="preserve"> on se, että aistinjärjestelmämme reagoi ympäristön tilaan</w:t>
      </w:r>
      <w:r w:rsidR="00181291">
        <w:t>, tässä tapauksessa partikkelien liikkeen puuttumiseen, aina jonkin laisella liikkeellä. Tuo</w:t>
      </w:r>
      <w:r w:rsidR="00755718">
        <w:t xml:space="preserve"> liike välittyy aivoihin, jonka tuloksena mielessä</w:t>
      </w:r>
      <w:r w:rsidR="00181291">
        <w:t xml:space="preserve"> aiheutuu aistimus. Tämän aistimuksen ominaisuud</w:t>
      </w:r>
      <w:r w:rsidR="004F501D">
        <w:t>en, koetun kylmyyden, yhdistämme virheellisesti</w:t>
      </w:r>
      <w:r w:rsidR="00181291">
        <w:t xml:space="preserve"> ulkoisen ympäristön tilaan, ja päädymme virheellisesti arvostelemaan, että ympäristössämme on jotakin joka muistuttaa koetun aistimuksen ominaisuutta, siis koettua kylmää. Olennaista ei ole kylmän tai lämmön fysikaalinen luonne, vaan se, että aistinjärjestelmämme toimii monien ulkoisten ominaisuuksien tapauksessa täsmälleen samalla tavalla – olioiden pintarakenteet havaitaan värillisinä, fysikaaliset törmäykset koetaan jo</w:t>
      </w:r>
      <w:r w:rsidR="004F501D">
        <w:t>ko ääninä tai tuntoaistimuksina, ja niin edelleen.</w:t>
      </w:r>
      <w:r w:rsidR="00181291">
        <w:t xml:space="preserve"> Riippumatta siitä, mikä on ulkoisten ominaisuuksien todellinen laita, on havaintomme niistä systemaattisella tavalla </w:t>
      </w:r>
      <w:r w:rsidR="004F501D">
        <w:t xml:space="preserve">altis sekoittamaan aistimuksen ominaisuudet (koetun kylmän) ulkoisen objektin ominaisuuksiin (fysikaalisen liikkeen puute tms.). Tämän alttiuden vuoksi havaintomme ulkoisten objektien ominaisuuksista on </w:t>
      </w:r>
      <w:r w:rsidR="00181291">
        <w:t>h</w:t>
      </w:r>
      <w:r w:rsidR="004F501D">
        <w:t>ämärää ja epämääräistä, ja sen vuoksi (Descartesin mukaan)</w:t>
      </w:r>
      <w:r w:rsidR="00181291">
        <w:t xml:space="preserve"> olemme</w:t>
      </w:r>
      <w:r w:rsidR="004F501D">
        <w:t xml:space="preserve"> myös luonnostamme</w:t>
      </w:r>
      <w:r w:rsidR="00181291">
        <w:t xml:space="preserve"> alttiit</w:t>
      </w:r>
      <w:r w:rsidR="004F501D">
        <w:t>a tekemään arvostelman, että ulkoisten olioiden</w:t>
      </w:r>
      <w:r w:rsidR="00181291">
        <w:t xml:space="preserve"> ominaisuudet muistuttavat aistimuksiamme. Tätä ulkoisten ominaisuuksien havaitsemisen ongelmallista piirrettä Descartes nimittää (noiden ominaisuuksien ideoiden) </w:t>
      </w:r>
      <w:r w:rsidR="00181291" w:rsidRPr="00181291">
        <w:rPr>
          <w:i/>
        </w:rPr>
        <w:t>materiaaliseksi epätotuudeksi</w:t>
      </w:r>
      <w:r w:rsidR="00181291">
        <w:t>.</w:t>
      </w:r>
      <w:r w:rsidR="0032589C">
        <w:rPr>
          <w:rStyle w:val="FootnoteReference"/>
        </w:rPr>
        <w:footnoteReference w:id="18"/>
      </w:r>
    </w:p>
    <w:p w:rsidR="00812E2A" w:rsidRDefault="00812E2A" w:rsidP="00812E2A">
      <w:pPr>
        <w:pStyle w:val="Heading1"/>
      </w:pPr>
      <w:r>
        <w:t>Aistimukset havainnon mahdollistajina</w:t>
      </w:r>
    </w:p>
    <w:p w:rsidR="00812E2A" w:rsidRDefault="00181291" w:rsidP="008A0FAA">
      <w:r>
        <w:t>Nyt voimme tehdä yhteenvedon aistimusten ja aistihavainnon välisestä suhteesta</w:t>
      </w:r>
      <w:r w:rsidR="0081220B">
        <w:t xml:space="preserve"> Descartesin näkemyksessä</w:t>
      </w:r>
      <w:r>
        <w:t>. Aistihavainto, kuten havainto yleensäkin, on suhteessa olemista tiet</w:t>
      </w:r>
      <w:r w:rsidR="00B5518F">
        <w:t>tyyn asiaan</w:t>
      </w:r>
      <w:r w:rsidR="0081220B">
        <w:t xml:space="preserve">, olipa se </w:t>
      </w:r>
      <w:r w:rsidR="0081220B">
        <w:lastRenderedPageBreak/>
        <w:t>sitten olio</w:t>
      </w:r>
      <w:r w:rsidR="00142F22">
        <w:t xml:space="preserve"> (substanssi) tai</w:t>
      </w:r>
      <w:r>
        <w:t xml:space="preserve"> </w:t>
      </w:r>
      <w:r w:rsidR="0081220B">
        <w:t>olion</w:t>
      </w:r>
      <w:r w:rsidR="004F501D">
        <w:t xml:space="preserve"> omi</w:t>
      </w:r>
      <w:r w:rsidR="00142F22">
        <w:t xml:space="preserve">naisuus (substanssin modus). Materiaalisessa epätotuudessa kyse on toisen olion (havaitsijan oman mieli-ruumisyhteyden) ominaisuuden virheellisestä ”liittämisestä” toiseen olioon (ulkoiseen havainnon kohteeseen). </w:t>
      </w:r>
      <w:r w:rsidR="0081220B">
        <w:t xml:space="preserve">Aistein havaittavat ominaisuudet ovat ulkoisten olioiden ominaisuuksia, jotka ovat luonteeltaan avaruudellisia ominaisuuksia, eli kappaleita ja kappaleiden liikkeitä. Aistiemme avulla muodostamme siis havaintosuhteen näihin </w:t>
      </w:r>
      <w:r w:rsidR="00812E2A">
        <w:t xml:space="preserve">ulkoisiin </w:t>
      </w:r>
      <w:r w:rsidR="0081220B">
        <w:t>ominaisuuksiin, ja samoin kuin olioidenkin (substanssien), kuten vahanpala</w:t>
      </w:r>
      <w:r w:rsidR="00B5518F">
        <w:t>n</w:t>
      </w:r>
      <w:r w:rsidR="0081220B">
        <w:t xml:space="preserve">, havaitsemisen tapauksessa tämän suhteen muodostaa </w:t>
      </w:r>
      <w:r w:rsidR="00812E2A">
        <w:t xml:space="preserve">yksin ymmärrys. </w:t>
      </w:r>
    </w:p>
    <w:p w:rsidR="00F664C1" w:rsidRDefault="0081220B" w:rsidP="008A0FAA">
      <w:r>
        <w:t xml:space="preserve">Aistimukset puolestaan ovat aistinjärjestelmämme ominaisuuksia. Ne syntyvät ruumiin ja mielen vuorovaikutuksesta, tyypillisesti ulkoisten ärsykkeiden aiheuttamina, ja koetaan mielessä väreinä, ääninä, tuntemuksina, makuina ja hajuina. </w:t>
      </w:r>
      <w:r w:rsidR="00812E2A">
        <w:t>Voimme tietysti muodostaa havaintosuhteen aistinjärjestelmämme ominaisuuksiin, kuten teemme esimerkiksi kiinnittäessämme huomiomme kokemaamme punaisuuteen edessämme olevan tomaattikeiton sijaan. (Tunnetusti tämä on kuitenkin vaikeaa, sillä koettu punaisuus ei vaikuta olevan kokemuksemme, vaan ulkoisen objektin, tässä tapauksessa keiton, ominaisuus – juuri tämän vuoksi olemme niin alttiita arvostelemaan punaisuuden olevan ulkoisen olion todellinen ominaisuus). Kun kiinnitämme huomiomme tällaiseen aistikvaliteettiin, kuten väriin, havaintosuhteemme kohde kuitenkin vaihtuu. Siinä missä aiemmin olimme havaintosuhteessa ulkoisen olion ominaisuuteen, vaikkakin hämärästi ja epämääräisesti, niin nyt olemme havaintosuhteessa vain omaan aistinjärjestelmämme ominaisuuteen.</w:t>
      </w:r>
    </w:p>
    <w:p w:rsidR="00B5518F" w:rsidRPr="00B5518F" w:rsidRDefault="00B5518F" w:rsidP="008A0FAA">
      <w:r>
        <w:t xml:space="preserve">Descartes antaa havainnollistavan esimerkin asiasta </w:t>
      </w:r>
      <w:r w:rsidRPr="00B5518F">
        <w:rPr>
          <w:i/>
        </w:rPr>
        <w:t>Filosofian periaatteissa</w:t>
      </w:r>
      <w:r>
        <w:t>:</w:t>
      </w:r>
    </w:p>
    <w:p w:rsidR="00B5518F" w:rsidRDefault="00B5518F" w:rsidP="00B5518F">
      <w:pPr>
        <w:pStyle w:val="Quote"/>
      </w:pPr>
      <w:r>
        <w:t>Kun joku aistii</w:t>
      </w:r>
      <w:r w:rsidR="005D5F60">
        <w:t xml:space="preserve"> (</w:t>
      </w:r>
      <w:r w:rsidR="005D5F60" w:rsidRPr="005D5F60">
        <w:rPr>
          <w:i/>
        </w:rPr>
        <w:t>sentit</w:t>
      </w:r>
      <w:r w:rsidR="005D5F60">
        <w:t>)</w:t>
      </w:r>
      <w:r>
        <w:t xml:space="preserve"> voimakkaan kivun, hänellä on kylläkin hyvin selvä kivun havainto</w:t>
      </w:r>
      <w:r w:rsidR="005D5F60">
        <w:t xml:space="preserve"> (</w:t>
      </w:r>
      <w:proofErr w:type="spellStart"/>
      <w:r w:rsidR="005D5F60" w:rsidRPr="005D5F60">
        <w:rPr>
          <w:i/>
        </w:rPr>
        <w:t>perceptio</w:t>
      </w:r>
      <w:proofErr w:type="spellEnd"/>
      <w:r w:rsidR="005D5F60">
        <w:t>)</w:t>
      </w:r>
      <w:r>
        <w:t>, mutta tämä havainto ei aina ole tarkka. Tavallisesti ihmiset nimittäin sekoittavat sen hämärään arvostelmaansa kivun luonnosta, kun he arvelevat särkevässä jäsenessä olevan jotakin samanlaista kuin kivun aistimus</w:t>
      </w:r>
      <w:r w:rsidR="005D5F60">
        <w:t xml:space="preserve"> (</w:t>
      </w:r>
      <w:proofErr w:type="spellStart"/>
      <w:r w:rsidR="005D5F60" w:rsidRPr="005D5F60">
        <w:rPr>
          <w:i/>
        </w:rPr>
        <w:t>sensui</w:t>
      </w:r>
      <w:proofErr w:type="spellEnd"/>
      <w:r w:rsidR="005D5F60">
        <w:t>)</w:t>
      </w:r>
      <w:r>
        <w:t xml:space="preserve">, sillä vain sen he havaitsevat </w:t>
      </w:r>
      <w:r w:rsidR="005D5F60">
        <w:t>(</w:t>
      </w:r>
      <w:proofErr w:type="spellStart"/>
      <w:r w:rsidR="005D5F60" w:rsidRPr="005D5F60">
        <w:rPr>
          <w:i/>
        </w:rPr>
        <w:t>percipiunt</w:t>
      </w:r>
      <w:proofErr w:type="spellEnd"/>
      <w:r w:rsidR="005D5F60">
        <w:t xml:space="preserve">) </w:t>
      </w:r>
      <w:r>
        <w:t>selvästi.</w:t>
      </w:r>
      <w:r>
        <w:rPr>
          <w:rStyle w:val="FootnoteReference"/>
        </w:rPr>
        <w:footnoteReference w:id="19"/>
      </w:r>
    </w:p>
    <w:p w:rsidR="00DA4B50" w:rsidRDefault="00812E2A" w:rsidP="008A0FAA">
      <w:r>
        <w:t xml:space="preserve">Nyt voimme myös tarkastella uudelleen kysymystä siitä, mikä aistimusten täsmällinen rooli on havainnossa. Kuten aiemmin todettiin, yksi mahdollisuus olisi ajatella, että ulkoisten olioiden ja näiden ominaisuuksien havaitseminen perustuu päättelylle aistimuksista noihin olioihin. </w:t>
      </w:r>
      <w:r w:rsidR="00B5518F">
        <w:t>Kuten myös huomasimme,</w:t>
      </w:r>
      <w:r w:rsidR="00E63B94">
        <w:t xml:space="preserve"> </w:t>
      </w:r>
      <w:r w:rsidR="00423BCA">
        <w:t>m</w:t>
      </w:r>
      <w:r w:rsidR="00E63B94">
        <w:t>e emme näytä tyypillisissä havaintotilant</w:t>
      </w:r>
      <w:r w:rsidR="00B5518F">
        <w:t>eissa olevan havaintosuhteessa niinkään</w:t>
      </w:r>
      <w:r w:rsidR="00E63B94">
        <w:t xml:space="preserve"> omiin aistimuksiimme, vaan nuo aistimukset ovat pikemmin osa sitä havaintosuhdetta, joka meillä on ulkoisten olioiden ominaisuuksiin. Osa–kokonaisuus-suhde näyttää tietyllä tavalla luonnehtivan aistimusten ja ulkoisten ominaisuuksien välistä havaintosuhdetta</w:t>
      </w:r>
      <w:r w:rsidR="00DA4B50">
        <w:t>.</w:t>
      </w:r>
    </w:p>
    <w:p w:rsidR="00DA4B50" w:rsidRDefault="00E63B94" w:rsidP="008A0FAA">
      <w:r>
        <w:t xml:space="preserve">Oletetaan pelkän havainnollistuksen vuoksi, että aistimukset on mielekästä ajatella </w:t>
      </w:r>
      <w:r w:rsidR="00DA4B50">
        <w:t xml:space="preserve">jonkinlaisen argumentin tai päättelyn </w:t>
      </w:r>
      <w:r>
        <w:t xml:space="preserve">premisseinä. Tällöin </w:t>
      </w:r>
      <w:r w:rsidR="00DA4B50">
        <w:t>tarkastelun kohteena olevan näkemyksen mukaan havaintosuhde ulkoisen oli</w:t>
      </w:r>
      <w:r w:rsidR="00423BCA">
        <w:t xml:space="preserve">on ominaisuuteen olisi varmaankin kyseessä olevan </w:t>
      </w:r>
      <w:r w:rsidR="00DA4B50">
        <w:t>argumentin johtopäätöksen asemassa. Mutta tämä ei näy</w:t>
      </w:r>
      <w:r w:rsidR="00423BCA">
        <w:t>tä pitävän paikkaansa</w:t>
      </w:r>
      <w:r w:rsidR="00DA4B50">
        <w:t xml:space="preserve">: edellä todetun </w:t>
      </w:r>
      <w:r>
        <w:t>osa–</w:t>
      </w:r>
      <w:r w:rsidR="00DA4B50">
        <w:t>kokonaisuus-suhteen vuoksi havaintosuhde ulkoisen olion ominaisuuteen vastaa pikemmin tuota kuviteltua argumenttia kokonaisuudessaan, eikä pelkkää johtopäätöstä. Toisin sanoen, näkemys näyttää käsittee</w:t>
      </w:r>
      <w:r w:rsidR="00697054">
        <w:t>l</w:t>
      </w:r>
      <w:r w:rsidR="00DA4B50">
        <w:t xml:space="preserve">listävän </w:t>
      </w:r>
      <w:r w:rsidR="00697054">
        <w:t xml:space="preserve">sekä aistimukset että havaintosuhteen saman tason ilmiöiksi, mikä ei näytä sen </w:t>
      </w:r>
      <w:r w:rsidR="00423BCA">
        <w:lastRenderedPageBreak/>
        <w:t>mielekkäämmältä</w:t>
      </w:r>
      <w:r w:rsidR="00697054">
        <w:t xml:space="preserve"> kuin kokonaisen argumentin käsitteellistäminen premissien ja johtopäätösten </w:t>
      </w:r>
      <w:r w:rsidR="00423BCA">
        <w:t xml:space="preserve">kanssa samaan </w:t>
      </w:r>
      <w:r w:rsidR="00697054">
        <w:t xml:space="preserve">joukkoon. Tällaista virhettä tavataan kutsua filosofiassa </w:t>
      </w:r>
      <w:r w:rsidR="00697054" w:rsidRPr="00697054">
        <w:rPr>
          <w:i/>
        </w:rPr>
        <w:t>kategoriavirheeksi</w:t>
      </w:r>
      <w:r w:rsidR="00697054">
        <w:t>.</w:t>
      </w:r>
      <w:r w:rsidR="00697054">
        <w:rPr>
          <w:rStyle w:val="FootnoteReference"/>
        </w:rPr>
        <w:footnoteReference w:id="20"/>
      </w:r>
    </w:p>
    <w:p w:rsidR="003D3D17" w:rsidRDefault="00697054" w:rsidP="008A0FAA">
      <w:r>
        <w:t>Jos aistimuksia ei siis ole syytä kä</w:t>
      </w:r>
      <w:r w:rsidR="003D3D17">
        <w:t>sittää havaintosuhteen oikeuttaviksi premisseiksi</w:t>
      </w:r>
      <w:r w:rsidR="00423BCA">
        <w:t xml:space="preserve"> tai päätelmän raakadataksi</w:t>
      </w:r>
      <w:r w:rsidR="003D3D17">
        <w:t xml:space="preserve">, niin mitä sitten tarkoittaan niiden käsittäminen pikemmin tuon havaintosuhteen osiksi? Eräs vaihtoehto olisi ajatella, että ihmisille tyypillinen tapa olla havaintosuhteessa mielen ulkopuolisiin olioihin ja näiden ominaisuuksiin on riippuvaista aistimusten esiintymisestä. Tietyssä mielessä tämä on varmasti totta, ainakin kun tarkastelemme aktuaalisia ihmisiä tyypillisissä tai aktuaalisissa havaintotilanteissa. Väite on kuitenkin vielä kovin epämääräinen. Mitä riippuvuudella tarkoitetaan tässä yhteydessä? Onko kyse jonkinlaisesta välttämättömyydestä, ja jos näin on, niin onko kyse loogisesta tai käsitteellisestä </w:t>
      </w:r>
      <w:r w:rsidR="00D10B65">
        <w:t>suhteesta</w:t>
      </w:r>
      <w:r w:rsidR="003D3D17">
        <w:t xml:space="preserve">? Jos kyseessä ei ole välttämättömyys, onko kyseessä </w:t>
      </w:r>
      <w:r w:rsidR="00D10B65">
        <w:t xml:space="preserve">sitten </w:t>
      </w:r>
      <w:r w:rsidR="003D3D17">
        <w:t>vain pikemmin ihmisluonnosta seuraava kontingentti tosiasia</w:t>
      </w:r>
      <w:r w:rsidR="00CC4A2B">
        <w:t>, joka voisi olla myös jotenkin toisin</w:t>
      </w:r>
      <w:r w:rsidR="003D3D17">
        <w:t>? Tarkastelen tätä kysymysvyyhtiä sekä yleisemmästä että Descartesin</w:t>
      </w:r>
      <w:r w:rsidR="00423BCA">
        <w:t xml:space="preserve"> metafysiikan</w:t>
      </w:r>
      <w:r w:rsidR="003D3D17">
        <w:t xml:space="preserve"> näkökulmasta</w:t>
      </w:r>
      <w:r w:rsidR="00423BCA">
        <w:t xml:space="preserve"> lyhyesti</w:t>
      </w:r>
      <w:r w:rsidR="003D3D17">
        <w:t>.</w:t>
      </w:r>
    </w:p>
    <w:p w:rsidR="003D3D17" w:rsidRDefault="003D3D17" w:rsidP="008A0FAA">
      <w:r>
        <w:t xml:space="preserve">Ensin meidän on asetettava sivuun ilmeinen käsitteellinen yhteys aistimusten ja havaintosuhteen välillä. On selvää, että mikäli se havaintosuhde ulkoisten olioiden ominaisuuksiin, johon tyypillisesti aistit osallistuvat, käsitteellistetään </w:t>
      </w:r>
      <w:r w:rsidR="00D10B65">
        <w:t xml:space="preserve">kirjaimellisesti </w:t>
      </w:r>
      <w:r w:rsidRPr="00D10B65">
        <w:rPr>
          <w:i/>
        </w:rPr>
        <w:t>aistihavainnoksi</w:t>
      </w:r>
      <w:r w:rsidR="00D10B65">
        <w:t>, niin näin rajattu</w:t>
      </w:r>
      <w:r>
        <w:t xml:space="preserve"> havaintosuhde edellyttää käsitteellisesti aistimuksia tai aistien osallisuutta. </w:t>
      </w:r>
      <w:r w:rsidR="00D10B65">
        <w:t>Havainnon ja aistihavainnon samaistaminen on tyypillistä nykyfilosofiassa ja havainnonteoriassa, mutta kuten yllä huomattiin, tämä samaistaminen olisi Descartesin tapauksessa virhe. Hänelle aistihavainto on yleisemmän ymmärrykseen kuuluvan havaitsemisen alakategoria, jota määrittelee juuri</w:t>
      </w:r>
      <w:r w:rsidR="00423BCA">
        <w:t xml:space="preserve"> aistien osallistuminen. K</w:t>
      </w:r>
      <w:r w:rsidR="00D10B65">
        <w:t>ysymys, joka meitä tässä kiinnostaa, on täsmällisesti</w:t>
      </w:r>
      <w:r w:rsidR="00423BCA">
        <w:t>,</w:t>
      </w:r>
      <w:r w:rsidR="00D10B65">
        <w:t xml:space="preserve"> että edellyttääkö se havaintosuhde, jossa </w:t>
      </w:r>
      <w:r w:rsidR="00423BCA">
        <w:t xml:space="preserve">ainakin </w:t>
      </w:r>
      <w:r w:rsidR="00D10B65">
        <w:t>tavallisesti aisteilla on tietty rooli</w:t>
      </w:r>
      <w:r w:rsidR="00423BCA">
        <w:t>,</w:t>
      </w:r>
      <w:r w:rsidR="00D10B65">
        <w:t xml:space="preserve"> välttämättä tai </w:t>
      </w:r>
      <w:r w:rsidR="00423BCA">
        <w:t xml:space="preserve">jollain </w:t>
      </w:r>
      <w:r w:rsidR="00D10B65">
        <w:t>muul</w:t>
      </w:r>
      <w:r w:rsidR="00423BCA">
        <w:t xml:space="preserve">la tavalla aistien osallisuutta. Siispä </w:t>
      </w:r>
      <w:r w:rsidR="00D10B65">
        <w:t>meidän</w:t>
      </w:r>
      <w:r w:rsidR="00423BCA">
        <w:t xml:space="preserve"> on</w:t>
      </w:r>
      <w:r w:rsidR="00D10B65">
        <w:t xml:space="preserve"> selvästi varottava käsitteellistämästä havaintosuhdetta aistihavainnoksi.</w:t>
      </w:r>
    </w:p>
    <w:p w:rsidR="00D10B65" w:rsidRDefault="005779F2" w:rsidP="008A0FAA">
      <w:r>
        <w:t>Havainnon psykologiassa tunnetaan ”sokeanäköisyydeksi” nimitetty tila. Näköaivokuoren vauriosta johtuvassa tilassa henkilö ei koe näkevänsä mitään, eli hänellä ei ole koettuja visuaalisia havaintoja ympäristöstään, mutta kuitenkin pystyy hämmästyttävällä tarkkuudella tarttumaan esineisiin ja seuraamaan niiden liikkeitä. Tilaa voisi ilmeisesti kuvata näköhavainnoksi ilman näköaistimusten esiintymistä.</w:t>
      </w:r>
      <w:r>
        <w:rPr>
          <w:rStyle w:val="FootnoteReference"/>
        </w:rPr>
        <w:footnoteReference w:id="21"/>
      </w:r>
      <w:r w:rsidR="00423BCA">
        <w:t xml:space="preserve"> Descartesin näkemykseen sovitettuna tämä tarkoittaisi suurin piirtein sitä, että yllä tarkastellussa aistimisen kolmessa asteessa </w:t>
      </w:r>
      <w:r w:rsidR="00AF66E8">
        <w:t xml:space="preserve">toinen, mielessä esiintyvien aistimusten taso puuttuisi havaitsijalta kokonaan. Tämä onnistuisi tästä puutteestaan huolimatta silti tekemään suhteellisen oikeaan osuvia arvostelmia ulkoisista esineistä, esimerkiksi tarttumaan pöydällä oleviin esineisiin, vaikka ei kykene itse kertomaan lainkaan miten se on mahdollista, koska ei itse ole tietoinen aistimisestaan. En halua antaa tälle esimerkille liikaa painoarvoa, mutta minusta se näyttää viittaavan siihen suuntaan, että </w:t>
      </w:r>
      <w:r w:rsidR="00310C56">
        <w:t xml:space="preserve">noin yleisellä tasolla </w:t>
      </w:r>
      <w:r w:rsidR="00AF66E8">
        <w:t>aistimusten kokeminen ei ole ainakaan loogisesti välttämätöntä ulkoisten olioiden ominaisuuksien havaitsemiselle.</w:t>
      </w:r>
      <w:r w:rsidR="00CC4A2B">
        <w:rPr>
          <w:rStyle w:val="FootnoteReference"/>
        </w:rPr>
        <w:footnoteReference w:id="22"/>
      </w:r>
    </w:p>
    <w:p w:rsidR="00AF66E8" w:rsidRDefault="00AF66E8" w:rsidP="008A0FAA">
      <w:r>
        <w:lastRenderedPageBreak/>
        <w:t>Descartesin kirjeenvaihdosta löytyy myös esimerkki, joka antaa ymmärtää, että hänkään ei pidä aistimuksia loogisesti välttämättöminä ulkoisten olioiden ominaisuuksien havaitsemiselle. H</w:t>
      </w:r>
      <w:r w:rsidR="00CC4A2B">
        <w:t>än ehdottaa filosofiansa kannattajalle</w:t>
      </w:r>
      <w:r>
        <w:t xml:space="preserve">, </w:t>
      </w:r>
      <w:proofErr w:type="spellStart"/>
      <w:r>
        <w:t>Regiukselle</w:t>
      </w:r>
      <w:proofErr w:type="spellEnd"/>
      <w:r>
        <w:t>, mahdollista tapaa selittää mitä mielen ja ruumiin ”todellinen liitto” tarkoittaa.</w:t>
      </w:r>
    </w:p>
    <w:p w:rsidR="00AF66E8" w:rsidRPr="00AF66E8" w:rsidRDefault="00AF66E8" w:rsidP="00333727">
      <w:pPr>
        <w:pStyle w:val="Quote"/>
      </w:pPr>
      <w:r>
        <w:t xml:space="preserve">Selitykseksi voit kuitenkin tehdä niin kuin minä </w:t>
      </w:r>
      <w:r>
        <w:rPr>
          <w:i/>
        </w:rPr>
        <w:t>Metafysiikassa</w:t>
      </w:r>
      <w:r>
        <w:t xml:space="preserve"> [so. </w:t>
      </w:r>
      <w:r w:rsidRPr="00310C56">
        <w:rPr>
          <w:i/>
        </w:rPr>
        <w:t>Mietiskelyissä</w:t>
      </w:r>
      <w:r>
        <w:t>] ja sanoa meidän havaitsevan, että kivun aistimus</w:t>
      </w:r>
      <w:r w:rsidR="009605AC">
        <w:t xml:space="preserve"> (</w:t>
      </w:r>
      <w:proofErr w:type="spellStart"/>
      <w:r w:rsidR="009605AC" w:rsidRPr="009605AC">
        <w:rPr>
          <w:i/>
        </w:rPr>
        <w:t>sensus</w:t>
      </w:r>
      <w:proofErr w:type="spellEnd"/>
      <w:r w:rsidR="009605AC">
        <w:t>)</w:t>
      </w:r>
      <w:r>
        <w:t xml:space="preserve"> ja muut sellaiset eivät ole ruumiista erillisen mielen puhtaita ajatuksia, vaan ruumiiseen reaalisesti liittyvän mielen epämääräisiä havaintoja</w:t>
      </w:r>
      <w:r w:rsidR="009605AC">
        <w:t xml:space="preserve"> (</w:t>
      </w:r>
      <w:proofErr w:type="spellStart"/>
      <w:r w:rsidR="009605AC" w:rsidRPr="009605AC">
        <w:rPr>
          <w:i/>
        </w:rPr>
        <w:t>perceptiones</w:t>
      </w:r>
      <w:proofErr w:type="spellEnd"/>
      <w:r w:rsidR="009605AC">
        <w:t>)</w:t>
      </w:r>
      <w:r>
        <w:t>. Jos enkeli olisi ihmisen ruumiissa, hän ei aistisi</w:t>
      </w:r>
      <w:r w:rsidR="009605AC">
        <w:t xml:space="preserve"> (</w:t>
      </w:r>
      <w:proofErr w:type="spellStart"/>
      <w:r w:rsidR="009605AC" w:rsidRPr="009605AC">
        <w:rPr>
          <w:i/>
        </w:rPr>
        <w:t>sentiret</w:t>
      </w:r>
      <w:proofErr w:type="spellEnd"/>
      <w:r w:rsidR="009605AC">
        <w:t>)</w:t>
      </w:r>
      <w:r>
        <w:t xml:space="preserve"> kuten me, vaan pelkästään havaitsisi </w:t>
      </w:r>
      <w:r w:rsidR="009605AC">
        <w:t>(</w:t>
      </w:r>
      <w:proofErr w:type="spellStart"/>
      <w:r w:rsidR="009605AC" w:rsidRPr="009605AC">
        <w:rPr>
          <w:i/>
        </w:rPr>
        <w:t>perciperet</w:t>
      </w:r>
      <w:proofErr w:type="spellEnd"/>
      <w:r w:rsidR="009605AC">
        <w:t xml:space="preserve">) </w:t>
      </w:r>
      <w:r>
        <w:t>ulkopuolisten objektien aiheuttamia liikkeitä, ja näin eroaisi todellisesta ihmisestä.</w:t>
      </w:r>
      <w:r>
        <w:rPr>
          <w:rStyle w:val="FootnoteReference"/>
        </w:rPr>
        <w:footnoteReference w:id="23"/>
      </w:r>
    </w:p>
    <w:p w:rsidR="00BD5314" w:rsidRDefault="00333727" w:rsidP="008A0FAA">
      <w:r>
        <w:t xml:space="preserve">Enkelit ovat ihmistä huomattavasti täydellisempiä mieliä Descartesille. Hänen näkemyksensä näyttää olevan, että enkeli ihmisruumiiseen liittyessään kykenisi havainnoimaan ympäristöään sekä ruumista, johon on liittynyt, ilman aistimuksia. </w:t>
      </w:r>
      <w:r w:rsidR="00CC4A2B">
        <w:t>V</w:t>
      </w:r>
      <w:r>
        <w:t>aikuttaisi luontevalta ajatella, että enkeli kykenisi kuvitellussa tilanteessa muodostamaan havaintosuhteen ulkoisten olioiden ominaisuuksiin samankaltaisesti kuin edellä mainitussa sokeanäk</w:t>
      </w:r>
      <w:r w:rsidR="00CC4A2B">
        <w:t>öisyys-tilassa oleva ihminenkin, siis ilman koettuja aistimuksia.</w:t>
      </w:r>
      <w:r>
        <w:t xml:space="preserve"> On tietysti mielenkiintoista kysyä minkälainen kausaalinen mekanismi tätä ilman aistimuksia tapahtuvaa havaintoa </w:t>
      </w:r>
      <w:r w:rsidR="00CC4A2B">
        <w:t xml:space="preserve">voisi </w:t>
      </w:r>
      <w:r>
        <w:t xml:space="preserve">ylläpitää, mutta </w:t>
      </w:r>
      <w:r w:rsidR="00BD5314">
        <w:t>tämän kysymyksen pohdintaa vaikeuttaa merkittävästi oman mielikuvituksemme rajat. Mitä ilmeisimmin emme kykene</w:t>
      </w:r>
      <w:r w:rsidR="00C0324C">
        <w:t xml:space="preserve"> ainakaan</w:t>
      </w:r>
      <w:r w:rsidR="00BD5314">
        <w:t xml:space="preserve"> kuvittelemaan miltä tuntuisi omata toisenlaisia, ei-ihmiseläinten aktuaalisestikin omaavia </w:t>
      </w:r>
      <w:proofErr w:type="spellStart"/>
      <w:r w:rsidR="00BD5314">
        <w:t>aistimodaliteetteja</w:t>
      </w:r>
      <w:proofErr w:type="spellEnd"/>
      <w:r w:rsidR="00BD5314">
        <w:t>, kuten ampiaisten ultraviolettisäteilyn ”näkökykyä” tai lepakkojen kaikuluotausaistia.</w:t>
      </w:r>
      <w:r w:rsidR="00BD5314">
        <w:rPr>
          <w:rStyle w:val="FootnoteReference"/>
        </w:rPr>
        <w:footnoteReference w:id="24"/>
      </w:r>
      <w:r w:rsidR="00C0324C">
        <w:t xml:space="preserve"> Ilman aistimuksia tapahtuva ”selvänäköisyys” ei vaikuta näitä tapauksia ongelmallisemmalta ainakaan sikäli kuin oletetaan, että havaintokyky perustuu kausaaliselle mekanismille, mutta sellaiselle, jonka piirteistä havaitsija itse ei tule lainkaan tietoiseksi, kuten on eittämättä laita sokeanäköisyydessä.</w:t>
      </w:r>
    </w:p>
    <w:p w:rsidR="00423BCA" w:rsidRDefault="003B5444" w:rsidP="008A0FAA">
      <w:r>
        <w:t>Näiden</w:t>
      </w:r>
      <w:r w:rsidR="00333727">
        <w:t xml:space="preserve"> kysymyksen pohtiminen ei </w:t>
      </w:r>
      <w:r>
        <w:t xml:space="preserve">kuitenkaan </w:t>
      </w:r>
      <w:r w:rsidR="00333727">
        <w:t xml:space="preserve">ole tarkastelumme kannalta olennaista. Olennaista sen sijaan on se, että aistiminen näyttää olevan Descartesille nimenomaan ihmisolioiden erityispiirre. Aistimukset ovat seurausta mielen ja ruumiin likeisestä yhteydestä, ja saattavat olla välttämättömiä suhteessa tähän </w:t>
      </w:r>
      <w:r w:rsidR="00A90EF8">
        <w:t>ihmis</w:t>
      </w:r>
      <w:r w:rsidR="00333727">
        <w:t xml:space="preserve">mielen ja ruumiin ”todelliseen liittoon” vallitsevien luonnonlakien vuoksi. </w:t>
      </w:r>
      <w:r>
        <w:t>Ne ovat vastauksissa kuudensiin vastaväitteisiin esitetyssä kolmijaossa aistimisen toinen aste. Descartes siis sanoo, että enkelillä, joka olisi liittyneenä ihmisruumiiseen, näitä inhimilliseen aistinprosessiin kuuluvia ominaisuuksia ei olisi lainkaan. Enkeli ehkä tavoittaisi arvostelmakyvy</w:t>
      </w:r>
      <w:r w:rsidR="00C0324C">
        <w:t>llään suoraan ruumiissa (tai</w:t>
      </w:r>
      <w:r>
        <w:t xml:space="preserve"> ympäristössä) tapahtuvan fysikaalisen liikkeen, eikä sen arvostelma kyky joutuisi kytkeytymään ulkoisiin objekteihin ja näiden ominaisuuksiin väri-, tunto-, maku-, jne. -aistimusten avulla. Näin ollen aistimukset itsessään </w:t>
      </w:r>
      <w:r w:rsidR="00333727">
        <w:t xml:space="preserve">eivät </w:t>
      </w:r>
      <w:r w:rsidR="00C0324C">
        <w:t>näytä olevan</w:t>
      </w:r>
      <w:r w:rsidR="00A90EF8" w:rsidRPr="00A90EF8">
        <w:t xml:space="preserve"> </w:t>
      </w:r>
      <w:r w:rsidR="00A90EF8">
        <w:t>loogisesti välttämättömiä havaintosuhteelle</w:t>
      </w:r>
      <w:r w:rsidR="00333727">
        <w:t xml:space="preserve"> mielen ja ulkoisten olioiden ominaisuuksien välillä</w:t>
      </w:r>
      <w:r w:rsidR="00A90EF8">
        <w:t>, kuten enkelin esimerkki osoittaa.</w:t>
      </w:r>
      <w:r w:rsidR="006A3660">
        <w:rPr>
          <w:rStyle w:val="FootnoteReference"/>
        </w:rPr>
        <w:footnoteReference w:id="25"/>
      </w:r>
      <w:r>
        <w:t xml:space="preserve"> Epäilemättä</w:t>
      </w:r>
      <w:r w:rsidRPr="00C0324C">
        <w:rPr>
          <w:i/>
        </w:rPr>
        <w:t xml:space="preserve"> jokin</w:t>
      </w:r>
      <w:r>
        <w:t xml:space="preserve"> kausaalinen mekanismi on välttämätön</w:t>
      </w:r>
      <w:r w:rsidR="00C0324C">
        <w:t xml:space="preserve"> havainnolle</w:t>
      </w:r>
      <w:r>
        <w:t xml:space="preserve">, mutta olennaista </w:t>
      </w:r>
      <w:r w:rsidR="00C0324C">
        <w:t xml:space="preserve">Descartes-tarkastelumme kannalta </w:t>
      </w:r>
      <w:r>
        <w:t>on se, että sen ei tarvitse olla ”laadullisesti” mitään inhimillistä fenomenologiaa muistuttavaa.</w:t>
      </w:r>
    </w:p>
    <w:p w:rsidR="006D6B82" w:rsidRPr="006D6B82" w:rsidRDefault="00A90EF8" w:rsidP="008A0FAA">
      <w:r>
        <w:t xml:space="preserve">Nyt voimme tehdä seuraavan yhteenvedon aistimusten roolista havainnossa Descartesin näkemyksessä. Havaintosuhde olioon tai olion ominaisuuksiin on ymmärryksen muodostama. Tyypillisesti ihmisolioilla (sokeanäköisyys ja muut mahdolliset vastaavat tilat ovat poikkeustapauksia) aistimukset ovat </w:t>
      </w:r>
      <w:r>
        <w:lastRenderedPageBreak/>
        <w:t xml:space="preserve">informaatiota, jonka perusteella arvostelmakykymme tämän yhteyden muodostaa. </w:t>
      </w:r>
      <w:r w:rsidR="006D6B82">
        <w:t xml:space="preserve">Vaikka aistimukset ovat ihmisolioilla luonnollinen osa tuota havaintosuhdetta, ei havaintosuhde välttämättömyydellä edellytä aistimusten läsnäoloa. Näiden seikkojen valossa näyttää siltä, että aistimusten kokeminen </w:t>
      </w:r>
      <w:r w:rsidR="006D6B82" w:rsidRPr="006D6B82">
        <w:rPr>
          <w:i/>
        </w:rPr>
        <w:t>mahdollistaa</w:t>
      </w:r>
      <w:r w:rsidR="006D6B82">
        <w:t xml:space="preserve"> havaintosuhteen muodostumisen, mutta ei kuitenkaan siten, että havaintosuhde perustuisi </w:t>
      </w:r>
      <w:r w:rsidR="006D6B82" w:rsidRPr="006D6B82">
        <w:rPr>
          <w:i/>
        </w:rPr>
        <w:t>olemuksellisesti</w:t>
      </w:r>
      <w:r w:rsidR="006D6B82">
        <w:rPr>
          <w:i/>
        </w:rPr>
        <w:t xml:space="preserve"> </w:t>
      </w:r>
      <w:r w:rsidR="006D6B82">
        <w:t xml:space="preserve">aistimuksille. Näin esitettynä </w:t>
      </w:r>
      <w:r w:rsidR="00CC4A2B">
        <w:t>aistimusten rooli havainnossa lienee</w:t>
      </w:r>
      <w:r w:rsidR="006D6B82">
        <w:t xml:space="preserve"> ym</w:t>
      </w:r>
      <w:r w:rsidR="00CC4A2B">
        <w:t xml:space="preserve">märrettävä, </w:t>
      </w:r>
      <w:r w:rsidR="00C0324C">
        <w:t>tosin ehkä vähemmän olennainen kuin yleensä ehkä tavataan ajatella. M</w:t>
      </w:r>
      <w:r w:rsidR="00CC4A2B">
        <w:t>utta nyt itse</w:t>
      </w:r>
      <w:r w:rsidR="006D6B82">
        <w:t xml:space="preserve"> havaintosuhde näyttää mysteeriseltä. </w:t>
      </w:r>
      <w:r w:rsidR="003770D6">
        <w:t>Mitä Descartesin näkemys havaintosuhteesta puhtaana ymmärrykselle kuuluvana mielen tarkasteluna oikein tarkoittaa</w:t>
      </w:r>
      <w:r w:rsidR="00C0324C">
        <w:t>, jos aistimukset eivät ole välttämättömiä sille</w:t>
      </w:r>
      <w:r w:rsidR="003770D6">
        <w:t>?</w:t>
      </w:r>
    </w:p>
    <w:p w:rsidR="00423BCA" w:rsidRDefault="003770D6" w:rsidP="003770D6">
      <w:pPr>
        <w:pStyle w:val="Heading1"/>
      </w:pPr>
      <w:r>
        <w:t>Olioiden havaitseminen</w:t>
      </w:r>
    </w:p>
    <w:p w:rsidR="003770D6" w:rsidRDefault="003770D6" w:rsidP="008A0FAA">
      <w:r>
        <w:t>Kolmannessa mietiskelyssä Descartes esittää kausaalisen</w:t>
      </w:r>
      <w:r w:rsidR="00CC4A2B">
        <w:t xml:space="preserve"> mallin havainnosta (yleisessä merkityksessä; ks. luku </w:t>
      </w:r>
      <w:r w:rsidR="00CC4A2B">
        <w:rPr>
          <w:i/>
        </w:rPr>
        <w:t xml:space="preserve">Vahanpala </w:t>
      </w:r>
      <w:r w:rsidR="00CC4A2B">
        <w:t>yllä)</w:t>
      </w:r>
      <w:r>
        <w:t>. Tämä malli on erityisen tärkeä hänen Jumalan olemassaolon todistukselleen, mutta se nähdäkseni muodostaa hänen koko havainnonteoriansa ytimen.</w:t>
      </w:r>
    </w:p>
    <w:p w:rsidR="003770D6" w:rsidRDefault="003770D6" w:rsidP="003770D6">
      <w:pPr>
        <w:pStyle w:val="Quote"/>
      </w:pPr>
      <w:r>
        <w:t xml:space="preserve">Keksin kuitenkin vielä yhden tavan tutkia, ovatko jotkin niistä olioista, joista minussa on ideoita, olemassa ulkopuolellani. Sikäli kuin nämä ideat ovat vain ajattelemisen moduksia, en huomaa niiden välillä mitään eroa, ja ne kaikki näyttävät johtuvan minusta samalla tavalla. Mutta sikäli kuin yksi edustaa yhtä asiaa ja toinen toista, ne ilman muuta ovat keskenään hyvin erilaisia. Sillä epäilemättä ne ideat, jotka esittävät minulle substansseja, ovat jotakin enemmän ja niin sanoakseni sisältävät enemmän objektiivista reaalisuutta kuin ne, jotka edustavat vain moduksia tai </w:t>
      </w:r>
      <w:proofErr w:type="spellStart"/>
      <w:r>
        <w:t>aksidensseja</w:t>
      </w:r>
      <w:proofErr w:type="spellEnd"/>
      <w:r>
        <w:t>. Ja edelleen, siinä ideassa, jolla ymmärrän ylimmän Jumalan, ikuisen, äärettömän, kaikkitietävän, kaikkivaltiaan ja kaikkien muiden olevien olioiden luojan, on varmasti enemmän objektiivista reaalisuutta kuin niissä, jotka esittävät äärellisiä substansseja.</w:t>
      </w:r>
      <w:r>
        <w:rPr>
          <w:rStyle w:val="FootnoteReference"/>
        </w:rPr>
        <w:footnoteReference w:id="26"/>
      </w:r>
    </w:p>
    <w:p w:rsidR="00CD7C8B" w:rsidRDefault="00CD7C8B" w:rsidP="00CD7C8B">
      <w:r>
        <w:t xml:space="preserve">Descartes erottaa kaksi tapaa suhtautua ajatuksiin eli ideoihin. Yhtäältä mielen ominaisuuksiksi katsottuina ne ovat kaikki samanlaisia ja niiden olemassaolo näyttää riippuvaiselta vain tuosta mielestä, jonka ajatuksia ne ovat. Toisaalta ajatukset ovat kuitenkin jonkin mielenulkoisen edustajia tai edustumia tuolle mielelle. Tässä jälkimmäisessä merkityksessään ajatukset eroavat toisistaan, ja säännönmukaisesti vastaavat ulkoisten olioiden eroja. Itsenäiseen olemassaoloon kykeneviä substansseja edustavat ajatukset sisältävät enemmän </w:t>
      </w:r>
      <w:r w:rsidRPr="00CD7C8B">
        <w:rPr>
          <w:i/>
        </w:rPr>
        <w:t>objektiivista realiteettia</w:t>
      </w:r>
      <w:r>
        <w:t xml:space="preserve"> kuin niiden ominaisuuksia edustavat ajatukset. Se, miten objektiivinen realiteetti tulee käsittää, on eräs suurimpia Descartes-tutkimuksen kiistakysymyksiä.</w:t>
      </w:r>
      <w:r w:rsidR="00610A97">
        <w:rPr>
          <w:rStyle w:val="FootnoteReference"/>
        </w:rPr>
        <w:footnoteReference w:id="27"/>
      </w:r>
    </w:p>
    <w:p w:rsidR="00CD7C8B" w:rsidRDefault="00CD7C8B" w:rsidP="00CD7C8B">
      <w:r>
        <w:t xml:space="preserve">Keskeinen seikka objektiivisen realiteetin ymmärtämisen kannalta on se, että tuo objektiivinen realiteetti, joka on ideassa, on kausaalisesti </w:t>
      </w:r>
      <w:r w:rsidR="00026FA4">
        <w:t>johtunutta</w:t>
      </w:r>
      <w:r w:rsidR="00C85A19">
        <w:t>:</w:t>
      </w:r>
    </w:p>
    <w:p w:rsidR="00CD7C8B" w:rsidRDefault="00C85A19" w:rsidP="00C85A19">
      <w:pPr>
        <w:pStyle w:val="Quote"/>
      </w:pPr>
      <w:r>
        <w:t xml:space="preserve">Mutta sisältääkseen juuri jonkin tietyn objektiivisen reaalisuuden, tämän idean täytyy varmasti saada se joltakin syyltä, jossa on ainakin saman verran formaalista reaalisuutta kuin ideassa on objektiivista. Jos nimittäin oletamme, että ideassa esiintyy jotain, mitä ei ole ollut sen syyssä, niin se on silloin saatu tyhjästä. Ja vaikka tuo </w:t>
      </w:r>
      <w:r>
        <w:lastRenderedPageBreak/>
        <w:t>olemisen modus, jolla olio on objektiivisesti ymmärryksessä idean kautta, olisi kuinka epätäydellinen, se on silti varmasti jotakin, eikä se siis voi olla tyhjästä peräisin.</w:t>
      </w:r>
      <w:r>
        <w:rPr>
          <w:rStyle w:val="FootnoteReference"/>
        </w:rPr>
        <w:footnoteReference w:id="28"/>
      </w:r>
    </w:p>
    <w:p w:rsidR="00C85A19" w:rsidRDefault="00610A97" w:rsidP="008A0FAA">
      <w:r>
        <w:t>O</w:t>
      </w:r>
      <w:r w:rsidR="00C85A19">
        <w:t>lioiden ja niitä esittävien ideoiden välillä on Descartesin mukaan kiinteä yhteys. Se, että ajatukseni edust</w:t>
      </w:r>
      <w:r w:rsidR="000A4A06">
        <w:t>aa tiettyä oliota, esimerkiksi A</w:t>
      </w:r>
      <w:r w:rsidR="00C85A19">
        <w:t xml:space="preserve">urinkoa, johtuu </w:t>
      </w:r>
      <w:r w:rsidR="000A4A06">
        <w:t>vain ja ainoastaan siitä, että A</w:t>
      </w:r>
      <w:r w:rsidR="00C85A19">
        <w:t xml:space="preserve">uringon realiteetti on tullut mieleeni tietyn kausaalisen vuorovaikutuksen kautta. Ajatukseni voi olla </w:t>
      </w:r>
      <w:r w:rsidR="000A4A06">
        <w:t>jopa täysin erheellinen kuvaus A</w:t>
      </w:r>
      <w:r w:rsidR="00C85A19">
        <w:t>uringosta, mutta yhtä kaikki ideani edustaa aurinkoa jos</w:t>
      </w:r>
      <w:r w:rsidR="00026FA4">
        <w:t>, ja vain jos,</w:t>
      </w:r>
      <w:r w:rsidR="00C85A19">
        <w:t xml:space="preserve"> se on tuon mielenulkoisen olion kausaal</w:t>
      </w:r>
      <w:r w:rsidR="002826C5">
        <w:t>isesti aiheuttama – ajatukseni on</w:t>
      </w:r>
      <w:r w:rsidR="00026FA4">
        <w:t xml:space="preserve"> tosi tai</w:t>
      </w:r>
      <w:r w:rsidR="002826C5">
        <w:t xml:space="preserve"> epätosi </w:t>
      </w:r>
      <w:r w:rsidR="002826C5">
        <w:rPr>
          <w:i/>
        </w:rPr>
        <w:t>juuri tuosta oliosta</w:t>
      </w:r>
      <w:r w:rsidR="002826C5">
        <w:t>, auringosta.</w:t>
      </w:r>
      <w:r w:rsidR="007F36AA">
        <w:rPr>
          <w:rStyle w:val="FootnoteReference"/>
        </w:rPr>
        <w:footnoteReference w:id="29"/>
      </w:r>
    </w:p>
    <w:p w:rsidR="00610A97" w:rsidRDefault="00610A97" w:rsidP="008A0FAA">
      <w:r>
        <w:t xml:space="preserve">Eräs mielenkiintoisimpia piirteitä Descartesin näkemyksessä on se, että objektiivinen oleminen ajattelijan mielessä on nimenomaan ulkoisen olion olemassaolon tapa tai modifikaatio (eli </w:t>
      </w:r>
      <w:r w:rsidRPr="006A3660">
        <w:rPr>
          <w:i/>
        </w:rPr>
        <w:t>modus</w:t>
      </w:r>
      <w:r>
        <w:t xml:space="preserve">). Hänen näkemyksensä vaikuttaa olevan se, että ajattelussa mieli ja ajattelun kohde ovat tietynlaisessa symbioottisessa suhteessa: mieli saa </w:t>
      </w:r>
      <w:r w:rsidR="006A3660">
        <w:t>sisäänsä ulkoisia olioita ajatustensa rakennusaineiksi</w:t>
      </w:r>
      <w:r>
        <w:t xml:space="preserve">, ja nuo oliot puolestaan saavat uudenlaisen olemassaolon muodon mielessä. </w:t>
      </w:r>
      <w:r w:rsidR="00026FA4">
        <w:t>Tämän näkemyksen selittäminen ymmärrettävällä tavalla on kuitenkin hyvin vaikea</w:t>
      </w:r>
      <w:r w:rsidR="006A3660">
        <w:t>a, ja Descartesin muotoilut jättävät</w:t>
      </w:r>
      <w:r w:rsidR="00026FA4">
        <w:t xml:space="preserve"> paljon tulkinnanvaraa.</w:t>
      </w:r>
    </w:p>
    <w:p w:rsidR="006A3660" w:rsidRDefault="00026FA4" w:rsidP="00F16379">
      <w:r>
        <w:t xml:space="preserve">Ehdotan, että paras tapa ymmärtää Descartesin näkemys on erottaa toisistaan </w:t>
      </w:r>
      <w:r w:rsidR="00F16379">
        <w:t>havaintosuhteen ontologinen perusta, havaintokokemus</w:t>
      </w:r>
      <w:r w:rsidR="007F36AA">
        <w:t xml:space="preserve"> itsessään</w:t>
      </w:r>
      <w:r w:rsidR="00F16379">
        <w:t xml:space="preserve"> sekä havaintotieto. Uskoakseni </w:t>
      </w:r>
      <w:r w:rsidR="00F16379" w:rsidRPr="00133848">
        <w:rPr>
          <w:i/>
        </w:rPr>
        <w:t>havaintosuhteen ontologinen perusta</w:t>
      </w:r>
      <w:r w:rsidR="00F16379">
        <w:t xml:space="preserve"> on nimenomaisesti kausaalisessa symbioosissa mielen ja ajattelunkohteen välillä, jossa ajateltu olio saa uudenlaisen (objektiivisen) olemassaolon muodon ajattelijan mielessä. Kuten äsken todettiin, voimme olla hyvinkin erehtyneitä siitä millainen havainnonkohde todella on, mutta yhtä kaikki olemme oikeassa tai väärässä tietyissä arvostelmissamme koskien juuri tuota yhtä täsmällistä oliota. </w:t>
      </w:r>
      <w:r w:rsidR="006A3660">
        <w:t>Kausaalisuhde olion ja ajatuksen välillä määrää sen, mitä oliota tuo ajatus koskee.</w:t>
      </w:r>
    </w:p>
    <w:p w:rsidR="00133848" w:rsidRDefault="00F16379" w:rsidP="00F16379">
      <w:r>
        <w:t xml:space="preserve">Toisaalta </w:t>
      </w:r>
      <w:r w:rsidRPr="00133848">
        <w:rPr>
          <w:i/>
        </w:rPr>
        <w:t>havaintokokemus</w:t>
      </w:r>
      <w:r>
        <w:t xml:space="preserve"> on erotettava tästä havainnon ontologisesta perustasta. Havaintokokemuksemme muodostuu sekä aistimuksista että ulkoisia olioita ja niiden ominaisuuksista koskevista arvostelmista, ja sitä voitaisiin kuvata vaikutelmiksi. Havaintokokemuksessamme maailma ja sen oliot </w:t>
      </w:r>
      <w:r w:rsidRPr="007F36AA">
        <w:rPr>
          <w:i/>
        </w:rPr>
        <w:t xml:space="preserve">vaikuttavat </w:t>
      </w:r>
      <w:r>
        <w:t>meistä tietynlaisilta, ja juuri havaintokokemuksemme arvostelmat vaikkapa kaukaa pyöreältä näyttävän tornin muodosta saa</w:t>
      </w:r>
      <w:r w:rsidR="007F36AA">
        <w:t>ttavat olla tosia tai epätosia.</w:t>
      </w:r>
      <w:r w:rsidR="006A3660">
        <w:t xml:space="preserve"> Se, miten maailman koemme,</w:t>
      </w:r>
      <w:r w:rsidR="006A3660">
        <w:rPr>
          <w:rStyle w:val="FootnoteReference"/>
        </w:rPr>
        <w:footnoteReference w:id="30"/>
      </w:r>
      <w:r w:rsidR="006A3660">
        <w:t xml:space="preserve"> on riippuvaista kokemuksen perustana olevista kausaalisuhteista, mutta noita kausaalisuhteita ei aina voida tunnistaa luotettavasti pelkästään kokemuksen perusteella.</w:t>
      </w:r>
    </w:p>
    <w:p w:rsidR="00765C2F" w:rsidRDefault="00133848" w:rsidP="00F16379">
      <w:r>
        <w:t xml:space="preserve">Descartesin eräs keskeisiä tavoitteita vahanpala-esimerkissä on osoittaa se, että usein virheemme johtuvat piintyneistä tavoista tehdä havaintoarvostelmia. Erityisesti olemme alttiita ajattelemaan, että olioissa on jotakin aistimuksiamme muistuttavia ominaisuuksia, värejä, lämpöä tai kipua, esimerkiksi. Uskon olevan hyvin perusteltua olettaa, että </w:t>
      </w:r>
      <w:r w:rsidRPr="00133848">
        <w:rPr>
          <w:i/>
        </w:rPr>
        <w:t>havaintotieto</w:t>
      </w:r>
      <w:r>
        <w:t xml:space="preserve"> – selkeiden ja tarkkojen arvostelmien tekeminen </w:t>
      </w:r>
      <w:r>
        <w:lastRenderedPageBreak/>
        <w:t>havaituista olioista – Descartesille muodostuu havaintokokemuksen alistamisesta ja arvioim</w:t>
      </w:r>
      <w:r w:rsidR="00765C2F">
        <w:t>isesta hänen esittämänsä havainnon ontologista perustaa koskevan teoriansa</w:t>
      </w:r>
      <w:r>
        <w:t xml:space="preserve"> avulla. Havaintokokemuksesta siis muodostuu perusteltua tietoa vasta kun se on ymmärretty oikealla tav</w:t>
      </w:r>
      <w:r w:rsidR="00765C2F">
        <w:t>alla ontologiselta luonteeltaan, havainnon perustavien mekanismien ja ehtojen puitteissa.</w:t>
      </w:r>
    </w:p>
    <w:p w:rsidR="00026FA4" w:rsidRDefault="007F36AA" w:rsidP="00F16379">
      <w:r>
        <w:t>Olennaista tiedon kannalta on ymmärtää se, että havaintovaikutelmat eivät itsessään ole luotettavia, vaan luottamuksemme niihin voi kasvaa vasta kun ymmärrämme omaa suhdettamme havaittuihin olioihin (eli edellä esitettyä havainnon ontologista perustaa). Erityisen tärkeää on huomata se, että tietomme ulkoisista olioista on aina jossain määrin ehd</w:t>
      </w:r>
      <w:r w:rsidR="00963159">
        <w:t>ollista. V</w:t>
      </w:r>
      <w:r>
        <w:t xml:space="preserve">oimme </w:t>
      </w:r>
      <w:r w:rsidR="00963159">
        <w:t xml:space="preserve">kyllä </w:t>
      </w:r>
      <w:r>
        <w:t>muodostaa selviä ja tarkkoja havaintoja olioiden avaruudellisista ominaisuuksista</w:t>
      </w:r>
      <w:r w:rsidR="00963159">
        <w:t xml:space="preserve"> olettaen, ettemme tee virhearvostelmia niitä koskien. E</w:t>
      </w:r>
      <w:r>
        <w:t>mme</w:t>
      </w:r>
      <w:r w:rsidR="00963159">
        <w:t xml:space="preserve"> kuitenkaan</w:t>
      </w:r>
      <w:r>
        <w:t xml:space="preserve"> ikinä voi täysin paeta sitä tosiasiaa, että havaintomme ulkoisten olioiden varsinaisista ominaisuuksista </w:t>
      </w:r>
      <w:r w:rsidR="00765C2F">
        <w:t xml:space="preserve">sinänsä </w:t>
      </w:r>
      <w:r>
        <w:t xml:space="preserve">ovat </w:t>
      </w:r>
      <w:r w:rsidR="00963159">
        <w:t>epämääräisiä ja hämäriä aistimusten luonteen takia.</w:t>
      </w:r>
    </w:p>
    <w:p w:rsidR="00963159" w:rsidRDefault="00963159" w:rsidP="00F16379">
      <w:r>
        <w:t xml:space="preserve">Ehdottamani mallin puitteissa havaintosuhde muodostuu ymmärryksen ja arvostelmakyvyn toiminnassa, eikä aistimusten läsnäolo ole loogisesti välttämätöntä tälle suhteelle. Arvostelmakyky tyypillisissä tapauksissa ihmisillä toimii tietysti aistimusten perusteella, mutta tämä täsmällinen – Descartesin mukaan hämäriä ja epämääräisiä havaintoja tuottava – mekanismi ei ole ainut mahdollinen tapa, jolla informaatiota maailmasta on mahdollista saada (ainakin, jos tarkastelua ei rajata vain ihmisiin ja myös enkelit otetaan lukuun). Tämän </w:t>
      </w:r>
      <w:r w:rsidR="00136718">
        <w:t xml:space="preserve">aistimusten </w:t>
      </w:r>
      <w:r>
        <w:t xml:space="preserve">ei-välttämättömyyden huomioiminen on </w:t>
      </w:r>
      <w:r w:rsidR="00136718">
        <w:t xml:space="preserve">ainakin sikäli </w:t>
      </w:r>
      <w:r>
        <w:t xml:space="preserve">tärkeää, </w:t>
      </w:r>
      <w:r w:rsidR="00136718">
        <w:t xml:space="preserve">että </w:t>
      </w:r>
      <w:r>
        <w:t xml:space="preserve">Descartesin näkemystä </w:t>
      </w:r>
      <w:r w:rsidR="00765C2F">
        <w:t>ulkoisten olioiden havaitsemis</w:t>
      </w:r>
      <w:r>
        <w:t>ta</w:t>
      </w:r>
      <w:r w:rsidR="00765C2F">
        <w:t xml:space="preserve"> (so. aistihavainto)</w:t>
      </w:r>
      <w:r>
        <w:t xml:space="preserve"> ei </w:t>
      </w:r>
      <w:r w:rsidR="00136718">
        <w:t xml:space="preserve">eriytettäisi havainnosta </w:t>
      </w:r>
      <w:r w:rsidR="00765C2F">
        <w:t>(yleinen</w:t>
      </w:r>
      <w:r w:rsidR="00136718">
        <w:t xml:space="preserve"> ymm</w:t>
      </w:r>
      <w:r w:rsidR="00765C2F">
        <w:t>ärryksen toiminta)</w:t>
      </w:r>
      <w:r w:rsidR="00136718">
        <w:t>. Aistihavainnolla epäilemättä ymmärretään nykypäivänä jossain määrin eri asiaa, kuin Descartesin havaintosuhteella olioon, jonka ymmärrys muodostaa mahdollisesti aistien välityksellä. Tämä sama seikka tarjoaa mahdollisuuden myös Descartesin havaintokäsityksen laajentamisen ikuisiin totuuksiin ja ikuisiin ja muuttumattomiin luontoihin</w:t>
      </w:r>
      <w:r w:rsidR="00765C2F">
        <w:t xml:space="preserve"> – olioihin, jotka mieli </w:t>
      </w:r>
      <w:r w:rsidR="00765C2F" w:rsidRPr="00765C2F">
        <w:rPr>
          <w:i/>
        </w:rPr>
        <w:t>havaitsee</w:t>
      </w:r>
      <w:r w:rsidR="00765C2F">
        <w:t>, mutta joiden havaitsemisessa ais</w:t>
      </w:r>
      <w:r w:rsidR="008E56C9">
        <w:t>teilla ei ole välitöntä roolia. V</w:t>
      </w:r>
      <w:r w:rsidR="00136718">
        <w:t>alitettavasti tämän kirjoituksen puitt</w:t>
      </w:r>
      <w:r w:rsidR="008E56C9">
        <w:t>eissa ei ole mahdollista käsitellä asiaa pidemmin.</w:t>
      </w:r>
    </w:p>
    <w:p w:rsidR="00601CA1" w:rsidRDefault="00963159" w:rsidP="00601CA1">
      <w:r>
        <w:t xml:space="preserve">Havaintosuhteen muodostumisen perusta on olioiden todellisessa olemassaolossa ja niiden välisessä kausaalisessa vuorovaikutuksessa – olion ajatteleminen edellyttää sitä, että </w:t>
      </w:r>
      <w:r>
        <w:rPr>
          <w:i/>
        </w:rPr>
        <w:t>juuri tuon</w:t>
      </w:r>
      <w:r>
        <w:t xml:space="preserve"> olion olemassaolo on johtunut kausaalisesti mieleeni, ja jatkaa olemistaan siellä objektiivisesti, eli ajattelun kohteena. Havaintotiedon luotettavuus on riippuvaista erityisesti tämän kausa</w:t>
      </w:r>
      <w:r w:rsidR="009E225D">
        <w:t>alisen mallin ymmärtämisestä, ja siitä, että havaitsija kykenee sijoittamaan omat aistihavaintonsa mallin tarjoamaan teoreettiseen kehykseen</w:t>
      </w:r>
      <w:r>
        <w:t xml:space="preserve">. </w:t>
      </w:r>
      <w:r w:rsidR="00632401">
        <w:t>Voitaisiin siis sanoa, että voimme ymmärtää havaintoamme ja aistimuksiamme Descartesin mukaan vasta, kun ymmärrämme mi</w:t>
      </w:r>
      <w:r w:rsidR="00977CDF">
        <w:t xml:space="preserve">llainen se maailma on, jossa havaintomme ja kausaalisuhteet meidän ja havainnonkohteiden välillä </w:t>
      </w:r>
      <w:r w:rsidR="00632401">
        <w:t xml:space="preserve">ovat olemassa. </w:t>
      </w:r>
      <w:r w:rsidR="00632401" w:rsidRPr="00632401">
        <w:rPr>
          <w:i/>
        </w:rPr>
        <w:t>Mietiskelyjä</w:t>
      </w:r>
      <w:r w:rsidR="00632401">
        <w:t xml:space="preserve"> on</w:t>
      </w:r>
      <w:r w:rsidR="00977CDF">
        <w:t xml:space="preserve"> näin ollen</w:t>
      </w:r>
      <w:r w:rsidR="00632401">
        <w:t xml:space="preserve"> mahdollista lukea </w:t>
      </w:r>
      <w:r w:rsidR="000D7E9B">
        <w:t>teoksena, joka tutustuttaa lukijansa metafyysiseen maailmankuvaan, jonka avulla on mahdollista saavuttaa jotain ”lujaa ja pysyvää”.</w:t>
      </w:r>
      <w:r w:rsidR="000D7E9B">
        <w:rPr>
          <w:rStyle w:val="FootnoteReference"/>
        </w:rPr>
        <w:footnoteReference w:id="31"/>
      </w:r>
      <w:r w:rsidR="000D7E9B">
        <w:t xml:space="preserve"> Tämän saman maailmankuvan – joka on pohjimmiltaan </w:t>
      </w:r>
      <w:r w:rsidR="008E56C9">
        <w:t xml:space="preserve">kaiken </w:t>
      </w:r>
      <w:r w:rsidR="000D7E9B">
        <w:t xml:space="preserve">olevan kausaalisuhteita </w:t>
      </w:r>
      <w:r w:rsidR="00977CDF">
        <w:t>syvä</w:t>
      </w:r>
      <w:r w:rsidR="000D7E9B">
        <w:t xml:space="preserve">luotaava, aina Jumalasta </w:t>
      </w:r>
      <w:r w:rsidR="008E56C9">
        <w:t xml:space="preserve">materiaalisesti epätosiin </w:t>
      </w:r>
      <w:r w:rsidR="000D7E9B">
        <w:t>aistimuksiin – avulla myös havaintosuhde voidaan käsittää oikein, ja siten</w:t>
      </w:r>
      <w:r w:rsidR="008E56C9">
        <w:t xml:space="preserve"> meidän</w:t>
      </w:r>
      <w:r w:rsidR="000D7E9B">
        <w:t xml:space="preserve"> on mahdollista tehdä luotettavia arvostelmia myös aistiemme avulla.</w:t>
      </w:r>
      <w:r w:rsidR="00977CDF">
        <w:rPr>
          <w:rStyle w:val="FootnoteReference"/>
        </w:rPr>
        <w:footnoteReference w:id="32"/>
      </w:r>
    </w:p>
    <w:p w:rsidR="00632401" w:rsidRDefault="000D7E9B" w:rsidP="000D7E9B">
      <w:pPr>
        <w:pStyle w:val="Heading1"/>
      </w:pPr>
      <w:r>
        <w:lastRenderedPageBreak/>
        <w:t>Lopuksi: oliot mielessä</w:t>
      </w:r>
    </w:p>
    <w:p w:rsidR="00963159" w:rsidRDefault="00601CA1" w:rsidP="00601CA1">
      <w:r>
        <w:t xml:space="preserve">Vaikka olioiden tuleminen objektiivisesti ymmärrykseen on vaikeaselkoinen seikka, nähdäkseni se on riittävän selkeä ollakseen hyödyllinen osa havaintosuhteen ontologista teoriaa. Perinteisesti on koettu ongelmalliseksi, että Descartes sanoo olion tulevan ymmärrykseen toisessa olemassaolon muodossa. Tämä näet viittaa siihen, että ulkoisen olion olemassaolon ja sen mielessä objektiivisesti olevan olemisen välillä on merkittävä ero. Jos ulkoinen olio on vaikkapa taivaankappale, kuten Aurinko, ja toinen </w:t>
      </w:r>
      <w:r w:rsidR="008E56C9">
        <w:t xml:space="preserve">vain </w:t>
      </w:r>
      <w:r>
        <w:t>ajattelun ominaisuus</w:t>
      </w:r>
      <w:r w:rsidR="000D7E9B">
        <w:t xml:space="preserve"> (esim. idea tai idean ominaisuus)</w:t>
      </w:r>
      <w:r>
        <w:t xml:space="preserve">, eivät nämä kaksi voi </w:t>
      </w:r>
      <w:proofErr w:type="spellStart"/>
      <w:r w:rsidRPr="00601CA1">
        <w:rPr>
          <w:i/>
        </w:rPr>
        <w:t>Leibnizin</w:t>
      </w:r>
      <w:proofErr w:type="spellEnd"/>
      <w:r w:rsidRPr="00601CA1">
        <w:rPr>
          <w:i/>
        </w:rPr>
        <w:t xml:space="preserve"> lain</w:t>
      </w:r>
      <w:r>
        <w:t xml:space="preserve"> perusteella ainakaan olla sama olio, vaikka Descartes niin</w:t>
      </w:r>
      <w:r w:rsidR="000D7E9B">
        <w:t xml:space="preserve"> haluaakin</w:t>
      </w:r>
      <w:r>
        <w:t xml:space="preserve"> väittää.</w:t>
      </w:r>
      <w:r>
        <w:rPr>
          <w:rStyle w:val="FootnoteReference"/>
        </w:rPr>
        <w:footnoteReference w:id="33"/>
      </w:r>
    </w:p>
    <w:p w:rsidR="00C93620" w:rsidRDefault="00AD6147" w:rsidP="00601CA1">
      <w:r>
        <w:t>Nähdäkseni edellinen vaikeus johtuu samanlaisesta kategoriavirheestä, kuin joka yllä aistimusten yhteydessä huomioitiin. Samalla tavalla kuin aistimuksetkaan, ei objektiivinen olemassaolo ole samalla viivalla varsinaisen havaintosuhteen kanssa, vaan vain osa, joka olennaisesti konstituoi</w:t>
      </w:r>
      <w:r w:rsidR="000D7E9B">
        <w:t xml:space="preserve"> tuota perustavampaa suhdetta, jota pyrimme ymmärtämään</w:t>
      </w:r>
      <w:r>
        <w:t xml:space="preserve">. </w:t>
      </w:r>
      <w:r w:rsidR="00585E10">
        <w:t>Esimerkiksi</w:t>
      </w:r>
      <w:r w:rsidR="00CA63F3">
        <w:t xml:space="preserve"> </w:t>
      </w:r>
      <w:r w:rsidR="00C93620">
        <w:t xml:space="preserve">Margaret </w:t>
      </w:r>
      <w:r w:rsidR="00585E10">
        <w:t xml:space="preserve">Wilson ajattelee olevan </w:t>
      </w:r>
      <w:r w:rsidR="00C93620">
        <w:t>”</w:t>
      </w:r>
      <w:r w:rsidR="00F64AD5">
        <w:t>kiusallista</w:t>
      </w:r>
      <w:r w:rsidR="00C93620">
        <w:t>”</w:t>
      </w:r>
      <w:r w:rsidR="00CA63F3">
        <w:t xml:space="preserve"> Descartesin näkemykselle</w:t>
      </w:r>
      <w:r w:rsidR="00585E10">
        <w:t xml:space="preserve">, että objektiivinen realiteetti ei ole suoraan </w:t>
      </w:r>
      <w:r w:rsidR="00CA63F3">
        <w:t>havaittavissa ajatuksen tai idean perusteella</w:t>
      </w:r>
      <w:r w:rsidR="00C93620">
        <w:t>, koska tällöin sen läsnä</w:t>
      </w:r>
      <w:r w:rsidR="00CA63F3">
        <w:t>olo on pääteltävä mielessä olevasta vaikutelmasta.</w:t>
      </w:r>
      <w:r w:rsidR="00CA63F3">
        <w:rPr>
          <w:rStyle w:val="FootnoteReference"/>
        </w:rPr>
        <w:footnoteReference w:id="34"/>
      </w:r>
      <w:r w:rsidR="00CA63F3">
        <w:t xml:space="preserve"> </w:t>
      </w:r>
      <w:r w:rsidR="00F64AD5">
        <w:t>Wilson</w:t>
      </w:r>
      <w:r w:rsidR="00C93620">
        <w:t xml:space="preserve"> näyttää siis ajattelevan, että ulkoinen olio havaitaan havaitsemalla sen objektiivinen realiteetti mielessä</w:t>
      </w:r>
      <w:r w:rsidR="00F64AD5">
        <w:t>, mikä olisi kyllä</w:t>
      </w:r>
      <w:r w:rsidR="00C93620">
        <w:t xml:space="preserve"> ongelmallista Descartesille, koska täl</w:t>
      </w:r>
      <w:r w:rsidR="00F64AD5">
        <w:t>löin ulkoisia olioita ei havaittaisi</w:t>
      </w:r>
      <w:r w:rsidR="00C93620">
        <w:t xml:space="preserve"> sinänsä, vaan niiden olemassaolo </w:t>
      </w:r>
      <w:r w:rsidR="00F64AD5">
        <w:t>vain pääteltäisiin</w:t>
      </w:r>
      <w:r w:rsidR="00C93620">
        <w:t xml:space="preserve"> idean perusteella. </w:t>
      </w:r>
      <w:r w:rsidR="000D7E9B">
        <w:t>Tällaiseen</w:t>
      </w:r>
      <w:r w:rsidR="00F64AD5">
        <w:t xml:space="preserve"> näkemykseen liittyviä ongelmia käytiin läpi jo lyhyesti yllä</w:t>
      </w:r>
      <w:r w:rsidR="000D7E9B">
        <w:t xml:space="preserve"> aistimusten yhteydessä</w:t>
      </w:r>
      <w:r w:rsidR="00F64AD5">
        <w:t>. K</w:t>
      </w:r>
      <w:r w:rsidR="00C93620">
        <w:t xml:space="preserve">oska objektiivinen realiteetti on </w:t>
      </w:r>
      <w:r w:rsidR="00F64AD5">
        <w:t xml:space="preserve">kuitenkin </w:t>
      </w:r>
      <w:r w:rsidR="00C93620">
        <w:t>kausaalinen osa havaintoa, emmekä havaitse havainnon kausaalista mekanismia itsessään (vaan ulkoisia olioita), on Wilsonin vaatimus nähdäkse</w:t>
      </w:r>
      <w:r w:rsidR="008E56C9">
        <w:t>ni virheellinen</w:t>
      </w:r>
      <w:r w:rsidR="005141E3">
        <w:t>.</w:t>
      </w:r>
    </w:p>
    <w:p w:rsidR="000D7E9B" w:rsidRDefault="00CA63F3" w:rsidP="00601CA1">
      <w:r>
        <w:t>Itse asiassa Descartesin aistimu</w:t>
      </w:r>
      <w:r w:rsidR="005141E3">
        <w:t xml:space="preserve">ksia koskevan </w:t>
      </w:r>
      <w:r>
        <w:t xml:space="preserve">näkemyksen mielekkyys edellyttää </w:t>
      </w:r>
      <w:r w:rsidR="005141E3">
        <w:t xml:space="preserve">erityisesti </w:t>
      </w:r>
      <w:r>
        <w:t xml:space="preserve">sitä, että </w:t>
      </w:r>
      <w:r w:rsidR="005141E3">
        <w:t xml:space="preserve">objektiivista realiteettia ei voida aina tunnistaa pelkkien havaintovaikutelmien perusteella. Kuten yllä todettiin, aistimukset ovat vain osa tätä vaikutelmaa joka meillä on </w:t>
      </w:r>
      <w:r w:rsidR="000D7E9B">
        <w:t>vaikkapa edessämme olevasta ateriasta</w:t>
      </w:r>
      <w:r w:rsidR="005141E3">
        <w:t>. A</w:t>
      </w:r>
      <w:r>
        <w:t xml:space="preserve">istihavainnossa </w:t>
      </w:r>
      <w:r w:rsidR="005141E3">
        <w:t>tyypillinen</w:t>
      </w:r>
      <w:r>
        <w:t xml:space="preserve"> materiaalinen epätotuus on juuri sitä, että </w:t>
      </w:r>
      <w:r w:rsidR="00C93620">
        <w:t xml:space="preserve">arvostelemme aistinprosessimme ominaisuuden (so. aistimuksen) ulkoisen olion ominaisuudeksi. </w:t>
      </w:r>
      <w:r w:rsidR="005141E3">
        <w:t>Tällöin siis sekoitamme toisiinsa kahdesta eri lähteestä, aistinprosessistamme ja ulkoisen olion ominaisuudesta, mieliimme johtunutta objektiivista realiteettia. Kun esimerkiksi arvostelemme tomaattikeiton pintarakenteen muistuttavan</w:t>
      </w:r>
      <w:r w:rsidR="000D7E9B">
        <w:t xml:space="preserve"> kokemaamme punaisuutta</w:t>
      </w:r>
      <w:r w:rsidR="005141E3">
        <w:t xml:space="preserve">, erehdymme Descartesin mukaan nimenomaan siksi, että punaisuuden objektiivinen reaalisuus on jotain muuta kuin ajattelemamme olion pinnan ominaisuuden reaalisuus. </w:t>
      </w:r>
      <w:r w:rsidR="000D7E9B">
        <w:t>Punaisuuden mieleen johtunut reaalisuus on peräisin aistiprosessistamme, kun taas varsinainen havaintosuhteemme koskee ulkoisen olion ominaisuutta, jonka mielessä oleva reaalisuus on eri kuin edellinen.</w:t>
      </w:r>
    </w:p>
    <w:p w:rsidR="005141E3" w:rsidRDefault="005141E3" w:rsidP="00601CA1">
      <w:r>
        <w:t xml:space="preserve">Samoin kuten </w:t>
      </w:r>
      <w:r w:rsidR="00585E10">
        <w:t xml:space="preserve">Descartes lempi-esimerkissään taidokkaan koneen ideasta pyrkii </w:t>
      </w:r>
      <w:r w:rsidR="000D7E9B">
        <w:t xml:space="preserve">– </w:t>
      </w:r>
      <w:r w:rsidR="00585E10">
        <w:t xml:space="preserve">muun muassa </w:t>
      </w:r>
      <w:r w:rsidR="000D7E9B">
        <w:t xml:space="preserve">– </w:t>
      </w:r>
      <w:r w:rsidR="00585E10">
        <w:t>osoittamaan</w:t>
      </w:r>
      <w:r>
        <w:t xml:space="preserve">, usein juuri sen selvittäminen </w:t>
      </w:r>
      <w:r w:rsidR="00585E10">
        <w:t>minkä olion objektiivinen realiteetti mieleen on johtunut</w:t>
      </w:r>
      <w:r>
        <w:t xml:space="preserve"> ja </w:t>
      </w:r>
      <w:r>
        <w:lastRenderedPageBreak/>
        <w:t>millaisella tavalla</w:t>
      </w:r>
      <w:r w:rsidR="00585E10">
        <w:t>, on haasteellista.</w:t>
      </w:r>
      <w:r w:rsidR="00585E10">
        <w:rPr>
          <w:rStyle w:val="FootnoteReference"/>
        </w:rPr>
        <w:footnoteReference w:id="35"/>
      </w:r>
      <w:r w:rsidR="00585E10">
        <w:t xml:space="preserve"> </w:t>
      </w:r>
      <w:r>
        <w:t xml:space="preserve">Olennaista </w:t>
      </w:r>
      <w:r w:rsidR="000D7E9B">
        <w:t xml:space="preserve">vaikeuksien voittamisessa </w:t>
      </w:r>
      <w:r>
        <w:t>on se</w:t>
      </w:r>
      <w:r w:rsidR="000D7E9B">
        <w:t>n ymmärtäminen</w:t>
      </w:r>
      <w:r>
        <w:t>, että mikään</w:t>
      </w:r>
      <w:r w:rsidR="00F64AD5">
        <w:t>, mikä mielessä on, ei ole vailla syytä;</w:t>
      </w:r>
      <w:r>
        <w:t xml:space="preserve"> toisin sanoen</w:t>
      </w:r>
      <w:r w:rsidR="00F64AD5">
        <w:t xml:space="preserve">, kaikki mikä mielessä on aina jonkin asian </w:t>
      </w:r>
      <w:r>
        <w:t>objektiiv</w:t>
      </w:r>
      <w:r w:rsidR="00F64AD5">
        <w:t>ista olemista mielessä.</w:t>
      </w:r>
    </w:p>
    <w:p w:rsidR="00751495" w:rsidRDefault="00F64AD5" w:rsidP="00F16379">
      <w:r>
        <w:t xml:space="preserve">Voidaankin </w:t>
      </w:r>
      <w:r w:rsidR="000D7E9B">
        <w:t xml:space="preserve">siis </w:t>
      </w:r>
      <w:r>
        <w:t xml:space="preserve">ehkä todeta, että ehkä Descartesin valinta selventää havainnon ontologiaa ja kausaalikytköstä objektiivisen realiteetin avulla ei ole valaisevin mahdollinen. Kuitenkin oikein ymmärrettynä se näyttää luontevalta tavalta kuvata havaintosuhteen taustalla olevaa ontologista mekanismia, jonka ymmärtäminen on </w:t>
      </w:r>
      <w:r w:rsidR="000D7E9B">
        <w:t xml:space="preserve">puolestaan </w:t>
      </w:r>
      <w:r>
        <w:t>välttämätöntä havainnon ymmärtämiselle, ja näin ollen</w:t>
      </w:r>
      <w:r w:rsidR="008E56C9">
        <w:t xml:space="preserve"> välttämätöntä</w:t>
      </w:r>
      <w:r>
        <w:t xml:space="preserve"> luotettavien havaintoon perustuvien arvostelmien tekemiselle.</w:t>
      </w:r>
      <w:r w:rsidR="00C22897">
        <w:t xml:space="preserve"> </w:t>
      </w:r>
    </w:p>
    <w:p w:rsidR="00751495" w:rsidRDefault="00751495" w:rsidP="00F16379">
      <w:r>
        <w:t xml:space="preserve">Descartes ei tunnetusti pelkää hylätä Aristoteelisia oppeja ja näkemyksiä, jotka eivät hänestä näytä kestäviltä. Kuitenkin hänen tavoitteensa havaintosuhteemme analyysissä ei näytä olevan reformistinen muuten kuin </w:t>
      </w:r>
      <w:r w:rsidR="000D7E9B">
        <w:t xml:space="preserve">sen tieteellisten </w:t>
      </w:r>
      <w:r>
        <w:t xml:space="preserve">yksityiskohtien osalta, ja sen varsinainen tavoite vaikuttaa olevan juuri arkikokemuksemme selittäminen ja oikeaksi osoittaminen: </w:t>
      </w:r>
    </w:p>
    <w:p w:rsidR="00751495" w:rsidRDefault="00751495" w:rsidP="00751495">
      <w:pPr>
        <w:pStyle w:val="Quote"/>
      </w:pPr>
      <w:r w:rsidRPr="00B37A16">
        <w:t>Mikä onkaan tämä vaha, jonka ainoastaan mieli havaitsee? Se on tietenkin sama vaha, jonka näen, jota kosketan ja jota kuvittelen, siis sama minä pidin sitä alusta alkaen.</w:t>
      </w:r>
      <w:r>
        <w:rPr>
          <w:rStyle w:val="FootnoteReference"/>
        </w:rPr>
        <w:footnoteReference w:id="36"/>
      </w:r>
    </w:p>
    <w:p w:rsidR="00043F61" w:rsidRDefault="000A78B0" w:rsidP="00043F61">
      <w:pPr>
        <w:pStyle w:val="Heading1"/>
        <w:rPr>
          <w:lang w:val="en-US"/>
        </w:rPr>
      </w:pPr>
      <w:proofErr w:type="spellStart"/>
      <w:r w:rsidRPr="009B057A">
        <w:rPr>
          <w:lang w:val="en-US"/>
        </w:rPr>
        <w:t>Teokset</w:t>
      </w:r>
      <w:proofErr w:type="spellEnd"/>
    </w:p>
    <w:p w:rsidR="006474F8" w:rsidRDefault="006474F8" w:rsidP="00026FA4">
      <w:pPr>
        <w:rPr>
          <w:lang w:val="en-US"/>
        </w:rPr>
      </w:pPr>
      <w:r w:rsidRPr="006474F8">
        <w:rPr>
          <w:lang w:val="en-US"/>
        </w:rPr>
        <w:t xml:space="preserve">Alanen, Lilli 2003: </w:t>
      </w:r>
      <w:r w:rsidRPr="006474F8">
        <w:rPr>
          <w:i/>
          <w:lang w:val="en-US"/>
        </w:rPr>
        <w:t>Descartes’s Concept of Mind</w:t>
      </w:r>
      <w:r w:rsidRPr="006474F8">
        <w:rPr>
          <w:lang w:val="en-US"/>
        </w:rPr>
        <w:t>. Harvard University Press.</w:t>
      </w:r>
    </w:p>
    <w:p w:rsidR="006474F8" w:rsidRPr="006474F8" w:rsidRDefault="006474F8" w:rsidP="00026FA4">
      <w:pPr>
        <w:rPr>
          <w:lang w:val="en-US"/>
        </w:rPr>
      </w:pPr>
      <w:r>
        <w:rPr>
          <w:lang w:val="en-US"/>
        </w:rPr>
        <w:t xml:space="preserve">Brown, Deborah 2007: </w:t>
      </w:r>
      <w:r w:rsidR="00026FA4">
        <w:rPr>
          <w:lang w:val="en-US"/>
        </w:rPr>
        <w:t>“</w:t>
      </w:r>
      <w:r w:rsidRPr="006474F8">
        <w:rPr>
          <w:lang w:val="en-US"/>
        </w:rPr>
        <w:t>Objective being in Descartes: that which we know or that by which we know?</w:t>
      </w:r>
      <w:r w:rsidR="00026FA4">
        <w:rPr>
          <w:lang w:val="en-US"/>
        </w:rPr>
        <w:t xml:space="preserve">” </w:t>
      </w:r>
      <w:proofErr w:type="spellStart"/>
      <w:r w:rsidR="00026FA4">
        <w:rPr>
          <w:lang w:val="en-US"/>
        </w:rPr>
        <w:t>Teoksessa</w:t>
      </w:r>
      <w:proofErr w:type="spellEnd"/>
      <w:r w:rsidRPr="006474F8">
        <w:rPr>
          <w:lang w:val="en-US"/>
        </w:rPr>
        <w:t xml:space="preserve"> H</w:t>
      </w:r>
      <w:r w:rsidR="00026FA4">
        <w:rPr>
          <w:lang w:val="en-US"/>
        </w:rPr>
        <w:t xml:space="preserve">enrik </w:t>
      </w:r>
      <w:proofErr w:type="spellStart"/>
      <w:r w:rsidR="00026FA4">
        <w:rPr>
          <w:lang w:val="en-US"/>
        </w:rPr>
        <w:t>Lagerlund</w:t>
      </w:r>
      <w:proofErr w:type="spellEnd"/>
      <w:r w:rsidR="00026FA4">
        <w:rPr>
          <w:lang w:val="en-US"/>
        </w:rPr>
        <w:t xml:space="preserve"> (</w:t>
      </w:r>
      <w:proofErr w:type="spellStart"/>
      <w:r w:rsidR="00026FA4">
        <w:rPr>
          <w:lang w:val="en-US"/>
        </w:rPr>
        <w:t>toim</w:t>
      </w:r>
      <w:proofErr w:type="spellEnd"/>
      <w:r w:rsidR="00026FA4">
        <w:rPr>
          <w:lang w:val="en-US"/>
        </w:rPr>
        <w:t xml:space="preserve">.) </w:t>
      </w:r>
      <w:r w:rsidRPr="00026FA4">
        <w:rPr>
          <w:i/>
          <w:lang w:val="en-US"/>
        </w:rPr>
        <w:t>Representation and objects of thought in medieval philosophy</w:t>
      </w:r>
      <w:r w:rsidR="00026FA4">
        <w:rPr>
          <w:i/>
          <w:lang w:val="en-US"/>
        </w:rPr>
        <w:t>.</w:t>
      </w:r>
      <w:r w:rsidRPr="006474F8">
        <w:rPr>
          <w:lang w:val="en-US"/>
        </w:rPr>
        <w:t xml:space="preserve"> Hampshire, Uni</w:t>
      </w:r>
      <w:r w:rsidR="00720F54">
        <w:rPr>
          <w:lang w:val="en-US"/>
        </w:rPr>
        <w:t xml:space="preserve">ted Kingdom: </w:t>
      </w:r>
      <w:proofErr w:type="spellStart"/>
      <w:r w:rsidR="00720F54">
        <w:rPr>
          <w:lang w:val="en-US"/>
        </w:rPr>
        <w:t>Ashgate</w:t>
      </w:r>
      <w:proofErr w:type="spellEnd"/>
      <w:r w:rsidR="00720F54">
        <w:rPr>
          <w:lang w:val="en-US"/>
        </w:rPr>
        <w:t xml:space="preserve"> Publishing,</w:t>
      </w:r>
      <w:r w:rsidR="00026FA4">
        <w:rPr>
          <w:lang w:val="en-US"/>
        </w:rPr>
        <w:t xml:space="preserve"> 135–153.</w:t>
      </w:r>
    </w:p>
    <w:p w:rsidR="00043F61" w:rsidRDefault="00043F61" w:rsidP="00026FA4">
      <w:pPr>
        <w:rPr>
          <w:lang w:val="en-US"/>
        </w:rPr>
      </w:pPr>
      <w:r w:rsidRPr="00043F61">
        <w:rPr>
          <w:lang w:val="en-US"/>
        </w:rPr>
        <w:t xml:space="preserve">Carriero, John 2009: </w:t>
      </w:r>
      <w:r w:rsidRPr="00043F61">
        <w:rPr>
          <w:i/>
          <w:lang w:val="en-US"/>
        </w:rPr>
        <w:t>Between Two Worlds</w:t>
      </w:r>
      <w:r w:rsidRPr="00043F61">
        <w:rPr>
          <w:lang w:val="en-US"/>
        </w:rPr>
        <w:t xml:space="preserve">. </w:t>
      </w:r>
      <w:r w:rsidRPr="009B057A">
        <w:rPr>
          <w:lang w:val="en-US"/>
        </w:rPr>
        <w:t>Princeton: Princeton University Press.</w:t>
      </w:r>
    </w:p>
    <w:p w:rsidR="00977CDF" w:rsidRPr="009B057A" w:rsidRDefault="00977CDF" w:rsidP="00026FA4">
      <w:pPr>
        <w:rPr>
          <w:lang w:val="en-US"/>
        </w:rPr>
      </w:pPr>
      <w:r>
        <w:rPr>
          <w:lang w:val="en-US"/>
        </w:rPr>
        <w:t xml:space="preserve">De Rosa, </w:t>
      </w:r>
      <w:proofErr w:type="spellStart"/>
      <w:r>
        <w:rPr>
          <w:lang w:val="en-US"/>
        </w:rPr>
        <w:t>Raffaella</w:t>
      </w:r>
      <w:proofErr w:type="spellEnd"/>
      <w:r>
        <w:rPr>
          <w:lang w:val="en-US"/>
        </w:rPr>
        <w:t xml:space="preserve"> 2010: </w:t>
      </w:r>
      <w:r w:rsidRPr="00977CDF">
        <w:rPr>
          <w:i/>
          <w:lang w:val="en-US"/>
        </w:rPr>
        <w:t xml:space="preserve">Descartes &amp; </w:t>
      </w:r>
      <w:proofErr w:type="gramStart"/>
      <w:r w:rsidRPr="00977CDF">
        <w:rPr>
          <w:i/>
          <w:lang w:val="en-US"/>
        </w:rPr>
        <w:t>The</w:t>
      </w:r>
      <w:proofErr w:type="gramEnd"/>
      <w:r w:rsidRPr="00977CDF">
        <w:rPr>
          <w:i/>
          <w:lang w:val="en-US"/>
        </w:rPr>
        <w:t xml:space="preserve"> Puzzle of Sensory Representation</w:t>
      </w:r>
      <w:r>
        <w:rPr>
          <w:lang w:val="en-US"/>
        </w:rPr>
        <w:t>. Oxford University Press.</w:t>
      </w:r>
    </w:p>
    <w:p w:rsidR="000A78B0" w:rsidRDefault="00720F54" w:rsidP="000A78B0">
      <w:pPr>
        <w:rPr>
          <w:lang w:val="en-US"/>
        </w:rPr>
      </w:pPr>
      <w:r>
        <w:rPr>
          <w:lang w:val="fr-FR"/>
        </w:rPr>
        <w:t>Descartes, René 2001–2005 :</w:t>
      </w:r>
      <w:r w:rsidR="000A78B0" w:rsidRPr="001F15BB">
        <w:rPr>
          <w:lang w:val="fr-FR"/>
        </w:rPr>
        <w:t xml:space="preserve"> </w:t>
      </w:r>
      <w:proofErr w:type="spellStart"/>
      <w:r w:rsidR="000A78B0" w:rsidRPr="00720F54">
        <w:rPr>
          <w:i/>
          <w:lang w:val="fr-FR"/>
        </w:rPr>
        <w:t>Teokset</w:t>
      </w:r>
      <w:proofErr w:type="spellEnd"/>
      <w:r w:rsidR="000A78B0" w:rsidRPr="00720F54">
        <w:rPr>
          <w:i/>
          <w:lang w:val="fr-FR"/>
        </w:rPr>
        <w:t xml:space="preserve"> I–IV</w:t>
      </w:r>
      <w:r w:rsidR="000A78B0" w:rsidRPr="001F15BB">
        <w:rPr>
          <w:lang w:val="fr-FR"/>
        </w:rPr>
        <w:t xml:space="preserve">. </w:t>
      </w:r>
      <w:r w:rsidR="000A78B0" w:rsidRPr="00D5093D">
        <w:rPr>
          <w:lang w:val="en-US"/>
        </w:rPr>
        <w:t xml:space="preserve">Käänt. Tuomo Aho, Lilli Alanen, Sami Jansson, Timo Kaitaro, Martina Reuter, Markku Roinila &amp; Mikko Yrjönsuuri. </w:t>
      </w:r>
      <w:proofErr w:type="spellStart"/>
      <w:r w:rsidR="000A78B0" w:rsidRPr="005A19A5">
        <w:rPr>
          <w:lang w:val="en-US"/>
        </w:rPr>
        <w:t>Gaudeamus</w:t>
      </w:r>
      <w:proofErr w:type="spellEnd"/>
      <w:r w:rsidR="000A78B0" w:rsidRPr="005A19A5">
        <w:rPr>
          <w:lang w:val="en-US"/>
        </w:rPr>
        <w:t>, Helsinki</w:t>
      </w:r>
      <w:r>
        <w:rPr>
          <w:lang w:val="en-US"/>
        </w:rPr>
        <w:t>.</w:t>
      </w:r>
    </w:p>
    <w:p w:rsidR="007B5573" w:rsidRPr="00D5093D" w:rsidRDefault="007B5573" w:rsidP="007B5573">
      <w:pPr>
        <w:ind w:left="709" w:hanging="709"/>
      </w:pPr>
      <w:r>
        <w:rPr>
          <w:lang w:val="en-US"/>
        </w:rPr>
        <w:t xml:space="preserve">—— 1988. </w:t>
      </w:r>
      <w:r w:rsidRPr="007B5573">
        <w:rPr>
          <w:i/>
          <w:lang w:val="en-US"/>
        </w:rPr>
        <w:t>The Philosophical Writings of Descartes</w:t>
      </w:r>
      <w:r w:rsidRPr="007B5573">
        <w:rPr>
          <w:lang w:val="en-US"/>
        </w:rPr>
        <w:t xml:space="preserve">. </w:t>
      </w:r>
      <w:proofErr w:type="spellStart"/>
      <w:r>
        <w:rPr>
          <w:lang w:val="en-US"/>
        </w:rPr>
        <w:t>Osat</w:t>
      </w:r>
      <w:proofErr w:type="spellEnd"/>
      <w:r>
        <w:rPr>
          <w:lang w:val="en-US"/>
        </w:rPr>
        <w:t xml:space="preserve"> 1–3.</w:t>
      </w:r>
      <w:r w:rsidRPr="007B5573">
        <w:rPr>
          <w:lang w:val="en-US"/>
        </w:rPr>
        <w:t xml:space="preserve"> </w:t>
      </w:r>
      <w:proofErr w:type="spellStart"/>
      <w:r>
        <w:rPr>
          <w:lang w:val="en-US"/>
        </w:rPr>
        <w:t>Toim</w:t>
      </w:r>
      <w:proofErr w:type="spellEnd"/>
      <w:r>
        <w:rPr>
          <w:lang w:val="en-US"/>
        </w:rPr>
        <w:t xml:space="preserve">. </w:t>
      </w:r>
      <w:r w:rsidRPr="007B5573">
        <w:rPr>
          <w:lang w:val="en-US"/>
        </w:rPr>
        <w:t xml:space="preserve">John </w:t>
      </w:r>
      <w:proofErr w:type="spellStart"/>
      <w:r w:rsidRPr="007B5573">
        <w:rPr>
          <w:lang w:val="en-US"/>
        </w:rPr>
        <w:t>Cottingham</w:t>
      </w:r>
      <w:proofErr w:type="spellEnd"/>
      <w:r w:rsidRPr="007B5573">
        <w:rPr>
          <w:lang w:val="en-US"/>
        </w:rPr>
        <w:t xml:space="preserve">, Robert </w:t>
      </w:r>
      <w:proofErr w:type="spellStart"/>
      <w:r w:rsidRPr="007B5573">
        <w:rPr>
          <w:lang w:val="en-US"/>
        </w:rPr>
        <w:t>Stoothoff</w:t>
      </w:r>
      <w:proofErr w:type="spellEnd"/>
      <w:r w:rsidRPr="007B5573">
        <w:rPr>
          <w:lang w:val="en-US"/>
        </w:rPr>
        <w:t xml:space="preserve">, and </w:t>
      </w:r>
      <w:proofErr w:type="spellStart"/>
      <w:r w:rsidRPr="007B5573">
        <w:rPr>
          <w:lang w:val="en-US"/>
        </w:rPr>
        <w:t>Du</w:t>
      </w:r>
      <w:r>
        <w:rPr>
          <w:lang w:val="en-US"/>
        </w:rPr>
        <w:t>gald</w:t>
      </w:r>
      <w:proofErr w:type="spellEnd"/>
      <w:r>
        <w:rPr>
          <w:lang w:val="en-US"/>
        </w:rPr>
        <w:t xml:space="preserve"> Murdoch (</w:t>
      </w:r>
      <w:proofErr w:type="spellStart"/>
      <w:r>
        <w:rPr>
          <w:lang w:val="en-US"/>
        </w:rPr>
        <w:t>Osa</w:t>
      </w:r>
      <w:proofErr w:type="spellEnd"/>
      <w:r w:rsidRPr="007B5573">
        <w:rPr>
          <w:lang w:val="en-US"/>
        </w:rPr>
        <w:t xml:space="preserve"> 3 </w:t>
      </w:r>
      <w:proofErr w:type="spellStart"/>
      <w:r>
        <w:rPr>
          <w:lang w:val="en-US"/>
        </w:rPr>
        <w:t>myös</w:t>
      </w:r>
      <w:proofErr w:type="spellEnd"/>
      <w:r>
        <w:rPr>
          <w:lang w:val="en-US"/>
        </w:rPr>
        <w:t xml:space="preserve"> </w:t>
      </w:r>
      <w:r w:rsidRPr="007B5573">
        <w:rPr>
          <w:lang w:val="en-US"/>
        </w:rPr>
        <w:t xml:space="preserve">Anthony Kenny). </w:t>
      </w:r>
      <w:r w:rsidRPr="00D5093D">
        <w:t xml:space="preserve">Cambridge: Cambridge </w:t>
      </w:r>
      <w:proofErr w:type="spellStart"/>
      <w:r w:rsidRPr="00D5093D">
        <w:t>University</w:t>
      </w:r>
      <w:proofErr w:type="spellEnd"/>
      <w:r w:rsidRPr="00D5093D">
        <w:t xml:space="preserve"> Press. 1988. Viitaukset muodossa CSM ja osanumero, 3. osa CSMK.</w:t>
      </w:r>
    </w:p>
    <w:p w:rsidR="007B5573" w:rsidRPr="007B5573" w:rsidRDefault="007B5573" w:rsidP="007B5573">
      <w:pPr>
        <w:ind w:left="709" w:hanging="709"/>
        <w:rPr>
          <w:lang w:val="fr-FR"/>
        </w:rPr>
      </w:pPr>
      <w:bookmarkStart w:id="1" w:name="oeuvres"/>
      <w:bookmarkEnd w:id="1"/>
      <w:r w:rsidRPr="00D5093D">
        <w:rPr>
          <w:lang w:val="sv-SE"/>
        </w:rPr>
        <w:t xml:space="preserve">—— 1983. </w:t>
      </w:r>
      <w:r w:rsidRPr="00D5093D">
        <w:rPr>
          <w:i/>
          <w:iCs/>
          <w:lang w:val="sv-SE"/>
        </w:rPr>
        <w:t>Oeuvres De Descartes</w:t>
      </w:r>
      <w:r w:rsidRPr="00D5093D">
        <w:rPr>
          <w:lang w:val="sv-SE"/>
        </w:rPr>
        <w:t xml:space="preserve">. </w:t>
      </w:r>
      <w:r w:rsidRPr="007B5573">
        <w:rPr>
          <w:lang w:val="fr-FR"/>
        </w:rPr>
        <w:t xml:space="preserve">11 </w:t>
      </w:r>
      <w:proofErr w:type="spellStart"/>
      <w:r w:rsidRPr="007B5573">
        <w:rPr>
          <w:lang w:val="fr-FR"/>
        </w:rPr>
        <w:t>osaa</w:t>
      </w:r>
      <w:proofErr w:type="spellEnd"/>
      <w:r w:rsidRPr="007B5573">
        <w:rPr>
          <w:lang w:val="fr-FR"/>
        </w:rPr>
        <w:t xml:space="preserve">. </w:t>
      </w:r>
      <w:proofErr w:type="spellStart"/>
      <w:r w:rsidRPr="007B5573">
        <w:rPr>
          <w:lang w:val="fr-FR"/>
        </w:rPr>
        <w:t>Toim</w:t>
      </w:r>
      <w:proofErr w:type="spellEnd"/>
      <w:r w:rsidRPr="007B5573">
        <w:rPr>
          <w:lang w:val="fr-FR"/>
        </w:rPr>
        <w:t xml:space="preserve">. Charles Adam and Paul Tannery. </w:t>
      </w:r>
      <w:proofErr w:type="spellStart"/>
      <w:r w:rsidRPr="007B5573">
        <w:rPr>
          <w:lang w:val="fr-FR"/>
        </w:rPr>
        <w:t>Pariisi</w:t>
      </w:r>
      <w:proofErr w:type="spellEnd"/>
      <w:r w:rsidRPr="007B5573">
        <w:rPr>
          <w:lang w:val="fr-FR"/>
        </w:rPr>
        <w:t xml:space="preserve">: Librairie Philosophique J. </w:t>
      </w:r>
      <w:proofErr w:type="spellStart"/>
      <w:r w:rsidRPr="007B5573">
        <w:rPr>
          <w:lang w:val="fr-FR"/>
        </w:rPr>
        <w:t>Vrin</w:t>
      </w:r>
      <w:proofErr w:type="spellEnd"/>
      <w:r w:rsidRPr="007B5573">
        <w:rPr>
          <w:lang w:val="fr-FR"/>
        </w:rPr>
        <w:t>.</w:t>
      </w:r>
    </w:p>
    <w:p w:rsidR="00AD6147" w:rsidRDefault="00AD6147" w:rsidP="000A78B0">
      <w:pPr>
        <w:rPr>
          <w:lang w:val="en-US"/>
        </w:rPr>
      </w:pPr>
      <w:r>
        <w:rPr>
          <w:lang w:val="en-US"/>
        </w:rPr>
        <w:t xml:space="preserve">Hoffman, Paul </w:t>
      </w:r>
      <w:r w:rsidRPr="00AD6147">
        <w:rPr>
          <w:lang w:val="en-US"/>
        </w:rPr>
        <w:t xml:space="preserve">2002: “Direct Realism, Intentionality, and the Objective Being of Ideas”, </w:t>
      </w:r>
      <w:r w:rsidRPr="00AD6147">
        <w:rPr>
          <w:i/>
          <w:lang w:val="en-US"/>
        </w:rPr>
        <w:t>Pacific Philosophical Quarterly</w:t>
      </w:r>
      <w:r w:rsidR="00720F54">
        <w:rPr>
          <w:lang w:val="en-US"/>
        </w:rPr>
        <w:t xml:space="preserve"> 83,</w:t>
      </w:r>
      <w:r w:rsidRPr="00AD6147">
        <w:rPr>
          <w:lang w:val="en-US"/>
        </w:rPr>
        <w:t xml:space="preserve"> 163–179.</w:t>
      </w:r>
    </w:p>
    <w:p w:rsidR="00720F54" w:rsidRDefault="00720F54" w:rsidP="000A78B0">
      <w:pPr>
        <w:rPr>
          <w:lang w:val="en-US"/>
        </w:rPr>
      </w:pPr>
      <w:r>
        <w:rPr>
          <w:lang w:val="en-US"/>
        </w:rPr>
        <w:t>Hwang, Joseph W. 2011:</w:t>
      </w:r>
      <w:r w:rsidRPr="00720F54">
        <w:rPr>
          <w:lang w:val="en-US"/>
        </w:rPr>
        <w:t xml:space="preserve"> </w:t>
      </w:r>
      <w:r>
        <w:rPr>
          <w:lang w:val="en-US"/>
        </w:rPr>
        <w:t>“</w:t>
      </w:r>
      <w:r w:rsidRPr="00720F54">
        <w:rPr>
          <w:lang w:val="en-US"/>
        </w:rPr>
        <w:t>Descartes and the Aristotelian Framework of Sensory Perception</w:t>
      </w:r>
      <w:r>
        <w:rPr>
          <w:lang w:val="en-US"/>
        </w:rPr>
        <w:t>”</w:t>
      </w:r>
      <w:r w:rsidRPr="00720F54">
        <w:rPr>
          <w:lang w:val="en-US"/>
        </w:rPr>
        <w:t xml:space="preserve">. </w:t>
      </w:r>
      <w:r w:rsidRPr="00720F54">
        <w:rPr>
          <w:i/>
          <w:lang w:val="en-US"/>
        </w:rPr>
        <w:t xml:space="preserve">Midwest Studies </w:t>
      </w:r>
      <w:proofErr w:type="gramStart"/>
      <w:r w:rsidRPr="00720F54">
        <w:rPr>
          <w:i/>
          <w:lang w:val="en-US"/>
        </w:rPr>
        <w:t>In</w:t>
      </w:r>
      <w:proofErr w:type="gramEnd"/>
      <w:r w:rsidRPr="00720F54">
        <w:rPr>
          <w:i/>
          <w:lang w:val="en-US"/>
        </w:rPr>
        <w:t xml:space="preserve"> Philosophy</w:t>
      </w:r>
      <w:r>
        <w:rPr>
          <w:lang w:val="en-US"/>
        </w:rPr>
        <w:t>, 35,</w:t>
      </w:r>
      <w:r w:rsidRPr="00720F54">
        <w:rPr>
          <w:lang w:val="en-US"/>
        </w:rPr>
        <w:t xml:space="preserve"> 111-148</w:t>
      </w:r>
    </w:p>
    <w:p w:rsidR="006A3660" w:rsidRDefault="006A3660" w:rsidP="000A78B0">
      <w:pPr>
        <w:rPr>
          <w:lang w:val="en-US"/>
        </w:rPr>
      </w:pPr>
      <w:r>
        <w:rPr>
          <w:lang w:val="en-US"/>
        </w:rPr>
        <w:lastRenderedPageBreak/>
        <w:t xml:space="preserve">Gibson, James 1967: “New Reasons for Realism”, </w:t>
      </w:r>
      <w:proofErr w:type="spellStart"/>
      <w:r w:rsidRPr="006A3660">
        <w:rPr>
          <w:i/>
          <w:lang w:val="en-US"/>
        </w:rPr>
        <w:t>Synthese</w:t>
      </w:r>
      <w:proofErr w:type="spellEnd"/>
      <w:r w:rsidRPr="006A3660">
        <w:rPr>
          <w:lang w:val="en-US"/>
        </w:rPr>
        <w:t xml:space="preserve"> 17:2</w:t>
      </w:r>
      <w:r w:rsidR="00720F54">
        <w:rPr>
          <w:lang w:val="en-US"/>
        </w:rPr>
        <w:t>,</w:t>
      </w:r>
      <w:r>
        <w:rPr>
          <w:lang w:val="en-US"/>
        </w:rPr>
        <w:t xml:space="preserve"> 1</w:t>
      </w:r>
      <w:r w:rsidRPr="006A3660">
        <w:rPr>
          <w:lang w:val="en-US"/>
        </w:rPr>
        <w:t>62</w:t>
      </w:r>
      <w:r>
        <w:rPr>
          <w:lang w:val="en-US"/>
        </w:rPr>
        <w:t>–172.</w:t>
      </w:r>
    </w:p>
    <w:p w:rsidR="00777BC8" w:rsidRPr="00777BC8" w:rsidRDefault="00777BC8" w:rsidP="000A78B0">
      <w:pPr>
        <w:rPr>
          <w:lang w:val="en-US"/>
        </w:rPr>
      </w:pPr>
      <w:r>
        <w:rPr>
          <w:lang w:val="en-US"/>
        </w:rPr>
        <w:t xml:space="preserve">Kaufman, Dan 2000: “Descartes on the Objective Reality of Materially False Ideas”. </w:t>
      </w:r>
      <w:r>
        <w:rPr>
          <w:i/>
          <w:lang w:val="en-US"/>
        </w:rPr>
        <w:t>Pacific Philosophical Quarterly</w:t>
      </w:r>
      <w:r>
        <w:rPr>
          <w:lang w:val="en-US"/>
        </w:rPr>
        <w:t xml:space="preserve"> 81, 385–408.</w:t>
      </w:r>
    </w:p>
    <w:p w:rsidR="006474F8" w:rsidRDefault="006474F8" w:rsidP="000A78B0">
      <w:pPr>
        <w:rPr>
          <w:lang w:val="en-US"/>
        </w:rPr>
      </w:pPr>
      <w:r w:rsidRPr="006474F8">
        <w:rPr>
          <w:lang w:val="en-US"/>
        </w:rPr>
        <w:t>Koistinen, Olli 2014: “The Fifth Meditation: externality and true and immutable natures</w:t>
      </w:r>
      <w:r>
        <w:rPr>
          <w:lang w:val="en-US"/>
        </w:rPr>
        <w:t xml:space="preserve">.” </w:t>
      </w:r>
      <w:proofErr w:type="spellStart"/>
      <w:r>
        <w:rPr>
          <w:lang w:val="en-US"/>
        </w:rPr>
        <w:t>Teoksessa</w:t>
      </w:r>
      <w:proofErr w:type="spellEnd"/>
      <w:r>
        <w:rPr>
          <w:lang w:val="en-US"/>
        </w:rPr>
        <w:t xml:space="preserve"> David Cunning (</w:t>
      </w:r>
      <w:proofErr w:type="spellStart"/>
      <w:r>
        <w:rPr>
          <w:lang w:val="en-US"/>
        </w:rPr>
        <w:t>toim</w:t>
      </w:r>
      <w:proofErr w:type="spellEnd"/>
      <w:r w:rsidRPr="006474F8">
        <w:rPr>
          <w:lang w:val="en-US"/>
        </w:rPr>
        <w:t xml:space="preserve">.) </w:t>
      </w:r>
      <w:r w:rsidRPr="006474F8">
        <w:rPr>
          <w:i/>
          <w:lang w:val="en-US"/>
        </w:rPr>
        <w:t>The Cambridge Companion to Descartes’ Meditations</w:t>
      </w:r>
      <w:r w:rsidRPr="006474F8">
        <w:rPr>
          <w:lang w:val="en-US"/>
        </w:rPr>
        <w:t xml:space="preserve">. </w:t>
      </w:r>
      <w:proofErr w:type="spellStart"/>
      <w:r w:rsidRPr="006474F8">
        <w:rPr>
          <w:lang w:val="en-US"/>
        </w:rPr>
        <w:t>Cambr</w:t>
      </w:r>
      <w:r w:rsidR="00720F54">
        <w:rPr>
          <w:lang w:val="en-US"/>
        </w:rPr>
        <w:t>ide</w:t>
      </w:r>
      <w:proofErr w:type="spellEnd"/>
      <w:r w:rsidR="00720F54">
        <w:rPr>
          <w:lang w:val="en-US"/>
        </w:rPr>
        <w:t>: Cambridge University Press,</w:t>
      </w:r>
      <w:r w:rsidRPr="007F36AA">
        <w:rPr>
          <w:lang w:val="en-US"/>
        </w:rPr>
        <w:t xml:space="preserve"> 223-239.</w:t>
      </w:r>
    </w:p>
    <w:p w:rsidR="00777BC8" w:rsidRPr="00026FA4" w:rsidRDefault="00777BC8" w:rsidP="000A78B0">
      <w:pPr>
        <w:rPr>
          <w:lang w:val="en-US"/>
        </w:rPr>
      </w:pPr>
      <w:r w:rsidRPr="00777BC8">
        <w:rPr>
          <w:lang w:val="en-US"/>
        </w:rPr>
        <w:t>Mill, John Stuart, 1843–1882/1974</w:t>
      </w:r>
      <w:r>
        <w:rPr>
          <w:lang w:val="en-US"/>
        </w:rPr>
        <w:t>:</w:t>
      </w:r>
      <w:r w:rsidRPr="00777BC8">
        <w:rPr>
          <w:lang w:val="en-US"/>
        </w:rPr>
        <w:t xml:space="preserve"> </w:t>
      </w:r>
      <w:r w:rsidRPr="00777BC8">
        <w:rPr>
          <w:i/>
          <w:lang w:val="en-US"/>
        </w:rPr>
        <w:t>A System of Logic, Ratiocinative and Inductive</w:t>
      </w:r>
      <w:r w:rsidRPr="00777BC8">
        <w:rPr>
          <w:lang w:val="en-US"/>
        </w:rPr>
        <w:t>,</w:t>
      </w:r>
      <w:r>
        <w:rPr>
          <w:lang w:val="en-US"/>
        </w:rPr>
        <w:t xml:space="preserve"> </w:t>
      </w:r>
      <w:proofErr w:type="spellStart"/>
      <w:r>
        <w:rPr>
          <w:lang w:val="en-US"/>
        </w:rPr>
        <w:t>teoksessa</w:t>
      </w:r>
      <w:proofErr w:type="spellEnd"/>
      <w:r>
        <w:rPr>
          <w:lang w:val="en-US"/>
        </w:rPr>
        <w:t xml:space="preserve"> Robson, J. M., (</w:t>
      </w:r>
      <w:proofErr w:type="spellStart"/>
      <w:r>
        <w:rPr>
          <w:lang w:val="en-US"/>
        </w:rPr>
        <w:t>toim</w:t>
      </w:r>
      <w:proofErr w:type="spellEnd"/>
      <w:r w:rsidRPr="00777BC8">
        <w:rPr>
          <w:lang w:val="en-US"/>
        </w:rPr>
        <w:t xml:space="preserve">.), </w:t>
      </w:r>
      <w:r w:rsidRPr="00777BC8">
        <w:rPr>
          <w:i/>
          <w:lang w:val="en-US"/>
        </w:rPr>
        <w:t>Collected Works of John Stuart Mill</w:t>
      </w:r>
      <w:r w:rsidRPr="00777BC8">
        <w:rPr>
          <w:lang w:val="en-US"/>
        </w:rPr>
        <w:t>, vol. 7, vol. 8. Toronto: University of Toronto Press.</w:t>
      </w:r>
    </w:p>
    <w:p w:rsidR="005779F2" w:rsidRPr="007F36AA" w:rsidRDefault="005779F2" w:rsidP="000A78B0">
      <w:pPr>
        <w:rPr>
          <w:lang w:val="en-US"/>
        </w:rPr>
      </w:pPr>
      <w:r w:rsidRPr="007F36AA">
        <w:rPr>
          <w:lang w:val="en-US"/>
        </w:rPr>
        <w:t xml:space="preserve">Milner, David A. ja Melvyn A. </w:t>
      </w:r>
      <w:proofErr w:type="spellStart"/>
      <w:r w:rsidRPr="007F36AA">
        <w:rPr>
          <w:lang w:val="en-US"/>
        </w:rPr>
        <w:t>Goodale</w:t>
      </w:r>
      <w:proofErr w:type="spellEnd"/>
      <w:r w:rsidRPr="007F36AA">
        <w:rPr>
          <w:lang w:val="en-US"/>
        </w:rPr>
        <w:t xml:space="preserve"> 1998</w:t>
      </w:r>
      <w:proofErr w:type="gramStart"/>
      <w:r w:rsidRPr="007F36AA">
        <w:rPr>
          <w:lang w:val="en-US"/>
        </w:rPr>
        <w:t>: ”</w:t>
      </w:r>
      <w:proofErr w:type="gramEnd"/>
      <w:r w:rsidRPr="007F36AA">
        <w:rPr>
          <w:lang w:val="en-US"/>
        </w:rPr>
        <w:t xml:space="preserve">The Visual Brain in Action”, </w:t>
      </w:r>
      <w:proofErr w:type="spellStart"/>
      <w:r w:rsidRPr="007F36AA">
        <w:rPr>
          <w:lang w:val="en-US"/>
        </w:rPr>
        <w:t>teoksessa</w:t>
      </w:r>
      <w:proofErr w:type="spellEnd"/>
      <w:r w:rsidRPr="007F36AA">
        <w:rPr>
          <w:lang w:val="en-US"/>
        </w:rPr>
        <w:t xml:space="preserve"> </w:t>
      </w:r>
      <w:proofErr w:type="spellStart"/>
      <w:r w:rsidRPr="007F36AA">
        <w:rPr>
          <w:lang w:val="en-US"/>
        </w:rPr>
        <w:t>Nöe</w:t>
      </w:r>
      <w:proofErr w:type="spellEnd"/>
      <w:r w:rsidRPr="007F36AA">
        <w:rPr>
          <w:lang w:val="en-US"/>
        </w:rPr>
        <w:t>, Alva ja Thompson Evan (</w:t>
      </w:r>
      <w:proofErr w:type="spellStart"/>
      <w:r w:rsidRPr="007F36AA">
        <w:rPr>
          <w:lang w:val="en-US"/>
        </w:rPr>
        <w:t>toim</w:t>
      </w:r>
      <w:proofErr w:type="spellEnd"/>
      <w:r w:rsidRPr="007F36AA">
        <w:rPr>
          <w:lang w:val="en-US"/>
        </w:rPr>
        <w:t xml:space="preserve">.) 2002: </w:t>
      </w:r>
      <w:r w:rsidRPr="007F36AA">
        <w:rPr>
          <w:i/>
          <w:lang w:val="en-US"/>
        </w:rPr>
        <w:t>Vision and Mind</w:t>
      </w:r>
      <w:r w:rsidR="00720F54">
        <w:rPr>
          <w:lang w:val="en-US"/>
        </w:rPr>
        <w:t>, Cambridge, MA: MIT Press,</w:t>
      </w:r>
      <w:r w:rsidRPr="007F36AA">
        <w:rPr>
          <w:lang w:val="en-US"/>
        </w:rPr>
        <w:t xml:space="preserve"> 515–530.</w:t>
      </w:r>
    </w:p>
    <w:p w:rsidR="006474F8" w:rsidRDefault="006474F8" w:rsidP="000A78B0">
      <w:pPr>
        <w:rPr>
          <w:lang w:val="en-US"/>
        </w:rPr>
      </w:pPr>
      <w:r w:rsidRPr="006474F8">
        <w:rPr>
          <w:lang w:val="en-US"/>
        </w:rPr>
        <w:t xml:space="preserve">Nadler, Steven 1989: </w:t>
      </w:r>
      <w:r w:rsidRPr="006474F8">
        <w:rPr>
          <w:i/>
          <w:lang w:val="en-US"/>
        </w:rPr>
        <w:t>Arnauld and the Cartesian philosophy of Ideas</w:t>
      </w:r>
      <w:r w:rsidRPr="006474F8">
        <w:rPr>
          <w:lang w:val="en-US"/>
        </w:rPr>
        <w:t xml:space="preserve">. </w:t>
      </w:r>
      <w:r w:rsidRPr="007F36AA">
        <w:rPr>
          <w:lang w:val="en-US"/>
        </w:rPr>
        <w:t>New Jersey: Princeton University Press.</w:t>
      </w:r>
    </w:p>
    <w:p w:rsidR="00C0324C" w:rsidRPr="00C0324C" w:rsidRDefault="00C0324C" w:rsidP="000A78B0">
      <w:pPr>
        <w:rPr>
          <w:lang w:val="en-US"/>
        </w:rPr>
      </w:pPr>
      <w:r>
        <w:rPr>
          <w:lang w:val="en-US"/>
        </w:rPr>
        <w:t>Nagel, Thomas 1974: “What Is It Like to Be a Bat?</w:t>
      </w:r>
      <w:proofErr w:type="gramStart"/>
      <w:r>
        <w:rPr>
          <w:lang w:val="en-US"/>
        </w:rPr>
        <w:t>”,</w:t>
      </w:r>
      <w:proofErr w:type="gramEnd"/>
      <w:r>
        <w:rPr>
          <w:lang w:val="en-US"/>
        </w:rPr>
        <w:t xml:space="preserve"> </w:t>
      </w:r>
      <w:r>
        <w:rPr>
          <w:i/>
          <w:lang w:val="en-US"/>
        </w:rPr>
        <w:t>The Philosophical Review</w:t>
      </w:r>
      <w:r>
        <w:rPr>
          <w:lang w:val="en-US"/>
        </w:rPr>
        <w:t>, 83, no. 4, 435–450.</w:t>
      </w:r>
    </w:p>
    <w:p w:rsidR="006F68C3" w:rsidRDefault="006F68C3" w:rsidP="000A78B0">
      <w:pPr>
        <w:rPr>
          <w:lang w:val="en-US"/>
        </w:rPr>
      </w:pPr>
      <w:r w:rsidRPr="006F68C3">
        <w:rPr>
          <w:lang w:val="en-US"/>
        </w:rPr>
        <w:t xml:space="preserve">Nolan, Lawrence </w:t>
      </w:r>
      <w:r>
        <w:rPr>
          <w:lang w:val="en-US"/>
        </w:rPr>
        <w:t xml:space="preserve">2011: “Descartes on ‘What We Call Color’” </w:t>
      </w:r>
      <w:proofErr w:type="spellStart"/>
      <w:r>
        <w:rPr>
          <w:lang w:val="en-US"/>
        </w:rPr>
        <w:t>teoksessa</w:t>
      </w:r>
      <w:proofErr w:type="spellEnd"/>
      <w:r>
        <w:rPr>
          <w:lang w:val="en-US"/>
        </w:rPr>
        <w:t xml:space="preserve"> Nolan, Lawrence (</w:t>
      </w:r>
      <w:proofErr w:type="spellStart"/>
      <w:r>
        <w:rPr>
          <w:lang w:val="en-US"/>
        </w:rPr>
        <w:t>toim</w:t>
      </w:r>
      <w:proofErr w:type="spellEnd"/>
      <w:r>
        <w:rPr>
          <w:lang w:val="en-US"/>
        </w:rPr>
        <w:t xml:space="preserve">.): </w:t>
      </w:r>
      <w:r w:rsidRPr="006F68C3">
        <w:rPr>
          <w:i/>
          <w:lang w:val="en-US"/>
        </w:rPr>
        <w:t>Primary and Secondary Qualities: The Historical and Ongoing Debate</w:t>
      </w:r>
      <w:r>
        <w:rPr>
          <w:lang w:val="en-US"/>
        </w:rPr>
        <w:t xml:space="preserve">. </w:t>
      </w:r>
      <w:r w:rsidR="00720F54">
        <w:rPr>
          <w:lang w:val="en-US"/>
        </w:rPr>
        <w:t>Oxford: Oxford University Press,</w:t>
      </w:r>
      <w:r>
        <w:rPr>
          <w:lang w:val="en-US"/>
        </w:rPr>
        <w:t xml:space="preserve"> 81–108.</w:t>
      </w:r>
    </w:p>
    <w:p w:rsidR="00777BC8" w:rsidRPr="00777BC8" w:rsidRDefault="00777BC8" w:rsidP="000A78B0">
      <w:pPr>
        <w:rPr>
          <w:lang w:val="en-US"/>
        </w:rPr>
      </w:pPr>
      <w:r>
        <w:rPr>
          <w:lang w:val="en-US"/>
        </w:rPr>
        <w:t xml:space="preserve">Simmons, Alison 1999: “Are Cartesian Sensations Representational?” </w:t>
      </w:r>
      <w:proofErr w:type="spellStart"/>
      <w:r>
        <w:rPr>
          <w:i/>
          <w:lang w:val="en-US"/>
        </w:rPr>
        <w:t>Nôus</w:t>
      </w:r>
      <w:proofErr w:type="spellEnd"/>
      <w:r>
        <w:rPr>
          <w:lang w:val="en-US"/>
        </w:rPr>
        <w:t xml:space="preserve"> 33, No. 3, 347–369.</w:t>
      </w:r>
    </w:p>
    <w:p w:rsidR="00043F61" w:rsidRDefault="00043F61" w:rsidP="000A78B0">
      <w:pPr>
        <w:rPr>
          <w:lang w:val="en-US"/>
        </w:rPr>
      </w:pPr>
      <w:proofErr w:type="spellStart"/>
      <w:r w:rsidRPr="00043F61">
        <w:rPr>
          <w:lang w:val="en-US"/>
        </w:rPr>
        <w:t>Tuomas</w:t>
      </w:r>
      <w:proofErr w:type="spellEnd"/>
      <w:r w:rsidRPr="00043F61">
        <w:rPr>
          <w:lang w:val="en-US"/>
        </w:rPr>
        <w:t xml:space="preserve"> </w:t>
      </w:r>
      <w:proofErr w:type="spellStart"/>
      <w:r w:rsidRPr="00043F61">
        <w:rPr>
          <w:lang w:val="en-US"/>
        </w:rPr>
        <w:t>Akvinolainen</w:t>
      </w:r>
      <w:proofErr w:type="spellEnd"/>
      <w:r w:rsidRPr="00043F61">
        <w:rPr>
          <w:lang w:val="en-US"/>
        </w:rPr>
        <w:t xml:space="preserve"> 1993: </w:t>
      </w:r>
      <w:r w:rsidRPr="00043F61">
        <w:rPr>
          <w:i/>
          <w:lang w:val="en-US"/>
        </w:rPr>
        <w:t>Selected Philosophical Writings</w:t>
      </w:r>
      <w:r w:rsidRPr="00043F61">
        <w:rPr>
          <w:lang w:val="en-US"/>
        </w:rPr>
        <w:t xml:space="preserve">. Timothy McDermott (tr. &amp; </w:t>
      </w:r>
      <w:proofErr w:type="gramStart"/>
      <w:r w:rsidRPr="00043F61">
        <w:rPr>
          <w:lang w:val="en-US"/>
        </w:rPr>
        <w:t>ed</w:t>
      </w:r>
      <w:proofErr w:type="gramEnd"/>
      <w:r w:rsidRPr="00043F61">
        <w:rPr>
          <w:lang w:val="en-US"/>
        </w:rPr>
        <w:t>.) Oxford: Oxford University Press.</w:t>
      </w:r>
    </w:p>
    <w:p w:rsidR="006474F8" w:rsidRPr="00DB6AB9" w:rsidRDefault="006474F8" w:rsidP="006474F8">
      <w:r w:rsidRPr="006474F8">
        <w:rPr>
          <w:lang w:val="en-US"/>
        </w:rPr>
        <w:t xml:space="preserve">Yolton, John 1984: </w:t>
      </w:r>
      <w:r w:rsidRPr="006474F8">
        <w:rPr>
          <w:i/>
          <w:lang w:val="en-US"/>
        </w:rPr>
        <w:t>Perceptual Acquaintance from Descartes to Reid</w:t>
      </w:r>
      <w:r w:rsidRPr="006474F8">
        <w:rPr>
          <w:lang w:val="en-US"/>
        </w:rPr>
        <w:t xml:space="preserve">. </w:t>
      </w:r>
      <w:r>
        <w:t xml:space="preserve">Oxford: </w:t>
      </w:r>
      <w:proofErr w:type="spellStart"/>
      <w:r>
        <w:t>Blackwell</w:t>
      </w:r>
      <w:proofErr w:type="spellEnd"/>
      <w:r>
        <w:t>.</w:t>
      </w:r>
    </w:p>
    <w:p w:rsidR="006474F8" w:rsidRPr="00043F61" w:rsidRDefault="006474F8" w:rsidP="000A78B0">
      <w:pPr>
        <w:rPr>
          <w:lang w:val="en-US"/>
        </w:rPr>
      </w:pPr>
    </w:p>
    <w:sectPr w:rsidR="006474F8" w:rsidRPr="00043F61" w:rsidSect="008611A9">
      <w:headerReference w:type="even" r:id="rId7"/>
      <w:headerReference w:type="default" r:id="rId8"/>
      <w:footerReference w:type="even" r:id="rId9"/>
      <w:footerReference w:type="default" r:id="rId10"/>
      <w:headerReference w:type="first" r:id="rId11"/>
      <w:footerReference w:type="first" r:id="rId12"/>
      <w:pgSz w:w="11907" w:h="16840" w:code="9"/>
      <w:pgMar w:top="1417" w:right="1134" w:bottom="1417"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516276" w:rsidRDefault="00516276" w:rsidP="00B37A16">
      <w:pPr>
        <w:spacing w:after="0" w:line="240" w:lineRule="auto"/>
      </w:pPr>
      <w:r>
        <w:separator/>
      </w:r>
    </w:p>
  </w:endnote>
  <w:endnote w:type="continuationSeparator" w:id="0">
    <w:p w:rsidR="00516276" w:rsidRDefault="00516276" w:rsidP="00B37A1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Garamond">
    <w:panose1 w:val="02020404030301010803"/>
    <w:charset w:val="00"/>
    <w:family w:val="roman"/>
    <w:pitch w:val="variable"/>
    <w:sig w:usb0="00000287" w:usb1="00000000" w:usb2="00000000" w:usb3="00000000" w:csb0="0000009F" w:csb1="00000000"/>
  </w:font>
  <w:font w:name="Times New Roman">
    <w:panose1 w:val="02020603050405020304"/>
    <w:charset w:val="00"/>
    <w:family w:val="roman"/>
    <w:pitch w:val="variable"/>
    <w:sig w:usb0="E0002EFF" w:usb1="C000785B" w:usb2="00000009" w:usb3="00000000" w:csb0="000001FF" w:csb1="00000000"/>
  </w:font>
  <w:font w:name="Candara">
    <w:panose1 w:val="020E0502030303020204"/>
    <w:charset w:val="00"/>
    <w:family w:val="swiss"/>
    <w:pitch w:val="variable"/>
    <w:sig w:usb0="A00002EF" w:usb1="4000A44B" w:usb2="00000000" w:usb3="00000000" w:csb0="0000019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D6B82" w:rsidRDefault="006D6B82">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D6B82" w:rsidRPr="00B712B9" w:rsidRDefault="006D6B82" w:rsidP="00B712B9">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D6B82" w:rsidRDefault="006D6B82">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516276" w:rsidRDefault="00516276" w:rsidP="00B37A16">
      <w:pPr>
        <w:spacing w:after="0" w:line="240" w:lineRule="auto"/>
      </w:pPr>
      <w:r>
        <w:separator/>
      </w:r>
    </w:p>
  </w:footnote>
  <w:footnote w:type="continuationSeparator" w:id="0">
    <w:p w:rsidR="00516276" w:rsidRDefault="00516276" w:rsidP="00B37A16">
      <w:pPr>
        <w:spacing w:after="0" w:line="240" w:lineRule="auto"/>
      </w:pPr>
      <w:r>
        <w:continuationSeparator/>
      </w:r>
    </w:p>
  </w:footnote>
  <w:footnote w:id="1">
    <w:p w:rsidR="00B37A16" w:rsidRDefault="00B37A16">
      <w:pPr>
        <w:pStyle w:val="FootnoteText"/>
      </w:pPr>
      <w:r>
        <w:rPr>
          <w:rStyle w:val="FootnoteReference"/>
        </w:rPr>
        <w:footnoteRef/>
      </w:r>
      <w:r>
        <w:t xml:space="preserve"> </w:t>
      </w:r>
      <w:r w:rsidR="000A78B0" w:rsidRPr="0081220B">
        <w:rPr>
          <w:i/>
        </w:rPr>
        <w:t>Teokset</w:t>
      </w:r>
      <w:r w:rsidR="001F15BB">
        <w:t xml:space="preserve"> II, 42; AT7, 31; CSM2, 21.</w:t>
      </w:r>
      <w:r w:rsidR="00BE0EEF">
        <w:t xml:space="preserve"> Sisällytän teksteihin aistimiseen ja havaintoon liittyvät alkuperäiskieliset ilmaukset, jotta väitteeni Descartesin kielenkäytön täsmällisyydestä on helpompi todeta.</w:t>
      </w:r>
    </w:p>
  </w:footnote>
  <w:footnote w:id="2">
    <w:p w:rsidR="0081220B" w:rsidRPr="0081220B" w:rsidRDefault="0081220B">
      <w:pPr>
        <w:pStyle w:val="FootnoteText"/>
      </w:pPr>
      <w:r>
        <w:rPr>
          <w:rStyle w:val="FootnoteReference"/>
        </w:rPr>
        <w:footnoteRef/>
      </w:r>
      <w:r>
        <w:t xml:space="preserve"> </w:t>
      </w:r>
      <w:r w:rsidRPr="00237670">
        <w:rPr>
          <w:i/>
        </w:rPr>
        <w:t>Filosofian periaatteet</w:t>
      </w:r>
      <w:r>
        <w:t xml:space="preserve"> 1: XLVIII; </w:t>
      </w:r>
      <w:r>
        <w:rPr>
          <w:i/>
        </w:rPr>
        <w:t xml:space="preserve">Teokset </w:t>
      </w:r>
      <w:r w:rsidR="001F15BB">
        <w:t>III, 53–54; AT8A, 22–23; CSM1, 208–209.</w:t>
      </w:r>
    </w:p>
  </w:footnote>
  <w:footnote w:id="3">
    <w:p w:rsidR="00237670" w:rsidRPr="001F15BB" w:rsidRDefault="00237670" w:rsidP="00237670">
      <w:pPr>
        <w:pStyle w:val="FootnoteText"/>
        <w:rPr>
          <w:lang w:val="en-US"/>
        </w:rPr>
      </w:pPr>
      <w:r>
        <w:rPr>
          <w:rStyle w:val="FootnoteReference"/>
        </w:rPr>
        <w:footnoteRef/>
      </w:r>
      <w:r w:rsidRPr="001F15BB">
        <w:rPr>
          <w:lang w:val="en-US"/>
        </w:rPr>
        <w:t xml:space="preserve"> </w:t>
      </w:r>
      <w:proofErr w:type="spellStart"/>
      <w:proofErr w:type="gramStart"/>
      <w:r w:rsidR="0081220B" w:rsidRPr="001F15BB">
        <w:rPr>
          <w:i/>
          <w:lang w:val="en-US"/>
        </w:rPr>
        <w:t>Emt</w:t>
      </w:r>
      <w:proofErr w:type="spellEnd"/>
      <w:proofErr w:type="gramEnd"/>
      <w:r w:rsidR="0081220B" w:rsidRPr="001F15BB">
        <w:rPr>
          <w:lang w:val="en-US"/>
        </w:rPr>
        <w:t>. 1</w:t>
      </w:r>
      <w:proofErr w:type="gramStart"/>
      <w:r w:rsidRPr="001F15BB">
        <w:rPr>
          <w:lang w:val="en-US"/>
        </w:rPr>
        <w:t>:XXXII</w:t>
      </w:r>
      <w:proofErr w:type="gramEnd"/>
      <w:r w:rsidRPr="001F15BB">
        <w:rPr>
          <w:lang w:val="en-US"/>
        </w:rPr>
        <w:t xml:space="preserve">; </w:t>
      </w:r>
      <w:proofErr w:type="spellStart"/>
      <w:r w:rsidRPr="001F15BB">
        <w:rPr>
          <w:i/>
          <w:lang w:val="en-US"/>
        </w:rPr>
        <w:t>Teokset</w:t>
      </w:r>
      <w:proofErr w:type="spellEnd"/>
      <w:r w:rsidR="001F15BB" w:rsidRPr="001F15BB">
        <w:rPr>
          <w:lang w:val="en-US"/>
        </w:rPr>
        <w:t xml:space="preserve"> III, 48; AT8A, 17; CSM1, </w:t>
      </w:r>
      <w:r w:rsidR="001F15BB">
        <w:rPr>
          <w:lang w:val="en-US"/>
        </w:rPr>
        <w:t>204.</w:t>
      </w:r>
    </w:p>
  </w:footnote>
  <w:footnote w:id="4">
    <w:p w:rsidR="00237670" w:rsidRPr="001F15BB" w:rsidRDefault="00237670">
      <w:pPr>
        <w:pStyle w:val="FootnoteText"/>
        <w:rPr>
          <w:lang w:val="en-US"/>
        </w:rPr>
      </w:pPr>
      <w:r>
        <w:rPr>
          <w:rStyle w:val="FootnoteReference"/>
        </w:rPr>
        <w:footnoteRef/>
      </w:r>
      <w:r w:rsidRPr="001F15BB">
        <w:rPr>
          <w:lang w:val="en-US"/>
        </w:rPr>
        <w:t xml:space="preserve"> </w:t>
      </w:r>
      <w:proofErr w:type="spellStart"/>
      <w:proofErr w:type="gramStart"/>
      <w:r w:rsidRPr="001F15BB">
        <w:rPr>
          <w:i/>
          <w:lang w:val="en-US"/>
        </w:rPr>
        <w:t>Emt</w:t>
      </w:r>
      <w:proofErr w:type="spellEnd"/>
      <w:proofErr w:type="gramEnd"/>
      <w:r w:rsidRPr="001F15BB">
        <w:rPr>
          <w:lang w:val="en-US"/>
        </w:rPr>
        <w:t>. 1</w:t>
      </w:r>
      <w:proofErr w:type="gramStart"/>
      <w:r w:rsidRPr="001F15BB">
        <w:rPr>
          <w:lang w:val="en-US"/>
        </w:rPr>
        <w:t>:XXXIV</w:t>
      </w:r>
      <w:proofErr w:type="gramEnd"/>
      <w:r w:rsidRPr="001F15BB">
        <w:rPr>
          <w:lang w:val="en-US"/>
        </w:rPr>
        <w:t xml:space="preserve">; </w:t>
      </w:r>
      <w:proofErr w:type="spellStart"/>
      <w:r w:rsidRPr="001F15BB">
        <w:rPr>
          <w:i/>
          <w:lang w:val="en-US"/>
        </w:rPr>
        <w:t>Teokset</w:t>
      </w:r>
      <w:proofErr w:type="spellEnd"/>
      <w:r w:rsidRPr="001F15BB">
        <w:rPr>
          <w:i/>
          <w:lang w:val="en-US"/>
        </w:rPr>
        <w:t xml:space="preserve"> </w:t>
      </w:r>
      <w:r w:rsidR="001F15BB" w:rsidRPr="001F15BB">
        <w:rPr>
          <w:lang w:val="en-US"/>
        </w:rPr>
        <w:t xml:space="preserve">III, 49; AT8A, </w:t>
      </w:r>
      <w:r w:rsidR="001F15BB">
        <w:rPr>
          <w:lang w:val="en-US"/>
        </w:rPr>
        <w:t>18; CSM1, 204.</w:t>
      </w:r>
    </w:p>
  </w:footnote>
  <w:footnote w:id="5">
    <w:p w:rsidR="007B446F" w:rsidRPr="001F15BB" w:rsidRDefault="007B446F">
      <w:pPr>
        <w:pStyle w:val="FootnoteText"/>
        <w:rPr>
          <w:lang w:val="en-US"/>
        </w:rPr>
      </w:pPr>
      <w:r>
        <w:rPr>
          <w:rStyle w:val="FootnoteReference"/>
        </w:rPr>
        <w:footnoteRef/>
      </w:r>
      <w:r w:rsidRPr="001F15BB">
        <w:rPr>
          <w:lang w:val="en-US"/>
        </w:rPr>
        <w:t xml:space="preserve"> </w:t>
      </w:r>
      <w:proofErr w:type="spellStart"/>
      <w:r w:rsidRPr="001F15BB">
        <w:rPr>
          <w:i/>
          <w:lang w:val="en-US"/>
        </w:rPr>
        <w:t>Teokset</w:t>
      </w:r>
      <w:proofErr w:type="spellEnd"/>
      <w:r w:rsidR="001F15BB" w:rsidRPr="001F15BB">
        <w:rPr>
          <w:lang w:val="en-US"/>
        </w:rPr>
        <w:t xml:space="preserve"> II, 39; AT7, 27; CSM2, 18.</w:t>
      </w:r>
    </w:p>
  </w:footnote>
  <w:footnote w:id="6">
    <w:p w:rsidR="00E2091C" w:rsidRPr="001F15BB" w:rsidRDefault="00E2091C">
      <w:pPr>
        <w:pStyle w:val="FootnoteText"/>
        <w:rPr>
          <w:lang w:val="en-US"/>
        </w:rPr>
      </w:pPr>
      <w:r>
        <w:rPr>
          <w:rStyle w:val="FootnoteReference"/>
        </w:rPr>
        <w:footnoteRef/>
      </w:r>
      <w:r w:rsidRPr="001F15BB">
        <w:rPr>
          <w:lang w:val="en-US"/>
        </w:rPr>
        <w:t xml:space="preserve"> </w:t>
      </w:r>
      <w:proofErr w:type="spellStart"/>
      <w:r w:rsidRPr="001F15BB">
        <w:rPr>
          <w:i/>
          <w:lang w:val="en-US"/>
        </w:rPr>
        <w:t>Teokset</w:t>
      </w:r>
      <w:proofErr w:type="spellEnd"/>
      <w:r w:rsidR="001F15BB" w:rsidRPr="001F15BB">
        <w:rPr>
          <w:lang w:val="en-US"/>
        </w:rPr>
        <w:t xml:space="preserve"> II, 40–41; AT7, </w:t>
      </w:r>
      <w:r w:rsidR="0077232F">
        <w:rPr>
          <w:lang w:val="en-US"/>
        </w:rPr>
        <w:t>29; CSM2, 19.</w:t>
      </w:r>
    </w:p>
  </w:footnote>
  <w:footnote w:id="7">
    <w:p w:rsidR="00CC3CC7" w:rsidRPr="0077232F" w:rsidRDefault="00CC3CC7">
      <w:pPr>
        <w:pStyle w:val="FootnoteText"/>
        <w:rPr>
          <w:lang w:val="en-US"/>
        </w:rPr>
      </w:pPr>
      <w:r>
        <w:rPr>
          <w:rStyle w:val="FootnoteReference"/>
        </w:rPr>
        <w:footnoteRef/>
      </w:r>
      <w:r w:rsidRPr="0077232F">
        <w:rPr>
          <w:lang w:val="en-US"/>
        </w:rPr>
        <w:t xml:space="preserve"> </w:t>
      </w:r>
      <w:proofErr w:type="spellStart"/>
      <w:r w:rsidRPr="0077232F">
        <w:rPr>
          <w:i/>
          <w:lang w:val="en-US"/>
        </w:rPr>
        <w:t>Teokset</w:t>
      </w:r>
      <w:proofErr w:type="spellEnd"/>
      <w:r w:rsidRPr="0077232F">
        <w:rPr>
          <w:i/>
          <w:lang w:val="en-US"/>
        </w:rPr>
        <w:t xml:space="preserve"> </w:t>
      </w:r>
      <w:r w:rsidR="0077232F" w:rsidRPr="0077232F">
        <w:rPr>
          <w:lang w:val="en-US"/>
        </w:rPr>
        <w:t xml:space="preserve">II, 41; AT7, </w:t>
      </w:r>
      <w:r w:rsidR="0077232F">
        <w:rPr>
          <w:lang w:val="en-US"/>
        </w:rPr>
        <w:t>30; CSM2, 20.</w:t>
      </w:r>
    </w:p>
  </w:footnote>
  <w:footnote w:id="8">
    <w:p w:rsidR="00CC3CC7" w:rsidRPr="0077232F" w:rsidRDefault="00CC3CC7">
      <w:pPr>
        <w:pStyle w:val="FootnoteText"/>
        <w:rPr>
          <w:lang w:val="en-US"/>
        </w:rPr>
      </w:pPr>
      <w:r>
        <w:rPr>
          <w:rStyle w:val="FootnoteReference"/>
        </w:rPr>
        <w:footnoteRef/>
      </w:r>
      <w:r w:rsidRPr="0077232F">
        <w:rPr>
          <w:lang w:val="en-US"/>
        </w:rPr>
        <w:t xml:space="preserve"> </w:t>
      </w:r>
      <w:proofErr w:type="spellStart"/>
      <w:r w:rsidR="008A0FAA" w:rsidRPr="0077232F">
        <w:rPr>
          <w:i/>
          <w:lang w:val="en-US"/>
        </w:rPr>
        <w:t>Teokset</w:t>
      </w:r>
      <w:proofErr w:type="spellEnd"/>
      <w:r w:rsidR="008A0FAA" w:rsidRPr="0077232F">
        <w:rPr>
          <w:i/>
          <w:lang w:val="en-US"/>
        </w:rPr>
        <w:t xml:space="preserve"> </w:t>
      </w:r>
      <w:r w:rsidR="0077232F" w:rsidRPr="0077232F">
        <w:rPr>
          <w:lang w:val="en-US"/>
        </w:rPr>
        <w:t>II, 41; AT7, 30; CSM2, 20.</w:t>
      </w:r>
    </w:p>
  </w:footnote>
  <w:footnote w:id="9">
    <w:p w:rsidR="008A0FAA" w:rsidRPr="00043F61" w:rsidRDefault="008A0FAA">
      <w:pPr>
        <w:pStyle w:val="FootnoteText"/>
      </w:pPr>
      <w:r>
        <w:rPr>
          <w:rStyle w:val="FootnoteReference"/>
        </w:rPr>
        <w:footnoteRef/>
      </w:r>
      <w:r>
        <w:t xml:space="preserve"> Monet aristoteelikot sitoutuivat </w:t>
      </w:r>
      <w:r w:rsidR="00043F61">
        <w:t>”</w:t>
      </w:r>
      <w:r>
        <w:t xml:space="preserve">peripateettiseen </w:t>
      </w:r>
      <w:r w:rsidR="00043F61">
        <w:t>aksioomaan”</w:t>
      </w:r>
      <w:r>
        <w:t xml:space="preserve">, jonka mukaan ymmärryksessä ei ole mitään mikä ei olisi johtunut sinne aisteista. </w:t>
      </w:r>
      <w:r w:rsidRPr="00043F61">
        <w:t xml:space="preserve">Hyödyllinen tarkastelu tästä teesistä on löydettävissä </w:t>
      </w:r>
      <w:proofErr w:type="spellStart"/>
      <w:r w:rsidR="00043F61" w:rsidRPr="00043F61">
        <w:t>Carrierolta</w:t>
      </w:r>
      <w:proofErr w:type="spellEnd"/>
      <w:r w:rsidR="00043F61" w:rsidRPr="00043F61">
        <w:t xml:space="preserve"> (2009, 11–16). Tuomas Akvinolainen, eräs merkittävimmistä keskiajan aristoteelikoista</w:t>
      </w:r>
      <w:r w:rsidR="00043F61">
        <w:t xml:space="preserve">, muotoilee aksiooman </w:t>
      </w:r>
      <w:r w:rsidR="00043F61" w:rsidRPr="00043F61">
        <w:rPr>
          <w:i/>
        </w:rPr>
        <w:t xml:space="preserve">De </w:t>
      </w:r>
      <w:proofErr w:type="spellStart"/>
      <w:r w:rsidR="00043F61" w:rsidRPr="00043F61">
        <w:rPr>
          <w:i/>
        </w:rPr>
        <w:t>Veritatessa</w:t>
      </w:r>
      <w:proofErr w:type="spellEnd"/>
      <w:r w:rsidR="00043F61">
        <w:t xml:space="preserve">: </w:t>
      </w:r>
      <w:r w:rsidR="00043F61" w:rsidRPr="00043F61">
        <w:t>“</w:t>
      </w:r>
      <w:proofErr w:type="spellStart"/>
      <w:r w:rsidR="00043F61" w:rsidRPr="00043F61">
        <w:t>nihil</w:t>
      </w:r>
      <w:proofErr w:type="spellEnd"/>
      <w:r w:rsidR="00043F61" w:rsidRPr="00043F61">
        <w:t xml:space="preserve"> </w:t>
      </w:r>
      <w:proofErr w:type="spellStart"/>
      <w:r w:rsidR="00043F61" w:rsidRPr="00043F61">
        <w:t>est</w:t>
      </w:r>
      <w:proofErr w:type="spellEnd"/>
      <w:r w:rsidR="00043F61" w:rsidRPr="00043F61">
        <w:t xml:space="preserve"> in </w:t>
      </w:r>
      <w:proofErr w:type="spellStart"/>
      <w:r w:rsidR="00043F61" w:rsidRPr="00043F61">
        <w:t>intellec</w:t>
      </w:r>
      <w:r w:rsidR="00043F61">
        <w:t>tu</w:t>
      </w:r>
      <w:proofErr w:type="spellEnd"/>
      <w:r w:rsidR="00043F61">
        <w:t xml:space="preserve"> </w:t>
      </w:r>
      <w:proofErr w:type="spellStart"/>
      <w:r w:rsidR="00043F61">
        <w:t>quod</w:t>
      </w:r>
      <w:proofErr w:type="spellEnd"/>
      <w:r w:rsidR="00043F61">
        <w:t xml:space="preserve"> </w:t>
      </w:r>
      <w:proofErr w:type="spellStart"/>
      <w:r w:rsidR="00043F61">
        <w:t>non</w:t>
      </w:r>
      <w:proofErr w:type="spellEnd"/>
      <w:r w:rsidR="00043F61">
        <w:t xml:space="preserve"> </w:t>
      </w:r>
      <w:proofErr w:type="spellStart"/>
      <w:r w:rsidR="00043F61">
        <w:t>sit</w:t>
      </w:r>
      <w:proofErr w:type="spellEnd"/>
      <w:r w:rsidR="00043F61">
        <w:t xml:space="preserve"> </w:t>
      </w:r>
      <w:proofErr w:type="spellStart"/>
      <w:r w:rsidR="00043F61">
        <w:t>prius</w:t>
      </w:r>
      <w:proofErr w:type="spellEnd"/>
      <w:r w:rsidR="00043F61">
        <w:t xml:space="preserve"> in </w:t>
      </w:r>
      <w:proofErr w:type="spellStart"/>
      <w:r w:rsidR="00043F61">
        <w:t>sensu</w:t>
      </w:r>
      <w:proofErr w:type="spellEnd"/>
      <w:r w:rsidR="00043F61">
        <w:t>” (2.3.19</w:t>
      </w:r>
      <w:r w:rsidR="00043F61" w:rsidRPr="00043F61">
        <w:t>)</w:t>
      </w:r>
      <w:r w:rsidR="00043F61">
        <w:t>.</w:t>
      </w:r>
    </w:p>
  </w:footnote>
  <w:footnote w:id="10">
    <w:p w:rsidR="00927247" w:rsidRPr="00927247" w:rsidRDefault="00927247">
      <w:pPr>
        <w:pStyle w:val="FootnoteText"/>
      </w:pPr>
      <w:r>
        <w:rPr>
          <w:rStyle w:val="FootnoteReference"/>
        </w:rPr>
        <w:footnoteRef/>
      </w:r>
      <w:r>
        <w:t xml:space="preserve"> </w:t>
      </w:r>
      <w:r>
        <w:rPr>
          <w:i/>
        </w:rPr>
        <w:t xml:space="preserve">Teokset </w:t>
      </w:r>
      <w:r w:rsidR="0077232F">
        <w:t>II, 42–43; AT7, 32; CSM2, 21.</w:t>
      </w:r>
    </w:p>
  </w:footnote>
  <w:footnote w:id="11">
    <w:p w:rsidR="009B057A" w:rsidRDefault="009B057A">
      <w:pPr>
        <w:pStyle w:val="FootnoteText"/>
      </w:pPr>
      <w:r>
        <w:rPr>
          <w:rStyle w:val="FootnoteReference"/>
        </w:rPr>
        <w:footnoteRef/>
      </w:r>
      <w:r>
        <w:t xml:space="preserve"> </w:t>
      </w:r>
      <w:r w:rsidR="006F68C3">
        <w:t xml:space="preserve">Lawrence </w:t>
      </w:r>
      <w:proofErr w:type="spellStart"/>
      <w:r w:rsidR="006F68C3">
        <w:t>Nolanin</w:t>
      </w:r>
      <w:proofErr w:type="spellEnd"/>
      <w:r w:rsidR="006F68C3">
        <w:t xml:space="preserve"> artikkeli (2011) on muun muassa myös kattava katsaus Descartesin väreihin liittyvästä kielenkäytöstä, ja siinä käsitellyt lukuisat esimerkit osoittavat hyvin Descartesin tiedostavan aistihavainnon yhteydessä eron aistimusten ja olioiden ominaisuuksien välillä.</w:t>
      </w:r>
    </w:p>
  </w:footnote>
  <w:footnote w:id="12">
    <w:p w:rsidR="00D07B46" w:rsidRPr="0077232F" w:rsidRDefault="00D07B46">
      <w:pPr>
        <w:pStyle w:val="FootnoteText"/>
        <w:rPr>
          <w:lang w:val="en-US"/>
        </w:rPr>
      </w:pPr>
      <w:r>
        <w:rPr>
          <w:rStyle w:val="FootnoteReference"/>
        </w:rPr>
        <w:footnoteRef/>
      </w:r>
      <w:r w:rsidRPr="0077232F">
        <w:rPr>
          <w:lang w:val="en-US"/>
        </w:rPr>
        <w:t xml:space="preserve"> </w:t>
      </w:r>
      <w:proofErr w:type="spellStart"/>
      <w:r w:rsidRPr="0077232F">
        <w:rPr>
          <w:i/>
          <w:lang w:val="en-US"/>
        </w:rPr>
        <w:t>Teokset</w:t>
      </w:r>
      <w:proofErr w:type="spellEnd"/>
      <w:r w:rsidRPr="0077232F">
        <w:rPr>
          <w:i/>
          <w:lang w:val="en-US"/>
        </w:rPr>
        <w:t xml:space="preserve"> </w:t>
      </w:r>
      <w:r w:rsidR="0077232F" w:rsidRPr="0077232F">
        <w:rPr>
          <w:lang w:val="en-US"/>
        </w:rPr>
        <w:t>II, 80–84; AT7, 83–90; CSM2, 58–62.</w:t>
      </w:r>
    </w:p>
  </w:footnote>
  <w:footnote w:id="13">
    <w:p w:rsidR="00BB6083" w:rsidRPr="00D5093D" w:rsidRDefault="00BB6083">
      <w:pPr>
        <w:pStyle w:val="FootnoteText"/>
        <w:rPr>
          <w:lang w:val="en-US"/>
        </w:rPr>
      </w:pPr>
      <w:r>
        <w:rPr>
          <w:rStyle w:val="FootnoteReference"/>
        </w:rPr>
        <w:footnoteRef/>
      </w:r>
      <w:r w:rsidRPr="00D5093D">
        <w:rPr>
          <w:lang w:val="en-US"/>
        </w:rPr>
        <w:t xml:space="preserve"> </w:t>
      </w:r>
      <w:proofErr w:type="spellStart"/>
      <w:r w:rsidRPr="00D5093D">
        <w:rPr>
          <w:i/>
          <w:lang w:val="en-US"/>
        </w:rPr>
        <w:t>Teokset</w:t>
      </w:r>
      <w:proofErr w:type="spellEnd"/>
      <w:r w:rsidR="0077232F" w:rsidRPr="00D5093D">
        <w:rPr>
          <w:lang w:val="en-US"/>
        </w:rPr>
        <w:t xml:space="preserve"> II, 310; AT7, 436–437; CSM2, 294–295.</w:t>
      </w:r>
    </w:p>
  </w:footnote>
  <w:footnote w:id="14">
    <w:p w:rsidR="00142F22" w:rsidRDefault="00142F22">
      <w:pPr>
        <w:pStyle w:val="FootnoteText"/>
      </w:pPr>
      <w:r>
        <w:rPr>
          <w:rStyle w:val="FootnoteReference"/>
        </w:rPr>
        <w:footnoteRef/>
      </w:r>
      <w:r>
        <w:t xml:space="preserve"> Haluan kiittää nimetöntä arvioijaa tämän selvennyksen tarpeellisuutta koskevasta kommentista.</w:t>
      </w:r>
    </w:p>
  </w:footnote>
  <w:footnote w:id="15">
    <w:p w:rsidR="00755718" w:rsidRDefault="00755718">
      <w:pPr>
        <w:pStyle w:val="FootnoteText"/>
      </w:pPr>
      <w:r>
        <w:rPr>
          <w:rStyle w:val="FootnoteReference"/>
        </w:rPr>
        <w:footnoteRef/>
      </w:r>
      <w:r>
        <w:t xml:space="preserve"> Kuudes mietiskely; </w:t>
      </w:r>
      <w:r>
        <w:rPr>
          <w:i/>
        </w:rPr>
        <w:t xml:space="preserve">Teokset </w:t>
      </w:r>
      <w:r w:rsidR="0077232F">
        <w:t>II, 78–84; AT7, 81–90; CSM2, 56–62.</w:t>
      </w:r>
      <w:r>
        <w:t xml:space="preserve"> Ks. myös kirje </w:t>
      </w:r>
      <w:proofErr w:type="spellStart"/>
      <w:r w:rsidRPr="00333727">
        <w:rPr>
          <w:i/>
        </w:rPr>
        <w:t>Regiukselle</w:t>
      </w:r>
      <w:proofErr w:type="spellEnd"/>
      <w:r w:rsidRPr="00333727">
        <w:rPr>
          <w:i/>
        </w:rPr>
        <w:t xml:space="preserve">, </w:t>
      </w:r>
      <w:proofErr w:type="spellStart"/>
      <w:r w:rsidRPr="00333727">
        <w:rPr>
          <w:i/>
        </w:rPr>
        <w:t>Endegeestistä</w:t>
      </w:r>
      <w:proofErr w:type="spellEnd"/>
      <w:r w:rsidRPr="00333727">
        <w:rPr>
          <w:i/>
        </w:rPr>
        <w:t xml:space="preserve"> tammikuussa 1642</w:t>
      </w:r>
      <w:r w:rsidR="005D5F60">
        <w:t>; Teokset III, 353; AT3, 493; CSMK, 206.</w:t>
      </w:r>
    </w:p>
  </w:footnote>
  <w:footnote w:id="16">
    <w:p w:rsidR="00F664C1" w:rsidRPr="00D5093D" w:rsidRDefault="00F664C1">
      <w:pPr>
        <w:pStyle w:val="FootnoteText"/>
      </w:pPr>
      <w:r>
        <w:rPr>
          <w:rStyle w:val="FootnoteReference"/>
        </w:rPr>
        <w:footnoteRef/>
      </w:r>
      <w:r w:rsidRPr="003009AF">
        <w:t xml:space="preserve"> </w:t>
      </w:r>
      <w:r w:rsidRPr="003009AF">
        <w:rPr>
          <w:i/>
        </w:rPr>
        <w:t xml:space="preserve">Teokset </w:t>
      </w:r>
      <w:r w:rsidR="00D5093D" w:rsidRPr="003009AF">
        <w:t>II, 187; AT7, 233; CSM2, 163</w:t>
      </w:r>
      <w:r w:rsidR="005D5F60" w:rsidRPr="003009AF">
        <w:t>.</w:t>
      </w:r>
    </w:p>
  </w:footnote>
  <w:footnote w:id="17">
    <w:p w:rsidR="00262B61" w:rsidRPr="00262B61" w:rsidRDefault="00262B61">
      <w:pPr>
        <w:pStyle w:val="FootnoteText"/>
      </w:pPr>
      <w:r>
        <w:rPr>
          <w:rStyle w:val="FootnoteReference"/>
        </w:rPr>
        <w:footnoteRef/>
      </w:r>
      <w:r w:rsidRPr="00262B61">
        <w:t xml:space="preserve"> Tässä esitetty näkemys on nähdäkseni yhteensopiva joidenkin </w:t>
      </w:r>
      <w:r>
        <w:t xml:space="preserve">muiden </w:t>
      </w:r>
      <w:r w:rsidRPr="00262B61">
        <w:t xml:space="preserve">viimeaikaisten tulkintojen kanssa, mutta </w:t>
      </w:r>
      <w:r>
        <w:t xml:space="preserve">täydentää niitä aistihavainnon mekanismin yksityiskohtien osalta merkittävästi. Esimerkiksi </w:t>
      </w:r>
      <w:proofErr w:type="spellStart"/>
      <w:r>
        <w:t>Carrieron</w:t>
      </w:r>
      <w:proofErr w:type="spellEnd"/>
      <w:r>
        <w:t xml:space="preserve"> (2009) näkemys on huomattava</w:t>
      </w:r>
      <w:r w:rsidR="0032589C">
        <w:t>n subjektikeskeinen, vaikka</w:t>
      </w:r>
      <w:r>
        <w:t xml:space="preserve"> Descartes</w:t>
      </w:r>
      <w:r w:rsidR="0032589C">
        <w:t xml:space="preserve"> nähdäkseni tavoittelee myös laajempaa teoreettista (metafyysistä, kausaalista, fysiologista) selitystä tarkastelluille ilmiöille, kuten aistimuksille. </w:t>
      </w:r>
    </w:p>
  </w:footnote>
  <w:footnote w:id="18">
    <w:p w:rsidR="0032589C" w:rsidRPr="0032589C" w:rsidRDefault="0032589C">
      <w:pPr>
        <w:pStyle w:val="FootnoteText"/>
      </w:pPr>
      <w:r>
        <w:rPr>
          <w:rStyle w:val="FootnoteReference"/>
        </w:rPr>
        <w:footnoteRef/>
      </w:r>
      <w:r w:rsidRPr="0032589C">
        <w:t xml:space="preserve"> Ehdottamani suoraviivainen tulkinta materiaalisesta epätotuudesta saattaa tarjota lisävalaistusta esimerkiksi </w:t>
      </w:r>
      <w:proofErr w:type="spellStart"/>
      <w:r w:rsidRPr="0032589C">
        <w:t>Carrieron</w:t>
      </w:r>
      <w:proofErr w:type="spellEnd"/>
      <w:r w:rsidRPr="0032589C">
        <w:t xml:space="preserve"> (2009) tulkintaan, joka jättää monia yksityiskohtia (erityisesti aistimusten relaatioista ruumiiseen ja ne aiheuttaviin objekteihin) tarkastelematta. </w:t>
      </w:r>
      <w:r>
        <w:t>Alasen (2003) tulkinnassa materiaalinen epätotuus koskee komplekseja aistimuksia, muttei lainkaan yksinkertaisia aistimuksia, joten näkemykseni tarjoaa kilpailevan vaihtoehdon sille.</w:t>
      </w:r>
      <w:r w:rsidR="00AA331A">
        <w:t xml:space="preserve"> Nähdäkseni useimmat tulkinnat materiaalisesta epätotuudesta kärsivät siitä, että kommentaattorit eivät ota huomioon sitä, että sekä ulkoiset objektit että havaitsijan sisäiset aistimukset voivat yhtälailla olla havainnonkohteina. Kun tämä yksinkertainen erottelu otetaan huomioon, myös Descartesin esitys asiasta muuttuu huomattavasti yksinkertaisemmaksi kuin on oletettu. Mainittakoon, että jo J. S. </w:t>
      </w:r>
      <w:proofErr w:type="spellStart"/>
      <w:r w:rsidR="00AA331A">
        <w:t>Mill</w:t>
      </w:r>
      <w:proofErr w:type="spellEnd"/>
      <w:r w:rsidR="00AA331A">
        <w:t xml:space="preserve"> huomautti </w:t>
      </w:r>
      <w:r w:rsidR="00AA331A" w:rsidRPr="00AA331A">
        <w:rPr>
          <w:i/>
        </w:rPr>
        <w:t xml:space="preserve">System of </w:t>
      </w:r>
      <w:proofErr w:type="spellStart"/>
      <w:r w:rsidR="00AA331A" w:rsidRPr="00AA331A">
        <w:rPr>
          <w:i/>
        </w:rPr>
        <w:t>Logicissa</w:t>
      </w:r>
      <w:proofErr w:type="spellEnd"/>
      <w:r w:rsidR="00AA331A">
        <w:rPr>
          <w:i/>
        </w:rPr>
        <w:t xml:space="preserve"> </w:t>
      </w:r>
      <w:r w:rsidR="00AA331A">
        <w:t xml:space="preserve">(I.v.1), että monet loistavat ajattelijat ovat ajautuneet mielenfilosofisiin sekaannuksiin, kun eivät ole erottaneet tarpeeksi hyvin mielen sisäistä prosessia ajattelun kohteista. Nähdäkseni sama ongelma vaivaa myös Descartes-tulkintoja materiaalisesta epätotuudesta: keskustelu keskittyy </w:t>
      </w:r>
      <w:r w:rsidR="00777BC8">
        <w:t xml:space="preserve">lähinnä </w:t>
      </w:r>
      <w:r w:rsidR="00AA331A" w:rsidRPr="00777BC8">
        <w:rPr>
          <w:i/>
        </w:rPr>
        <w:t>representaation</w:t>
      </w:r>
      <w:r w:rsidR="00AA331A">
        <w:t xml:space="preserve"> käsitteeseen</w:t>
      </w:r>
      <w:r w:rsidR="00777BC8">
        <w:t xml:space="preserve"> ja sen nimeämän ilmiön mahdolliseen luonteeseen</w:t>
      </w:r>
      <w:r w:rsidR="00AA331A">
        <w:t xml:space="preserve">, eikä </w:t>
      </w:r>
      <w:r w:rsidR="00777BC8">
        <w:t xml:space="preserve">olennaisia </w:t>
      </w:r>
      <w:r w:rsidR="00AA331A">
        <w:t>eroja havainnonkohteissa (ulkoisen olion ominaisuus vs. mielen oma aistimus)</w:t>
      </w:r>
      <w:r w:rsidR="00777BC8">
        <w:t xml:space="preserve"> tai kategorisesti erilaisissa asioissa (havainto vs. havainnon mekanismi)</w:t>
      </w:r>
      <w:r w:rsidR="00AA331A">
        <w:t xml:space="preserve"> oteta riittävästi huomioon. </w:t>
      </w:r>
      <w:r w:rsidR="00777BC8">
        <w:t>Vain mainitakseni muutamia esimerkkejä,</w:t>
      </w:r>
      <w:r w:rsidR="00AA331A">
        <w:t xml:space="preserve"> </w:t>
      </w:r>
      <w:proofErr w:type="spellStart"/>
      <w:r w:rsidR="00AA331A">
        <w:t>Simmons</w:t>
      </w:r>
      <w:r w:rsidR="00777BC8">
        <w:t>in</w:t>
      </w:r>
      <w:proofErr w:type="spellEnd"/>
      <w:r w:rsidR="00AA331A">
        <w:t xml:space="preserve"> (1999), Kaufman</w:t>
      </w:r>
      <w:r w:rsidR="00777BC8">
        <w:t>in</w:t>
      </w:r>
      <w:r w:rsidR="00AA331A">
        <w:t xml:space="preserve"> (2000), De Rosa</w:t>
      </w:r>
      <w:r w:rsidR="00777BC8">
        <w:t>n</w:t>
      </w:r>
      <w:r w:rsidR="00AA331A">
        <w:t xml:space="preserve"> (2010)</w:t>
      </w:r>
      <w:r w:rsidR="009D1FEA">
        <w:t xml:space="preserve"> ja </w:t>
      </w:r>
      <w:proofErr w:type="spellStart"/>
      <w:r w:rsidR="009D1FEA">
        <w:t>Hwangin</w:t>
      </w:r>
      <w:proofErr w:type="spellEnd"/>
      <w:r w:rsidR="009D1FEA">
        <w:t xml:space="preserve"> (2011)</w:t>
      </w:r>
      <w:r w:rsidR="00777BC8">
        <w:t xml:space="preserve"> tarkastelut kärsivät merkittävästi n</w:t>
      </w:r>
      <w:r w:rsidR="009D1FEA">
        <w:t xml:space="preserve">äiden erottelujen </w:t>
      </w:r>
      <w:proofErr w:type="spellStart"/>
      <w:r w:rsidR="009D1FEA">
        <w:t>huomiottajättämisestä</w:t>
      </w:r>
      <w:proofErr w:type="spellEnd"/>
      <w:r w:rsidR="009D1FEA">
        <w:t>.</w:t>
      </w:r>
    </w:p>
  </w:footnote>
  <w:footnote w:id="19">
    <w:p w:rsidR="00B5518F" w:rsidRPr="00D5093D" w:rsidRDefault="00B5518F" w:rsidP="00B5518F">
      <w:pPr>
        <w:pStyle w:val="FootnoteText"/>
        <w:rPr>
          <w:lang w:val="en-US"/>
        </w:rPr>
      </w:pPr>
      <w:r>
        <w:rPr>
          <w:rStyle w:val="FootnoteReference"/>
        </w:rPr>
        <w:footnoteRef/>
      </w:r>
      <w:r w:rsidRPr="00D5093D">
        <w:rPr>
          <w:i/>
          <w:lang w:val="en-US"/>
        </w:rPr>
        <w:t xml:space="preserve"> </w:t>
      </w:r>
      <w:r w:rsidRPr="00D5093D">
        <w:rPr>
          <w:lang w:val="en-US"/>
        </w:rPr>
        <w:t>1</w:t>
      </w:r>
      <w:proofErr w:type="gramStart"/>
      <w:r w:rsidRPr="00D5093D">
        <w:rPr>
          <w:lang w:val="en-US"/>
        </w:rPr>
        <w:t>:XLVI</w:t>
      </w:r>
      <w:proofErr w:type="gramEnd"/>
      <w:r w:rsidRPr="00D5093D">
        <w:rPr>
          <w:lang w:val="en-US"/>
        </w:rPr>
        <w:t xml:space="preserve">; </w:t>
      </w:r>
      <w:proofErr w:type="spellStart"/>
      <w:r w:rsidRPr="00D5093D">
        <w:rPr>
          <w:i/>
          <w:lang w:val="en-US"/>
        </w:rPr>
        <w:t>Teokset</w:t>
      </w:r>
      <w:proofErr w:type="spellEnd"/>
      <w:r w:rsidRPr="00D5093D">
        <w:rPr>
          <w:i/>
          <w:lang w:val="en-US"/>
        </w:rPr>
        <w:t xml:space="preserve"> </w:t>
      </w:r>
      <w:r w:rsidRPr="00D5093D">
        <w:rPr>
          <w:lang w:val="en-US"/>
        </w:rPr>
        <w:t>III,</w:t>
      </w:r>
      <w:r w:rsidR="005D5F60" w:rsidRPr="00D5093D">
        <w:rPr>
          <w:lang w:val="en-US"/>
        </w:rPr>
        <w:t xml:space="preserve"> 53; AT8A, 22; CSM1, 208.</w:t>
      </w:r>
    </w:p>
  </w:footnote>
  <w:footnote w:id="20">
    <w:p w:rsidR="00697054" w:rsidRDefault="00697054">
      <w:pPr>
        <w:pStyle w:val="FootnoteText"/>
      </w:pPr>
      <w:r>
        <w:rPr>
          <w:rStyle w:val="FootnoteReference"/>
        </w:rPr>
        <w:footnoteRef/>
      </w:r>
      <w:r>
        <w:t xml:space="preserve"> Ilmauksen toi osaksi filosofian käsitteistöä Gilbert </w:t>
      </w:r>
      <w:proofErr w:type="spellStart"/>
      <w:r>
        <w:t>Ryle</w:t>
      </w:r>
      <w:proofErr w:type="spellEnd"/>
      <w:r>
        <w:t xml:space="preserve"> kirjassaan </w:t>
      </w:r>
      <w:proofErr w:type="spellStart"/>
      <w:r w:rsidRPr="00697054">
        <w:rPr>
          <w:i/>
        </w:rPr>
        <w:t>Concept</w:t>
      </w:r>
      <w:proofErr w:type="spellEnd"/>
      <w:r w:rsidRPr="00697054">
        <w:rPr>
          <w:i/>
        </w:rPr>
        <w:t xml:space="preserve"> of </w:t>
      </w:r>
      <w:proofErr w:type="spellStart"/>
      <w:r w:rsidRPr="00697054">
        <w:rPr>
          <w:i/>
        </w:rPr>
        <w:t>Mind</w:t>
      </w:r>
      <w:proofErr w:type="spellEnd"/>
      <w:r w:rsidR="00310C56">
        <w:t>. Ehkä h</w:t>
      </w:r>
      <w:r>
        <w:t xml:space="preserve">ieman ironisesti kirjoitukseni näkökulmasta, </w:t>
      </w:r>
      <w:proofErr w:type="spellStart"/>
      <w:r>
        <w:t>Ryle</w:t>
      </w:r>
      <w:proofErr w:type="spellEnd"/>
      <w:r>
        <w:t xml:space="preserve"> käytti ilmausta kuvaamaan ongelmaa, jonka hän käsitti vaivaavan nimenomaan Descartesin mielikäsitystä.</w:t>
      </w:r>
    </w:p>
  </w:footnote>
  <w:footnote w:id="21">
    <w:p w:rsidR="005779F2" w:rsidRDefault="005779F2">
      <w:pPr>
        <w:pStyle w:val="FootnoteText"/>
      </w:pPr>
      <w:r>
        <w:rPr>
          <w:rStyle w:val="FootnoteReference"/>
        </w:rPr>
        <w:footnoteRef/>
      </w:r>
      <w:r>
        <w:t xml:space="preserve"> Esim. </w:t>
      </w:r>
      <w:proofErr w:type="spellStart"/>
      <w:r>
        <w:t>Milner</w:t>
      </w:r>
      <w:proofErr w:type="spellEnd"/>
      <w:r>
        <w:t xml:space="preserve"> ja </w:t>
      </w:r>
      <w:proofErr w:type="spellStart"/>
      <w:r>
        <w:t>Goodale</w:t>
      </w:r>
      <w:proofErr w:type="spellEnd"/>
      <w:r>
        <w:t xml:space="preserve"> 1998.</w:t>
      </w:r>
      <w:r w:rsidR="00310C56">
        <w:t xml:space="preserve"> Sokeanäköisten henkilöiden havaintokyky on kyllä merkittävästi puutteellinen verrattuna keskimääräisen näkökyvyn omaaviin, mutta suhteessa heidän kokemukseensa näköaistimusten täydellisestä puuttumisesta heidän toimintansa on hämmästyttävää.</w:t>
      </w:r>
    </w:p>
  </w:footnote>
  <w:footnote w:id="22">
    <w:p w:rsidR="00CC4A2B" w:rsidRDefault="00CC4A2B">
      <w:pPr>
        <w:pStyle w:val="FootnoteText"/>
      </w:pPr>
      <w:r>
        <w:rPr>
          <w:rStyle w:val="FootnoteReference"/>
        </w:rPr>
        <w:footnoteRef/>
      </w:r>
      <w:r>
        <w:t xml:space="preserve"> Jonkinlainen kausaalinen yhteys tai informaation välittyminen havaitsijan ja havainnonkohteen välillä lienee eittämättä välttämätön, mutta kyse on pikemmin tämän yhteyden täsmällisestä muodosta; onko yhteyden perustuttava nimenomaisesti koetuille aistimuksille.</w:t>
      </w:r>
    </w:p>
  </w:footnote>
  <w:footnote w:id="23">
    <w:p w:rsidR="00AF66E8" w:rsidRDefault="00AF66E8">
      <w:pPr>
        <w:pStyle w:val="FootnoteText"/>
      </w:pPr>
      <w:r>
        <w:rPr>
          <w:rStyle w:val="FootnoteReference"/>
        </w:rPr>
        <w:footnoteRef/>
      </w:r>
      <w:r>
        <w:t xml:space="preserve"> </w:t>
      </w:r>
      <w:proofErr w:type="spellStart"/>
      <w:r w:rsidR="00333727" w:rsidRPr="00333727">
        <w:rPr>
          <w:i/>
        </w:rPr>
        <w:t>Regiukselle</w:t>
      </w:r>
      <w:proofErr w:type="spellEnd"/>
      <w:r w:rsidR="00333727" w:rsidRPr="00333727">
        <w:rPr>
          <w:i/>
        </w:rPr>
        <w:t xml:space="preserve">, </w:t>
      </w:r>
      <w:proofErr w:type="spellStart"/>
      <w:r w:rsidR="00333727" w:rsidRPr="00333727">
        <w:rPr>
          <w:i/>
        </w:rPr>
        <w:t>Endegeestistä</w:t>
      </w:r>
      <w:proofErr w:type="spellEnd"/>
      <w:r w:rsidR="00333727" w:rsidRPr="00333727">
        <w:rPr>
          <w:i/>
        </w:rPr>
        <w:t xml:space="preserve"> tammikuussa 1642</w:t>
      </w:r>
      <w:r w:rsidR="005D5F60">
        <w:t>; Teokset III, 353; AT3, 493; CSMK, 206.</w:t>
      </w:r>
    </w:p>
  </w:footnote>
  <w:footnote w:id="24">
    <w:p w:rsidR="00BD5314" w:rsidRDefault="00BD5314">
      <w:pPr>
        <w:pStyle w:val="FootnoteText"/>
      </w:pPr>
      <w:r>
        <w:rPr>
          <w:rStyle w:val="FootnoteReference"/>
        </w:rPr>
        <w:footnoteRef/>
      </w:r>
      <w:r>
        <w:t xml:space="preserve"> </w:t>
      </w:r>
      <w:r w:rsidR="00C0324C">
        <w:t xml:space="preserve">Esim. </w:t>
      </w:r>
      <w:proofErr w:type="spellStart"/>
      <w:r w:rsidR="00C0324C">
        <w:t>Nagel</w:t>
      </w:r>
      <w:proofErr w:type="spellEnd"/>
      <w:r w:rsidR="00C0324C">
        <w:t xml:space="preserve"> 1974.</w:t>
      </w:r>
    </w:p>
  </w:footnote>
  <w:footnote w:id="25">
    <w:p w:rsidR="006A3660" w:rsidRDefault="006A3660">
      <w:pPr>
        <w:pStyle w:val="FootnoteText"/>
      </w:pPr>
      <w:r>
        <w:rPr>
          <w:rStyle w:val="FootnoteReference"/>
        </w:rPr>
        <w:footnoteRef/>
      </w:r>
      <w:r>
        <w:t xml:space="preserve"> Näkemys aistimusten ei-välttämättömyydestä havainnolle saattaa vaikuttaa oudolta, mutta ei ole ennen kuulumaton. Esimerkiksi James Gibson (1967) on argumentoinut (Descartesista riippumatta) tällaisen näkemyksen puolesta.</w:t>
      </w:r>
    </w:p>
  </w:footnote>
  <w:footnote w:id="26">
    <w:p w:rsidR="003770D6" w:rsidRPr="003770D6" w:rsidRDefault="003770D6">
      <w:pPr>
        <w:pStyle w:val="FootnoteText"/>
      </w:pPr>
      <w:r>
        <w:rPr>
          <w:rStyle w:val="FootnoteReference"/>
        </w:rPr>
        <w:footnoteRef/>
      </w:r>
      <w:r>
        <w:t xml:space="preserve"> </w:t>
      </w:r>
      <w:r>
        <w:rPr>
          <w:i/>
        </w:rPr>
        <w:t>Teokset</w:t>
      </w:r>
      <w:r w:rsidR="003009AF">
        <w:t xml:space="preserve"> II, 49; AT7, 40; CSM2, 27–28.</w:t>
      </w:r>
    </w:p>
  </w:footnote>
  <w:footnote w:id="27">
    <w:p w:rsidR="00610A97" w:rsidRDefault="00610A97">
      <w:pPr>
        <w:pStyle w:val="FootnoteText"/>
      </w:pPr>
      <w:r>
        <w:rPr>
          <w:rStyle w:val="FootnoteReference"/>
        </w:rPr>
        <w:footnoteRef/>
      </w:r>
      <w:r>
        <w:t xml:space="preserve"> Perinteinen tulkintalinja on ollut se, että objektiivinen reaalisuus tarkoittaisi vain ajattelumme ns. </w:t>
      </w:r>
      <w:proofErr w:type="spellStart"/>
      <w:r>
        <w:t>representoivia</w:t>
      </w:r>
      <w:proofErr w:type="spellEnd"/>
      <w:r>
        <w:t xml:space="preserve"> piirteitä, ja näin ollen </w:t>
      </w:r>
      <w:r w:rsidR="006474F8">
        <w:t>tarkoittaisi käytännössä päinvastaista kuin mitä sanalla ”objektiivinen” tänä päivänä ymmärrämme. T</w:t>
      </w:r>
      <w:r w:rsidR="00026FA4">
        <w:t>ämän vakiintuneen</w:t>
      </w:r>
      <w:r w:rsidR="006474F8">
        <w:t xml:space="preserve"> tulkintalinjan ovat haastaneet eri tavoin </w:t>
      </w:r>
      <w:r w:rsidR="00026FA4">
        <w:t>muiden muassa</w:t>
      </w:r>
      <w:r w:rsidR="006474F8">
        <w:t xml:space="preserve"> John </w:t>
      </w:r>
      <w:proofErr w:type="spellStart"/>
      <w:r w:rsidR="006474F8">
        <w:t>Yolton</w:t>
      </w:r>
      <w:proofErr w:type="spellEnd"/>
      <w:r w:rsidR="006474F8">
        <w:t xml:space="preserve"> (1984), Steven </w:t>
      </w:r>
      <w:proofErr w:type="spellStart"/>
      <w:r w:rsidR="006474F8">
        <w:t>Nadler</w:t>
      </w:r>
      <w:proofErr w:type="spellEnd"/>
      <w:r w:rsidR="006474F8">
        <w:t xml:space="preserve"> (1989), Lilli Alanen (2003), </w:t>
      </w:r>
      <w:proofErr w:type="spellStart"/>
      <w:r w:rsidR="006474F8">
        <w:t>Deborah</w:t>
      </w:r>
      <w:proofErr w:type="spellEnd"/>
      <w:r w:rsidR="006474F8">
        <w:t xml:space="preserve"> Brown (2007), John Carriero (2009) ja Olli Koistinen (2014).</w:t>
      </w:r>
    </w:p>
  </w:footnote>
  <w:footnote w:id="28">
    <w:p w:rsidR="00C85A19" w:rsidRPr="00C85A19" w:rsidRDefault="00C85A19">
      <w:pPr>
        <w:pStyle w:val="FootnoteText"/>
      </w:pPr>
      <w:r>
        <w:rPr>
          <w:rStyle w:val="FootnoteReference"/>
        </w:rPr>
        <w:footnoteRef/>
      </w:r>
      <w:r>
        <w:t xml:space="preserve"> </w:t>
      </w:r>
      <w:r>
        <w:rPr>
          <w:i/>
        </w:rPr>
        <w:t xml:space="preserve">Teokset </w:t>
      </w:r>
      <w:r w:rsidR="003009AF">
        <w:t>II, 50; AT7, 41; CSM2, 28–29.</w:t>
      </w:r>
    </w:p>
  </w:footnote>
  <w:footnote w:id="29">
    <w:p w:rsidR="007F36AA" w:rsidRPr="007F36AA" w:rsidRDefault="007F36AA">
      <w:pPr>
        <w:pStyle w:val="FootnoteText"/>
      </w:pPr>
      <w:r>
        <w:rPr>
          <w:rStyle w:val="FootnoteReference"/>
        </w:rPr>
        <w:footnoteRef/>
      </w:r>
      <w:r>
        <w:t xml:space="preserve"> Tämä tulkinta vaikuttaa hyvin perustellulta erityisesti vastauksista neljänsiin vastaväitteisiin (toinen osa) löytyvän materiaalista epätotuutta koskevan esityksen perusteella (</w:t>
      </w:r>
      <w:r>
        <w:rPr>
          <w:i/>
        </w:rPr>
        <w:t xml:space="preserve">Teokset </w:t>
      </w:r>
      <w:r>
        <w:t>II, 186–189</w:t>
      </w:r>
      <w:r w:rsidR="003009AF">
        <w:t>; AT7, 231–235; CSM2, 162–164</w:t>
      </w:r>
      <w:r>
        <w:t>).</w:t>
      </w:r>
    </w:p>
  </w:footnote>
  <w:footnote w:id="30">
    <w:p w:rsidR="006A3660" w:rsidRDefault="006A3660">
      <w:pPr>
        <w:pStyle w:val="FootnoteText"/>
      </w:pPr>
      <w:r>
        <w:rPr>
          <w:rStyle w:val="FootnoteReference"/>
        </w:rPr>
        <w:footnoteRef/>
      </w:r>
      <w:r>
        <w:t xml:space="preserve"> Brown (2007</w:t>
      </w:r>
      <w:r w:rsidR="00632401">
        <w:t>, 143–149</w:t>
      </w:r>
      <w:r>
        <w:t>) on</w:t>
      </w:r>
      <w:r w:rsidR="00632401">
        <w:t xml:space="preserve"> esittänyt samankaltaisen tulkinnan. Hän vaikuttaa kuitenkin ajattelevan, että kokemuksemme ”</w:t>
      </w:r>
      <w:proofErr w:type="spellStart"/>
      <w:r w:rsidR="00632401">
        <w:t>representationaaliset</w:t>
      </w:r>
      <w:proofErr w:type="spellEnd"/>
      <w:r w:rsidR="00632401">
        <w:t xml:space="preserve"> piirteet” ovat olennainen osa objektiivista realiteettia, mikä minusta vaikuttaa virheeltä. En myöskään ole aivan varma mitä ”</w:t>
      </w:r>
      <w:proofErr w:type="spellStart"/>
      <w:r w:rsidR="00632401">
        <w:t>representationaaliset</w:t>
      </w:r>
      <w:proofErr w:type="spellEnd"/>
      <w:r w:rsidR="00632401">
        <w:t xml:space="preserve"> piirteet” Brownille ovat, mutta olen valmis hyväksymään Brownin kielenkäytön, mikäli niillä tarkoitetaan vain maailman olioiden havaitsemisen tapoja, eikä kokemuksen väitettyjä ”</w:t>
      </w:r>
      <w:proofErr w:type="spellStart"/>
      <w:r w:rsidR="00632401">
        <w:t>imagistisia</w:t>
      </w:r>
      <w:proofErr w:type="spellEnd"/>
      <w:r w:rsidR="00632401">
        <w:t>” ominaisuuksia. Jälkimmäisten postuloiminen Descartesille näyttää perustuvan aistimusten</w:t>
      </w:r>
      <w:r w:rsidR="00765C2F">
        <w:t xml:space="preserve"> ja aistin-ideoiden</w:t>
      </w:r>
      <w:r w:rsidR="00632401">
        <w:t xml:space="preserve"> samaistamiseen, mikä näyttää minusta virheeltä. </w:t>
      </w:r>
      <w:r w:rsidR="00632401" w:rsidRPr="00765C2F">
        <w:rPr>
          <w:i/>
        </w:rPr>
        <w:t>Aistin-idea</w:t>
      </w:r>
      <w:r w:rsidR="00632401">
        <w:t xml:space="preserve"> </w:t>
      </w:r>
      <w:r w:rsidR="00765C2F">
        <w:t>on idea ulkoisesta oliosta, joka idea</w:t>
      </w:r>
      <w:r w:rsidR="00632401">
        <w:t xml:space="preserve"> on aisteista riippuvainen; </w:t>
      </w:r>
      <w:r w:rsidR="00632401" w:rsidRPr="00765C2F">
        <w:rPr>
          <w:i/>
        </w:rPr>
        <w:t>aistimuksen</w:t>
      </w:r>
      <w:r w:rsidR="00632401">
        <w:t xml:space="preserve"> (esim. punaisen)</w:t>
      </w:r>
      <w:r w:rsidR="00632401" w:rsidRPr="00765C2F">
        <w:rPr>
          <w:i/>
        </w:rPr>
        <w:t xml:space="preserve"> idea </w:t>
      </w:r>
      <w:r w:rsidR="00765C2F">
        <w:t>on idea aistimuksesta. Näistä ei sinänsä seuraa, että aistimukset sinänsä olisivat ideoita, vaikka usein näin näytetään (ilman argumentaatiota) Descartes-tutkimuksessa olettavan.</w:t>
      </w:r>
    </w:p>
  </w:footnote>
  <w:footnote w:id="31">
    <w:p w:rsidR="000D7E9B" w:rsidRPr="000D7E9B" w:rsidRDefault="000D7E9B">
      <w:pPr>
        <w:pStyle w:val="FootnoteText"/>
      </w:pPr>
      <w:r>
        <w:rPr>
          <w:rStyle w:val="FootnoteReference"/>
        </w:rPr>
        <w:footnoteRef/>
      </w:r>
      <w:r>
        <w:t xml:space="preserve"> Ks. Ensimmäinen mietiskely; </w:t>
      </w:r>
      <w:r>
        <w:rPr>
          <w:i/>
        </w:rPr>
        <w:t xml:space="preserve">Teokset </w:t>
      </w:r>
      <w:r w:rsidR="003009AF">
        <w:t>II, 32; AT7, 17–18; CSM2, 12.</w:t>
      </w:r>
    </w:p>
  </w:footnote>
  <w:footnote w:id="32">
    <w:p w:rsidR="00977CDF" w:rsidRDefault="00977CDF" w:rsidP="00977CDF">
      <w:pPr>
        <w:pStyle w:val="FootnoteText"/>
      </w:pPr>
      <w:r>
        <w:rPr>
          <w:rStyle w:val="FootnoteReference"/>
        </w:rPr>
        <w:footnoteRef/>
      </w:r>
      <w:r>
        <w:t xml:space="preserve"> Tämä seikka erottaa tässä ehdotetun tulkinnan monista muista ”kausaalisista” havainnontulkinnoista Descartes-tutkimuksessa. Perinteinen kausaalinen havainnon teoria käsittää aistimukset kausaalisesti aiheutetuiksi, mutta olettaa niiden olevan ”raaka-dataa” (so. ikään kuin premissejä) päättelyille. Hieman uudemmista Descartesia koskevista kausaalisista (aisti)havainnon tulkinnoista mainittakoon De Rosan (2010) </w:t>
      </w:r>
      <w:proofErr w:type="spellStart"/>
      <w:r>
        <w:t>deskriptivistis</w:t>
      </w:r>
      <w:proofErr w:type="spellEnd"/>
      <w:r>
        <w:t>-kausaalinen tulkinta. Keskeisin ero näkemykseni ja De Rosan tulkinnan välillä on siinä, että De Rosa ei näytä havaitsevan sitä, että aistiperustainen havaintotiedon luotettavuus pitää selittää muutoin, kuin vain ei-tiedollisiin relaatioihin vetoamalla. Esittämässäni näkemyksessä havaitsijan pitää ymmärtää havainnon kausaalinen perusta oikein (so. Descartesin metafysiikka ja fysiologia), jotta voi luottaa omiin aistiperustaisiin arvostelmiinsa ulkoisista objekteista.</w:t>
      </w:r>
      <w:r w:rsidR="00777BC8">
        <w:t xml:space="preserve"> Muista eroista tässä esitetyn tulkinnan kanssa, ks. alaviite 18 yllä.</w:t>
      </w:r>
    </w:p>
  </w:footnote>
  <w:footnote w:id="33">
    <w:p w:rsidR="00601CA1" w:rsidRDefault="00601CA1">
      <w:pPr>
        <w:pStyle w:val="FootnoteText"/>
      </w:pPr>
      <w:r>
        <w:rPr>
          <w:rStyle w:val="FootnoteReference"/>
        </w:rPr>
        <w:footnoteRef/>
      </w:r>
      <w:r>
        <w:t xml:space="preserve"> Esimerkiksi Paul Hoffman</w:t>
      </w:r>
      <w:r w:rsidR="00AD6147">
        <w:t xml:space="preserve"> (2002)</w:t>
      </w:r>
      <w:r>
        <w:t xml:space="preserve"> on esittänyt tässä esitellyn kritiikin suurin piirtein samassa muodossa.</w:t>
      </w:r>
    </w:p>
  </w:footnote>
  <w:footnote w:id="34">
    <w:p w:rsidR="00CA63F3" w:rsidRDefault="00CA63F3">
      <w:pPr>
        <w:pStyle w:val="FootnoteText"/>
      </w:pPr>
      <w:r>
        <w:rPr>
          <w:rStyle w:val="FootnoteReference"/>
        </w:rPr>
        <w:footnoteRef/>
      </w:r>
      <w:r>
        <w:t xml:space="preserve"> Wilson 1978, 111.</w:t>
      </w:r>
      <w:r w:rsidR="00C93620">
        <w:t xml:space="preserve"> Brown (2007, </w:t>
      </w:r>
      <w:r w:rsidR="005141E3">
        <w:t>148, erit. alaviite 34)</w:t>
      </w:r>
      <w:r w:rsidR="00C93620">
        <w:t xml:space="preserve"> esittää samankaltaisen, mutta </w:t>
      </w:r>
      <w:r w:rsidR="005141E3">
        <w:t xml:space="preserve">jokseenkin </w:t>
      </w:r>
      <w:r w:rsidR="00C93620">
        <w:t>eri perusteista etenevän</w:t>
      </w:r>
      <w:r w:rsidR="005141E3">
        <w:t xml:space="preserve"> kritiikin Wilsonin näkemystä</w:t>
      </w:r>
      <w:r w:rsidR="00C93620">
        <w:t xml:space="preserve"> kohtaan kuin</w:t>
      </w:r>
      <w:r w:rsidR="005141E3">
        <w:t xml:space="preserve"> jonka tässä esitän</w:t>
      </w:r>
      <w:r w:rsidR="00C93620">
        <w:t>.</w:t>
      </w:r>
    </w:p>
  </w:footnote>
  <w:footnote w:id="35">
    <w:p w:rsidR="00585E10" w:rsidRPr="00585E10" w:rsidRDefault="00585E10">
      <w:pPr>
        <w:pStyle w:val="FootnoteText"/>
      </w:pPr>
      <w:r>
        <w:rPr>
          <w:rStyle w:val="FootnoteReference"/>
        </w:rPr>
        <w:footnoteRef/>
      </w:r>
      <w:r>
        <w:t xml:space="preserve"> </w:t>
      </w:r>
      <w:r>
        <w:rPr>
          <w:i/>
        </w:rPr>
        <w:t xml:space="preserve">Teokset </w:t>
      </w:r>
      <w:r w:rsidR="003009AF">
        <w:t>II, 97–98; AT7, 103–105; CSM2, 75–77.</w:t>
      </w:r>
    </w:p>
  </w:footnote>
  <w:footnote w:id="36">
    <w:p w:rsidR="00751495" w:rsidRDefault="00751495" w:rsidP="00751495">
      <w:pPr>
        <w:pStyle w:val="FootnoteText"/>
      </w:pPr>
      <w:r>
        <w:rPr>
          <w:rStyle w:val="FootnoteReference"/>
        </w:rPr>
        <w:footnoteRef/>
      </w:r>
      <w:r>
        <w:t xml:space="preserve"> </w:t>
      </w:r>
      <w:bookmarkStart w:id="0" w:name="_GoBack"/>
      <w:r w:rsidRPr="0081220B">
        <w:rPr>
          <w:i/>
        </w:rPr>
        <w:t>Teokset</w:t>
      </w:r>
      <w:r w:rsidR="003009AF">
        <w:t xml:space="preserve"> II, 42; AT7, 31; CSM2, 21.</w:t>
      </w:r>
      <w:r w:rsidR="000D7E9B">
        <w:t xml:space="preserve"> </w:t>
      </w:r>
      <w:proofErr w:type="spellStart"/>
      <w:r w:rsidR="000D7E9B">
        <w:t>Carriero</w:t>
      </w:r>
      <w:proofErr w:type="spellEnd"/>
      <w:r w:rsidR="000D7E9B">
        <w:t xml:space="preserve"> (2009) esittää kirja</w:t>
      </w:r>
      <w:r w:rsidR="00777BC8">
        <w:t>nsa esipuheessa saman tulkinnan.</w:t>
      </w:r>
      <w:bookmarkEnd w:id="0"/>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D6B82" w:rsidRDefault="006D6B82">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D6B82" w:rsidRDefault="006D6B82">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D6B82" w:rsidRDefault="006D6B82">
    <w:pPr>
      <w:pStyle w:val="Head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removePersonalInformation/>
  <w:removeDateAndTime/>
  <w:activeWritingStyle w:appName="MSWord" w:lang="fi-FI" w:vendorID="64" w:dllVersion="131078" w:nlCheck="1" w:checkStyle="0"/>
  <w:activeWritingStyle w:appName="MSWord" w:lang="en-US" w:vendorID="64" w:dllVersion="131078" w:nlCheck="1" w:checkStyle="1"/>
  <w:proofState w:spelling="clean" w:grammar="clean"/>
  <w:defaultTabStop w:val="720"/>
  <w:hyphenationZone w:val="425"/>
  <w:drawingGridHorizontalSpacing w:val="110"/>
  <w:displayHorizontalDrawingGridEvery w:val="2"/>
  <w:displayVertic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37A16"/>
    <w:rsid w:val="00003544"/>
    <w:rsid w:val="000048D0"/>
    <w:rsid w:val="00025B2B"/>
    <w:rsid w:val="00026FA4"/>
    <w:rsid w:val="000270DB"/>
    <w:rsid w:val="0002751F"/>
    <w:rsid w:val="00035D2A"/>
    <w:rsid w:val="00043F61"/>
    <w:rsid w:val="00047C0C"/>
    <w:rsid w:val="0005501C"/>
    <w:rsid w:val="00075516"/>
    <w:rsid w:val="00075CA1"/>
    <w:rsid w:val="000A03D3"/>
    <w:rsid w:val="000A04E9"/>
    <w:rsid w:val="000A0C88"/>
    <w:rsid w:val="000A2E69"/>
    <w:rsid w:val="000A4A06"/>
    <w:rsid w:val="000A78B0"/>
    <w:rsid w:val="000B29C8"/>
    <w:rsid w:val="000B2F3E"/>
    <w:rsid w:val="000B5D34"/>
    <w:rsid w:val="000C5259"/>
    <w:rsid w:val="000D7E9B"/>
    <w:rsid w:val="000F21A8"/>
    <w:rsid w:val="00104A32"/>
    <w:rsid w:val="0011210D"/>
    <w:rsid w:val="00114B3C"/>
    <w:rsid w:val="001158E5"/>
    <w:rsid w:val="0011781D"/>
    <w:rsid w:val="001255DB"/>
    <w:rsid w:val="00131EEA"/>
    <w:rsid w:val="00133848"/>
    <w:rsid w:val="00136718"/>
    <w:rsid w:val="00142F22"/>
    <w:rsid w:val="00146A81"/>
    <w:rsid w:val="00150BA3"/>
    <w:rsid w:val="00153C9C"/>
    <w:rsid w:val="00154104"/>
    <w:rsid w:val="001643E1"/>
    <w:rsid w:val="001740E0"/>
    <w:rsid w:val="00181291"/>
    <w:rsid w:val="001B2C99"/>
    <w:rsid w:val="001F040C"/>
    <w:rsid w:val="001F15BB"/>
    <w:rsid w:val="001F4BC8"/>
    <w:rsid w:val="00202AAF"/>
    <w:rsid w:val="00207377"/>
    <w:rsid w:val="00207983"/>
    <w:rsid w:val="002112EF"/>
    <w:rsid w:val="00213B40"/>
    <w:rsid w:val="00237670"/>
    <w:rsid w:val="00253FA2"/>
    <w:rsid w:val="00262B61"/>
    <w:rsid w:val="002671DD"/>
    <w:rsid w:val="00271945"/>
    <w:rsid w:val="002826C5"/>
    <w:rsid w:val="00286EF3"/>
    <w:rsid w:val="002A48FA"/>
    <w:rsid w:val="002E7329"/>
    <w:rsid w:val="002F418B"/>
    <w:rsid w:val="002F7B82"/>
    <w:rsid w:val="003009AF"/>
    <w:rsid w:val="00310C56"/>
    <w:rsid w:val="00310CF4"/>
    <w:rsid w:val="00313D78"/>
    <w:rsid w:val="0032589C"/>
    <w:rsid w:val="00326EE2"/>
    <w:rsid w:val="00333727"/>
    <w:rsid w:val="00356F9F"/>
    <w:rsid w:val="0036698F"/>
    <w:rsid w:val="003707F6"/>
    <w:rsid w:val="003766EF"/>
    <w:rsid w:val="003770D6"/>
    <w:rsid w:val="0038000F"/>
    <w:rsid w:val="003823B8"/>
    <w:rsid w:val="003B5444"/>
    <w:rsid w:val="003D0015"/>
    <w:rsid w:val="003D3D17"/>
    <w:rsid w:val="003E52DC"/>
    <w:rsid w:val="003F3796"/>
    <w:rsid w:val="003F4FCB"/>
    <w:rsid w:val="003F7A82"/>
    <w:rsid w:val="00407467"/>
    <w:rsid w:val="00420890"/>
    <w:rsid w:val="00421EA0"/>
    <w:rsid w:val="00423BCA"/>
    <w:rsid w:val="004311B5"/>
    <w:rsid w:val="0043292E"/>
    <w:rsid w:val="00454629"/>
    <w:rsid w:val="0046297C"/>
    <w:rsid w:val="004634D0"/>
    <w:rsid w:val="004636F5"/>
    <w:rsid w:val="004715D4"/>
    <w:rsid w:val="00484CBF"/>
    <w:rsid w:val="00490CDC"/>
    <w:rsid w:val="004B5F04"/>
    <w:rsid w:val="004C3F55"/>
    <w:rsid w:val="004C44CF"/>
    <w:rsid w:val="004D4AA7"/>
    <w:rsid w:val="004E1B43"/>
    <w:rsid w:val="004F501D"/>
    <w:rsid w:val="00501ADB"/>
    <w:rsid w:val="0050663A"/>
    <w:rsid w:val="00513C5C"/>
    <w:rsid w:val="005141E3"/>
    <w:rsid w:val="00516276"/>
    <w:rsid w:val="005179D4"/>
    <w:rsid w:val="0052145A"/>
    <w:rsid w:val="005238BA"/>
    <w:rsid w:val="00527A94"/>
    <w:rsid w:val="00531E01"/>
    <w:rsid w:val="005320BE"/>
    <w:rsid w:val="005447C2"/>
    <w:rsid w:val="00554AD9"/>
    <w:rsid w:val="00567A96"/>
    <w:rsid w:val="005779F2"/>
    <w:rsid w:val="00585E10"/>
    <w:rsid w:val="005A19A5"/>
    <w:rsid w:val="005B495D"/>
    <w:rsid w:val="005B4A70"/>
    <w:rsid w:val="005B6E52"/>
    <w:rsid w:val="005C7DB2"/>
    <w:rsid w:val="005D5F60"/>
    <w:rsid w:val="005D6802"/>
    <w:rsid w:val="005F4439"/>
    <w:rsid w:val="005F4F9F"/>
    <w:rsid w:val="005F6708"/>
    <w:rsid w:val="005F7173"/>
    <w:rsid w:val="00601CA1"/>
    <w:rsid w:val="00610A97"/>
    <w:rsid w:val="00626C3D"/>
    <w:rsid w:val="00632401"/>
    <w:rsid w:val="006474F8"/>
    <w:rsid w:val="0065110F"/>
    <w:rsid w:val="0065630C"/>
    <w:rsid w:val="00685873"/>
    <w:rsid w:val="00697054"/>
    <w:rsid w:val="006A3660"/>
    <w:rsid w:val="006A5ADE"/>
    <w:rsid w:val="006B0CBA"/>
    <w:rsid w:val="006C3632"/>
    <w:rsid w:val="006D6B82"/>
    <w:rsid w:val="006F68C3"/>
    <w:rsid w:val="007014AA"/>
    <w:rsid w:val="00707609"/>
    <w:rsid w:val="00710A02"/>
    <w:rsid w:val="00720F54"/>
    <w:rsid w:val="00725518"/>
    <w:rsid w:val="0072592A"/>
    <w:rsid w:val="007328C2"/>
    <w:rsid w:val="00734EC5"/>
    <w:rsid w:val="00740CA8"/>
    <w:rsid w:val="00751495"/>
    <w:rsid w:val="00755718"/>
    <w:rsid w:val="00765C2F"/>
    <w:rsid w:val="0077232F"/>
    <w:rsid w:val="0077461F"/>
    <w:rsid w:val="0077519B"/>
    <w:rsid w:val="00777BC8"/>
    <w:rsid w:val="00785EAE"/>
    <w:rsid w:val="007A24E7"/>
    <w:rsid w:val="007A3B32"/>
    <w:rsid w:val="007A5A0E"/>
    <w:rsid w:val="007A5C03"/>
    <w:rsid w:val="007A74C2"/>
    <w:rsid w:val="007B0C7C"/>
    <w:rsid w:val="007B446F"/>
    <w:rsid w:val="007B5573"/>
    <w:rsid w:val="007B6165"/>
    <w:rsid w:val="007D3C3A"/>
    <w:rsid w:val="007F36AA"/>
    <w:rsid w:val="00803365"/>
    <w:rsid w:val="008101D4"/>
    <w:rsid w:val="0081220B"/>
    <w:rsid w:val="00812E2A"/>
    <w:rsid w:val="00814611"/>
    <w:rsid w:val="00820292"/>
    <w:rsid w:val="008350B3"/>
    <w:rsid w:val="008358FD"/>
    <w:rsid w:val="00847671"/>
    <w:rsid w:val="008522E5"/>
    <w:rsid w:val="0086102A"/>
    <w:rsid w:val="008611A9"/>
    <w:rsid w:val="00870967"/>
    <w:rsid w:val="00874CD2"/>
    <w:rsid w:val="008762BD"/>
    <w:rsid w:val="008767F3"/>
    <w:rsid w:val="00880F97"/>
    <w:rsid w:val="00884BBD"/>
    <w:rsid w:val="00896877"/>
    <w:rsid w:val="008A0FAA"/>
    <w:rsid w:val="008D4D8C"/>
    <w:rsid w:val="008E56C9"/>
    <w:rsid w:val="008F6815"/>
    <w:rsid w:val="00901005"/>
    <w:rsid w:val="0090586E"/>
    <w:rsid w:val="00920003"/>
    <w:rsid w:val="00923BBF"/>
    <w:rsid w:val="00927247"/>
    <w:rsid w:val="0093118D"/>
    <w:rsid w:val="0093184E"/>
    <w:rsid w:val="00951083"/>
    <w:rsid w:val="00954605"/>
    <w:rsid w:val="009605AC"/>
    <w:rsid w:val="00963159"/>
    <w:rsid w:val="009634DB"/>
    <w:rsid w:val="00971AF5"/>
    <w:rsid w:val="00977CDF"/>
    <w:rsid w:val="009A1044"/>
    <w:rsid w:val="009A4976"/>
    <w:rsid w:val="009B057A"/>
    <w:rsid w:val="009C0A92"/>
    <w:rsid w:val="009D1FEA"/>
    <w:rsid w:val="009E225D"/>
    <w:rsid w:val="009F0367"/>
    <w:rsid w:val="009F081F"/>
    <w:rsid w:val="00A057F8"/>
    <w:rsid w:val="00A06A3B"/>
    <w:rsid w:val="00A10704"/>
    <w:rsid w:val="00A34BF9"/>
    <w:rsid w:val="00A40179"/>
    <w:rsid w:val="00A7009D"/>
    <w:rsid w:val="00A76C67"/>
    <w:rsid w:val="00A90EF8"/>
    <w:rsid w:val="00A95EB5"/>
    <w:rsid w:val="00A96C11"/>
    <w:rsid w:val="00AA331A"/>
    <w:rsid w:val="00AD5D9E"/>
    <w:rsid w:val="00AD6147"/>
    <w:rsid w:val="00AF66E8"/>
    <w:rsid w:val="00B03072"/>
    <w:rsid w:val="00B03484"/>
    <w:rsid w:val="00B07BD1"/>
    <w:rsid w:val="00B177E0"/>
    <w:rsid w:val="00B276AA"/>
    <w:rsid w:val="00B37A16"/>
    <w:rsid w:val="00B5518F"/>
    <w:rsid w:val="00B66A62"/>
    <w:rsid w:val="00B66C34"/>
    <w:rsid w:val="00B712B9"/>
    <w:rsid w:val="00B80CF2"/>
    <w:rsid w:val="00BA17A6"/>
    <w:rsid w:val="00BA440E"/>
    <w:rsid w:val="00BA724C"/>
    <w:rsid w:val="00BB6083"/>
    <w:rsid w:val="00BD30A8"/>
    <w:rsid w:val="00BD5314"/>
    <w:rsid w:val="00BD6193"/>
    <w:rsid w:val="00BE0EEF"/>
    <w:rsid w:val="00BE56D7"/>
    <w:rsid w:val="00BE5A04"/>
    <w:rsid w:val="00BF273B"/>
    <w:rsid w:val="00C0324C"/>
    <w:rsid w:val="00C12FD9"/>
    <w:rsid w:val="00C22897"/>
    <w:rsid w:val="00C238EC"/>
    <w:rsid w:val="00C32873"/>
    <w:rsid w:val="00C523A6"/>
    <w:rsid w:val="00C62856"/>
    <w:rsid w:val="00C67CF2"/>
    <w:rsid w:val="00C70208"/>
    <w:rsid w:val="00C71095"/>
    <w:rsid w:val="00C713F1"/>
    <w:rsid w:val="00C72B47"/>
    <w:rsid w:val="00C85A19"/>
    <w:rsid w:val="00C92DBD"/>
    <w:rsid w:val="00C93620"/>
    <w:rsid w:val="00C959E3"/>
    <w:rsid w:val="00C9734B"/>
    <w:rsid w:val="00CA4754"/>
    <w:rsid w:val="00CA63F3"/>
    <w:rsid w:val="00CB117D"/>
    <w:rsid w:val="00CB50E1"/>
    <w:rsid w:val="00CC3985"/>
    <w:rsid w:val="00CC3CC7"/>
    <w:rsid w:val="00CC4A2B"/>
    <w:rsid w:val="00CC5978"/>
    <w:rsid w:val="00CD4CDE"/>
    <w:rsid w:val="00CD7C8B"/>
    <w:rsid w:val="00CE6B83"/>
    <w:rsid w:val="00CF3F2C"/>
    <w:rsid w:val="00CF75D9"/>
    <w:rsid w:val="00D01B5F"/>
    <w:rsid w:val="00D07B46"/>
    <w:rsid w:val="00D10B65"/>
    <w:rsid w:val="00D21B86"/>
    <w:rsid w:val="00D33E72"/>
    <w:rsid w:val="00D5093D"/>
    <w:rsid w:val="00D51154"/>
    <w:rsid w:val="00D66598"/>
    <w:rsid w:val="00D74068"/>
    <w:rsid w:val="00D819FE"/>
    <w:rsid w:val="00D8251D"/>
    <w:rsid w:val="00D865B3"/>
    <w:rsid w:val="00D90BED"/>
    <w:rsid w:val="00D91292"/>
    <w:rsid w:val="00D91A7D"/>
    <w:rsid w:val="00DA2E80"/>
    <w:rsid w:val="00DA4B50"/>
    <w:rsid w:val="00DC4CA5"/>
    <w:rsid w:val="00DD1DDF"/>
    <w:rsid w:val="00DD5FA6"/>
    <w:rsid w:val="00DD73AD"/>
    <w:rsid w:val="00DF6505"/>
    <w:rsid w:val="00E03818"/>
    <w:rsid w:val="00E05AA3"/>
    <w:rsid w:val="00E06835"/>
    <w:rsid w:val="00E0797D"/>
    <w:rsid w:val="00E11619"/>
    <w:rsid w:val="00E2091C"/>
    <w:rsid w:val="00E37EC1"/>
    <w:rsid w:val="00E42CA3"/>
    <w:rsid w:val="00E63B94"/>
    <w:rsid w:val="00E6678F"/>
    <w:rsid w:val="00E80CBD"/>
    <w:rsid w:val="00E828EA"/>
    <w:rsid w:val="00E850B4"/>
    <w:rsid w:val="00E85A37"/>
    <w:rsid w:val="00E86795"/>
    <w:rsid w:val="00EA7BD3"/>
    <w:rsid w:val="00EB39E7"/>
    <w:rsid w:val="00EC33CF"/>
    <w:rsid w:val="00EE5A69"/>
    <w:rsid w:val="00EE5AD6"/>
    <w:rsid w:val="00EE68A2"/>
    <w:rsid w:val="00EE6B96"/>
    <w:rsid w:val="00F10B3A"/>
    <w:rsid w:val="00F16379"/>
    <w:rsid w:val="00F21EA8"/>
    <w:rsid w:val="00F328DE"/>
    <w:rsid w:val="00F344DF"/>
    <w:rsid w:val="00F4340D"/>
    <w:rsid w:val="00F45B7A"/>
    <w:rsid w:val="00F630F6"/>
    <w:rsid w:val="00F64AD5"/>
    <w:rsid w:val="00F664C1"/>
    <w:rsid w:val="00F82570"/>
    <w:rsid w:val="00F91B22"/>
    <w:rsid w:val="00F9692C"/>
    <w:rsid w:val="00F96B47"/>
    <w:rsid w:val="00FF51B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70FDE5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240" w:line="480" w:lineRule="auto"/>
        <w:ind w:firstLine="360"/>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B37A16"/>
    <w:pPr>
      <w:spacing w:line="276" w:lineRule="auto"/>
      <w:ind w:firstLine="0"/>
    </w:pPr>
    <w:rPr>
      <w:sz w:val="24"/>
      <w:szCs w:val="24"/>
      <w:lang w:val="fi-FI"/>
    </w:rPr>
  </w:style>
  <w:style w:type="paragraph" w:styleId="Heading1">
    <w:name w:val="heading 1"/>
    <w:basedOn w:val="Normal"/>
    <w:next w:val="Normal"/>
    <w:link w:val="Heading1Char"/>
    <w:uiPriority w:val="9"/>
    <w:qFormat/>
    <w:rsid w:val="00B37A16"/>
    <w:pPr>
      <w:jc w:val="center"/>
      <w:outlineLvl w:val="0"/>
    </w:pPr>
    <w:rPr>
      <w:b/>
      <w:sz w:val="40"/>
      <w:szCs w:val="40"/>
    </w:rPr>
  </w:style>
  <w:style w:type="paragraph" w:styleId="Heading2">
    <w:name w:val="heading 2"/>
    <w:basedOn w:val="Normal"/>
    <w:next w:val="Normal"/>
    <w:link w:val="Heading2Char"/>
    <w:uiPriority w:val="9"/>
    <w:unhideWhenUsed/>
    <w:qFormat/>
    <w:rsid w:val="00F82570"/>
    <w:pPr>
      <w:spacing w:before="320" w:after="0"/>
      <w:outlineLvl w:val="1"/>
    </w:pPr>
    <w:rPr>
      <w:rFonts w:ascii="Candara" w:eastAsiaTheme="majorEastAsia" w:hAnsi="Candara" w:cstheme="majorBidi"/>
      <w:b/>
      <w:bCs/>
      <w:iCs/>
      <w:sz w:val="28"/>
      <w:szCs w:val="28"/>
    </w:rPr>
  </w:style>
  <w:style w:type="paragraph" w:styleId="Heading3">
    <w:name w:val="heading 3"/>
    <w:basedOn w:val="Normal"/>
    <w:next w:val="Normal"/>
    <w:link w:val="Heading3Char"/>
    <w:uiPriority w:val="9"/>
    <w:unhideWhenUsed/>
    <w:qFormat/>
    <w:rsid w:val="00F82570"/>
    <w:pPr>
      <w:spacing w:before="320" w:after="0"/>
      <w:outlineLvl w:val="2"/>
    </w:pPr>
    <w:rPr>
      <w:rFonts w:ascii="Candara" w:eastAsiaTheme="majorEastAsia" w:hAnsi="Candara" w:cstheme="majorBidi"/>
      <w:b/>
      <w:bCs/>
      <w:iCs/>
      <w:sz w:val="26"/>
      <w:szCs w:val="26"/>
    </w:rPr>
  </w:style>
  <w:style w:type="paragraph" w:styleId="Heading4">
    <w:name w:val="heading 4"/>
    <w:basedOn w:val="Normal"/>
    <w:next w:val="Normal"/>
    <w:link w:val="Heading4Char"/>
    <w:uiPriority w:val="9"/>
    <w:unhideWhenUsed/>
    <w:qFormat/>
    <w:rsid w:val="00F82570"/>
    <w:pPr>
      <w:spacing w:before="280" w:after="0"/>
      <w:outlineLvl w:val="3"/>
    </w:pPr>
    <w:rPr>
      <w:rFonts w:ascii="Candara" w:eastAsiaTheme="majorEastAsia" w:hAnsi="Candara" w:cstheme="majorBidi"/>
      <w:b/>
      <w:bCs/>
      <w:i/>
      <w:iCs/>
    </w:rPr>
  </w:style>
  <w:style w:type="paragraph" w:styleId="Heading5">
    <w:name w:val="heading 5"/>
    <w:basedOn w:val="Normal"/>
    <w:next w:val="Normal"/>
    <w:link w:val="Heading5Char"/>
    <w:uiPriority w:val="9"/>
    <w:semiHidden/>
    <w:unhideWhenUsed/>
    <w:qFormat/>
    <w:rsid w:val="00F82570"/>
    <w:pPr>
      <w:spacing w:before="280" w:after="0" w:line="360" w:lineRule="auto"/>
      <w:outlineLvl w:val="4"/>
    </w:pPr>
    <w:rPr>
      <w:rFonts w:asciiTheme="majorHAnsi" w:eastAsiaTheme="majorEastAsia" w:hAnsiTheme="majorHAnsi" w:cstheme="majorBidi"/>
      <w:b/>
      <w:bCs/>
      <w:i/>
      <w:iCs/>
      <w:sz w:val="22"/>
      <w:szCs w:val="22"/>
    </w:rPr>
  </w:style>
  <w:style w:type="paragraph" w:styleId="Heading6">
    <w:name w:val="heading 6"/>
    <w:basedOn w:val="Normal"/>
    <w:next w:val="Normal"/>
    <w:link w:val="Heading6Char"/>
    <w:uiPriority w:val="9"/>
    <w:semiHidden/>
    <w:unhideWhenUsed/>
    <w:qFormat/>
    <w:rsid w:val="00F82570"/>
    <w:pPr>
      <w:spacing w:before="280" w:after="80" w:line="360" w:lineRule="auto"/>
      <w:outlineLvl w:val="5"/>
    </w:pPr>
    <w:rPr>
      <w:rFonts w:asciiTheme="majorHAnsi" w:eastAsiaTheme="majorEastAsia" w:hAnsiTheme="majorHAnsi" w:cstheme="majorBidi"/>
      <w:b/>
      <w:bCs/>
      <w:i/>
      <w:iCs/>
      <w:sz w:val="22"/>
      <w:szCs w:val="22"/>
    </w:rPr>
  </w:style>
  <w:style w:type="paragraph" w:styleId="Heading7">
    <w:name w:val="heading 7"/>
    <w:basedOn w:val="Normal"/>
    <w:next w:val="Normal"/>
    <w:link w:val="Heading7Char"/>
    <w:uiPriority w:val="9"/>
    <w:semiHidden/>
    <w:unhideWhenUsed/>
    <w:qFormat/>
    <w:rsid w:val="00F82570"/>
    <w:pPr>
      <w:spacing w:before="280" w:after="0" w:line="360" w:lineRule="auto"/>
      <w:outlineLvl w:val="6"/>
    </w:pPr>
    <w:rPr>
      <w:rFonts w:asciiTheme="majorHAnsi" w:eastAsiaTheme="majorEastAsia" w:hAnsiTheme="majorHAnsi" w:cstheme="majorBidi"/>
      <w:b/>
      <w:bCs/>
      <w:i/>
      <w:iCs/>
      <w:sz w:val="20"/>
      <w:szCs w:val="20"/>
    </w:rPr>
  </w:style>
  <w:style w:type="paragraph" w:styleId="Heading8">
    <w:name w:val="heading 8"/>
    <w:basedOn w:val="Normal"/>
    <w:next w:val="Normal"/>
    <w:link w:val="Heading8Char"/>
    <w:uiPriority w:val="9"/>
    <w:semiHidden/>
    <w:unhideWhenUsed/>
    <w:qFormat/>
    <w:rsid w:val="00F82570"/>
    <w:pPr>
      <w:spacing w:before="280" w:after="0" w:line="360" w:lineRule="auto"/>
      <w:outlineLvl w:val="7"/>
    </w:pPr>
    <w:rPr>
      <w:rFonts w:asciiTheme="majorHAnsi" w:eastAsiaTheme="majorEastAsia" w:hAnsiTheme="majorHAnsi" w:cstheme="majorBidi"/>
      <w:b/>
      <w:bCs/>
      <w:i/>
      <w:iCs/>
      <w:sz w:val="18"/>
      <w:szCs w:val="18"/>
    </w:rPr>
  </w:style>
  <w:style w:type="paragraph" w:styleId="Heading9">
    <w:name w:val="heading 9"/>
    <w:basedOn w:val="Normal"/>
    <w:next w:val="Normal"/>
    <w:link w:val="Heading9Char"/>
    <w:uiPriority w:val="9"/>
    <w:semiHidden/>
    <w:unhideWhenUsed/>
    <w:qFormat/>
    <w:rsid w:val="00F82570"/>
    <w:pPr>
      <w:spacing w:before="280" w:after="0" w:line="360" w:lineRule="auto"/>
      <w:outlineLvl w:val="8"/>
    </w:pPr>
    <w:rPr>
      <w:rFonts w:asciiTheme="majorHAnsi" w:eastAsiaTheme="majorEastAsia" w:hAnsiTheme="majorHAnsi" w:cstheme="majorBidi"/>
      <w:i/>
      <w:iCs/>
      <w:sz w:val="18"/>
      <w:szCs w:val="1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B37A16"/>
    <w:rPr>
      <w:b/>
      <w:sz w:val="40"/>
      <w:szCs w:val="40"/>
      <w:lang w:val="fi-FI"/>
    </w:rPr>
  </w:style>
  <w:style w:type="character" w:customStyle="1" w:styleId="Heading2Char">
    <w:name w:val="Heading 2 Char"/>
    <w:basedOn w:val="DefaultParagraphFont"/>
    <w:link w:val="Heading2"/>
    <w:uiPriority w:val="9"/>
    <w:rsid w:val="00F82570"/>
    <w:rPr>
      <w:rFonts w:ascii="Candara" w:eastAsiaTheme="majorEastAsia" w:hAnsi="Candara" w:cstheme="majorBidi"/>
      <w:b/>
      <w:bCs/>
      <w:iCs/>
      <w:sz w:val="28"/>
      <w:szCs w:val="28"/>
    </w:rPr>
  </w:style>
  <w:style w:type="character" w:customStyle="1" w:styleId="Heading3Char">
    <w:name w:val="Heading 3 Char"/>
    <w:basedOn w:val="DefaultParagraphFont"/>
    <w:link w:val="Heading3"/>
    <w:uiPriority w:val="9"/>
    <w:rsid w:val="00F82570"/>
    <w:rPr>
      <w:rFonts w:ascii="Candara" w:eastAsiaTheme="majorEastAsia" w:hAnsi="Candara" w:cstheme="majorBidi"/>
      <w:b/>
      <w:bCs/>
      <w:iCs/>
      <w:sz w:val="26"/>
      <w:szCs w:val="26"/>
    </w:rPr>
  </w:style>
  <w:style w:type="character" w:customStyle="1" w:styleId="Heading4Char">
    <w:name w:val="Heading 4 Char"/>
    <w:basedOn w:val="DefaultParagraphFont"/>
    <w:link w:val="Heading4"/>
    <w:uiPriority w:val="9"/>
    <w:rsid w:val="00F82570"/>
    <w:rPr>
      <w:rFonts w:ascii="Candara" w:eastAsiaTheme="majorEastAsia" w:hAnsi="Candara" w:cstheme="majorBidi"/>
      <w:b/>
      <w:bCs/>
      <w:i/>
      <w:iCs/>
      <w:sz w:val="24"/>
      <w:szCs w:val="24"/>
    </w:rPr>
  </w:style>
  <w:style w:type="character" w:customStyle="1" w:styleId="Heading5Char">
    <w:name w:val="Heading 5 Char"/>
    <w:basedOn w:val="DefaultParagraphFont"/>
    <w:link w:val="Heading5"/>
    <w:uiPriority w:val="9"/>
    <w:semiHidden/>
    <w:rsid w:val="00F82570"/>
    <w:rPr>
      <w:rFonts w:asciiTheme="majorHAnsi" w:eastAsiaTheme="majorEastAsia" w:hAnsiTheme="majorHAnsi" w:cstheme="majorBidi"/>
      <w:b/>
      <w:bCs/>
      <w:i/>
      <w:iCs/>
    </w:rPr>
  </w:style>
  <w:style w:type="character" w:customStyle="1" w:styleId="Heading6Char">
    <w:name w:val="Heading 6 Char"/>
    <w:basedOn w:val="DefaultParagraphFont"/>
    <w:link w:val="Heading6"/>
    <w:uiPriority w:val="9"/>
    <w:semiHidden/>
    <w:rsid w:val="00F82570"/>
    <w:rPr>
      <w:rFonts w:asciiTheme="majorHAnsi" w:eastAsiaTheme="majorEastAsia" w:hAnsiTheme="majorHAnsi" w:cstheme="majorBidi"/>
      <w:b/>
      <w:bCs/>
      <w:i/>
      <w:iCs/>
    </w:rPr>
  </w:style>
  <w:style w:type="character" w:customStyle="1" w:styleId="Heading7Char">
    <w:name w:val="Heading 7 Char"/>
    <w:basedOn w:val="DefaultParagraphFont"/>
    <w:link w:val="Heading7"/>
    <w:uiPriority w:val="9"/>
    <w:semiHidden/>
    <w:rsid w:val="00F82570"/>
    <w:rPr>
      <w:rFonts w:asciiTheme="majorHAnsi" w:eastAsiaTheme="majorEastAsia" w:hAnsiTheme="majorHAnsi" w:cstheme="majorBidi"/>
      <w:b/>
      <w:bCs/>
      <w:i/>
      <w:iCs/>
      <w:sz w:val="20"/>
      <w:szCs w:val="20"/>
    </w:rPr>
  </w:style>
  <w:style w:type="character" w:customStyle="1" w:styleId="Heading8Char">
    <w:name w:val="Heading 8 Char"/>
    <w:basedOn w:val="DefaultParagraphFont"/>
    <w:link w:val="Heading8"/>
    <w:uiPriority w:val="9"/>
    <w:semiHidden/>
    <w:rsid w:val="00F82570"/>
    <w:rPr>
      <w:rFonts w:asciiTheme="majorHAnsi" w:eastAsiaTheme="majorEastAsia" w:hAnsiTheme="majorHAnsi" w:cstheme="majorBidi"/>
      <w:b/>
      <w:bCs/>
      <w:i/>
      <w:iCs/>
      <w:sz w:val="18"/>
      <w:szCs w:val="18"/>
    </w:rPr>
  </w:style>
  <w:style w:type="character" w:customStyle="1" w:styleId="Heading9Char">
    <w:name w:val="Heading 9 Char"/>
    <w:basedOn w:val="DefaultParagraphFont"/>
    <w:link w:val="Heading9"/>
    <w:uiPriority w:val="9"/>
    <w:semiHidden/>
    <w:rsid w:val="00F82570"/>
    <w:rPr>
      <w:rFonts w:asciiTheme="majorHAnsi" w:eastAsiaTheme="majorEastAsia" w:hAnsiTheme="majorHAnsi" w:cstheme="majorBidi"/>
      <w:i/>
      <w:iCs/>
      <w:sz w:val="18"/>
      <w:szCs w:val="18"/>
    </w:rPr>
  </w:style>
  <w:style w:type="paragraph" w:styleId="Caption">
    <w:name w:val="caption"/>
    <w:basedOn w:val="Normal"/>
    <w:next w:val="Normal"/>
    <w:uiPriority w:val="35"/>
    <w:semiHidden/>
    <w:unhideWhenUsed/>
    <w:qFormat/>
    <w:rsid w:val="00F82570"/>
    <w:rPr>
      <w:b/>
      <w:bCs/>
      <w:sz w:val="18"/>
      <w:szCs w:val="18"/>
    </w:rPr>
  </w:style>
  <w:style w:type="paragraph" w:styleId="Title">
    <w:name w:val="Title"/>
    <w:basedOn w:val="Normal"/>
    <w:next w:val="Normal"/>
    <w:link w:val="TitleChar"/>
    <w:uiPriority w:val="10"/>
    <w:qFormat/>
    <w:rsid w:val="00F82570"/>
    <w:pPr>
      <w:spacing w:line="240" w:lineRule="auto"/>
      <w:jc w:val="center"/>
    </w:pPr>
    <w:rPr>
      <w:rFonts w:ascii="Candara" w:eastAsiaTheme="majorEastAsia" w:hAnsi="Candara" w:cstheme="majorBidi"/>
      <w:b/>
      <w:bCs/>
      <w:iCs/>
      <w:spacing w:val="10"/>
      <w:sz w:val="60"/>
      <w:szCs w:val="60"/>
    </w:rPr>
  </w:style>
  <w:style w:type="character" w:customStyle="1" w:styleId="TitleChar">
    <w:name w:val="Title Char"/>
    <w:basedOn w:val="DefaultParagraphFont"/>
    <w:link w:val="Title"/>
    <w:uiPriority w:val="10"/>
    <w:rsid w:val="00F82570"/>
    <w:rPr>
      <w:rFonts w:ascii="Candara" w:eastAsiaTheme="majorEastAsia" w:hAnsi="Candara" w:cstheme="majorBidi"/>
      <w:b/>
      <w:bCs/>
      <w:iCs/>
      <w:spacing w:val="10"/>
      <w:sz w:val="60"/>
      <w:szCs w:val="60"/>
    </w:rPr>
  </w:style>
  <w:style w:type="paragraph" w:styleId="Subtitle">
    <w:name w:val="Subtitle"/>
    <w:basedOn w:val="Normal"/>
    <w:next w:val="Normal"/>
    <w:link w:val="SubtitleChar"/>
    <w:uiPriority w:val="11"/>
    <w:qFormat/>
    <w:rsid w:val="00F82570"/>
    <w:pPr>
      <w:spacing w:after="320"/>
      <w:jc w:val="right"/>
    </w:pPr>
    <w:rPr>
      <w:i/>
      <w:iCs/>
      <w:color w:val="808080" w:themeColor="text1" w:themeTint="7F"/>
      <w:spacing w:val="10"/>
    </w:rPr>
  </w:style>
  <w:style w:type="character" w:customStyle="1" w:styleId="SubtitleChar">
    <w:name w:val="Subtitle Char"/>
    <w:basedOn w:val="DefaultParagraphFont"/>
    <w:link w:val="Subtitle"/>
    <w:uiPriority w:val="11"/>
    <w:rsid w:val="00F82570"/>
    <w:rPr>
      <w:i/>
      <w:iCs/>
      <w:color w:val="808080" w:themeColor="text1" w:themeTint="7F"/>
      <w:spacing w:val="10"/>
      <w:sz w:val="24"/>
      <w:szCs w:val="24"/>
    </w:rPr>
  </w:style>
  <w:style w:type="paragraph" w:styleId="NoSpacing">
    <w:name w:val="No Spacing"/>
    <w:basedOn w:val="Normal"/>
    <w:uiPriority w:val="1"/>
    <w:qFormat/>
    <w:rsid w:val="00F82570"/>
    <w:pPr>
      <w:spacing w:after="0" w:line="240" w:lineRule="auto"/>
    </w:pPr>
  </w:style>
  <w:style w:type="paragraph" w:styleId="ListParagraph">
    <w:name w:val="List Paragraph"/>
    <w:basedOn w:val="Normal"/>
    <w:uiPriority w:val="34"/>
    <w:qFormat/>
    <w:rsid w:val="00F82570"/>
    <w:pPr>
      <w:ind w:left="720"/>
      <w:contextualSpacing/>
    </w:pPr>
  </w:style>
  <w:style w:type="paragraph" w:styleId="Quote">
    <w:name w:val="Quote"/>
    <w:basedOn w:val="Normal"/>
    <w:next w:val="Normal"/>
    <w:link w:val="QuoteChar"/>
    <w:uiPriority w:val="29"/>
    <w:qFormat/>
    <w:rsid w:val="00B37A16"/>
    <w:pPr>
      <w:spacing w:line="240" w:lineRule="auto"/>
      <w:ind w:left="851" w:right="805"/>
    </w:pPr>
    <w:rPr>
      <w:color w:val="000000" w:themeColor="text1"/>
    </w:rPr>
  </w:style>
  <w:style w:type="character" w:customStyle="1" w:styleId="QuoteChar">
    <w:name w:val="Quote Char"/>
    <w:basedOn w:val="DefaultParagraphFont"/>
    <w:link w:val="Quote"/>
    <w:uiPriority w:val="29"/>
    <w:rsid w:val="00B37A16"/>
    <w:rPr>
      <w:color w:val="000000" w:themeColor="text1"/>
      <w:sz w:val="24"/>
      <w:szCs w:val="24"/>
      <w:lang w:val="fi-FI"/>
    </w:rPr>
  </w:style>
  <w:style w:type="paragraph" w:styleId="IntenseQuote">
    <w:name w:val="Intense Quote"/>
    <w:basedOn w:val="Normal"/>
    <w:next w:val="Normal"/>
    <w:link w:val="IntenseQuoteChar"/>
    <w:uiPriority w:val="30"/>
    <w:qFormat/>
    <w:rsid w:val="00F82570"/>
    <w:pPr>
      <w:spacing w:before="320" w:after="480" w:line="240" w:lineRule="auto"/>
      <w:ind w:left="720" w:right="720"/>
      <w:jc w:val="center"/>
    </w:pPr>
    <w:rPr>
      <w:rFonts w:asciiTheme="majorHAnsi" w:eastAsiaTheme="majorEastAsia" w:hAnsiTheme="majorHAnsi" w:cstheme="majorBidi"/>
      <w:i/>
      <w:iCs/>
      <w:sz w:val="20"/>
      <w:szCs w:val="20"/>
    </w:rPr>
  </w:style>
  <w:style w:type="character" w:customStyle="1" w:styleId="IntenseQuoteChar">
    <w:name w:val="Intense Quote Char"/>
    <w:basedOn w:val="DefaultParagraphFont"/>
    <w:link w:val="IntenseQuote"/>
    <w:uiPriority w:val="30"/>
    <w:rsid w:val="00F82570"/>
    <w:rPr>
      <w:rFonts w:asciiTheme="majorHAnsi" w:eastAsiaTheme="majorEastAsia" w:hAnsiTheme="majorHAnsi" w:cstheme="majorBidi"/>
      <w:i/>
      <w:iCs/>
      <w:sz w:val="20"/>
      <w:szCs w:val="20"/>
    </w:rPr>
  </w:style>
  <w:style w:type="paragraph" w:styleId="TOCHeading">
    <w:name w:val="TOC Heading"/>
    <w:basedOn w:val="Heading1"/>
    <w:next w:val="Normal"/>
    <w:uiPriority w:val="39"/>
    <w:semiHidden/>
    <w:unhideWhenUsed/>
    <w:qFormat/>
    <w:rsid w:val="00F82570"/>
    <w:pPr>
      <w:outlineLvl w:val="9"/>
    </w:pPr>
    <w:rPr>
      <w:lang w:val="en-US" w:bidi="en-US"/>
    </w:rPr>
  </w:style>
  <w:style w:type="character" w:styleId="Strong">
    <w:name w:val="Strong"/>
    <w:basedOn w:val="DefaultParagraphFont"/>
    <w:uiPriority w:val="22"/>
    <w:qFormat/>
    <w:rsid w:val="00F82570"/>
    <w:rPr>
      <w:b/>
      <w:bCs/>
      <w:spacing w:val="0"/>
    </w:rPr>
  </w:style>
  <w:style w:type="character" w:styleId="Emphasis">
    <w:name w:val="Emphasis"/>
    <w:uiPriority w:val="20"/>
    <w:qFormat/>
    <w:rsid w:val="00F82570"/>
    <w:rPr>
      <w:b/>
      <w:bCs/>
      <w:i/>
      <w:iCs/>
      <w:color w:val="auto"/>
    </w:rPr>
  </w:style>
  <w:style w:type="character" w:styleId="SubtleEmphasis">
    <w:name w:val="Subtle Emphasis"/>
    <w:uiPriority w:val="19"/>
    <w:qFormat/>
    <w:rsid w:val="00F82570"/>
    <w:rPr>
      <w:i/>
      <w:iCs/>
      <w:color w:val="5A5A5A" w:themeColor="text1" w:themeTint="A5"/>
    </w:rPr>
  </w:style>
  <w:style w:type="character" w:styleId="IntenseEmphasis">
    <w:name w:val="Intense Emphasis"/>
    <w:uiPriority w:val="21"/>
    <w:qFormat/>
    <w:rsid w:val="00F82570"/>
    <w:rPr>
      <w:b/>
      <w:bCs/>
      <w:i/>
      <w:iCs/>
      <w:color w:val="auto"/>
      <w:u w:val="single"/>
    </w:rPr>
  </w:style>
  <w:style w:type="character" w:styleId="SubtleReference">
    <w:name w:val="Subtle Reference"/>
    <w:uiPriority w:val="31"/>
    <w:qFormat/>
    <w:rsid w:val="00F82570"/>
    <w:rPr>
      <w:smallCaps/>
    </w:rPr>
  </w:style>
  <w:style w:type="character" w:styleId="IntenseReference">
    <w:name w:val="Intense Reference"/>
    <w:uiPriority w:val="32"/>
    <w:qFormat/>
    <w:rsid w:val="00F82570"/>
    <w:rPr>
      <w:b/>
      <w:bCs/>
      <w:smallCaps/>
      <w:color w:val="auto"/>
    </w:rPr>
  </w:style>
  <w:style w:type="character" w:styleId="BookTitle">
    <w:name w:val="Book Title"/>
    <w:uiPriority w:val="33"/>
    <w:qFormat/>
    <w:rsid w:val="00F82570"/>
    <w:rPr>
      <w:rFonts w:asciiTheme="majorHAnsi" w:eastAsiaTheme="majorEastAsia" w:hAnsiTheme="majorHAnsi" w:cstheme="majorBidi"/>
      <w:b/>
      <w:bCs/>
      <w:smallCaps/>
      <w:color w:val="auto"/>
      <w:u w:val="single"/>
    </w:rPr>
  </w:style>
  <w:style w:type="paragraph" w:styleId="FootnoteText">
    <w:name w:val="footnote text"/>
    <w:basedOn w:val="Normal"/>
    <w:link w:val="FootnoteTextChar"/>
    <w:uiPriority w:val="99"/>
    <w:semiHidden/>
    <w:unhideWhenUsed/>
    <w:rsid w:val="00B37A16"/>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B37A16"/>
    <w:rPr>
      <w:sz w:val="20"/>
      <w:szCs w:val="20"/>
      <w:lang w:val="fi-FI"/>
    </w:rPr>
  </w:style>
  <w:style w:type="character" w:styleId="FootnoteReference">
    <w:name w:val="footnote reference"/>
    <w:basedOn w:val="DefaultParagraphFont"/>
    <w:uiPriority w:val="99"/>
    <w:semiHidden/>
    <w:unhideWhenUsed/>
    <w:rsid w:val="00B37A16"/>
    <w:rPr>
      <w:vertAlign w:val="superscript"/>
    </w:rPr>
  </w:style>
  <w:style w:type="paragraph" w:styleId="Header">
    <w:name w:val="header"/>
    <w:basedOn w:val="Normal"/>
    <w:link w:val="HeaderChar"/>
    <w:uiPriority w:val="99"/>
    <w:unhideWhenUsed/>
    <w:rsid w:val="006D6B82"/>
    <w:pPr>
      <w:tabs>
        <w:tab w:val="center" w:pos="4819"/>
        <w:tab w:val="right" w:pos="9638"/>
      </w:tabs>
      <w:spacing w:after="0" w:line="240" w:lineRule="auto"/>
    </w:pPr>
  </w:style>
  <w:style w:type="character" w:customStyle="1" w:styleId="HeaderChar">
    <w:name w:val="Header Char"/>
    <w:basedOn w:val="DefaultParagraphFont"/>
    <w:link w:val="Header"/>
    <w:uiPriority w:val="99"/>
    <w:rsid w:val="006D6B82"/>
    <w:rPr>
      <w:sz w:val="24"/>
      <w:szCs w:val="24"/>
      <w:lang w:val="fi-FI"/>
    </w:rPr>
  </w:style>
  <w:style w:type="paragraph" w:styleId="Footer">
    <w:name w:val="footer"/>
    <w:basedOn w:val="Normal"/>
    <w:link w:val="FooterChar"/>
    <w:uiPriority w:val="99"/>
    <w:unhideWhenUsed/>
    <w:rsid w:val="006D6B82"/>
    <w:pPr>
      <w:tabs>
        <w:tab w:val="center" w:pos="4819"/>
        <w:tab w:val="right" w:pos="9638"/>
      </w:tabs>
      <w:spacing w:after="0" w:line="240" w:lineRule="auto"/>
    </w:pPr>
  </w:style>
  <w:style w:type="character" w:customStyle="1" w:styleId="FooterChar">
    <w:name w:val="Footer Char"/>
    <w:basedOn w:val="DefaultParagraphFont"/>
    <w:link w:val="Footer"/>
    <w:uiPriority w:val="99"/>
    <w:rsid w:val="006D6B82"/>
    <w:rPr>
      <w:sz w:val="24"/>
      <w:szCs w:val="24"/>
      <w:lang w:val="fi-FI"/>
    </w:rPr>
  </w:style>
  <w:style w:type="paragraph" w:styleId="BalloonText">
    <w:name w:val="Balloon Text"/>
    <w:basedOn w:val="Normal"/>
    <w:link w:val="BalloonTextChar"/>
    <w:uiPriority w:val="99"/>
    <w:semiHidden/>
    <w:unhideWhenUsed/>
    <w:rsid w:val="00D5093D"/>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D5093D"/>
    <w:rPr>
      <w:rFonts w:ascii="Segoe UI" w:hAnsi="Segoe UI" w:cs="Segoe UI"/>
      <w:sz w:val="18"/>
      <w:szCs w:val="18"/>
      <w:lang w:val="fi-F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598000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Grayscale">
      <a:dk1>
        <a:sysClr val="windowText" lastClr="000000"/>
      </a:dk1>
      <a:lt1>
        <a:sysClr val="window" lastClr="FFFFFF"/>
      </a:lt1>
      <a:dk2>
        <a:srgbClr val="000000"/>
      </a:dk2>
      <a:lt2>
        <a:srgbClr val="F8F8F8"/>
      </a:lt2>
      <a:accent1>
        <a:srgbClr val="DDDDDD"/>
      </a:accent1>
      <a:accent2>
        <a:srgbClr val="B2B2B2"/>
      </a:accent2>
      <a:accent3>
        <a:srgbClr val="969696"/>
      </a:accent3>
      <a:accent4>
        <a:srgbClr val="808080"/>
      </a:accent4>
      <a:accent5>
        <a:srgbClr val="5F5F5F"/>
      </a:accent5>
      <a:accent6>
        <a:srgbClr val="4D4D4D"/>
      </a:accent6>
      <a:hlink>
        <a:srgbClr val="5F5F5F"/>
      </a:hlink>
      <a:folHlink>
        <a:srgbClr val="919191"/>
      </a:folHlink>
    </a:clrScheme>
    <a:fontScheme name="Black Tie">
      <a:majorFont>
        <a:latin typeface="Garamond"/>
        <a:ea typeface=""/>
        <a:cs typeface=""/>
        <a:font script="Grek" typeface="Constantia"/>
        <a:font script="Cyrl" typeface="Constantia"/>
        <a:font script="Jpan" typeface="ＭＳ Ｐ明朝"/>
        <a:font script="Hang" typeface="궁서"/>
        <a:font script="Hans" typeface="仿宋"/>
        <a:font script="Hant" typeface="標楷體"/>
        <a:font script="Arab" typeface="Times New Roman"/>
        <a:font script="Hebr" typeface="Times New Roman"/>
        <a:font script="Thai" typeface="Angsan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Garamond"/>
        <a:ea typeface=""/>
        <a:cs typeface=""/>
        <a:font script="Grek" typeface="Constantia"/>
        <a:font script="Cyrl" typeface="Constantia"/>
        <a:font script="Jpan" typeface="ＭＳ Ｐ明朝"/>
        <a:font script="Hang" typeface="궁서"/>
        <a:font script="Hans" typeface="仿宋"/>
        <a:font script="Hant" typeface="標楷體"/>
        <a:font script="Arab" typeface="Times New Roman"/>
        <a:font script="Hebr" typeface="Times New Roman"/>
        <a:font script="Thai" typeface="Angsan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CHICAGO.XSL" StyleName="Chicago"/>
</file>

<file path=customXml/itemProps1.xml><?xml version="1.0" encoding="utf-8"?>
<ds:datastoreItem xmlns:ds="http://schemas.openxmlformats.org/officeDocument/2006/customXml" ds:itemID="{A4A7DCBC-488A-43E2-9AFD-7413454AFD8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5484</Words>
  <Characters>44423</Characters>
  <Application>Microsoft Office Word</Application>
  <DocSecurity>0</DocSecurity>
  <Lines>370</Lines>
  <Paragraphs>99</Paragraphs>
  <ScaleCrop>false</ScaleCrop>
  <HeadingPairs>
    <vt:vector size="2" baseType="variant">
      <vt:variant>
        <vt:lpstr>Title</vt:lpstr>
      </vt:variant>
      <vt:variant>
        <vt:i4>1</vt:i4>
      </vt:variant>
    </vt:vector>
  </HeadingPairs>
  <TitlesOfParts>
    <vt:vector size="1" baseType="lpstr">
      <vt:lpstr/>
    </vt:vector>
  </TitlesOfParts>
  <LinksUpToDate>false</LinksUpToDate>
  <CharactersWithSpaces>49808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cp:lastModifiedBy/>
  <cp:revision>1</cp:revision>
  <dcterms:created xsi:type="dcterms:W3CDTF">2018-09-05T10:46:00Z</dcterms:created>
  <dcterms:modified xsi:type="dcterms:W3CDTF">2018-11-02T10:50:00Z</dcterms:modified>
</cp:coreProperties>
</file>