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356BE" w:rsidRPr="007C17B0" w:rsidRDefault="00B356BE" w:rsidP="00ED6214">
      <w:pPr>
        <w:spacing w:line="480" w:lineRule="auto"/>
        <w:rPr>
          <w:rFonts w:ascii="Times New Roman" w:hAnsi="Times New Roman"/>
          <w:b/>
          <w:sz w:val="28"/>
          <w:szCs w:val="28"/>
          <w:lang w:val="en-US"/>
        </w:rPr>
      </w:pPr>
      <w:r>
        <w:rPr>
          <w:rFonts w:ascii="Times New Roman" w:hAnsi="Times New Roman"/>
          <w:b/>
          <w:sz w:val="28"/>
          <w:szCs w:val="28"/>
          <w:lang w:val="en-US"/>
        </w:rPr>
        <w:t>The incidence and triggers of adult-onset Guillain-Barré syndrome (GBS) in Southwestern Finland 2004-2013</w:t>
      </w:r>
    </w:p>
    <w:p w:rsidR="00B356BE" w:rsidRPr="008A227E" w:rsidRDefault="00B356BE" w:rsidP="008A227E">
      <w:pPr>
        <w:spacing w:line="480" w:lineRule="auto"/>
      </w:pPr>
      <w:r w:rsidRPr="004F34FA">
        <w:t>Jussi</w:t>
      </w:r>
      <w:r>
        <w:t xml:space="preserve"> O.T.</w:t>
      </w:r>
      <w:r w:rsidRPr="004F34FA">
        <w:t xml:space="preserve"> Sipilä, M.D., </w:t>
      </w:r>
      <w:r>
        <w:t>Merja Soilu-Hänninen,</w:t>
      </w:r>
      <w:r w:rsidRPr="004F34FA">
        <w:t xml:space="preserve"> </w:t>
      </w:r>
      <w:r>
        <w:t>M.D., Ph.D.</w:t>
      </w:r>
      <w:r w:rsidRPr="008A227E">
        <w:t xml:space="preserve"> </w:t>
      </w:r>
    </w:p>
    <w:p w:rsidR="00B356BE" w:rsidRPr="004F34FA" w:rsidRDefault="00B356BE" w:rsidP="008A227E">
      <w:pPr>
        <w:spacing w:line="480" w:lineRule="auto"/>
        <w:rPr>
          <w:sz w:val="20"/>
          <w:szCs w:val="20"/>
          <w:lang w:val="en-US"/>
        </w:rPr>
      </w:pPr>
      <w:r>
        <w:rPr>
          <w:sz w:val="20"/>
          <w:szCs w:val="20"/>
          <w:lang w:val="en-US"/>
        </w:rPr>
        <w:t>Division of Clinical Neurosciences, Turku University Hospital, Turku, Finland and Department of Neurology, University of Turku, Turku, Finland,</w:t>
      </w:r>
    </w:p>
    <w:p w:rsidR="00B356BE" w:rsidRPr="00232675" w:rsidRDefault="00B356BE" w:rsidP="008A227E">
      <w:pPr>
        <w:spacing w:line="480" w:lineRule="auto"/>
        <w:rPr>
          <w:lang w:val="en-US"/>
        </w:rPr>
      </w:pPr>
      <w:r>
        <w:rPr>
          <w:lang w:val="en-US"/>
        </w:rPr>
        <w:t xml:space="preserve">Corresponding Author:  </w:t>
      </w:r>
      <w:r w:rsidRPr="00232675">
        <w:rPr>
          <w:lang w:val="en-US"/>
        </w:rPr>
        <w:t xml:space="preserve">Jussi Sipilä, M.D., </w:t>
      </w:r>
      <w:r>
        <w:rPr>
          <w:lang w:val="en-US"/>
        </w:rPr>
        <w:t xml:space="preserve">Division of Clinical Neurosciences, </w:t>
      </w:r>
      <w:smartTag w:uri="urn:schemas-microsoft-com:office:smarttags" w:element="PlaceName">
        <w:r w:rsidRPr="00232675">
          <w:rPr>
            <w:lang w:val="en-US"/>
          </w:rPr>
          <w:t>Turku</w:t>
        </w:r>
      </w:smartTag>
      <w:r w:rsidRPr="00232675">
        <w:rPr>
          <w:lang w:val="en-US"/>
        </w:rPr>
        <w:t xml:space="preserve"> </w:t>
      </w:r>
      <w:smartTag w:uri="urn:schemas-microsoft-com:office:smarttags" w:element="PlaceType">
        <w:r w:rsidRPr="00232675">
          <w:rPr>
            <w:lang w:val="en-US"/>
          </w:rPr>
          <w:t>University</w:t>
        </w:r>
      </w:smartTag>
      <w:r w:rsidRPr="00232675">
        <w:rPr>
          <w:lang w:val="en-US"/>
        </w:rPr>
        <w:t xml:space="preserve"> </w:t>
      </w:r>
      <w:smartTag w:uri="urn:schemas-microsoft-com:office:smarttags" w:element="PlaceType">
        <w:r w:rsidRPr="00232675">
          <w:rPr>
            <w:lang w:val="en-US"/>
          </w:rPr>
          <w:t>Hospital</w:t>
        </w:r>
      </w:smartTag>
      <w:r w:rsidRPr="00232675">
        <w:rPr>
          <w:lang w:val="en-US"/>
        </w:rPr>
        <w:t xml:space="preserve">, POB 52, FI-20521 </w:t>
      </w:r>
      <w:smartTag w:uri="urn:schemas-microsoft-com:office:smarttags" w:element="City">
        <w:smartTag w:uri="urn:schemas-microsoft-com:office:smarttags" w:element="place">
          <w:r w:rsidRPr="00232675">
            <w:rPr>
              <w:lang w:val="en-US"/>
            </w:rPr>
            <w:t>Turku</w:t>
          </w:r>
        </w:smartTag>
        <w:r w:rsidRPr="00232675">
          <w:rPr>
            <w:lang w:val="en-US"/>
          </w:rPr>
          <w:t xml:space="preserve">, </w:t>
        </w:r>
        <w:smartTag w:uri="urn:schemas-microsoft-com:office:smarttags" w:element="country-region">
          <w:r w:rsidRPr="00232675">
            <w:rPr>
              <w:lang w:val="en-US"/>
            </w:rPr>
            <w:t>Finland</w:t>
          </w:r>
        </w:smartTag>
      </w:smartTag>
    </w:p>
    <w:p w:rsidR="00B356BE" w:rsidRPr="00F8089C" w:rsidRDefault="00B356BE" w:rsidP="008A227E">
      <w:pPr>
        <w:spacing w:line="480" w:lineRule="auto"/>
        <w:rPr>
          <w:lang w:val="it-IT"/>
        </w:rPr>
      </w:pPr>
      <w:r w:rsidRPr="00F8089C">
        <w:rPr>
          <w:lang w:val="it-IT"/>
        </w:rPr>
        <w:t xml:space="preserve">e-mail: </w:t>
      </w:r>
      <w:hyperlink r:id="rId6" w:history="1">
        <w:r w:rsidRPr="00F8089C">
          <w:rPr>
            <w:rStyle w:val="Hyperlinkki"/>
            <w:lang w:val="it-IT"/>
          </w:rPr>
          <w:t>jussi.sipila@utu.fi</w:t>
        </w:r>
      </w:hyperlink>
    </w:p>
    <w:p w:rsidR="00B356BE" w:rsidRDefault="00B356BE" w:rsidP="008A227E">
      <w:pPr>
        <w:spacing w:line="480" w:lineRule="auto"/>
        <w:rPr>
          <w:lang w:val="en-US"/>
        </w:rPr>
      </w:pPr>
      <w:r>
        <w:rPr>
          <w:lang w:val="en-US"/>
        </w:rPr>
        <w:t>tel: +358-40-5717386</w:t>
      </w:r>
    </w:p>
    <w:p w:rsidR="00B356BE" w:rsidRDefault="00B356BE" w:rsidP="008A227E">
      <w:pPr>
        <w:spacing w:line="480" w:lineRule="auto"/>
        <w:rPr>
          <w:lang w:val="en-US"/>
        </w:rPr>
      </w:pPr>
      <w:r>
        <w:rPr>
          <w:lang w:val="en-US"/>
        </w:rPr>
        <w:t xml:space="preserve">fax: </w:t>
      </w:r>
      <w:r w:rsidRPr="0022529D">
        <w:rPr>
          <w:lang w:val="en-US"/>
        </w:rPr>
        <w:t>+358-2-313 1709</w:t>
      </w:r>
    </w:p>
    <w:p w:rsidR="00B356BE" w:rsidRDefault="00B356BE" w:rsidP="00F8089C">
      <w:pPr>
        <w:spacing w:line="480" w:lineRule="auto"/>
        <w:ind w:firstLine="567"/>
        <w:outlineLvl w:val="0"/>
        <w:rPr>
          <w:lang w:val="en-US"/>
        </w:rPr>
      </w:pPr>
      <w:r>
        <w:rPr>
          <w:lang w:val="en-US"/>
        </w:rPr>
        <w:t xml:space="preserve">Key words: Guillain-Barré syndrome/etiology, Guillain-Barré syndrome/epidemiology, peripheral autoimmune demyelinating disease, surgery, vaccination, </w:t>
      </w:r>
      <w:hyperlink r:id="rId7" w:history="1">
        <w:r w:rsidRPr="00E70CAA">
          <w:rPr>
            <w:rStyle w:val="Hyperlinkki"/>
            <w:color w:val="000000"/>
            <w:u w:val="none"/>
            <w:lang w:val="en-US"/>
          </w:rPr>
          <w:t>Precipitating Factors</w:t>
        </w:r>
      </w:hyperlink>
    </w:p>
    <w:p w:rsidR="00B356BE" w:rsidRPr="00390083" w:rsidRDefault="00B356BE" w:rsidP="008A227E">
      <w:pPr>
        <w:spacing w:line="480" w:lineRule="auto"/>
        <w:ind w:firstLine="567"/>
        <w:rPr>
          <w:lang w:val="en-US"/>
        </w:rPr>
      </w:pPr>
      <w:r>
        <w:rPr>
          <w:lang w:val="en-US"/>
        </w:rPr>
        <w:t xml:space="preserve">Running title: Guillain-Barré triggers in </w:t>
      </w:r>
      <w:smartTag w:uri="urn:schemas-microsoft-com:office:smarttags" w:element="place">
        <w:r>
          <w:rPr>
            <w:lang w:val="en-US"/>
          </w:rPr>
          <w:t>Southwestern Finland</w:t>
        </w:r>
      </w:smartTag>
    </w:p>
    <w:p w:rsidR="00B356BE" w:rsidRPr="00390083" w:rsidRDefault="00B356BE" w:rsidP="008A227E">
      <w:pPr>
        <w:spacing w:line="480" w:lineRule="auto"/>
        <w:ind w:firstLine="567"/>
        <w:rPr>
          <w:lang w:val="en-US"/>
        </w:rPr>
      </w:pPr>
      <w:r w:rsidRPr="00390083">
        <w:rPr>
          <w:lang w:val="en-US"/>
        </w:rPr>
        <w:t xml:space="preserve">Word count: </w:t>
      </w:r>
      <w:r>
        <w:rPr>
          <w:lang w:val="en-US"/>
        </w:rPr>
        <w:t>3449</w:t>
      </w:r>
    </w:p>
    <w:p w:rsidR="00B356BE" w:rsidRDefault="00B356BE" w:rsidP="008079DC">
      <w:pPr>
        <w:spacing w:line="480" w:lineRule="auto"/>
        <w:outlineLvl w:val="0"/>
        <w:rPr>
          <w:rFonts w:ascii="Times New Roman" w:hAnsi="Times New Roman"/>
          <w:sz w:val="24"/>
          <w:szCs w:val="24"/>
          <w:lang w:val="en-US"/>
        </w:rPr>
      </w:pPr>
      <w:r>
        <w:rPr>
          <w:rFonts w:ascii="Times New Roman" w:hAnsi="Times New Roman"/>
          <w:b/>
          <w:sz w:val="24"/>
          <w:szCs w:val="24"/>
          <w:lang w:val="en-US"/>
        </w:rPr>
        <w:t>Conflicts of interest disclosure</w:t>
      </w:r>
    </w:p>
    <w:p w:rsidR="00B356BE" w:rsidRDefault="00B356BE" w:rsidP="008079DC">
      <w:pPr>
        <w:spacing w:line="480" w:lineRule="auto"/>
        <w:outlineLvl w:val="0"/>
        <w:rPr>
          <w:rFonts w:ascii="Times New Roman" w:hAnsi="Times New Roman"/>
          <w:sz w:val="24"/>
          <w:szCs w:val="24"/>
          <w:lang w:val="en-US"/>
        </w:rPr>
      </w:pPr>
      <w:r>
        <w:rPr>
          <w:rFonts w:ascii="Times New Roman" w:hAnsi="Times New Roman"/>
          <w:sz w:val="24"/>
          <w:szCs w:val="24"/>
          <w:lang w:val="en-US"/>
        </w:rPr>
        <w:t xml:space="preserve">Jussi Sipilä: </w:t>
      </w:r>
      <w:r w:rsidRPr="00FE1B70">
        <w:rPr>
          <w:rFonts w:ascii="Times New Roman" w:hAnsi="Times New Roman"/>
          <w:sz w:val="24"/>
          <w:szCs w:val="24"/>
          <w:lang w:val="en-GB"/>
        </w:rPr>
        <w:t xml:space="preserve">has attended conferences at the cost of </w:t>
      </w:r>
      <w:r>
        <w:rPr>
          <w:rFonts w:ascii="Times New Roman" w:hAnsi="Times New Roman"/>
          <w:sz w:val="24"/>
          <w:szCs w:val="24"/>
          <w:lang w:val="en-GB"/>
        </w:rPr>
        <w:t xml:space="preserve">a </w:t>
      </w:r>
      <w:r w:rsidRPr="00FE1B70">
        <w:rPr>
          <w:rFonts w:ascii="Times New Roman" w:hAnsi="Times New Roman"/>
          <w:sz w:val="24"/>
          <w:szCs w:val="24"/>
          <w:lang w:val="en-GB"/>
        </w:rPr>
        <w:t>pharmaceu</w:t>
      </w:r>
      <w:r>
        <w:rPr>
          <w:rFonts w:ascii="Times New Roman" w:hAnsi="Times New Roman"/>
          <w:sz w:val="24"/>
          <w:szCs w:val="24"/>
          <w:lang w:val="en-GB"/>
        </w:rPr>
        <w:t xml:space="preserve">tical company (Orion Corporation, Lundbeck, Sanquin, Merck Serono), received </w:t>
      </w:r>
      <w:r>
        <w:rPr>
          <w:rFonts w:ascii="Times New Roman" w:hAnsi="Times New Roman"/>
          <w:sz w:val="24"/>
          <w:szCs w:val="24"/>
          <w:lang w:val="en-US"/>
        </w:rPr>
        <w:t>lecture fees (Boehringer Ingelheim, scientific medical society Duodecim) and holds shares (Orion Corporation)</w:t>
      </w:r>
    </w:p>
    <w:p w:rsidR="00B356BE" w:rsidRPr="00FE1B70" w:rsidRDefault="00B356BE" w:rsidP="008079DC">
      <w:pPr>
        <w:spacing w:line="480" w:lineRule="auto"/>
        <w:rPr>
          <w:rFonts w:ascii="Times New Roman" w:hAnsi="Times New Roman"/>
          <w:sz w:val="24"/>
          <w:szCs w:val="24"/>
          <w:lang w:val="en-GB"/>
        </w:rPr>
      </w:pPr>
      <w:r w:rsidRPr="00FE1B70">
        <w:rPr>
          <w:rFonts w:ascii="Times New Roman" w:hAnsi="Times New Roman"/>
          <w:sz w:val="24"/>
          <w:szCs w:val="24"/>
          <w:lang w:val="en-GB"/>
        </w:rPr>
        <w:t>Merja Soilu-Hänninen has attended conferences at the cost of pharmaceu</w:t>
      </w:r>
      <w:r>
        <w:rPr>
          <w:rFonts w:ascii="Times New Roman" w:hAnsi="Times New Roman"/>
          <w:sz w:val="24"/>
          <w:szCs w:val="24"/>
          <w:lang w:val="en-GB"/>
        </w:rPr>
        <w:t xml:space="preserve">tical companies and </w:t>
      </w:r>
      <w:r w:rsidRPr="00FE1B70">
        <w:rPr>
          <w:rFonts w:ascii="Times New Roman" w:hAnsi="Times New Roman"/>
          <w:sz w:val="24"/>
          <w:szCs w:val="24"/>
          <w:lang w:val="en-GB"/>
        </w:rPr>
        <w:t>got lecture, consulting and investigator fees from pharmaceutical companies</w:t>
      </w:r>
      <w:r>
        <w:rPr>
          <w:rFonts w:ascii="Times New Roman" w:hAnsi="Times New Roman"/>
          <w:sz w:val="24"/>
          <w:szCs w:val="24"/>
          <w:lang w:val="en-GB"/>
        </w:rPr>
        <w:t xml:space="preserve"> (Astra-Tech, Bayer, Biog</w:t>
      </w:r>
      <w:r w:rsidRPr="00FE1B70">
        <w:rPr>
          <w:rFonts w:ascii="Times New Roman" w:hAnsi="Times New Roman"/>
          <w:sz w:val="24"/>
          <w:szCs w:val="24"/>
          <w:lang w:val="en-GB"/>
        </w:rPr>
        <w:t>en-Ide</w:t>
      </w:r>
      <w:r>
        <w:rPr>
          <w:rFonts w:ascii="Times New Roman" w:hAnsi="Times New Roman"/>
          <w:sz w:val="24"/>
          <w:szCs w:val="24"/>
          <w:lang w:val="en-GB"/>
        </w:rPr>
        <w:t xml:space="preserve">c, Eisai, Genzyme, GSK, Lundbeck, Merck, Novartis, Orion, Sanofi-Aventis, UCB). </w:t>
      </w:r>
    </w:p>
    <w:p w:rsidR="00B356BE" w:rsidRPr="00390083" w:rsidRDefault="00B356BE" w:rsidP="00A86670">
      <w:pPr>
        <w:rPr>
          <w:rFonts w:ascii="Times New Roman" w:hAnsi="Times New Roman"/>
          <w:b/>
          <w:sz w:val="24"/>
          <w:szCs w:val="24"/>
          <w:lang w:val="en-US"/>
        </w:rPr>
      </w:pPr>
      <w:r w:rsidRPr="00390083">
        <w:rPr>
          <w:lang w:val="en-US"/>
        </w:rPr>
        <w:br w:type="page"/>
      </w:r>
      <w:r w:rsidRPr="00390083">
        <w:rPr>
          <w:rFonts w:ascii="Times New Roman" w:hAnsi="Times New Roman"/>
          <w:b/>
          <w:sz w:val="24"/>
          <w:szCs w:val="24"/>
          <w:lang w:val="en-US"/>
        </w:rPr>
        <w:lastRenderedPageBreak/>
        <w:t>Abstract</w:t>
      </w:r>
    </w:p>
    <w:p w:rsidR="00B356BE" w:rsidRPr="009162C7" w:rsidRDefault="00B356BE" w:rsidP="00390083">
      <w:pPr>
        <w:spacing w:line="480" w:lineRule="auto"/>
        <w:rPr>
          <w:rFonts w:ascii="Times New Roman" w:hAnsi="Times New Roman"/>
          <w:sz w:val="24"/>
          <w:szCs w:val="24"/>
          <w:lang w:val="en-US"/>
        </w:rPr>
      </w:pPr>
      <w:r>
        <w:rPr>
          <w:rFonts w:ascii="Times New Roman" w:hAnsi="Times New Roman"/>
          <w:b/>
          <w:sz w:val="24"/>
          <w:szCs w:val="24"/>
          <w:lang w:val="en-US"/>
        </w:rPr>
        <w:t>Background:</w:t>
      </w:r>
      <w:r w:rsidRPr="009162C7">
        <w:rPr>
          <w:rFonts w:ascii="Times New Roman" w:hAnsi="Times New Roman"/>
          <w:sz w:val="24"/>
          <w:szCs w:val="24"/>
          <w:lang w:val="en-US"/>
        </w:rPr>
        <w:t xml:space="preserve"> </w:t>
      </w:r>
      <w:r>
        <w:rPr>
          <w:rFonts w:ascii="Times New Roman" w:hAnsi="Times New Roman"/>
          <w:sz w:val="24"/>
          <w:szCs w:val="24"/>
          <w:lang w:val="en-US"/>
        </w:rPr>
        <w:t>A Swiss study recently reported surgery as a potential risk factor for developing Guillain-Barré syndrome (GBS)</w:t>
      </w:r>
      <w:r w:rsidRPr="009162C7">
        <w:rPr>
          <w:rFonts w:ascii="Times New Roman" w:hAnsi="Times New Roman"/>
          <w:sz w:val="24"/>
          <w:szCs w:val="24"/>
          <w:lang w:val="en-US"/>
        </w:rPr>
        <w:t>.</w:t>
      </w:r>
      <w:r>
        <w:rPr>
          <w:rFonts w:ascii="Times New Roman" w:hAnsi="Times New Roman"/>
          <w:sz w:val="24"/>
          <w:szCs w:val="24"/>
          <w:lang w:val="en-US"/>
        </w:rPr>
        <w:t xml:space="preserve"> We sought to establish this in Finnish adult population.</w:t>
      </w:r>
    </w:p>
    <w:p w:rsidR="00B356BE" w:rsidRPr="009162C7" w:rsidRDefault="00B356BE" w:rsidP="009162C7">
      <w:pPr>
        <w:spacing w:line="480" w:lineRule="auto"/>
        <w:rPr>
          <w:rFonts w:ascii="Times New Roman" w:hAnsi="Times New Roman"/>
          <w:sz w:val="24"/>
          <w:szCs w:val="24"/>
          <w:lang w:val="en-US"/>
        </w:rPr>
      </w:pPr>
      <w:r w:rsidRPr="009162C7">
        <w:rPr>
          <w:rFonts w:ascii="Times New Roman" w:hAnsi="Times New Roman"/>
          <w:b/>
          <w:sz w:val="24"/>
          <w:szCs w:val="24"/>
          <w:lang w:val="en-US"/>
        </w:rPr>
        <w:t>Methods:</w:t>
      </w:r>
      <w:r w:rsidRPr="009162C7">
        <w:rPr>
          <w:rFonts w:ascii="Times New Roman" w:hAnsi="Times New Roman"/>
          <w:sz w:val="24"/>
          <w:szCs w:val="24"/>
          <w:lang w:val="en-US"/>
        </w:rPr>
        <w:t xml:space="preserve"> Persons </w:t>
      </w:r>
      <w:r>
        <w:rPr>
          <w:rFonts w:ascii="Times New Roman" w:hAnsi="Times New Roman"/>
          <w:sz w:val="24"/>
          <w:szCs w:val="24"/>
          <w:lang w:val="en-US"/>
        </w:rPr>
        <w:t xml:space="preserve">over 16 years of age, </w:t>
      </w:r>
      <w:r w:rsidRPr="003C7F98">
        <w:rPr>
          <w:rFonts w:ascii="Times New Roman" w:hAnsi="Times New Roman"/>
          <w:sz w:val="24"/>
          <w:szCs w:val="24"/>
          <w:lang w:val="en-US"/>
        </w:rPr>
        <w:t>who received a diagnosis of</w:t>
      </w:r>
      <w:r w:rsidRPr="009162C7">
        <w:rPr>
          <w:rFonts w:ascii="Times New Roman" w:hAnsi="Times New Roman"/>
          <w:sz w:val="24"/>
          <w:szCs w:val="24"/>
          <w:lang w:val="en-US"/>
        </w:rPr>
        <w:t xml:space="preserve"> </w:t>
      </w:r>
      <w:r>
        <w:rPr>
          <w:rFonts w:ascii="Times New Roman" w:hAnsi="Times New Roman"/>
          <w:sz w:val="24"/>
          <w:szCs w:val="24"/>
          <w:lang w:val="en-US"/>
        </w:rPr>
        <w:t>GBS</w:t>
      </w:r>
      <w:r w:rsidRPr="009162C7">
        <w:rPr>
          <w:rFonts w:ascii="Times New Roman" w:hAnsi="Times New Roman"/>
          <w:sz w:val="24"/>
          <w:szCs w:val="24"/>
          <w:lang w:val="en-US"/>
        </w:rPr>
        <w:t xml:space="preserve"> in </w:t>
      </w:r>
      <w:r>
        <w:rPr>
          <w:rFonts w:ascii="Times New Roman" w:hAnsi="Times New Roman"/>
          <w:sz w:val="24"/>
          <w:szCs w:val="24"/>
          <w:lang w:val="en-US"/>
        </w:rPr>
        <w:t>2004-2013,</w:t>
      </w:r>
      <w:r w:rsidRPr="009162C7">
        <w:rPr>
          <w:rFonts w:ascii="Times New Roman" w:hAnsi="Times New Roman"/>
          <w:sz w:val="24"/>
          <w:szCs w:val="24"/>
          <w:lang w:val="en-US"/>
        </w:rPr>
        <w:t xml:space="preserve"> were identified </w:t>
      </w:r>
      <w:r>
        <w:rPr>
          <w:rFonts w:ascii="Times New Roman" w:hAnsi="Times New Roman"/>
          <w:sz w:val="24"/>
          <w:szCs w:val="24"/>
          <w:lang w:val="en-US"/>
        </w:rPr>
        <w:t xml:space="preserve">from </w:t>
      </w:r>
      <w:r w:rsidRPr="009162C7">
        <w:rPr>
          <w:rFonts w:ascii="Times New Roman" w:hAnsi="Times New Roman"/>
          <w:sz w:val="24"/>
          <w:szCs w:val="24"/>
          <w:lang w:val="en-US"/>
        </w:rPr>
        <w:t xml:space="preserve">the </w:t>
      </w:r>
      <w:r>
        <w:rPr>
          <w:rFonts w:ascii="Times New Roman" w:hAnsi="Times New Roman"/>
          <w:sz w:val="24"/>
          <w:szCs w:val="24"/>
          <w:lang w:val="en-US"/>
        </w:rPr>
        <w:t xml:space="preserve">patient register of </w:t>
      </w:r>
      <w:smartTag w:uri="urn:schemas-microsoft-com:office:smarttags" w:element="PlaceName">
        <w:smartTag w:uri="urn:schemas-microsoft-com:office:smarttags" w:element="place">
          <w:r>
            <w:rPr>
              <w:rFonts w:ascii="Times New Roman" w:hAnsi="Times New Roman"/>
              <w:sz w:val="24"/>
              <w:szCs w:val="24"/>
              <w:lang w:val="en-US"/>
            </w:rPr>
            <w:t>Turku</w:t>
          </w:r>
        </w:smartTag>
        <w:r>
          <w:rPr>
            <w:rFonts w:ascii="Times New Roman" w:hAnsi="Times New Roman"/>
            <w:sz w:val="24"/>
            <w:szCs w:val="24"/>
            <w:lang w:val="en-US"/>
          </w:rPr>
          <w:t xml:space="preserve"> </w:t>
        </w:r>
        <w:smartTag w:uri="urn:schemas-microsoft-com:office:smarttags" w:element="PlaceType">
          <w:r>
            <w:rPr>
              <w:rFonts w:ascii="Times New Roman" w:hAnsi="Times New Roman"/>
              <w:sz w:val="24"/>
              <w:szCs w:val="24"/>
              <w:lang w:val="en-US"/>
            </w:rPr>
            <w:t>University</w:t>
          </w:r>
        </w:smartTag>
        <w:r>
          <w:rPr>
            <w:rFonts w:ascii="Times New Roman" w:hAnsi="Times New Roman"/>
            <w:sz w:val="24"/>
            <w:szCs w:val="24"/>
            <w:lang w:val="en-US"/>
          </w:rPr>
          <w:t xml:space="preserve"> </w:t>
        </w:r>
        <w:smartTag w:uri="urn:schemas-microsoft-com:office:smarttags" w:element="PlaceType">
          <w:r>
            <w:rPr>
              <w:rFonts w:ascii="Times New Roman" w:hAnsi="Times New Roman"/>
              <w:sz w:val="24"/>
              <w:szCs w:val="24"/>
              <w:lang w:val="en-US"/>
            </w:rPr>
            <w:t>Hospital</w:t>
          </w:r>
        </w:smartTag>
      </w:smartTag>
      <w:r w:rsidRPr="009162C7">
        <w:rPr>
          <w:rFonts w:ascii="Times New Roman" w:hAnsi="Times New Roman"/>
          <w:sz w:val="24"/>
          <w:szCs w:val="24"/>
          <w:lang w:val="en-US"/>
        </w:rPr>
        <w:t xml:space="preserve"> and </w:t>
      </w:r>
      <w:r>
        <w:rPr>
          <w:rFonts w:ascii="Times New Roman" w:hAnsi="Times New Roman"/>
          <w:sz w:val="24"/>
          <w:szCs w:val="24"/>
          <w:lang w:val="en-US"/>
        </w:rPr>
        <w:t xml:space="preserve">their patient </w:t>
      </w:r>
      <w:r w:rsidRPr="009162C7">
        <w:rPr>
          <w:rFonts w:ascii="Times New Roman" w:hAnsi="Times New Roman"/>
          <w:sz w:val="24"/>
          <w:szCs w:val="24"/>
          <w:lang w:val="en-US"/>
        </w:rPr>
        <w:t xml:space="preserve">records </w:t>
      </w:r>
      <w:r>
        <w:rPr>
          <w:rFonts w:ascii="Times New Roman" w:hAnsi="Times New Roman"/>
          <w:sz w:val="24"/>
          <w:szCs w:val="24"/>
          <w:lang w:val="en-US"/>
        </w:rPr>
        <w:t>were analyzed to identify</w:t>
      </w:r>
      <w:r w:rsidRPr="009162C7">
        <w:rPr>
          <w:rFonts w:ascii="Times New Roman" w:hAnsi="Times New Roman"/>
          <w:sz w:val="24"/>
          <w:szCs w:val="24"/>
          <w:lang w:val="en-US"/>
        </w:rPr>
        <w:t xml:space="preserve"> </w:t>
      </w:r>
      <w:r>
        <w:rPr>
          <w:rFonts w:ascii="Times New Roman" w:hAnsi="Times New Roman"/>
          <w:sz w:val="24"/>
          <w:szCs w:val="24"/>
          <w:lang w:val="en-US"/>
        </w:rPr>
        <w:t>possible triggers</w:t>
      </w:r>
      <w:r w:rsidRPr="009162C7">
        <w:rPr>
          <w:rFonts w:ascii="Times New Roman" w:hAnsi="Times New Roman"/>
          <w:sz w:val="24"/>
          <w:szCs w:val="24"/>
          <w:lang w:val="en-US"/>
        </w:rPr>
        <w:t>.</w:t>
      </w:r>
    </w:p>
    <w:p w:rsidR="00B356BE" w:rsidRDefault="00B356BE" w:rsidP="009162C7">
      <w:pPr>
        <w:spacing w:line="480" w:lineRule="auto"/>
        <w:rPr>
          <w:rFonts w:ascii="Times New Roman" w:hAnsi="Times New Roman"/>
          <w:sz w:val="24"/>
          <w:szCs w:val="24"/>
          <w:lang w:val="en-US"/>
        </w:rPr>
      </w:pPr>
      <w:r w:rsidRPr="009162C7">
        <w:rPr>
          <w:rFonts w:ascii="Times New Roman" w:hAnsi="Times New Roman"/>
          <w:b/>
          <w:sz w:val="24"/>
          <w:szCs w:val="24"/>
          <w:lang w:val="en-US"/>
        </w:rPr>
        <w:t>Results:</w:t>
      </w:r>
      <w:r w:rsidRPr="009162C7">
        <w:rPr>
          <w:rFonts w:ascii="Times New Roman" w:hAnsi="Times New Roman"/>
          <w:sz w:val="24"/>
          <w:szCs w:val="24"/>
          <w:lang w:val="en-US"/>
        </w:rPr>
        <w:t xml:space="preserve"> </w:t>
      </w:r>
      <w:r>
        <w:rPr>
          <w:rFonts w:ascii="Times New Roman" w:hAnsi="Times New Roman"/>
          <w:sz w:val="24"/>
          <w:szCs w:val="24"/>
          <w:lang w:val="en-US"/>
        </w:rPr>
        <w:t>A cohort of 69</w:t>
      </w:r>
      <w:r w:rsidRPr="009162C7">
        <w:rPr>
          <w:rFonts w:ascii="Times New Roman" w:hAnsi="Times New Roman"/>
          <w:sz w:val="24"/>
          <w:szCs w:val="24"/>
          <w:lang w:val="en-US"/>
        </w:rPr>
        <w:t xml:space="preserve"> </w:t>
      </w:r>
      <w:r>
        <w:rPr>
          <w:rFonts w:ascii="Times New Roman" w:hAnsi="Times New Roman"/>
          <w:sz w:val="24"/>
          <w:szCs w:val="24"/>
          <w:lang w:val="en-US"/>
        </w:rPr>
        <w:t xml:space="preserve">adult </w:t>
      </w:r>
      <w:r w:rsidRPr="009162C7">
        <w:rPr>
          <w:rFonts w:ascii="Times New Roman" w:hAnsi="Times New Roman"/>
          <w:sz w:val="24"/>
          <w:szCs w:val="24"/>
          <w:lang w:val="en-US"/>
        </w:rPr>
        <w:t xml:space="preserve">patients with </w:t>
      </w:r>
      <w:r>
        <w:rPr>
          <w:rFonts w:ascii="Times New Roman" w:hAnsi="Times New Roman"/>
          <w:sz w:val="24"/>
          <w:szCs w:val="24"/>
          <w:lang w:val="en-US"/>
        </w:rPr>
        <w:t>GBS (63.8% men) was identified giving an annual incidence of 1.82/100,000</w:t>
      </w:r>
      <w:r w:rsidRPr="00156170">
        <w:rPr>
          <w:rFonts w:ascii="Times New Roman" w:hAnsi="Times New Roman"/>
          <w:sz w:val="24"/>
          <w:szCs w:val="24"/>
          <w:lang w:val="en-US"/>
        </w:rPr>
        <w:t>.</w:t>
      </w:r>
      <w:r>
        <w:rPr>
          <w:rFonts w:ascii="Times New Roman" w:hAnsi="Times New Roman"/>
          <w:sz w:val="24"/>
          <w:szCs w:val="24"/>
          <w:lang w:val="en-US"/>
        </w:rPr>
        <w:t xml:space="preserve"> Of these, four (5.8%) had experienced a surgical procedure during the preceding six weeks with a relative risk of 6.28 (95% Confidence Interv</w:t>
      </w:r>
    </w:p>
    <w:p w:rsidR="00B356BE" w:rsidRPr="00156170" w:rsidRDefault="00B356BE" w:rsidP="009162C7">
      <w:pPr>
        <w:spacing w:line="480" w:lineRule="auto"/>
        <w:rPr>
          <w:rFonts w:ascii="Times New Roman" w:hAnsi="Times New Roman"/>
          <w:sz w:val="24"/>
          <w:szCs w:val="24"/>
          <w:lang w:val="en-US"/>
        </w:rPr>
      </w:pPr>
      <w:r>
        <w:rPr>
          <w:rFonts w:ascii="Times New Roman" w:hAnsi="Times New Roman"/>
          <w:sz w:val="24"/>
          <w:szCs w:val="24"/>
          <w:lang w:val="en-US"/>
        </w:rPr>
        <w:t xml:space="preserve">al 4.15-9.47, p&lt;0.001) compared to the general study population or a risk of 1.25/100,000 operations. No difference between genders was found. Only two (2.9%) patients had received a vaccination [one against seasonal (p=0.888) and one against pandemic influenza (Pandemrix®, RR=2.85, 95% CI 1.27-6.38, </w:t>
      </w:r>
      <w:r w:rsidRPr="001379CD">
        <w:rPr>
          <w:rFonts w:ascii="Times New Roman" w:hAnsi="Times New Roman"/>
          <w:sz w:val="24"/>
          <w:szCs w:val="24"/>
          <w:lang w:val="en-US"/>
        </w:rPr>
        <w:t>p=</w:t>
      </w:r>
      <w:r>
        <w:rPr>
          <w:rFonts w:ascii="Times New Roman" w:hAnsi="Times New Roman"/>
          <w:sz w:val="24"/>
          <w:szCs w:val="24"/>
          <w:lang w:val="en-US"/>
        </w:rPr>
        <w:t>0.011)] during the preceding six weeks. The most common GBS triggers identified were respiratory tract infections in 30 cases (43.5%) and gastroenteritis in 16 cases (23.2%) while two patients (2.9%) had had both.</w:t>
      </w:r>
    </w:p>
    <w:p w:rsidR="00B356BE" w:rsidRPr="009162C7" w:rsidRDefault="00B356BE" w:rsidP="009162C7">
      <w:pPr>
        <w:spacing w:line="480" w:lineRule="auto"/>
        <w:rPr>
          <w:rFonts w:ascii="Times New Roman" w:hAnsi="Times New Roman"/>
          <w:sz w:val="24"/>
          <w:szCs w:val="24"/>
          <w:lang w:val="en-US"/>
        </w:rPr>
      </w:pPr>
      <w:r w:rsidRPr="00156170">
        <w:rPr>
          <w:rFonts w:ascii="Times New Roman" w:hAnsi="Times New Roman"/>
          <w:b/>
          <w:sz w:val="24"/>
          <w:szCs w:val="24"/>
          <w:lang w:val="en-US"/>
        </w:rPr>
        <w:t>Conclusions:</w:t>
      </w:r>
      <w:r>
        <w:rPr>
          <w:rFonts w:ascii="Times New Roman" w:hAnsi="Times New Roman"/>
          <w:sz w:val="24"/>
          <w:szCs w:val="24"/>
          <w:lang w:val="en-US"/>
        </w:rPr>
        <w:t xml:space="preserve"> The overall incidence of GBS in adult population of </w:t>
      </w:r>
      <w:smartTag w:uri="urn:schemas-microsoft-com:office:smarttags" w:element="place">
        <w:r>
          <w:rPr>
            <w:rFonts w:ascii="Times New Roman" w:hAnsi="Times New Roman"/>
            <w:sz w:val="24"/>
            <w:szCs w:val="24"/>
            <w:lang w:val="en-US"/>
          </w:rPr>
          <w:t>Southwestern Finland</w:t>
        </w:r>
      </w:smartTag>
      <w:r>
        <w:rPr>
          <w:rFonts w:ascii="Times New Roman" w:hAnsi="Times New Roman"/>
          <w:sz w:val="24"/>
          <w:szCs w:val="24"/>
          <w:lang w:val="en-US"/>
        </w:rPr>
        <w:t xml:space="preserve"> was similar to previous studies worldwide and the most common triggers were respiratory tract infections and gastroenteritis. Surgery was a rare risk factor and of vaccinations only the one against pandemic influenza raised the risk of GBS.</w:t>
      </w:r>
    </w:p>
    <w:p w:rsidR="00B356BE" w:rsidRPr="00CF7A75" w:rsidRDefault="00B356BE" w:rsidP="000A0C63">
      <w:pPr>
        <w:rPr>
          <w:rFonts w:ascii="Times New Roman" w:hAnsi="Times New Roman"/>
          <w:sz w:val="28"/>
          <w:szCs w:val="24"/>
          <w:lang w:val="en-US"/>
        </w:rPr>
      </w:pPr>
      <w:r w:rsidRPr="00884A0A">
        <w:rPr>
          <w:lang w:val="en-US"/>
        </w:rPr>
        <w:br w:type="page"/>
      </w:r>
      <w:r w:rsidRPr="00CF7A75">
        <w:rPr>
          <w:rFonts w:ascii="Times New Roman" w:hAnsi="Times New Roman"/>
          <w:b/>
          <w:sz w:val="28"/>
          <w:szCs w:val="24"/>
          <w:lang w:val="en-US"/>
        </w:rPr>
        <w:lastRenderedPageBreak/>
        <w:t>Introduction</w:t>
      </w:r>
    </w:p>
    <w:p w:rsidR="00B356BE" w:rsidRPr="003D0A65" w:rsidRDefault="00B356BE" w:rsidP="008F0E49">
      <w:pPr>
        <w:spacing w:line="480" w:lineRule="auto"/>
        <w:ind w:firstLine="1304"/>
        <w:rPr>
          <w:rFonts w:ascii="Times New Roman" w:hAnsi="Times New Roman"/>
          <w:sz w:val="24"/>
          <w:szCs w:val="24"/>
          <w:lang w:val="en-US"/>
        </w:rPr>
      </w:pPr>
      <w:r w:rsidRPr="003D0A65">
        <w:rPr>
          <w:rFonts w:ascii="Times New Roman" w:hAnsi="Times New Roman"/>
          <w:sz w:val="24"/>
          <w:szCs w:val="24"/>
          <w:lang w:val="en-US"/>
        </w:rPr>
        <w:t xml:space="preserve"> </w:t>
      </w:r>
      <w:r>
        <w:rPr>
          <w:rFonts w:ascii="Times New Roman" w:hAnsi="Times New Roman"/>
          <w:sz w:val="24"/>
          <w:szCs w:val="24"/>
          <w:lang w:val="en-US"/>
        </w:rPr>
        <w:t>Guillain-Barré syndrome (GBS)</w:t>
      </w:r>
      <w:r w:rsidRPr="003D0A65">
        <w:rPr>
          <w:rFonts w:ascii="Times New Roman" w:hAnsi="Times New Roman"/>
          <w:sz w:val="24"/>
          <w:szCs w:val="24"/>
          <w:lang w:val="en-US"/>
        </w:rPr>
        <w:t xml:space="preserve"> is a</w:t>
      </w:r>
      <w:r>
        <w:rPr>
          <w:rFonts w:ascii="Times New Roman" w:hAnsi="Times New Roman"/>
          <w:sz w:val="24"/>
          <w:szCs w:val="24"/>
          <w:lang w:val="en-US"/>
        </w:rPr>
        <w:t>n autoimmune-mediated monophasic polyneuropathy with symptoms varying from numbness and slight weakness to quadriparesis and respiratory insufficiency. The symptoms reach their nadir within four weeks and the prognosis is usually good [1]. Mortality is up to 5% even with modern treatment [2].</w:t>
      </w:r>
      <w:r w:rsidRPr="003D0A65">
        <w:rPr>
          <w:rFonts w:ascii="Times New Roman" w:hAnsi="Times New Roman"/>
          <w:sz w:val="24"/>
          <w:szCs w:val="24"/>
          <w:lang w:val="en-US"/>
        </w:rPr>
        <w:t xml:space="preserve"> </w:t>
      </w:r>
      <w:r>
        <w:rPr>
          <w:rFonts w:ascii="Times New Roman" w:hAnsi="Times New Roman"/>
          <w:sz w:val="24"/>
          <w:szCs w:val="24"/>
          <w:lang w:val="en-US"/>
        </w:rPr>
        <w:t xml:space="preserve">The pathogenesis is still not fully understood, but cellular and humoral immune mechanisms have been implicated [3]. </w:t>
      </w:r>
      <w:r w:rsidRPr="006475F3">
        <w:rPr>
          <w:rFonts w:ascii="Times New Roman" w:hAnsi="Times New Roman"/>
          <w:sz w:val="24"/>
          <w:szCs w:val="24"/>
          <w:lang w:val="en-US"/>
        </w:rPr>
        <w:t xml:space="preserve">The most common form of GBS is the demyelinating type (AIDP). </w:t>
      </w:r>
      <w:r>
        <w:rPr>
          <w:rFonts w:ascii="Times New Roman" w:hAnsi="Times New Roman"/>
          <w:sz w:val="24"/>
          <w:szCs w:val="24"/>
          <w:lang w:val="en-US"/>
        </w:rPr>
        <w:t xml:space="preserve">The axonal forms (AMAN and AMSAN) are associated with GM1 auto-antibodies. </w:t>
      </w:r>
      <w:r w:rsidRPr="006475F3">
        <w:rPr>
          <w:rFonts w:ascii="Times New Roman" w:hAnsi="Times New Roman"/>
          <w:sz w:val="24"/>
          <w:szCs w:val="24"/>
          <w:lang w:val="en-US"/>
        </w:rPr>
        <w:t xml:space="preserve">A variant of GBS is the </w:t>
      </w:r>
      <w:r>
        <w:rPr>
          <w:rFonts w:ascii="Times New Roman" w:hAnsi="Times New Roman"/>
          <w:sz w:val="24"/>
          <w:szCs w:val="24"/>
          <w:lang w:val="en-US"/>
        </w:rPr>
        <w:t xml:space="preserve">syndrome involving </w:t>
      </w:r>
      <w:r w:rsidRPr="006475F3">
        <w:rPr>
          <w:rFonts w:ascii="Times New Roman" w:hAnsi="Times New Roman"/>
          <w:sz w:val="24"/>
          <w:szCs w:val="24"/>
          <w:lang w:val="en-US"/>
        </w:rPr>
        <w:t xml:space="preserve">anti-GQ1b </w:t>
      </w:r>
      <w:r>
        <w:rPr>
          <w:rFonts w:ascii="Times New Roman" w:hAnsi="Times New Roman"/>
          <w:sz w:val="24"/>
          <w:szCs w:val="24"/>
          <w:lang w:val="en-US"/>
        </w:rPr>
        <w:t xml:space="preserve">antibodies </w:t>
      </w:r>
      <w:r w:rsidRPr="006475F3">
        <w:rPr>
          <w:rFonts w:ascii="Times New Roman" w:hAnsi="Times New Roman"/>
          <w:sz w:val="24"/>
          <w:szCs w:val="24"/>
          <w:lang w:val="en-US"/>
        </w:rPr>
        <w:t xml:space="preserve">which  </w:t>
      </w:r>
      <w:r>
        <w:rPr>
          <w:rFonts w:ascii="Times New Roman" w:hAnsi="Times New Roman"/>
          <w:sz w:val="24"/>
          <w:szCs w:val="24"/>
          <w:lang w:val="en-US"/>
        </w:rPr>
        <w:t>may manifest for instance as Miller-</w:t>
      </w:r>
      <w:r w:rsidRPr="006475F3">
        <w:rPr>
          <w:rFonts w:ascii="Times New Roman" w:hAnsi="Times New Roman"/>
          <w:sz w:val="24"/>
          <w:szCs w:val="24"/>
          <w:lang w:val="en-US"/>
        </w:rPr>
        <w:t>Fisher syndrome</w:t>
      </w:r>
      <w:r>
        <w:rPr>
          <w:rFonts w:ascii="Times New Roman" w:hAnsi="Times New Roman"/>
          <w:sz w:val="24"/>
          <w:szCs w:val="24"/>
          <w:lang w:val="en-US"/>
        </w:rPr>
        <w:t>[4-5].</w:t>
      </w:r>
    </w:p>
    <w:p w:rsidR="00B356BE" w:rsidRDefault="00B356BE" w:rsidP="00D27B09">
      <w:pPr>
        <w:spacing w:line="480" w:lineRule="auto"/>
        <w:ind w:firstLine="1304"/>
        <w:rPr>
          <w:rFonts w:ascii="Times New Roman" w:hAnsi="Times New Roman"/>
          <w:sz w:val="24"/>
          <w:szCs w:val="24"/>
          <w:lang w:val="en-US"/>
        </w:rPr>
      </w:pPr>
      <w:r w:rsidRPr="008F0E49">
        <w:rPr>
          <w:rFonts w:ascii="Times New Roman" w:hAnsi="Times New Roman"/>
          <w:sz w:val="24"/>
          <w:szCs w:val="24"/>
          <w:lang w:val="en-US"/>
        </w:rPr>
        <w:t xml:space="preserve"> </w:t>
      </w:r>
      <w:r>
        <w:rPr>
          <w:rFonts w:ascii="Times New Roman" w:hAnsi="Times New Roman"/>
          <w:sz w:val="24"/>
          <w:szCs w:val="24"/>
          <w:lang w:val="en-US"/>
        </w:rPr>
        <w:t xml:space="preserve">The incidence of GBS in Caucasian populations is 0.62-2.66/100,000 person years and rises with age [6]. In </w:t>
      </w:r>
      <w:smartTag w:uri="urn:schemas-microsoft-com:office:smarttags" w:element="State">
        <w:smartTag w:uri="urn:schemas-microsoft-com:office:smarttags" w:element="country-region">
          <w:smartTag w:uri="urn:schemas-microsoft-com:office:smarttags" w:element="place">
            <w:r>
              <w:rPr>
                <w:rFonts w:ascii="Times New Roman" w:hAnsi="Times New Roman"/>
                <w:sz w:val="24"/>
                <w:szCs w:val="24"/>
                <w:lang w:val="en-US"/>
              </w:rPr>
              <w:t>Finland</w:t>
            </w:r>
          </w:smartTag>
        </w:smartTag>
      </w:smartTag>
      <w:r>
        <w:rPr>
          <w:rFonts w:ascii="Times New Roman" w:hAnsi="Times New Roman"/>
          <w:sz w:val="24"/>
          <w:szCs w:val="24"/>
          <w:lang w:val="en-US"/>
        </w:rPr>
        <w:t xml:space="preserve"> (5,400,000 inhabitants) 50-100 cases are diagnosed annually [7]. Earlier studies have identified infections as a potential trigger in 2/3 of cases with </w:t>
      </w:r>
      <w:r>
        <w:rPr>
          <w:rFonts w:ascii="Times New Roman" w:hAnsi="Times New Roman"/>
          <w:i/>
          <w:sz w:val="24"/>
          <w:szCs w:val="24"/>
          <w:lang w:val="en-US"/>
        </w:rPr>
        <w:t>C</w:t>
      </w:r>
      <w:r w:rsidRPr="00656A8B">
        <w:rPr>
          <w:rFonts w:ascii="Times New Roman" w:hAnsi="Times New Roman"/>
          <w:i/>
          <w:sz w:val="24"/>
          <w:szCs w:val="24"/>
          <w:lang w:val="en-US"/>
        </w:rPr>
        <w:t>ampylobacter jejuni</w:t>
      </w:r>
      <w:r>
        <w:rPr>
          <w:rFonts w:ascii="Times New Roman" w:hAnsi="Times New Roman"/>
          <w:sz w:val="24"/>
          <w:szCs w:val="24"/>
          <w:lang w:val="en-US"/>
        </w:rPr>
        <w:t xml:space="preserve"> –gastroenteritis and respiratory infections caused by </w:t>
      </w:r>
      <w:r w:rsidRPr="00656A8B">
        <w:rPr>
          <w:rFonts w:ascii="Times New Roman" w:hAnsi="Times New Roman"/>
          <w:i/>
          <w:sz w:val="24"/>
          <w:szCs w:val="24"/>
          <w:lang w:val="en-US"/>
        </w:rPr>
        <w:t>Haemophilus Influenzae</w:t>
      </w:r>
      <w:r>
        <w:rPr>
          <w:rFonts w:ascii="Times New Roman" w:hAnsi="Times New Roman"/>
          <w:sz w:val="24"/>
          <w:szCs w:val="24"/>
          <w:lang w:val="en-US"/>
        </w:rPr>
        <w:t xml:space="preserve">, </w:t>
      </w:r>
      <w:r w:rsidRPr="00656A8B">
        <w:rPr>
          <w:rFonts w:ascii="Times New Roman" w:hAnsi="Times New Roman"/>
          <w:i/>
          <w:sz w:val="24"/>
          <w:szCs w:val="24"/>
          <w:lang w:val="en-US"/>
        </w:rPr>
        <w:t>Mycoplasma pneumoniae</w:t>
      </w:r>
      <w:r>
        <w:rPr>
          <w:rFonts w:ascii="Times New Roman" w:hAnsi="Times New Roman"/>
          <w:sz w:val="24"/>
          <w:szCs w:val="24"/>
          <w:lang w:val="en-US"/>
        </w:rPr>
        <w:t>, cytomegalovirus, influenza virus and enteroviruses being the most notable [8-9]. Vaccinations have also been proposed as triggers, but studies on the subject have reported conflicting results [5].</w:t>
      </w:r>
    </w:p>
    <w:p w:rsidR="00B356BE" w:rsidRPr="005236FC" w:rsidRDefault="00B356BE" w:rsidP="00D27B09">
      <w:pPr>
        <w:spacing w:line="480" w:lineRule="auto"/>
        <w:ind w:firstLine="1304"/>
        <w:rPr>
          <w:rFonts w:ascii="Times New Roman" w:hAnsi="Times New Roman"/>
          <w:sz w:val="24"/>
          <w:szCs w:val="24"/>
          <w:lang w:val="en-US"/>
        </w:rPr>
      </w:pPr>
      <w:r w:rsidRPr="005236FC">
        <w:rPr>
          <w:rFonts w:ascii="Times New Roman" w:hAnsi="Times New Roman"/>
          <w:sz w:val="24"/>
          <w:szCs w:val="24"/>
          <w:lang w:val="en-US"/>
        </w:rPr>
        <w:t xml:space="preserve">Recently, Gensicke </w:t>
      </w:r>
      <w:r>
        <w:rPr>
          <w:rFonts w:ascii="Times New Roman" w:hAnsi="Times New Roman"/>
          <w:sz w:val="24"/>
          <w:szCs w:val="24"/>
          <w:lang w:val="en-US"/>
        </w:rPr>
        <w:t>et al.</w:t>
      </w:r>
      <w:r w:rsidRPr="005236FC">
        <w:rPr>
          <w:rFonts w:ascii="Times New Roman" w:hAnsi="Times New Roman"/>
          <w:sz w:val="24"/>
          <w:szCs w:val="24"/>
          <w:lang w:val="en-US"/>
        </w:rPr>
        <w:t xml:space="preserve"> reported</w:t>
      </w:r>
      <w:r>
        <w:rPr>
          <w:rFonts w:ascii="Times New Roman" w:hAnsi="Times New Roman"/>
          <w:sz w:val="24"/>
          <w:szCs w:val="24"/>
          <w:lang w:val="en-US"/>
        </w:rPr>
        <w:t xml:space="preserve"> [10]</w:t>
      </w:r>
      <w:r w:rsidRPr="005236FC">
        <w:rPr>
          <w:rFonts w:ascii="Times New Roman" w:hAnsi="Times New Roman"/>
          <w:sz w:val="24"/>
          <w:szCs w:val="24"/>
          <w:lang w:val="en-US"/>
        </w:rPr>
        <w:t xml:space="preserve"> on a retrospective study of GBS </w:t>
      </w:r>
      <w:r>
        <w:rPr>
          <w:rFonts w:ascii="Times New Roman" w:hAnsi="Times New Roman"/>
          <w:sz w:val="24"/>
          <w:szCs w:val="24"/>
          <w:lang w:val="en-US"/>
        </w:rPr>
        <w:t xml:space="preserve">which </w:t>
      </w:r>
      <w:r w:rsidRPr="005236FC">
        <w:rPr>
          <w:rFonts w:ascii="Times New Roman" w:hAnsi="Times New Roman"/>
          <w:sz w:val="24"/>
          <w:szCs w:val="24"/>
          <w:lang w:val="en-US"/>
        </w:rPr>
        <w:t>show</w:t>
      </w:r>
      <w:r>
        <w:rPr>
          <w:rFonts w:ascii="Times New Roman" w:hAnsi="Times New Roman"/>
          <w:sz w:val="24"/>
          <w:szCs w:val="24"/>
          <w:lang w:val="en-US"/>
        </w:rPr>
        <w:t>ed that</w:t>
      </w:r>
      <w:r w:rsidRPr="005236FC">
        <w:rPr>
          <w:rFonts w:ascii="Times New Roman" w:hAnsi="Times New Roman"/>
          <w:sz w:val="24"/>
          <w:szCs w:val="24"/>
          <w:lang w:val="en-US"/>
        </w:rPr>
        <w:t xml:space="preserve"> 9.5% of patients </w:t>
      </w:r>
      <w:r>
        <w:rPr>
          <w:rFonts w:ascii="Times New Roman" w:hAnsi="Times New Roman"/>
          <w:sz w:val="24"/>
          <w:szCs w:val="24"/>
          <w:lang w:val="en-US"/>
        </w:rPr>
        <w:t>had</w:t>
      </w:r>
      <w:r w:rsidRPr="005236FC">
        <w:rPr>
          <w:rFonts w:ascii="Times New Roman" w:hAnsi="Times New Roman"/>
          <w:sz w:val="24"/>
          <w:szCs w:val="24"/>
          <w:lang w:val="en-US"/>
        </w:rPr>
        <w:t xml:space="preserve"> und</w:t>
      </w:r>
      <w:r>
        <w:rPr>
          <w:rFonts w:ascii="Times New Roman" w:hAnsi="Times New Roman"/>
          <w:sz w:val="24"/>
          <w:szCs w:val="24"/>
          <w:lang w:val="en-US"/>
        </w:rPr>
        <w:t>ergone surgery within a six-week p</w:t>
      </w:r>
      <w:r w:rsidRPr="005236FC">
        <w:rPr>
          <w:rFonts w:ascii="Times New Roman" w:hAnsi="Times New Roman"/>
          <w:sz w:val="24"/>
          <w:szCs w:val="24"/>
          <w:lang w:val="en-US"/>
        </w:rPr>
        <w:t>e</w:t>
      </w:r>
      <w:r>
        <w:rPr>
          <w:rFonts w:ascii="Times New Roman" w:hAnsi="Times New Roman"/>
          <w:sz w:val="24"/>
          <w:szCs w:val="24"/>
          <w:lang w:val="en-US"/>
        </w:rPr>
        <w:t>r</w:t>
      </w:r>
      <w:r w:rsidRPr="005236FC">
        <w:rPr>
          <w:rFonts w:ascii="Times New Roman" w:hAnsi="Times New Roman"/>
          <w:sz w:val="24"/>
          <w:szCs w:val="24"/>
          <w:lang w:val="en-US"/>
        </w:rPr>
        <w:t xml:space="preserve">iod prior to </w:t>
      </w:r>
      <w:r>
        <w:rPr>
          <w:rFonts w:ascii="Times New Roman" w:hAnsi="Times New Roman"/>
          <w:sz w:val="24"/>
          <w:szCs w:val="24"/>
          <w:lang w:val="en-US"/>
        </w:rPr>
        <w:t>GBS</w:t>
      </w:r>
      <w:r w:rsidRPr="005236FC">
        <w:rPr>
          <w:rFonts w:ascii="Times New Roman" w:hAnsi="Times New Roman"/>
          <w:sz w:val="24"/>
          <w:szCs w:val="24"/>
          <w:lang w:val="en-US"/>
        </w:rPr>
        <w:t xml:space="preserve">. </w:t>
      </w:r>
      <w:r>
        <w:rPr>
          <w:rFonts w:ascii="Times New Roman" w:hAnsi="Times New Roman"/>
          <w:sz w:val="24"/>
          <w:szCs w:val="24"/>
          <w:lang w:val="en-US"/>
        </w:rPr>
        <w:t xml:space="preserve">They calculated a 13.1 fold risk compared to the normal population and an attributable risk of 4.1 cases per 100,000 operations. As the proportion of postoperative GBS in this study was markedly higher than the only other systematic study on the subject whereby 5% of cases had undergone surgery during the preceding eight weeks [11], we set out to investigate the triggers of GBS in southwestern </w:t>
      </w:r>
      <w:smartTag w:uri="urn:schemas-microsoft-com:office:smarttags" w:element="State">
        <w:smartTag w:uri="urn:schemas-microsoft-com:office:smarttags" w:element="country-region">
          <w:smartTag w:uri="urn:schemas-microsoft-com:office:smarttags" w:element="place">
            <w:r>
              <w:rPr>
                <w:rFonts w:ascii="Times New Roman" w:hAnsi="Times New Roman"/>
                <w:sz w:val="24"/>
                <w:szCs w:val="24"/>
                <w:lang w:val="en-US"/>
              </w:rPr>
              <w:t>Finland</w:t>
            </w:r>
          </w:smartTag>
        </w:smartTag>
      </w:smartTag>
      <w:r>
        <w:rPr>
          <w:rFonts w:ascii="Times New Roman" w:hAnsi="Times New Roman"/>
          <w:sz w:val="24"/>
          <w:szCs w:val="24"/>
          <w:lang w:val="en-US"/>
        </w:rPr>
        <w:t xml:space="preserve"> over the recent decade.</w:t>
      </w:r>
    </w:p>
    <w:p w:rsidR="00B356BE" w:rsidRPr="00D27B09" w:rsidRDefault="00B356BE" w:rsidP="003D0A65">
      <w:pPr>
        <w:spacing w:line="480" w:lineRule="auto"/>
        <w:rPr>
          <w:rFonts w:ascii="Times New Roman" w:hAnsi="Times New Roman"/>
          <w:sz w:val="24"/>
          <w:szCs w:val="24"/>
          <w:lang w:val="en-US"/>
        </w:rPr>
      </w:pPr>
    </w:p>
    <w:p w:rsidR="00B356BE" w:rsidRPr="007F503F" w:rsidRDefault="00B356BE" w:rsidP="00F8089C">
      <w:pPr>
        <w:spacing w:line="480" w:lineRule="auto"/>
        <w:outlineLvl w:val="0"/>
        <w:rPr>
          <w:rFonts w:ascii="Times New Roman" w:hAnsi="Times New Roman"/>
          <w:b/>
          <w:sz w:val="28"/>
          <w:szCs w:val="24"/>
          <w:lang w:val="en-US"/>
        </w:rPr>
      </w:pPr>
      <w:r w:rsidRPr="007F503F">
        <w:rPr>
          <w:rFonts w:ascii="Times New Roman" w:hAnsi="Times New Roman"/>
          <w:b/>
          <w:sz w:val="28"/>
          <w:szCs w:val="24"/>
          <w:lang w:val="en-US"/>
        </w:rPr>
        <w:lastRenderedPageBreak/>
        <w:t>Methods</w:t>
      </w:r>
    </w:p>
    <w:p w:rsidR="00B356BE" w:rsidRPr="007F503F" w:rsidRDefault="00B356BE" w:rsidP="00F8089C">
      <w:pPr>
        <w:spacing w:line="480" w:lineRule="auto"/>
        <w:outlineLvl w:val="0"/>
        <w:rPr>
          <w:rFonts w:ascii="Times New Roman" w:hAnsi="Times New Roman"/>
          <w:sz w:val="24"/>
          <w:szCs w:val="24"/>
          <w:u w:val="single"/>
          <w:lang w:val="en-US"/>
        </w:rPr>
      </w:pPr>
      <w:r w:rsidRPr="007F503F">
        <w:rPr>
          <w:rFonts w:ascii="Times New Roman" w:hAnsi="Times New Roman"/>
          <w:sz w:val="24"/>
          <w:szCs w:val="24"/>
          <w:u w:val="single"/>
          <w:lang w:val="en-US"/>
        </w:rPr>
        <w:t>Design and data source</w:t>
      </w:r>
    </w:p>
    <w:p w:rsidR="00B356BE" w:rsidRDefault="00B356BE" w:rsidP="00ED6214">
      <w:pPr>
        <w:spacing w:line="480" w:lineRule="auto"/>
        <w:rPr>
          <w:rFonts w:ascii="Times New Roman" w:hAnsi="Times New Roman"/>
          <w:sz w:val="24"/>
          <w:szCs w:val="24"/>
          <w:lang w:val="en-US"/>
        </w:rPr>
      </w:pPr>
      <w:r>
        <w:rPr>
          <w:rFonts w:ascii="Times New Roman" w:hAnsi="Times New Roman"/>
          <w:sz w:val="24"/>
          <w:szCs w:val="24"/>
          <w:lang w:val="en-US"/>
        </w:rPr>
        <w:t>In order t</w:t>
      </w:r>
      <w:r w:rsidRPr="00EA20E2">
        <w:rPr>
          <w:rFonts w:ascii="Times New Roman" w:hAnsi="Times New Roman"/>
          <w:sz w:val="24"/>
          <w:szCs w:val="24"/>
          <w:lang w:val="en-US"/>
        </w:rPr>
        <w:t xml:space="preserve">o identify patients with </w:t>
      </w:r>
      <w:r>
        <w:rPr>
          <w:rFonts w:ascii="Times New Roman" w:hAnsi="Times New Roman"/>
          <w:sz w:val="24"/>
          <w:szCs w:val="24"/>
          <w:lang w:val="en-US"/>
        </w:rPr>
        <w:t xml:space="preserve">GBS </w:t>
      </w:r>
      <w:r w:rsidRPr="00EA20E2">
        <w:rPr>
          <w:rFonts w:ascii="Times New Roman" w:hAnsi="Times New Roman"/>
          <w:sz w:val="24"/>
          <w:szCs w:val="24"/>
          <w:lang w:val="en-US"/>
        </w:rPr>
        <w:t xml:space="preserve">we searched the </w:t>
      </w:r>
      <w:r>
        <w:rPr>
          <w:rFonts w:ascii="Times New Roman" w:hAnsi="Times New Roman"/>
          <w:sz w:val="24"/>
          <w:szCs w:val="24"/>
          <w:lang w:val="en-US"/>
        </w:rPr>
        <w:t xml:space="preserve">Turku University Hospital (TYKS) Patient </w:t>
      </w:r>
      <w:r w:rsidRPr="00EA20E2">
        <w:rPr>
          <w:rFonts w:ascii="Times New Roman" w:hAnsi="Times New Roman"/>
          <w:sz w:val="24"/>
          <w:szCs w:val="24"/>
          <w:lang w:val="en-US"/>
        </w:rPr>
        <w:t>Discharge Register</w:t>
      </w:r>
      <w:r>
        <w:rPr>
          <w:rFonts w:ascii="Times New Roman" w:hAnsi="Times New Roman"/>
          <w:sz w:val="24"/>
          <w:szCs w:val="24"/>
          <w:lang w:val="en-US"/>
        </w:rPr>
        <w:t xml:space="preserve"> </w:t>
      </w:r>
      <w:r w:rsidRPr="00EA20E2">
        <w:rPr>
          <w:rFonts w:ascii="Times New Roman" w:hAnsi="Times New Roman"/>
          <w:sz w:val="24"/>
          <w:szCs w:val="24"/>
          <w:lang w:val="en-US"/>
        </w:rPr>
        <w:t>for patients</w:t>
      </w:r>
      <w:r>
        <w:rPr>
          <w:rFonts w:ascii="Times New Roman" w:hAnsi="Times New Roman"/>
          <w:sz w:val="24"/>
          <w:szCs w:val="24"/>
          <w:lang w:val="en-US"/>
        </w:rPr>
        <w:t xml:space="preserve"> 16 years of age or older</w:t>
      </w:r>
      <w:r w:rsidRPr="00EA20E2">
        <w:rPr>
          <w:rFonts w:ascii="Times New Roman" w:hAnsi="Times New Roman"/>
          <w:sz w:val="24"/>
          <w:szCs w:val="24"/>
          <w:lang w:val="en-US"/>
        </w:rPr>
        <w:t xml:space="preserve"> with </w:t>
      </w:r>
      <w:r>
        <w:rPr>
          <w:rFonts w:ascii="Times New Roman" w:hAnsi="Times New Roman"/>
          <w:sz w:val="24"/>
          <w:szCs w:val="24"/>
          <w:lang w:val="en-US"/>
        </w:rPr>
        <w:t xml:space="preserve">the ICD-10 </w:t>
      </w:r>
      <w:r w:rsidRPr="00EA20E2">
        <w:rPr>
          <w:rFonts w:ascii="Times New Roman" w:hAnsi="Times New Roman"/>
          <w:sz w:val="24"/>
          <w:szCs w:val="24"/>
          <w:lang w:val="en-US"/>
        </w:rPr>
        <w:t>diagnosis G</w:t>
      </w:r>
      <w:r>
        <w:rPr>
          <w:rFonts w:ascii="Times New Roman" w:hAnsi="Times New Roman"/>
          <w:sz w:val="24"/>
          <w:szCs w:val="24"/>
          <w:lang w:val="en-US"/>
        </w:rPr>
        <w:t>6</w:t>
      </w:r>
      <w:r w:rsidRPr="00EA20E2">
        <w:rPr>
          <w:rFonts w:ascii="Times New Roman" w:hAnsi="Times New Roman"/>
          <w:sz w:val="24"/>
          <w:szCs w:val="24"/>
          <w:lang w:val="en-US"/>
        </w:rPr>
        <w:t>1</w:t>
      </w:r>
      <w:r>
        <w:rPr>
          <w:rFonts w:ascii="Times New Roman" w:hAnsi="Times New Roman"/>
          <w:sz w:val="24"/>
          <w:szCs w:val="24"/>
          <w:lang w:val="en-US"/>
        </w:rPr>
        <w:t>.</w:t>
      </w:r>
      <w:r w:rsidRPr="00EA20E2">
        <w:rPr>
          <w:rFonts w:ascii="Times New Roman" w:hAnsi="Times New Roman"/>
          <w:sz w:val="24"/>
          <w:szCs w:val="24"/>
          <w:lang w:val="en-US"/>
        </w:rPr>
        <w:t>0</w:t>
      </w:r>
      <w:r>
        <w:rPr>
          <w:rFonts w:ascii="Times New Roman" w:hAnsi="Times New Roman"/>
          <w:sz w:val="24"/>
          <w:szCs w:val="24"/>
          <w:lang w:val="en-US"/>
        </w:rPr>
        <w:t xml:space="preserve"> </w:t>
      </w:r>
      <w:r w:rsidRPr="00EA20E2">
        <w:rPr>
          <w:rFonts w:ascii="Times New Roman" w:hAnsi="Times New Roman"/>
          <w:sz w:val="24"/>
          <w:szCs w:val="24"/>
          <w:lang w:val="en-US"/>
        </w:rPr>
        <w:t xml:space="preserve">between </w:t>
      </w:r>
      <w:r>
        <w:rPr>
          <w:rFonts w:ascii="Times New Roman" w:hAnsi="Times New Roman"/>
          <w:sz w:val="24"/>
          <w:szCs w:val="24"/>
          <w:lang w:val="en-US"/>
        </w:rPr>
        <w:t xml:space="preserve">1 </w:t>
      </w:r>
      <w:r w:rsidRPr="00EA20E2">
        <w:rPr>
          <w:rFonts w:ascii="Times New Roman" w:hAnsi="Times New Roman"/>
          <w:sz w:val="24"/>
          <w:szCs w:val="24"/>
          <w:lang w:val="en-US"/>
        </w:rPr>
        <w:t xml:space="preserve">January </w:t>
      </w:r>
      <w:r>
        <w:rPr>
          <w:rFonts w:ascii="Times New Roman" w:hAnsi="Times New Roman"/>
          <w:sz w:val="24"/>
          <w:szCs w:val="24"/>
          <w:lang w:val="en-US"/>
        </w:rPr>
        <w:t>2004</w:t>
      </w:r>
      <w:r w:rsidRPr="00EA20E2">
        <w:rPr>
          <w:rFonts w:ascii="Times New Roman" w:hAnsi="Times New Roman"/>
          <w:sz w:val="24"/>
          <w:szCs w:val="24"/>
          <w:lang w:val="en-US"/>
        </w:rPr>
        <w:t xml:space="preserve"> and </w:t>
      </w:r>
      <w:r>
        <w:rPr>
          <w:rFonts w:ascii="Times New Roman" w:hAnsi="Times New Roman"/>
          <w:sz w:val="24"/>
          <w:szCs w:val="24"/>
          <w:lang w:val="en-US"/>
        </w:rPr>
        <w:t>31 December 2013</w:t>
      </w:r>
      <w:r w:rsidRPr="00EA20E2">
        <w:rPr>
          <w:rFonts w:ascii="Times New Roman" w:hAnsi="Times New Roman"/>
          <w:sz w:val="24"/>
          <w:szCs w:val="24"/>
          <w:lang w:val="en-US"/>
        </w:rPr>
        <w:t xml:space="preserve">. </w:t>
      </w:r>
      <w:r>
        <w:rPr>
          <w:rFonts w:ascii="Times New Roman" w:hAnsi="Times New Roman"/>
          <w:sz w:val="24"/>
          <w:szCs w:val="24"/>
          <w:lang w:val="en-US"/>
        </w:rPr>
        <w:t>This</w:t>
      </w:r>
      <w:r w:rsidRPr="00EA20E2">
        <w:rPr>
          <w:rFonts w:ascii="Times New Roman" w:hAnsi="Times New Roman"/>
          <w:sz w:val="24"/>
          <w:szCs w:val="24"/>
          <w:lang w:val="en-US"/>
        </w:rPr>
        <w:t xml:space="preserve"> </w:t>
      </w:r>
      <w:r>
        <w:rPr>
          <w:rFonts w:ascii="Times New Roman" w:hAnsi="Times New Roman"/>
          <w:sz w:val="24"/>
          <w:szCs w:val="24"/>
          <w:lang w:val="en-US"/>
        </w:rPr>
        <w:t>register contains in</w:t>
      </w:r>
      <w:r w:rsidRPr="00EA20E2">
        <w:rPr>
          <w:rFonts w:ascii="Times New Roman" w:hAnsi="Times New Roman"/>
          <w:sz w:val="24"/>
          <w:szCs w:val="24"/>
          <w:lang w:val="en-US"/>
        </w:rPr>
        <w:t>for</w:t>
      </w:r>
      <w:r>
        <w:rPr>
          <w:rFonts w:ascii="Times New Roman" w:hAnsi="Times New Roman"/>
          <w:sz w:val="24"/>
          <w:szCs w:val="24"/>
          <w:lang w:val="en-US"/>
        </w:rPr>
        <w:t>mation on</w:t>
      </w:r>
      <w:r w:rsidRPr="00EA20E2">
        <w:rPr>
          <w:rFonts w:ascii="Times New Roman" w:hAnsi="Times New Roman"/>
          <w:sz w:val="24"/>
          <w:szCs w:val="24"/>
          <w:lang w:val="en-US"/>
        </w:rPr>
        <w:t xml:space="preserve"> all </w:t>
      </w:r>
      <w:r>
        <w:rPr>
          <w:rFonts w:ascii="Times New Roman" w:hAnsi="Times New Roman"/>
          <w:sz w:val="24"/>
          <w:szCs w:val="24"/>
          <w:lang w:val="en-US"/>
        </w:rPr>
        <w:t xml:space="preserve">ward </w:t>
      </w:r>
      <w:r w:rsidRPr="00EA20E2">
        <w:rPr>
          <w:rFonts w:ascii="Times New Roman" w:hAnsi="Times New Roman"/>
          <w:sz w:val="24"/>
          <w:szCs w:val="24"/>
          <w:lang w:val="en-US"/>
        </w:rPr>
        <w:t>discharges</w:t>
      </w:r>
      <w:r>
        <w:rPr>
          <w:rFonts w:ascii="Times New Roman" w:hAnsi="Times New Roman"/>
          <w:sz w:val="24"/>
          <w:szCs w:val="24"/>
          <w:lang w:val="en-US"/>
        </w:rPr>
        <w:t xml:space="preserve"> and outpatient visits.</w:t>
      </w:r>
      <w:r w:rsidRPr="00EA20E2">
        <w:rPr>
          <w:rFonts w:ascii="Times New Roman" w:hAnsi="Times New Roman"/>
          <w:sz w:val="24"/>
          <w:szCs w:val="24"/>
          <w:lang w:val="en-US"/>
        </w:rPr>
        <w:t xml:space="preserve"> </w:t>
      </w:r>
      <w:r>
        <w:rPr>
          <w:rFonts w:ascii="Times New Roman" w:hAnsi="Times New Roman"/>
          <w:sz w:val="24"/>
          <w:szCs w:val="24"/>
          <w:lang w:val="en-US"/>
        </w:rPr>
        <w:t xml:space="preserve">TYKS is the only hospital providing acute neurological care in the Hospital District of Southwest Finland (VSSHP) with a population of  380,000 inhabitants, who are 16 years of age or older. Patients with GBS are treated </w:t>
      </w:r>
      <w:r w:rsidRPr="006475F3">
        <w:rPr>
          <w:rFonts w:ascii="Times New Roman" w:hAnsi="Times New Roman"/>
          <w:sz w:val="24"/>
          <w:szCs w:val="24"/>
          <w:lang w:val="en-US"/>
        </w:rPr>
        <w:t xml:space="preserve">only </w:t>
      </w:r>
      <w:r>
        <w:rPr>
          <w:rFonts w:ascii="Times New Roman" w:hAnsi="Times New Roman"/>
          <w:sz w:val="24"/>
          <w:szCs w:val="24"/>
          <w:lang w:val="en-US"/>
        </w:rPr>
        <w:t>by neurologists in the district. P</w:t>
      </w:r>
      <w:r w:rsidRPr="00EA20E2">
        <w:rPr>
          <w:rFonts w:ascii="Times New Roman" w:hAnsi="Times New Roman"/>
          <w:sz w:val="24"/>
          <w:szCs w:val="24"/>
          <w:lang w:val="en-US"/>
        </w:rPr>
        <w:t xml:space="preserve">atient records were </w:t>
      </w:r>
      <w:r>
        <w:rPr>
          <w:rFonts w:ascii="Times New Roman" w:hAnsi="Times New Roman"/>
          <w:sz w:val="24"/>
          <w:szCs w:val="24"/>
          <w:lang w:val="en-US"/>
        </w:rPr>
        <w:t>then reviewed in order to confirm the diagnosis and obtain study data</w:t>
      </w:r>
      <w:r w:rsidRPr="00EA20E2">
        <w:rPr>
          <w:rFonts w:ascii="Times New Roman" w:hAnsi="Times New Roman"/>
          <w:sz w:val="24"/>
          <w:szCs w:val="24"/>
          <w:lang w:val="en-US"/>
        </w:rPr>
        <w:t>.</w:t>
      </w:r>
      <w:r>
        <w:rPr>
          <w:rFonts w:ascii="Times New Roman" w:hAnsi="Times New Roman"/>
          <w:sz w:val="24"/>
          <w:szCs w:val="24"/>
          <w:lang w:val="en-US"/>
        </w:rPr>
        <w:t xml:space="preserve"> Patients were included in the study if they had received their diagnosis in the study period and fulfilled the slightly modified Swiss Neurological Society criteria for GBS (table 1). The same criteria were also used in the study by Gensicke et al. However, as the diseases represent a continuum and share pathogenic traits we also included patients with MSF unlike the Gensicke et al. study. Demographic data along with possible triggers during a period of six weeks preceding GBS were collected.</w:t>
      </w:r>
    </w:p>
    <w:p w:rsidR="00B356BE" w:rsidRDefault="00B356BE">
      <w:pPr>
        <w:spacing w:line="480" w:lineRule="auto"/>
        <w:ind w:firstLine="1304"/>
        <w:rPr>
          <w:rFonts w:ascii="Times New Roman" w:hAnsi="Times New Roman"/>
          <w:sz w:val="24"/>
          <w:szCs w:val="24"/>
          <w:lang w:val="en-US"/>
        </w:rPr>
      </w:pPr>
      <w:r>
        <w:rPr>
          <w:rFonts w:ascii="Times New Roman" w:hAnsi="Times New Roman"/>
          <w:sz w:val="24"/>
          <w:szCs w:val="24"/>
          <w:lang w:val="en-US"/>
        </w:rPr>
        <w:t xml:space="preserve">Population data was obtained from Statistics Finland. Data on the annual number of surgical operations in VSSHP was obtained from district registries. National Institute for Health and Welfare (THL) provided the data on the annual number of influenza vaccinations in the hospital district area, which was only available for years 2012-2013 and was used to count a mean annual vaccination coverage among the adult population. Additionally, the data covered only the vaccinations given by municipal health centers so the vaccination coverage must be considered a minimum estimate. We used our general study population as a reference to compare incidence risk ratios in post-surgical and post-vaccination groups because no information was available concerning the age-specific GBS incidence in </w:t>
      </w:r>
      <w:smartTag w:uri="urn:schemas-microsoft-com:office:smarttags" w:element="State">
        <w:smartTag w:uri="urn:schemas-microsoft-com:office:smarttags" w:element="country-region">
          <w:smartTag w:uri="urn:schemas-microsoft-com:office:smarttags" w:element="place">
            <w:r>
              <w:rPr>
                <w:rFonts w:ascii="Times New Roman" w:hAnsi="Times New Roman"/>
                <w:sz w:val="24"/>
                <w:szCs w:val="24"/>
                <w:lang w:val="en-US"/>
              </w:rPr>
              <w:t>Finland</w:t>
            </w:r>
          </w:smartTag>
        </w:smartTag>
      </w:smartTag>
      <w:r>
        <w:rPr>
          <w:rFonts w:ascii="Times New Roman" w:hAnsi="Times New Roman"/>
          <w:sz w:val="24"/>
          <w:szCs w:val="24"/>
          <w:lang w:val="en-US"/>
        </w:rPr>
        <w:t>.</w:t>
      </w:r>
    </w:p>
    <w:p w:rsidR="00B356BE" w:rsidRDefault="00B356BE" w:rsidP="00D83535">
      <w:pPr>
        <w:spacing w:line="480" w:lineRule="auto"/>
        <w:ind w:firstLine="1304"/>
        <w:rPr>
          <w:rFonts w:ascii="Times New Roman" w:hAnsi="Times New Roman"/>
          <w:sz w:val="24"/>
          <w:szCs w:val="24"/>
          <w:lang w:val="en-US"/>
        </w:rPr>
      </w:pPr>
      <w:r>
        <w:rPr>
          <w:rFonts w:ascii="Times New Roman" w:hAnsi="Times New Roman"/>
          <w:sz w:val="24"/>
          <w:szCs w:val="24"/>
          <w:lang w:val="en-US"/>
        </w:rPr>
        <w:t>This study was reviewed and approved by the Clinical Research Center of TYKS.</w:t>
      </w:r>
    </w:p>
    <w:p w:rsidR="00B356BE" w:rsidRPr="00EA20E2" w:rsidRDefault="00B356BE" w:rsidP="00ED6214">
      <w:pPr>
        <w:spacing w:line="480" w:lineRule="auto"/>
        <w:rPr>
          <w:rFonts w:ascii="Times New Roman" w:hAnsi="Times New Roman"/>
          <w:sz w:val="24"/>
          <w:szCs w:val="24"/>
          <w:lang w:val="en-US"/>
        </w:rPr>
      </w:pPr>
    </w:p>
    <w:p w:rsidR="00B356BE" w:rsidRPr="00E64E29" w:rsidRDefault="00B356BE" w:rsidP="00F8089C">
      <w:pPr>
        <w:spacing w:line="480" w:lineRule="auto"/>
        <w:outlineLvl w:val="0"/>
        <w:rPr>
          <w:rFonts w:ascii="Times New Roman" w:hAnsi="Times New Roman"/>
          <w:sz w:val="24"/>
          <w:szCs w:val="24"/>
          <w:u w:val="single"/>
          <w:lang w:val="en-US"/>
        </w:rPr>
      </w:pPr>
      <w:r w:rsidRPr="00E64E29">
        <w:rPr>
          <w:rFonts w:ascii="Times New Roman" w:hAnsi="Times New Roman"/>
          <w:sz w:val="24"/>
          <w:szCs w:val="24"/>
          <w:u w:val="single"/>
          <w:lang w:val="en-US"/>
        </w:rPr>
        <w:t>Statistical analysis</w:t>
      </w:r>
    </w:p>
    <w:p w:rsidR="00B356BE" w:rsidRDefault="00B356BE" w:rsidP="00ED6214">
      <w:pPr>
        <w:spacing w:line="480" w:lineRule="auto"/>
        <w:rPr>
          <w:rFonts w:ascii="Times New Roman" w:hAnsi="Times New Roman"/>
          <w:sz w:val="24"/>
          <w:szCs w:val="24"/>
          <w:lang w:val="en-US"/>
        </w:rPr>
      </w:pPr>
      <w:r>
        <w:rPr>
          <w:rFonts w:ascii="Times New Roman" w:hAnsi="Times New Roman"/>
          <w:sz w:val="24"/>
          <w:szCs w:val="24"/>
          <w:lang w:val="en-US"/>
        </w:rPr>
        <w:t xml:space="preserve">Shapiro-Wilk and Kolmogorov-Smirnov tests were used to assess the distribution of continuous variables and, subsequently, t-test or the Mann-Whitney U-test were used as appropriate. Relative risk was calculated using Poisson regression analysis. Results were presented as Risk Ratios (RR) with 95% Confidence Intervals (95% CI). </w:t>
      </w:r>
      <w:r w:rsidRPr="00A55FF7">
        <w:rPr>
          <w:rFonts w:ascii="Times New Roman" w:hAnsi="Times New Roman"/>
          <w:i/>
          <w:sz w:val="24"/>
          <w:szCs w:val="24"/>
          <w:lang w:val="en-US"/>
        </w:rPr>
        <w:t>P</w:t>
      </w:r>
      <w:r>
        <w:rPr>
          <w:rFonts w:ascii="Times New Roman" w:hAnsi="Times New Roman"/>
          <w:sz w:val="24"/>
          <w:szCs w:val="24"/>
          <w:lang w:val="en-US"/>
        </w:rPr>
        <w:t xml:space="preserve"> </w:t>
      </w:r>
      <w:r w:rsidRPr="00A55FF7">
        <w:rPr>
          <w:rFonts w:ascii="Times New Roman" w:hAnsi="Times New Roman"/>
          <w:sz w:val="24"/>
          <w:szCs w:val="24"/>
          <w:lang w:val="en-US"/>
        </w:rPr>
        <w:t xml:space="preserve">values less than 0.05 were considered significant. The </w:t>
      </w:r>
      <w:r>
        <w:rPr>
          <w:rFonts w:ascii="Times New Roman" w:hAnsi="Times New Roman"/>
          <w:sz w:val="24"/>
          <w:szCs w:val="24"/>
          <w:lang w:val="en-US"/>
        </w:rPr>
        <w:t>IBM SPSS Statistics, Version 22,</w:t>
      </w:r>
      <w:r w:rsidRPr="00A55FF7">
        <w:rPr>
          <w:rFonts w:ascii="Times New Roman" w:hAnsi="Times New Roman"/>
          <w:sz w:val="24"/>
          <w:szCs w:val="24"/>
          <w:lang w:val="en-US"/>
        </w:rPr>
        <w:t xml:space="preserve"> was used for statistical analyses.</w:t>
      </w:r>
    </w:p>
    <w:p w:rsidR="00B356BE" w:rsidRPr="00EA20E2" w:rsidRDefault="00B356BE" w:rsidP="00ED6214">
      <w:pPr>
        <w:spacing w:line="480" w:lineRule="auto"/>
        <w:rPr>
          <w:rFonts w:ascii="Times New Roman" w:hAnsi="Times New Roman"/>
          <w:sz w:val="24"/>
          <w:szCs w:val="24"/>
          <w:lang w:val="en-US"/>
        </w:rPr>
      </w:pPr>
    </w:p>
    <w:p w:rsidR="00B356BE" w:rsidRPr="00E64E29" w:rsidRDefault="00B356BE" w:rsidP="00F8089C">
      <w:pPr>
        <w:spacing w:line="480" w:lineRule="auto"/>
        <w:outlineLvl w:val="0"/>
        <w:rPr>
          <w:rFonts w:ascii="Times New Roman" w:hAnsi="Times New Roman"/>
          <w:sz w:val="28"/>
          <w:szCs w:val="24"/>
          <w:lang w:val="en-US"/>
        </w:rPr>
      </w:pPr>
      <w:r w:rsidRPr="00E64E29">
        <w:rPr>
          <w:rFonts w:ascii="Times New Roman" w:hAnsi="Times New Roman"/>
          <w:b/>
          <w:sz w:val="28"/>
          <w:szCs w:val="24"/>
          <w:lang w:val="en-US"/>
        </w:rPr>
        <w:t>Results</w:t>
      </w:r>
    </w:p>
    <w:p w:rsidR="00B356BE" w:rsidRPr="00E64E29" w:rsidRDefault="00B356BE" w:rsidP="00F8089C">
      <w:pPr>
        <w:spacing w:line="480" w:lineRule="auto"/>
        <w:outlineLvl w:val="0"/>
        <w:rPr>
          <w:rFonts w:ascii="Times New Roman" w:hAnsi="Times New Roman"/>
          <w:sz w:val="24"/>
          <w:szCs w:val="24"/>
          <w:u w:val="single"/>
          <w:lang w:val="en-US"/>
        </w:rPr>
      </w:pPr>
      <w:r>
        <w:rPr>
          <w:rFonts w:ascii="Times New Roman" w:hAnsi="Times New Roman"/>
          <w:sz w:val="24"/>
          <w:szCs w:val="24"/>
          <w:u w:val="single"/>
          <w:lang w:val="en-US"/>
        </w:rPr>
        <w:t>Incidence and patient charasteristics</w:t>
      </w:r>
    </w:p>
    <w:p w:rsidR="00B356BE" w:rsidRDefault="00B356BE" w:rsidP="008357FA">
      <w:pPr>
        <w:spacing w:line="480" w:lineRule="auto"/>
        <w:ind w:firstLine="1304"/>
        <w:rPr>
          <w:rFonts w:ascii="Times New Roman" w:hAnsi="Times New Roman"/>
          <w:sz w:val="24"/>
          <w:szCs w:val="24"/>
          <w:lang w:val="en-US"/>
        </w:rPr>
      </w:pPr>
      <w:r>
        <w:rPr>
          <w:rFonts w:ascii="Times New Roman" w:hAnsi="Times New Roman"/>
          <w:sz w:val="24"/>
          <w:szCs w:val="24"/>
          <w:lang w:val="en-US"/>
        </w:rPr>
        <w:t xml:space="preserve">We </w:t>
      </w:r>
      <w:r w:rsidRPr="00EA20E2">
        <w:rPr>
          <w:rFonts w:ascii="Times New Roman" w:hAnsi="Times New Roman"/>
          <w:sz w:val="24"/>
          <w:szCs w:val="24"/>
          <w:lang w:val="en-US"/>
        </w:rPr>
        <w:t xml:space="preserve">identified </w:t>
      </w:r>
      <w:r>
        <w:rPr>
          <w:rFonts w:ascii="Times New Roman" w:hAnsi="Times New Roman"/>
          <w:sz w:val="24"/>
          <w:szCs w:val="24"/>
          <w:lang w:val="en-US"/>
        </w:rPr>
        <w:t>122</w:t>
      </w:r>
      <w:r w:rsidRPr="00EA20E2">
        <w:rPr>
          <w:rFonts w:ascii="Times New Roman" w:hAnsi="Times New Roman"/>
          <w:sz w:val="24"/>
          <w:szCs w:val="24"/>
          <w:lang w:val="en-US"/>
        </w:rPr>
        <w:t xml:space="preserve"> persons</w:t>
      </w:r>
      <w:r>
        <w:rPr>
          <w:rFonts w:ascii="Times New Roman" w:hAnsi="Times New Roman"/>
          <w:sz w:val="24"/>
          <w:szCs w:val="24"/>
          <w:lang w:val="en-US"/>
        </w:rPr>
        <w:t xml:space="preserve"> with the ICD-10 code G61.0.</w:t>
      </w:r>
      <w:r w:rsidRPr="00EA20E2">
        <w:rPr>
          <w:rFonts w:ascii="Times New Roman" w:hAnsi="Times New Roman"/>
          <w:sz w:val="24"/>
          <w:szCs w:val="24"/>
          <w:lang w:val="en-US"/>
        </w:rPr>
        <w:t xml:space="preserve"> </w:t>
      </w:r>
      <w:r>
        <w:rPr>
          <w:rFonts w:ascii="Times New Roman" w:hAnsi="Times New Roman"/>
          <w:sz w:val="24"/>
          <w:szCs w:val="24"/>
          <w:lang w:val="en-US"/>
        </w:rPr>
        <w:t>Review of patient charts confirmed 69</w:t>
      </w:r>
      <w:r w:rsidRPr="00EA20E2">
        <w:rPr>
          <w:rFonts w:ascii="Times New Roman" w:hAnsi="Times New Roman"/>
          <w:sz w:val="24"/>
          <w:szCs w:val="24"/>
          <w:lang w:val="en-US"/>
        </w:rPr>
        <w:t xml:space="preserve"> </w:t>
      </w:r>
      <w:r>
        <w:rPr>
          <w:rFonts w:ascii="Times New Roman" w:hAnsi="Times New Roman"/>
          <w:sz w:val="24"/>
          <w:szCs w:val="24"/>
          <w:lang w:val="en-US"/>
        </w:rPr>
        <w:t>patients (36.2% women, p = 0.030) to meet the inclusion criteria</w:t>
      </w:r>
      <w:r w:rsidRPr="00EA20E2">
        <w:rPr>
          <w:rFonts w:ascii="Times New Roman" w:hAnsi="Times New Roman"/>
          <w:sz w:val="24"/>
          <w:szCs w:val="24"/>
          <w:lang w:val="en-US"/>
        </w:rPr>
        <w:t xml:space="preserve">. </w:t>
      </w:r>
      <w:r>
        <w:rPr>
          <w:rFonts w:ascii="Times New Roman" w:hAnsi="Times New Roman"/>
          <w:sz w:val="24"/>
          <w:szCs w:val="24"/>
          <w:lang w:val="en-US"/>
        </w:rPr>
        <w:t>Mean annual number of new diagnoses was 6.9 with a rising trend</w:t>
      </w:r>
      <w:r w:rsidRPr="00EA20E2">
        <w:rPr>
          <w:rFonts w:ascii="Times New Roman" w:hAnsi="Times New Roman"/>
          <w:sz w:val="24"/>
          <w:szCs w:val="24"/>
          <w:lang w:val="en-US"/>
        </w:rPr>
        <w:t xml:space="preserve"> (figure</w:t>
      </w:r>
      <w:r>
        <w:rPr>
          <w:rFonts w:ascii="Times New Roman" w:hAnsi="Times New Roman"/>
          <w:sz w:val="24"/>
          <w:szCs w:val="24"/>
          <w:lang w:val="en-US"/>
        </w:rPr>
        <w:t>, all cases in 2009 were diagnosed before 2</w:t>
      </w:r>
      <w:r>
        <w:rPr>
          <w:rFonts w:ascii="Times New Roman" w:hAnsi="Times New Roman"/>
          <w:sz w:val="24"/>
          <w:szCs w:val="24"/>
          <w:vertAlign w:val="superscript"/>
          <w:lang w:val="en-US"/>
        </w:rPr>
        <w:t>nd</w:t>
      </w:r>
      <w:r>
        <w:rPr>
          <w:rFonts w:ascii="Times New Roman" w:hAnsi="Times New Roman"/>
          <w:sz w:val="24"/>
          <w:szCs w:val="24"/>
          <w:lang w:val="en-US"/>
        </w:rPr>
        <w:t xml:space="preserve"> of August</w:t>
      </w:r>
      <w:r w:rsidRPr="00EA20E2">
        <w:rPr>
          <w:rFonts w:ascii="Times New Roman" w:hAnsi="Times New Roman"/>
          <w:sz w:val="24"/>
          <w:szCs w:val="24"/>
          <w:lang w:val="en-US"/>
        </w:rPr>
        <w:t xml:space="preserve">) </w:t>
      </w:r>
      <w:r>
        <w:rPr>
          <w:rFonts w:ascii="Times New Roman" w:hAnsi="Times New Roman"/>
          <w:sz w:val="24"/>
          <w:szCs w:val="24"/>
          <w:lang w:val="en-US"/>
        </w:rPr>
        <w:t xml:space="preserve">and annual incidence of 1.82/100,000. The overall mean age at diagnosis was 54.5 years (SD 17.0, range 16-81) with no difference between genders (p=0.542) and 42 patients (60.9%) were at least 55 years old at the time of diagnosis whereas only 16 patients (23.2%) were 35 years old or younger. </w:t>
      </w:r>
    </w:p>
    <w:p w:rsidR="00B356BE" w:rsidRDefault="00B356BE" w:rsidP="008357FA">
      <w:pPr>
        <w:spacing w:line="480" w:lineRule="auto"/>
        <w:ind w:firstLine="1304"/>
        <w:rPr>
          <w:rFonts w:ascii="Times New Roman" w:hAnsi="Times New Roman"/>
          <w:sz w:val="24"/>
          <w:szCs w:val="24"/>
          <w:lang w:val="en-US"/>
        </w:rPr>
      </w:pPr>
      <w:r w:rsidRPr="006475F3">
        <w:rPr>
          <w:rFonts w:ascii="Times New Roman" w:hAnsi="Times New Roman"/>
          <w:sz w:val="24"/>
          <w:szCs w:val="24"/>
          <w:lang w:val="en-US"/>
        </w:rPr>
        <w:t xml:space="preserve">The majority of patients (62%) had AIDP, </w:t>
      </w:r>
      <w:r>
        <w:rPr>
          <w:rFonts w:ascii="Times New Roman" w:hAnsi="Times New Roman"/>
          <w:sz w:val="24"/>
          <w:szCs w:val="24"/>
          <w:lang w:val="en-US"/>
        </w:rPr>
        <w:t>17%</w:t>
      </w:r>
      <w:r w:rsidRPr="006475F3">
        <w:rPr>
          <w:rFonts w:ascii="Times New Roman" w:hAnsi="Times New Roman"/>
          <w:sz w:val="24"/>
          <w:szCs w:val="24"/>
          <w:lang w:val="en-US"/>
        </w:rPr>
        <w:t xml:space="preserve"> had AMAN, 7 10% had AMSAN, 3%</w:t>
      </w:r>
      <w:r>
        <w:rPr>
          <w:rFonts w:ascii="Times New Roman" w:hAnsi="Times New Roman"/>
          <w:sz w:val="24"/>
          <w:szCs w:val="24"/>
          <w:lang w:val="en-US"/>
        </w:rPr>
        <w:t xml:space="preserve"> had M</w:t>
      </w:r>
      <w:r w:rsidRPr="006475F3">
        <w:rPr>
          <w:rFonts w:ascii="Times New Roman" w:hAnsi="Times New Roman"/>
          <w:sz w:val="24"/>
          <w:szCs w:val="24"/>
          <w:lang w:val="en-US"/>
        </w:rPr>
        <w:t>F</w:t>
      </w:r>
      <w:r>
        <w:rPr>
          <w:rFonts w:ascii="Times New Roman" w:hAnsi="Times New Roman"/>
          <w:sz w:val="24"/>
          <w:szCs w:val="24"/>
          <w:lang w:val="en-US"/>
        </w:rPr>
        <w:t xml:space="preserve">S and 7% </w:t>
      </w:r>
      <w:r w:rsidRPr="006475F3">
        <w:rPr>
          <w:rFonts w:ascii="Times New Roman" w:hAnsi="Times New Roman"/>
          <w:sz w:val="24"/>
          <w:szCs w:val="24"/>
          <w:lang w:val="en-US"/>
        </w:rPr>
        <w:t>remained unclassifiable.</w:t>
      </w:r>
      <w:r>
        <w:rPr>
          <w:sz w:val="24"/>
          <w:szCs w:val="24"/>
          <w:lang w:val="en-US"/>
        </w:rPr>
        <w:t xml:space="preserve"> </w:t>
      </w:r>
      <w:r>
        <w:rPr>
          <w:rFonts w:ascii="Times New Roman" w:hAnsi="Times New Roman"/>
          <w:sz w:val="24"/>
          <w:szCs w:val="24"/>
          <w:lang w:val="en-US"/>
        </w:rPr>
        <w:t>Electrophysiologic studies (ENMG) had been performed on 67 patients of whom 60 (89.6%) showed findings consistent with GBS. Cerebrospinal fluid had been gathered from all patients with 51 (73.9%) showing albumin-cytological dissociation. Two patients had been tapped repeatedly with negative results. Ganglioside antibodies had been tested from 14 patients (20.3%) with 7 showing positive findings. (tables 2 and 3)</w:t>
      </w:r>
    </w:p>
    <w:p w:rsidR="00B356BE" w:rsidRDefault="00B356BE" w:rsidP="008357FA">
      <w:pPr>
        <w:spacing w:line="480" w:lineRule="auto"/>
        <w:ind w:firstLine="1304"/>
        <w:rPr>
          <w:rFonts w:ascii="Times New Roman" w:hAnsi="Times New Roman"/>
          <w:sz w:val="24"/>
          <w:szCs w:val="24"/>
          <w:lang w:val="en-US"/>
        </w:rPr>
      </w:pPr>
    </w:p>
    <w:p w:rsidR="00B356BE" w:rsidRDefault="00B356BE" w:rsidP="00F8089C">
      <w:pPr>
        <w:spacing w:line="480" w:lineRule="auto"/>
        <w:outlineLvl w:val="0"/>
        <w:rPr>
          <w:rFonts w:ascii="Times New Roman" w:hAnsi="Times New Roman"/>
          <w:sz w:val="24"/>
          <w:szCs w:val="24"/>
          <w:u w:val="single"/>
          <w:lang w:val="en-US"/>
        </w:rPr>
      </w:pPr>
      <w:r>
        <w:rPr>
          <w:rFonts w:ascii="Times New Roman" w:hAnsi="Times New Roman"/>
          <w:sz w:val="24"/>
          <w:szCs w:val="24"/>
          <w:u w:val="single"/>
          <w:lang w:val="en-US"/>
        </w:rPr>
        <w:t>Possible triggers of GBS (table 2)</w:t>
      </w:r>
    </w:p>
    <w:p w:rsidR="00B356BE" w:rsidRDefault="00B356BE" w:rsidP="0001599F">
      <w:pPr>
        <w:spacing w:line="480" w:lineRule="auto"/>
        <w:ind w:firstLine="1304"/>
        <w:rPr>
          <w:rFonts w:ascii="Times New Roman" w:hAnsi="Times New Roman"/>
          <w:sz w:val="24"/>
          <w:szCs w:val="24"/>
          <w:lang w:val="en-US"/>
        </w:rPr>
      </w:pPr>
      <w:r>
        <w:rPr>
          <w:rFonts w:ascii="Times New Roman" w:hAnsi="Times New Roman"/>
          <w:sz w:val="24"/>
          <w:szCs w:val="24"/>
          <w:lang w:val="en-US"/>
        </w:rPr>
        <w:t>Overall, 55</w:t>
      </w:r>
      <w:r w:rsidRPr="008357FA">
        <w:rPr>
          <w:rFonts w:ascii="Times New Roman" w:hAnsi="Times New Roman"/>
          <w:sz w:val="24"/>
          <w:szCs w:val="24"/>
          <w:lang w:val="en-US"/>
        </w:rPr>
        <w:t xml:space="preserve"> patients</w:t>
      </w:r>
      <w:r>
        <w:rPr>
          <w:rFonts w:ascii="Times New Roman" w:hAnsi="Times New Roman"/>
          <w:sz w:val="24"/>
          <w:szCs w:val="24"/>
          <w:lang w:val="en-US"/>
        </w:rPr>
        <w:t xml:space="preserve"> (79.7%) were identified with a possible trigger during the six weeks preceding GBS. Altogether 49 patients (71.0%) had had an infection. (table 4) Respiratory tract infection (RTI, 29 patients, 42.0%) was the most common whereas gastrointestinal infection was second (GII, 16 patients, 23.2%). Additionally, two patients had had both a RTI and a GII. One patient had experienced an erysipelas infection of the lower extremity two weeks before the onset of GBS and one patient was diagnosed with an active yet unsymptomatic cytomegalovirus infection at the onset. Four patients (5.8%, 3 women) had undergone surgery in the six week period preceding GBS and two (2.9%, both women) had received a vaccination (table 3). None of the post-surgical patients presented with MFS.</w:t>
      </w:r>
    </w:p>
    <w:p w:rsidR="00B356BE" w:rsidRDefault="00B356BE" w:rsidP="00774913">
      <w:pPr>
        <w:spacing w:line="480" w:lineRule="auto"/>
        <w:rPr>
          <w:rFonts w:ascii="Times New Roman" w:hAnsi="Times New Roman"/>
          <w:sz w:val="24"/>
          <w:szCs w:val="24"/>
          <w:lang w:val="en-US"/>
        </w:rPr>
      </w:pPr>
    </w:p>
    <w:p w:rsidR="00B356BE" w:rsidRPr="00774913" w:rsidRDefault="00B356BE" w:rsidP="00F8089C">
      <w:pPr>
        <w:spacing w:line="480" w:lineRule="auto"/>
        <w:outlineLvl w:val="0"/>
        <w:rPr>
          <w:rFonts w:ascii="Times New Roman" w:hAnsi="Times New Roman"/>
          <w:sz w:val="24"/>
          <w:szCs w:val="24"/>
          <w:u w:val="single"/>
          <w:lang w:val="en-US"/>
        </w:rPr>
      </w:pPr>
      <w:r>
        <w:rPr>
          <w:rFonts w:ascii="Times New Roman" w:hAnsi="Times New Roman"/>
          <w:sz w:val="24"/>
          <w:szCs w:val="24"/>
          <w:u w:val="single"/>
          <w:lang w:val="en-US"/>
        </w:rPr>
        <w:t>Relative risk of surgery and vaccination as triggers</w:t>
      </w:r>
    </w:p>
    <w:p w:rsidR="00B356BE" w:rsidRDefault="00B356BE" w:rsidP="00E2779A">
      <w:pPr>
        <w:spacing w:line="480" w:lineRule="auto"/>
        <w:ind w:firstLine="1304"/>
        <w:rPr>
          <w:rFonts w:ascii="Times New Roman" w:hAnsi="Times New Roman"/>
          <w:sz w:val="24"/>
          <w:szCs w:val="24"/>
          <w:lang w:val="en-US"/>
        </w:rPr>
      </w:pPr>
      <w:r>
        <w:rPr>
          <w:rFonts w:ascii="Times New Roman" w:hAnsi="Times New Roman"/>
          <w:sz w:val="24"/>
          <w:szCs w:val="24"/>
          <w:lang w:val="en-US"/>
        </w:rPr>
        <w:t>The characteristics of the post-surgical and post-vaccination patients are presented in table 5.</w:t>
      </w:r>
    </w:p>
    <w:p w:rsidR="00B356BE" w:rsidRDefault="00B356BE" w:rsidP="00E2779A">
      <w:pPr>
        <w:spacing w:line="480" w:lineRule="auto"/>
        <w:ind w:firstLine="1304"/>
        <w:rPr>
          <w:rFonts w:ascii="Times New Roman" w:hAnsi="Times New Roman"/>
          <w:sz w:val="24"/>
          <w:szCs w:val="24"/>
          <w:lang w:val="en-US"/>
        </w:rPr>
      </w:pPr>
      <w:r>
        <w:rPr>
          <w:rFonts w:ascii="Times New Roman" w:hAnsi="Times New Roman"/>
          <w:sz w:val="24"/>
          <w:szCs w:val="24"/>
          <w:lang w:val="en-US"/>
        </w:rPr>
        <w:t xml:space="preserve">As all  patients with GBS, who had undergone surgery during the six week period preceding their disease, had been operated in VSSHP hospitals, we limited our study to focus on patients operated in these hospitals. During the study period, 320,000 surgical operations (rounding to the nearest 1,000 with the figure for year 2004 extrapolated due to incompleteness of data) were performed on people over 16 years of age (60.2% women). </w:t>
      </w:r>
      <w:r>
        <w:rPr>
          <w:rFonts w:ascii="Times New Roman" w:hAnsi="Times New Roman"/>
          <w:sz w:val="24"/>
          <w:szCs w:val="24"/>
          <w:lang w:val="en-GB"/>
        </w:rPr>
        <w:t xml:space="preserve">Local anesthesia was the main method of anesthesia in </w:t>
      </w:r>
      <w:r w:rsidRPr="006475F3">
        <w:rPr>
          <w:rFonts w:ascii="Times New Roman" w:hAnsi="Times New Roman"/>
          <w:sz w:val="24"/>
          <w:szCs w:val="24"/>
          <w:lang w:val="en-GB"/>
        </w:rPr>
        <w:t xml:space="preserve">24-28% </w:t>
      </w:r>
      <w:r>
        <w:rPr>
          <w:rFonts w:ascii="Times New Roman" w:hAnsi="Times New Roman"/>
          <w:sz w:val="24"/>
          <w:szCs w:val="24"/>
          <w:lang w:val="en-GB"/>
        </w:rPr>
        <w:t>of the operations</w:t>
      </w:r>
      <w:r w:rsidRPr="006475F3">
        <w:rPr>
          <w:rFonts w:ascii="Times New Roman" w:hAnsi="Times New Roman"/>
          <w:sz w:val="24"/>
          <w:szCs w:val="24"/>
          <w:lang w:val="en-GB"/>
        </w:rPr>
        <w:t xml:space="preserve">, epidural or spinal anestesia in 26-33% and general anesthesia in 37-43%. Most often operated was the musculoskeletal system (28-30% of operations) </w:t>
      </w:r>
      <w:r w:rsidRPr="006475F3">
        <w:rPr>
          <w:rFonts w:ascii="Times New Roman" w:hAnsi="Times New Roman"/>
          <w:sz w:val="24"/>
          <w:szCs w:val="24"/>
          <w:lang w:val="en-GB"/>
        </w:rPr>
        <w:lastRenderedPageBreak/>
        <w:t xml:space="preserve">with ophtalmologic operations (12-14%) and GI-tract operations (12-13%) coming up second and third. The nervous system was operated </w:t>
      </w:r>
      <w:r>
        <w:rPr>
          <w:rFonts w:ascii="Times New Roman" w:hAnsi="Times New Roman"/>
          <w:sz w:val="24"/>
          <w:szCs w:val="24"/>
          <w:lang w:val="en-GB"/>
        </w:rPr>
        <w:t xml:space="preserve">on </w:t>
      </w:r>
      <w:r w:rsidRPr="006475F3">
        <w:rPr>
          <w:rFonts w:ascii="Times New Roman" w:hAnsi="Times New Roman"/>
          <w:sz w:val="24"/>
          <w:szCs w:val="24"/>
          <w:lang w:val="en-GB"/>
        </w:rPr>
        <w:t>in 6-7% of surgeries.</w:t>
      </w:r>
    </w:p>
    <w:p w:rsidR="00B356BE" w:rsidRDefault="00B356BE" w:rsidP="00E2779A">
      <w:pPr>
        <w:spacing w:line="480" w:lineRule="auto"/>
        <w:ind w:firstLine="1304"/>
        <w:rPr>
          <w:rFonts w:ascii="Times New Roman" w:hAnsi="Times New Roman"/>
          <w:sz w:val="24"/>
          <w:szCs w:val="24"/>
          <w:lang w:val="en-US"/>
        </w:rPr>
      </w:pPr>
      <w:r>
        <w:rPr>
          <w:rFonts w:ascii="Times New Roman" w:hAnsi="Times New Roman"/>
          <w:sz w:val="24"/>
          <w:szCs w:val="24"/>
          <w:lang w:val="en-US"/>
        </w:rPr>
        <w:t>There was a risk of 1.25 cases of GBS per 100,000 surgeries. The risk in the six-week period after an operation was 0.21/100,000 patient weeks compared to a risk of 0.03/100,000 in the general study population (RR= 6.28, 95% CI 4.15-9.47, p&lt;0.001)</w:t>
      </w:r>
      <w:r w:rsidRPr="00610FB3">
        <w:rPr>
          <w:rFonts w:ascii="Times New Roman" w:hAnsi="Times New Roman"/>
          <w:sz w:val="24"/>
          <w:szCs w:val="24"/>
          <w:lang w:val="en-US"/>
        </w:rPr>
        <w:t>.</w:t>
      </w:r>
      <w:r>
        <w:rPr>
          <w:rFonts w:ascii="Times New Roman" w:hAnsi="Times New Roman"/>
          <w:sz w:val="24"/>
          <w:szCs w:val="24"/>
          <w:lang w:val="en-US"/>
        </w:rPr>
        <w:t xml:space="preserve"> There was no difference in the risk between genders (p=0.554). The post-surgical GBS cases took place in 2004, 2010, 2011 and 2012 as the number of operations performed in the hospital districts hospitals showed a consistent decline from 39,342 operations in 2005 to 33,084 operations in 2013. No one of these patients had received tetanus or any other kind of vaccination during the six weeks preceding GBS.</w:t>
      </w:r>
    </w:p>
    <w:p w:rsidR="00B356BE" w:rsidRDefault="00B356BE" w:rsidP="00E2779A">
      <w:pPr>
        <w:spacing w:line="480" w:lineRule="auto"/>
        <w:ind w:firstLine="1304"/>
        <w:rPr>
          <w:rFonts w:ascii="Times New Roman" w:hAnsi="Times New Roman"/>
          <w:sz w:val="24"/>
          <w:szCs w:val="24"/>
          <w:lang w:val="en-US"/>
        </w:rPr>
      </w:pPr>
      <w:r>
        <w:rPr>
          <w:rFonts w:ascii="Times New Roman" w:hAnsi="Times New Roman"/>
          <w:sz w:val="24"/>
          <w:szCs w:val="24"/>
          <w:lang w:val="en-US"/>
        </w:rPr>
        <w:t xml:space="preserve">During the six week period preceding GBS, one patient had received a vaccination against seasonal influenza and one against pandemic influenza A(H1N1) (Pandemrix®). The patient who received the seasonal influenza vaccination also had a bilateral pneumonia with respiratory distress leading to admission to Intensive Care Unit and respirator care 5 days before the onset of GBS symptoms in the extremities. Due to the severe respiratory distress at the outset of infection a possible respiratory muscle onset of GBS could not be excluded and the patient was analyzed in the post-vaccination category. With an annual seasonal influenza vaccination coverage of 12% in adult population, this suggests a risk of 0.22/100,000 vaccinations. The risk after a seasonal influenza vaccination was 0.04/100,000 patient weeks compared to a risk of 0.03/100,000 in the general study population meaning no effect on the risk of GBS </w:t>
      </w:r>
      <w:r w:rsidRPr="00E60778">
        <w:rPr>
          <w:rFonts w:ascii="Times New Roman" w:hAnsi="Times New Roman"/>
          <w:sz w:val="24"/>
          <w:szCs w:val="24"/>
          <w:lang w:val="en-US"/>
        </w:rPr>
        <w:t>(p=0.8</w:t>
      </w:r>
      <w:r w:rsidRPr="005E0F5F">
        <w:rPr>
          <w:rFonts w:ascii="Times New Roman" w:hAnsi="Times New Roman"/>
          <w:sz w:val="24"/>
          <w:szCs w:val="24"/>
          <w:lang w:val="en-US"/>
        </w:rPr>
        <w:t>8</w:t>
      </w:r>
      <w:r>
        <w:rPr>
          <w:rFonts w:ascii="Times New Roman" w:hAnsi="Times New Roman"/>
          <w:sz w:val="24"/>
          <w:szCs w:val="24"/>
          <w:lang w:val="en-US"/>
        </w:rPr>
        <w:t>8</w:t>
      </w:r>
      <w:r w:rsidRPr="00504412">
        <w:rPr>
          <w:rFonts w:ascii="Times New Roman" w:hAnsi="Times New Roman"/>
          <w:sz w:val="24"/>
          <w:szCs w:val="24"/>
          <w:lang w:val="en-US"/>
        </w:rPr>
        <w:t>).</w:t>
      </w:r>
      <w:r>
        <w:rPr>
          <w:rFonts w:ascii="Times New Roman" w:hAnsi="Times New Roman"/>
          <w:sz w:val="24"/>
          <w:szCs w:val="24"/>
          <w:lang w:val="en-US"/>
        </w:rPr>
        <w:t xml:space="preserve"> During the 2009/2010 H1N1 influenza pandemia the vaccination coverage among population over 15 years of age was 44.0%. In our study population this equals 167,000 vaccines converting to a risk of 0.60/100,000 vaccinations or 0.10/100,000 patient weeks </w:t>
      </w:r>
      <w:r w:rsidRPr="00E60778">
        <w:rPr>
          <w:rFonts w:ascii="Times New Roman" w:hAnsi="Times New Roman"/>
          <w:sz w:val="24"/>
          <w:szCs w:val="24"/>
          <w:lang w:val="en-US"/>
        </w:rPr>
        <w:t>(</w:t>
      </w:r>
      <w:r>
        <w:rPr>
          <w:rFonts w:ascii="Times New Roman" w:hAnsi="Times New Roman"/>
          <w:sz w:val="24"/>
          <w:szCs w:val="24"/>
          <w:lang w:val="en-US"/>
        </w:rPr>
        <w:t xml:space="preserve">RR=2.85, 95% CI 1.27-6.38, </w:t>
      </w:r>
      <w:r w:rsidRPr="00E60778">
        <w:rPr>
          <w:rFonts w:ascii="Times New Roman" w:hAnsi="Times New Roman"/>
          <w:sz w:val="24"/>
          <w:szCs w:val="24"/>
          <w:lang w:val="en-US"/>
        </w:rPr>
        <w:t>p=</w:t>
      </w:r>
      <w:r>
        <w:rPr>
          <w:rFonts w:ascii="Times New Roman" w:hAnsi="Times New Roman"/>
          <w:sz w:val="24"/>
          <w:szCs w:val="24"/>
          <w:lang w:val="en-US"/>
        </w:rPr>
        <w:t>0.011</w:t>
      </w:r>
      <w:r w:rsidRPr="00E60778">
        <w:rPr>
          <w:rFonts w:ascii="Times New Roman" w:hAnsi="Times New Roman"/>
          <w:sz w:val="24"/>
          <w:szCs w:val="24"/>
          <w:lang w:val="en-US"/>
        </w:rPr>
        <w:t>)</w:t>
      </w:r>
      <w:r>
        <w:rPr>
          <w:rFonts w:ascii="Times New Roman" w:hAnsi="Times New Roman"/>
          <w:sz w:val="24"/>
          <w:szCs w:val="24"/>
          <w:lang w:val="en-US"/>
        </w:rPr>
        <w:t>.</w:t>
      </w:r>
    </w:p>
    <w:p w:rsidR="00B356BE" w:rsidRPr="00EA20E2" w:rsidRDefault="00B356BE" w:rsidP="00E2779A">
      <w:pPr>
        <w:spacing w:line="480" w:lineRule="auto"/>
        <w:ind w:firstLine="1304"/>
        <w:rPr>
          <w:rFonts w:ascii="Times New Roman" w:hAnsi="Times New Roman"/>
          <w:sz w:val="24"/>
          <w:szCs w:val="24"/>
          <w:lang w:val="en-US"/>
        </w:rPr>
      </w:pPr>
    </w:p>
    <w:p w:rsidR="00B356BE" w:rsidRDefault="00B356BE" w:rsidP="00F8089C">
      <w:pPr>
        <w:spacing w:line="480" w:lineRule="auto"/>
        <w:outlineLvl w:val="0"/>
        <w:rPr>
          <w:rFonts w:ascii="Times New Roman" w:hAnsi="Times New Roman"/>
          <w:sz w:val="28"/>
          <w:szCs w:val="24"/>
          <w:lang w:val="en-US"/>
        </w:rPr>
      </w:pPr>
      <w:r w:rsidRPr="00F72ACA">
        <w:rPr>
          <w:rFonts w:ascii="Times New Roman" w:hAnsi="Times New Roman"/>
          <w:b/>
          <w:sz w:val="28"/>
          <w:szCs w:val="24"/>
          <w:lang w:val="en-US"/>
        </w:rPr>
        <w:t>Discussion</w:t>
      </w:r>
    </w:p>
    <w:p w:rsidR="00B356BE" w:rsidRDefault="00B356BE" w:rsidP="00950264">
      <w:pPr>
        <w:spacing w:line="480" w:lineRule="auto"/>
        <w:rPr>
          <w:rFonts w:ascii="Times New Roman" w:hAnsi="Times New Roman"/>
          <w:sz w:val="24"/>
          <w:szCs w:val="24"/>
          <w:lang w:val="en-US"/>
        </w:rPr>
      </w:pPr>
      <w:r>
        <w:rPr>
          <w:rFonts w:ascii="Times New Roman" w:hAnsi="Times New Roman"/>
          <w:sz w:val="28"/>
          <w:szCs w:val="24"/>
          <w:lang w:val="en-US"/>
        </w:rPr>
        <w:lastRenderedPageBreak/>
        <w:tab/>
      </w:r>
      <w:r w:rsidRPr="00815052">
        <w:rPr>
          <w:rFonts w:ascii="Times New Roman" w:hAnsi="Times New Roman"/>
          <w:sz w:val="24"/>
          <w:szCs w:val="24"/>
          <w:lang w:val="en-US"/>
        </w:rPr>
        <w:t>We found a</w:t>
      </w:r>
      <w:r>
        <w:rPr>
          <w:rFonts w:ascii="Times New Roman" w:hAnsi="Times New Roman"/>
          <w:sz w:val="24"/>
          <w:szCs w:val="24"/>
          <w:lang w:val="en-US"/>
        </w:rPr>
        <w:t>n over 6-fold risk of GBS after a surgical procedure when compared to the general study population, which translates to an attributable risk of 1 GBS per 80,000 surgical operations. The vaccination for the pandemic influenza H1N1 raised the risk of GBS compared to the general study population to almost 3-fold while no other vaccinations were observed to have an effect on the risk. Of all GBS cases, 5.8% could be linked with a surgical operation as a trigger compared to 2.9% identified with a vaccination as a trigger.</w:t>
      </w:r>
    </w:p>
    <w:p w:rsidR="00B356BE" w:rsidRDefault="00B356BE" w:rsidP="00950264">
      <w:pPr>
        <w:spacing w:line="480" w:lineRule="auto"/>
        <w:rPr>
          <w:rFonts w:ascii="Times New Roman" w:hAnsi="Times New Roman"/>
          <w:sz w:val="24"/>
          <w:szCs w:val="24"/>
          <w:lang w:val="en-US"/>
        </w:rPr>
      </w:pPr>
      <w:r>
        <w:rPr>
          <w:rFonts w:ascii="Times New Roman" w:hAnsi="Times New Roman"/>
          <w:sz w:val="24"/>
          <w:szCs w:val="24"/>
          <w:lang w:val="en-US"/>
        </w:rPr>
        <w:tab/>
        <w:t>Our results show a more modest effect of surgery as a risk factor of GBS when compared to the results of Gensicke et al. [10] with a 13-fold risk or 4.1 cases of GBS per 100,000 surgeries. Both studies are retrospective registry-based studies employing appraisal of patient records to verify data, with a similar number of cases and a similar six week period preceding GBS to assess possible triggers. Both studies evaluated the relative incidence of post-surgical GBS based on the number of surgical operations performed in their own hospitals due to similar reasons. The mean age at diagnosis was similar between the cohorts and in both the older age groups predominated. However, notable differences remain. Although both studies used similar diagnostic criteria of GBS, the study of Gensicke et al. excluded the six cases of MFS. Additionally, the overall incidence of GBS in our study was half that in the study of Gensicke et al. with a significant male predominance, a gender imbalance not found in the Swiss study. Furthermore, our study was limited to investigate people over 16 years of age, whereas the Swiss study included eight children. However, this is attenuated by the facts that adults are usually reported to have a higher incidence of GBS compared to children [6] and no child in the Swiss study had had a surgical operation performed during the six weeks preceding GBS. As the last difference, the most common trigger in our study was respiratory tract infection compared to gastrointestinal infection in the study of Gensicke et al. This may be explained by increased cold exposure and incidence of respiratory tract infections in Finland when compared to other countries [12].</w:t>
      </w:r>
    </w:p>
    <w:p w:rsidR="00B356BE" w:rsidRDefault="00B356BE" w:rsidP="00950264">
      <w:pPr>
        <w:spacing w:line="480" w:lineRule="auto"/>
        <w:rPr>
          <w:rFonts w:ascii="Times New Roman" w:hAnsi="Times New Roman"/>
          <w:sz w:val="24"/>
          <w:szCs w:val="24"/>
          <w:lang w:val="en-US"/>
        </w:rPr>
      </w:pPr>
      <w:r>
        <w:rPr>
          <w:rFonts w:ascii="Times New Roman" w:hAnsi="Times New Roman"/>
          <w:sz w:val="24"/>
          <w:szCs w:val="24"/>
          <w:lang w:val="en-US"/>
        </w:rPr>
        <w:lastRenderedPageBreak/>
        <w:tab/>
        <w:t>As no post-surgical case of GBS in our study presented with MFS the numbers are not as far from each other as first suggested. However, the aforementioned differences also suggest a possibility of distinctive pathophysiological mechanisms in these populations. The difference in the nature of incidence of infectious triggers and overall lower incidence would support this. Our results are in close keeping with the only prospective study conducted on the subject which reported a prevalence of 5% for surgery as a trigger of GBS using an eight week –period to assess the exposure [11]. Whereas that study reported a 45% incidence of antecedent illness in the surgical group, our results show no such bias. However, this might be in part due to the retrospective nature of our study.</w:t>
      </w:r>
    </w:p>
    <w:p w:rsidR="00B356BE" w:rsidRDefault="00B356BE" w:rsidP="00950264">
      <w:pPr>
        <w:spacing w:line="480" w:lineRule="auto"/>
        <w:rPr>
          <w:rFonts w:ascii="Times New Roman" w:hAnsi="Times New Roman"/>
          <w:sz w:val="24"/>
          <w:szCs w:val="24"/>
          <w:lang w:val="en-US"/>
        </w:rPr>
      </w:pPr>
      <w:r>
        <w:rPr>
          <w:rFonts w:ascii="Times New Roman" w:hAnsi="Times New Roman"/>
          <w:sz w:val="24"/>
          <w:szCs w:val="24"/>
          <w:lang w:val="en-US"/>
        </w:rPr>
        <w:tab/>
        <w:t>Our results showed no risk of GBS associated with seasonal influenza or any other standard vaccination. Previous results on the subject have been contradictory [5] but recent results have shown influenza infection to be a more potent risk factor for GBS than an influenza vaccination [8, 13]. Our cohort included only two confirmed cases of influenza infection but laboratory confirmation for this was rarely sought. Considering that our data on seasonal influenza vaccination coverage represent a minimum estimate it could be speculated that a more accurate information on the coverage would have shown the vaccinated to have less GBS than the unvaccinated population.</w:t>
      </w:r>
    </w:p>
    <w:p w:rsidR="00B356BE" w:rsidRDefault="00B356BE">
      <w:pPr>
        <w:spacing w:line="480" w:lineRule="auto"/>
        <w:ind w:firstLine="1304"/>
        <w:rPr>
          <w:rFonts w:ascii="Times New Roman" w:hAnsi="Times New Roman"/>
          <w:sz w:val="24"/>
          <w:szCs w:val="24"/>
          <w:lang w:val="en-US"/>
        </w:rPr>
      </w:pPr>
      <w:r>
        <w:rPr>
          <w:rFonts w:ascii="Times New Roman" w:hAnsi="Times New Roman"/>
          <w:sz w:val="24"/>
          <w:szCs w:val="24"/>
          <w:lang w:val="en-US"/>
        </w:rPr>
        <w:t xml:space="preserve">Albeit we found an increased risk of GBS associated with the pandemic H1N1-influenza vaccine (Pandemrix®) given during the 2009/2010 outbreak this amounts to only one case. Previously, the vaccine has been associated with GBS in Germany [14] and weakly in the United States [15]. No association has been found in studies conducted in the United Kingdom [16] and in a European multinational case-series [17] with one study from the United States reporting even a protective effect [18]. Thus, the correlation can be characterized to be unsure at best. </w:t>
      </w:r>
    </w:p>
    <w:p w:rsidR="00B356BE" w:rsidRPr="004E5449" w:rsidRDefault="00B356BE" w:rsidP="00950264">
      <w:pPr>
        <w:spacing w:line="480" w:lineRule="auto"/>
        <w:rPr>
          <w:rFonts w:ascii="Times New Roman" w:hAnsi="Times New Roman"/>
          <w:sz w:val="24"/>
          <w:szCs w:val="24"/>
          <w:lang w:val="en-US"/>
        </w:rPr>
      </w:pPr>
      <w:r>
        <w:rPr>
          <w:rFonts w:ascii="Times New Roman" w:hAnsi="Times New Roman"/>
          <w:sz w:val="24"/>
          <w:szCs w:val="24"/>
          <w:lang w:val="en-US"/>
        </w:rPr>
        <w:lastRenderedPageBreak/>
        <w:tab/>
        <w:t xml:space="preserve">The demographic details and the proportion of major triggers in the cohort were similar to those reported previously [5] and thus the modest sample size does not seem to imply any selection bias. The strengths of the study also include the long study period, complete coverage of GBS cases in the region and the confirmation of diagnosis by review of patient records. The retrospective nature of the data means some triggers may have been overreported and some underreported. It is possible that surgical operations performed outside of district hospitals have been underreported due to this as surgery may not have been considered a risk factor for GBS in a similar manner to infections and vaccinations. Considering that both our and the Gensicke et al. study [10] used only the number of surgical operations performed in the institutions’ own hospitals to calculate the risk it seems probable that the risk ratios may be overestimated given that surgical operations are performed also elsewhere at least in our district. However, statistical data for this was not available. The increase in the number of annual diagnoses after 2008 remains unexplained. The 2009 influenza H1N1 pandemic and the vaccination campaign are unlikely culprits as the incidence peaked before their onset. </w:t>
      </w:r>
    </w:p>
    <w:p w:rsidR="00B356BE" w:rsidRPr="00815052" w:rsidRDefault="00B356BE" w:rsidP="00950264">
      <w:pPr>
        <w:spacing w:line="480" w:lineRule="auto"/>
        <w:rPr>
          <w:rFonts w:ascii="Times New Roman" w:hAnsi="Times New Roman"/>
          <w:sz w:val="24"/>
          <w:szCs w:val="24"/>
          <w:lang w:val="en-US"/>
        </w:rPr>
      </w:pPr>
      <w:r>
        <w:rPr>
          <w:rFonts w:ascii="Times New Roman" w:hAnsi="Times New Roman"/>
          <w:sz w:val="24"/>
          <w:szCs w:val="24"/>
          <w:lang w:val="en-US"/>
        </w:rPr>
        <w:tab/>
        <w:t>In conclusion, we found surgery to be a risk factor for GBS, albeit a rare one. Standard vaccinations did not increase the risk of GBS but the vaccination against pandemic influenza did, although the association was weak.</w:t>
      </w:r>
    </w:p>
    <w:p w:rsidR="00B356BE" w:rsidRDefault="00B356BE" w:rsidP="00950264">
      <w:pPr>
        <w:spacing w:line="480" w:lineRule="auto"/>
        <w:rPr>
          <w:rFonts w:ascii="Times New Roman" w:hAnsi="Times New Roman"/>
          <w:sz w:val="28"/>
          <w:szCs w:val="24"/>
          <w:lang w:val="en-US"/>
        </w:rPr>
      </w:pPr>
    </w:p>
    <w:p w:rsidR="00B356BE" w:rsidRDefault="00B356BE" w:rsidP="00950264">
      <w:pPr>
        <w:spacing w:line="480" w:lineRule="auto"/>
        <w:rPr>
          <w:rFonts w:ascii="Times New Roman" w:hAnsi="Times New Roman"/>
          <w:sz w:val="28"/>
          <w:szCs w:val="24"/>
          <w:lang w:val="en-US"/>
        </w:rPr>
      </w:pPr>
    </w:p>
    <w:p w:rsidR="00B356BE" w:rsidRDefault="00B356BE">
      <w:pPr>
        <w:rPr>
          <w:rFonts w:ascii="Times New Roman" w:hAnsi="Times New Roman"/>
          <w:sz w:val="28"/>
          <w:szCs w:val="24"/>
          <w:lang w:val="en-US"/>
        </w:rPr>
      </w:pPr>
      <w:r>
        <w:rPr>
          <w:rFonts w:ascii="Times New Roman" w:hAnsi="Times New Roman"/>
          <w:sz w:val="28"/>
          <w:szCs w:val="24"/>
          <w:lang w:val="en-US"/>
        </w:rPr>
        <w:br w:type="page"/>
      </w:r>
    </w:p>
    <w:p w:rsidR="00B356BE" w:rsidRPr="00361541" w:rsidRDefault="00B356BE" w:rsidP="00F8089C">
      <w:pPr>
        <w:spacing w:line="480" w:lineRule="auto"/>
        <w:outlineLvl w:val="0"/>
        <w:rPr>
          <w:rFonts w:ascii="Times New Roman" w:hAnsi="Times New Roman"/>
          <w:sz w:val="24"/>
          <w:szCs w:val="24"/>
          <w:lang w:val="en-US"/>
        </w:rPr>
      </w:pPr>
      <w:r w:rsidRPr="00361541">
        <w:rPr>
          <w:rFonts w:ascii="Times New Roman" w:hAnsi="Times New Roman"/>
          <w:b/>
          <w:sz w:val="24"/>
          <w:szCs w:val="24"/>
          <w:lang w:val="en-US"/>
        </w:rPr>
        <w:t>Acknowledgements</w:t>
      </w:r>
      <w:r w:rsidRPr="00361541">
        <w:rPr>
          <w:rFonts w:ascii="Times New Roman" w:hAnsi="Times New Roman"/>
          <w:sz w:val="24"/>
          <w:szCs w:val="24"/>
          <w:lang w:val="en-US"/>
        </w:rPr>
        <w:t xml:space="preserve"> </w:t>
      </w:r>
    </w:p>
    <w:p w:rsidR="00B356BE" w:rsidRDefault="00B356BE" w:rsidP="00ED6214">
      <w:pPr>
        <w:spacing w:line="480" w:lineRule="auto"/>
        <w:rPr>
          <w:rFonts w:ascii="Times New Roman" w:hAnsi="Times New Roman"/>
          <w:sz w:val="24"/>
          <w:szCs w:val="24"/>
          <w:lang w:val="en-US"/>
        </w:rPr>
      </w:pPr>
      <w:r>
        <w:rPr>
          <w:rFonts w:ascii="Times New Roman" w:hAnsi="Times New Roman"/>
          <w:sz w:val="24"/>
          <w:szCs w:val="24"/>
          <w:lang w:val="en-US"/>
        </w:rPr>
        <w:t>The authors would like to thank</w:t>
      </w:r>
      <w:r w:rsidRPr="00361541">
        <w:rPr>
          <w:rFonts w:ascii="Times New Roman" w:hAnsi="Times New Roman"/>
          <w:sz w:val="24"/>
          <w:szCs w:val="24"/>
          <w:lang w:val="en-US"/>
        </w:rPr>
        <w:t xml:space="preserve"> M.Sc. Tommi Kauko </w:t>
      </w:r>
      <w:r>
        <w:rPr>
          <w:rFonts w:ascii="Times New Roman" w:hAnsi="Times New Roman"/>
          <w:sz w:val="24"/>
          <w:szCs w:val="24"/>
          <w:lang w:val="en-US"/>
        </w:rPr>
        <w:t>and M.Sc. Tero Vahlberg for consulting in conducting the statistical analyses..</w:t>
      </w:r>
    </w:p>
    <w:p w:rsidR="00B356BE" w:rsidRDefault="00B356BE" w:rsidP="00ED6214">
      <w:pPr>
        <w:spacing w:line="480" w:lineRule="auto"/>
        <w:rPr>
          <w:rFonts w:ascii="Times New Roman" w:hAnsi="Times New Roman"/>
          <w:sz w:val="24"/>
          <w:szCs w:val="24"/>
          <w:lang w:val="en-US"/>
        </w:rPr>
      </w:pPr>
    </w:p>
    <w:p w:rsidR="00B356BE" w:rsidRDefault="00B356BE" w:rsidP="00F8089C">
      <w:pPr>
        <w:spacing w:line="480" w:lineRule="auto"/>
        <w:outlineLvl w:val="0"/>
        <w:rPr>
          <w:rFonts w:ascii="Times New Roman" w:hAnsi="Times New Roman"/>
          <w:b/>
          <w:sz w:val="24"/>
          <w:szCs w:val="24"/>
          <w:lang w:val="en-US"/>
        </w:rPr>
      </w:pPr>
      <w:r>
        <w:rPr>
          <w:rFonts w:ascii="Times New Roman" w:hAnsi="Times New Roman"/>
          <w:b/>
          <w:sz w:val="24"/>
          <w:szCs w:val="24"/>
          <w:lang w:val="en-US"/>
        </w:rPr>
        <w:t>Contributors</w:t>
      </w:r>
    </w:p>
    <w:p w:rsidR="00B356BE" w:rsidRDefault="00B356BE" w:rsidP="004A3FF7">
      <w:pPr>
        <w:spacing w:line="480" w:lineRule="auto"/>
        <w:rPr>
          <w:rFonts w:ascii="Times New Roman" w:hAnsi="Times New Roman"/>
          <w:sz w:val="24"/>
          <w:szCs w:val="24"/>
          <w:lang w:val="en-US"/>
        </w:rPr>
      </w:pPr>
      <w:r w:rsidRPr="00361541">
        <w:rPr>
          <w:rFonts w:ascii="Times New Roman" w:hAnsi="Times New Roman"/>
          <w:sz w:val="24"/>
          <w:szCs w:val="24"/>
          <w:lang w:val="en-US"/>
        </w:rPr>
        <w:t xml:space="preserve">JOTS </w:t>
      </w:r>
      <w:r>
        <w:rPr>
          <w:rFonts w:ascii="Times New Roman" w:hAnsi="Times New Roman"/>
          <w:sz w:val="24"/>
          <w:szCs w:val="24"/>
          <w:lang w:val="en-US"/>
        </w:rPr>
        <w:t xml:space="preserve">(guarantor) and MS-H developed the research question and design of the study. JOTS obtained the permissions needed, collected and analysed the data and drafted the article. MS-H assisted in collecting and analyzing the data, supervised the study and reviewed and revised the manuscript. </w:t>
      </w:r>
    </w:p>
    <w:p w:rsidR="00B356BE" w:rsidRDefault="00B356BE" w:rsidP="004A3FF7">
      <w:pPr>
        <w:spacing w:line="480" w:lineRule="auto"/>
        <w:rPr>
          <w:rFonts w:ascii="Times New Roman" w:hAnsi="Times New Roman"/>
          <w:sz w:val="24"/>
          <w:szCs w:val="24"/>
          <w:lang w:val="en-US"/>
        </w:rPr>
      </w:pPr>
    </w:p>
    <w:p w:rsidR="00B356BE" w:rsidRDefault="00B356BE" w:rsidP="004A3FF7">
      <w:pPr>
        <w:spacing w:line="480" w:lineRule="auto"/>
        <w:rPr>
          <w:rFonts w:ascii="Times New Roman" w:hAnsi="Times New Roman"/>
          <w:b/>
          <w:sz w:val="24"/>
          <w:szCs w:val="24"/>
          <w:lang w:val="en-US"/>
        </w:rPr>
      </w:pPr>
      <w:r>
        <w:rPr>
          <w:rFonts w:ascii="Times New Roman" w:hAnsi="Times New Roman"/>
          <w:b/>
          <w:sz w:val="24"/>
          <w:szCs w:val="24"/>
          <w:lang w:val="en-US"/>
        </w:rPr>
        <w:t>Funding</w:t>
      </w:r>
    </w:p>
    <w:p w:rsidR="00B356BE" w:rsidRDefault="00B356BE" w:rsidP="00ED6214">
      <w:pPr>
        <w:spacing w:line="480" w:lineRule="auto"/>
        <w:rPr>
          <w:rFonts w:ascii="Times New Roman" w:hAnsi="Times New Roman"/>
          <w:sz w:val="24"/>
          <w:szCs w:val="24"/>
          <w:lang w:val="en-US"/>
        </w:rPr>
      </w:pPr>
      <w:r>
        <w:rPr>
          <w:rFonts w:ascii="Times New Roman" w:hAnsi="Times New Roman"/>
          <w:sz w:val="24"/>
          <w:szCs w:val="24"/>
          <w:lang w:val="en-US"/>
        </w:rPr>
        <w:t>This study received no funding.</w:t>
      </w:r>
    </w:p>
    <w:p w:rsidR="00B356BE" w:rsidRPr="00361541" w:rsidRDefault="00B356BE" w:rsidP="00ED6214">
      <w:pPr>
        <w:spacing w:line="480" w:lineRule="auto"/>
        <w:rPr>
          <w:rFonts w:ascii="Times New Roman" w:hAnsi="Times New Roman"/>
          <w:sz w:val="24"/>
          <w:szCs w:val="24"/>
          <w:lang w:val="en-US"/>
        </w:rPr>
      </w:pPr>
    </w:p>
    <w:p w:rsidR="00B356BE" w:rsidRDefault="00B356BE" w:rsidP="007C3488">
      <w:pPr>
        <w:rPr>
          <w:rFonts w:ascii="Times New Roman" w:hAnsi="Times New Roman"/>
          <w:sz w:val="24"/>
          <w:szCs w:val="24"/>
        </w:rPr>
      </w:pPr>
      <w:r w:rsidRPr="00E9019B">
        <w:rPr>
          <w:rFonts w:ascii="Times New Roman" w:hAnsi="Times New Roman"/>
          <w:sz w:val="24"/>
          <w:szCs w:val="24"/>
          <w:lang w:val="en-US"/>
        </w:rPr>
        <w:br w:type="page"/>
      </w:r>
      <w:r w:rsidRPr="00361541">
        <w:rPr>
          <w:rFonts w:ascii="Times New Roman" w:hAnsi="Times New Roman"/>
          <w:b/>
          <w:sz w:val="24"/>
          <w:szCs w:val="24"/>
        </w:rPr>
        <w:lastRenderedPageBreak/>
        <w:t>References</w:t>
      </w:r>
      <w:r>
        <w:rPr>
          <w:rFonts w:ascii="Times New Roman" w:hAnsi="Times New Roman"/>
          <w:sz w:val="24"/>
          <w:szCs w:val="24"/>
        </w:rPr>
        <w:t xml:space="preserve"> </w:t>
      </w:r>
    </w:p>
    <w:p w:rsidR="00B356BE" w:rsidRPr="00732C1A" w:rsidRDefault="00B356BE" w:rsidP="003B5145">
      <w:pPr>
        <w:pStyle w:val="Luettelokappale"/>
        <w:numPr>
          <w:ilvl w:val="0"/>
          <w:numId w:val="1"/>
        </w:numPr>
        <w:spacing w:line="480" w:lineRule="auto"/>
        <w:ind w:left="714" w:hanging="357"/>
        <w:rPr>
          <w:rFonts w:ascii="Times New Roman" w:hAnsi="Times New Roman"/>
          <w:sz w:val="24"/>
          <w:szCs w:val="24"/>
          <w:lang w:val="en-US"/>
        </w:rPr>
      </w:pPr>
      <w:r w:rsidRPr="00732C1A">
        <w:rPr>
          <w:rFonts w:ascii="Times New Roman" w:hAnsi="Times New Roman"/>
          <w:sz w:val="24"/>
          <w:szCs w:val="24"/>
          <w:lang w:val="en-US"/>
        </w:rPr>
        <w:t xml:space="preserve">Rajabally YA, Uncini A. Outcome and </w:t>
      </w:r>
      <w:r>
        <w:rPr>
          <w:rFonts w:ascii="Times New Roman" w:hAnsi="Times New Roman"/>
          <w:sz w:val="24"/>
          <w:szCs w:val="24"/>
          <w:lang w:val="en-US"/>
        </w:rPr>
        <w:t xml:space="preserve">its predictors in Guillain-Barré syndrome. </w:t>
      </w:r>
      <w:r>
        <w:rPr>
          <w:rFonts w:ascii="Times New Roman" w:hAnsi="Times New Roman"/>
          <w:i/>
          <w:sz w:val="24"/>
          <w:szCs w:val="24"/>
          <w:lang w:val="en-US"/>
        </w:rPr>
        <w:t>J Neurol Neurosurg Psych</w:t>
      </w:r>
      <w:r>
        <w:rPr>
          <w:rFonts w:ascii="Times New Roman" w:hAnsi="Times New Roman"/>
          <w:sz w:val="24"/>
          <w:szCs w:val="24"/>
          <w:lang w:val="en-US"/>
        </w:rPr>
        <w:t xml:space="preserve"> 2012; </w:t>
      </w:r>
      <w:r w:rsidRPr="00732C1A">
        <w:rPr>
          <w:rFonts w:ascii="Times New Roman" w:hAnsi="Times New Roman"/>
          <w:b/>
          <w:sz w:val="24"/>
          <w:szCs w:val="24"/>
          <w:lang w:val="en-US"/>
        </w:rPr>
        <w:t>83</w:t>
      </w:r>
      <w:r>
        <w:rPr>
          <w:rFonts w:ascii="Times New Roman" w:hAnsi="Times New Roman"/>
          <w:sz w:val="24"/>
          <w:szCs w:val="24"/>
          <w:lang w:val="en-US"/>
        </w:rPr>
        <w:t>: 711-718</w:t>
      </w:r>
    </w:p>
    <w:p w:rsidR="00B356BE" w:rsidRPr="00945030" w:rsidRDefault="00B356BE" w:rsidP="003B5145">
      <w:pPr>
        <w:pStyle w:val="Luettelokappale"/>
        <w:numPr>
          <w:ilvl w:val="0"/>
          <w:numId w:val="1"/>
        </w:numPr>
        <w:spacing w:line="480" w:lineRule="auto"/>
        <w:ind w:left="714" w:hanging="357"/>
        <w:rPr>
          <w:rFonts w:ascii="Times New Roman" w:hAnsi="Times New Roman"/>
          <w:sz w:val="24"/>
          <w:szCs w:val="24"/>
          <w:lang w:val="en-GB"/>
        </w:rPr>
      </w:pPr>
      <w:r>
        <w:rPr>
          <w:rFonts w:ascii="Times New Roman" w:hAnsi="Times New Roman"/>
          <w:sz w:val="24"/>
          <w:szCs w:val="24"/>
          <w:lang w:val="en-US"/>
        </w:rPr>
        <w:t xml:space="preserve">Yuki N, Hartung HP. Guillain-Barré syndrome. </w:t>
      </w:r>
      <w:r w:rsidRPr="00CC242B">
        <w:rPr>
          <w:rFonts w:ascii="Times New Roman" w:hAnsi="Times New Roman"/>
          <w:i/>
          <w:sz w:val="24"/>
          <w:szCs w:val="24"/>
          <w:lang w:val="en-US"/>
        </w:rPr>
        <w:t>N Engl J Med</w:t>
      </w:r>
      <w:r>
        <w:rPr>
          <w:rFonts w:ascii="Times New Roman" w:hAnsi="Times New Roman"/>
          <w:sz w:val="24"/>
          <w:szCs w:val="24"/>
          <w:lang w:val="en-US"/>
        </w:rPr>
        <w:t xml:space="preserve"> 2012; </w:t>
      </w:r>
      <w:r w:rsidRPr="00CC242B">
        <w:rPr>
          <w:rFonts w:ascii="Times New Roman" w:hAnsi="Times New Roman"/>
          <w:b/>
          <w:sz w:val="24"/>
          <w:szCs w:val="24"/>
          <w:lang w:val="en-US"/>
        </w:rPr>
        <w:t>366</w:t>
      </w:r>
      <w:r>
        <w:rPr>
          <w:rFonts w:ascii="Times New Roman" w:hAnsi="Times New Roman"/>
          <w:sz w:val="24"/>
          <w:szCs w:val="24"/>
          <w:lang w:val="en-US"/>
        </w:rPr>
        <w:t>: 2294-2304</w:t>
      </w:r>
    </w:p>
    <w:p w:rsidR="00B356BE" w:rsidRDefault="00B356BE" w:rsidP="003B5145">
      <w:pPr>
        <w:pStyle w:val="Luettelokappale"/>
        <w:numPr>
          <w:ilvl w:val="0"/>
          <w:numId w:val="1"/>
        </w:numPr>
        <w:spacing w:line="480" w:lineRule="auto"/>
        <w:ind w:left="714" w:hanging="357"/>
        <w:rPr>
          <w:rFonts w:ascii="Times New Roman" w:hAnsi="Times New Roman"/>
          <w:sz w:val="24"/>
          <w:szCs w:val="24"/>
          <w:lang w:val="en-US"/>
        </w:rPr>
      </w:pPr>
      <w:r>
        <w:rPr>
          <w:rFonts w:ascii="Times New Roman" w:hAnsi="Times New Roman"/>
          <w:sz w:val="24"/>
          <w:szCs w:val="24"/>
          <w:lang w:val="sv-SE"/>
        </w:rPr>
        <w:t xml:space="preserve">Hardy TA, Blum S, McCombe PA, Reddel SW. Guillain-Barré syndrome: modern theories of etiology. </w:t>
      </w:r>
      <w:r w:rsidRPr="00D15008">
        <w:rPr>
          <w:rFonts w:ascii="Times New Roman" w:hAnsi="Times New Roman"/>
          <w:i/>
          <w:sz w:val="24"/>
          <w:szCs w:val="24"/>
          <w:lang w:val="sv-SE"/>
        </w:rPr>
        <w:t>Curr Allergy Asthma Rep</w:t>
      </w:r>
      <w:r>
        <w:rPr>
          <w:rFonts w:ascii="Times New Roman" w:hAnsi="Times New Roman"/>
          <w:sz w:val="24"/>
          <w:szCs w:val="24"/>
          <w:lang w:val="sv-SE"/>
        </w:rPr>
        <w:t xml:space="preserve"> 2011; </w:t>
      </w:r>
      <w:r w:rsidRPr="00D15008">
        <w:rPr>
          <w:rFonts w:ascii="Times New Roman" w:hAnsi="Times New Roman"/>
          <w:b/>
          <w:sz w:val="24"/>
          <w:szCs w:val="24"/>
          <w:lang w:val="sv-SE"/>
        </w:rPr>
        <w:t>11</w:t>
      </w:r>
      <w:r>
        <w:rPr>
          <w:rFonts w:ascii="Times New Roman" w:hAnsi="Times New Roman"/>
          <w:sz w:val="24"/>
          <w:szCs w:val="24"/>
          <w:lang w:val="sv-SE"/>
        </w:rPr>
        <w:t>: 197-204</w:t>
      </w:r>
    </w:p>
    <w:p w:rsidR="00B356BE" w:rsidRDefault="00B356BE" w:rsidP="003B5145">
      <w:pPr>
        <w:pStyle w:val="Luettelokappale"/>
        <w:numPr>
          <w:ilvl w:val="0"/>
          <w:numId w:val="1"/>
        </w:numPr>
        <w:spacing w:line="480" w:lineRule="auto"/>
        <w:ind w:left="714" w:hanging="357"/>
        <w:rPr>
          <w:rFonts w:ascii="Times New Roman" w:hAnsi="Times New Roman"/>
          <w:sz w:val="24"/>
          <w:szCs w:val="24"/>
          <w:lang w:val="en-US"/>
        </w:rPr>
      </w:pPr>
      <w:r>
        <w:rPr>
          <w:rFonts w:ascii="Times New Roman" w:hAnsi="Times New Roman"/>
          <w:sz w:val="24"/>
          <w:szCs w:val="24"/>
          <w:lang w:val="en-US"/>
        </w:rPr>
        <w:t xml:space="preserve">Arányi Z, Kovács T, Sipos I, Bereczki D. Miller Fisher syndrome: brief overview and update with a focus on electrophysiological findings. </w:t>
      </w:r>
      <w:r w:rsidRPr="00232B23">
        <w:rPr>
          <w:rFonts w:ascii="Times New Roman" w:hAnsi="Times New Roman"/>
          <w:i/>
          <w:sz w:val="24"/>
          <w:szCs w:val="24"/>
          <w:lang w:val="en-US"/>
        </w:rPr>
        <w:t xml:space="preserve">Eur J Neurol </w:t>
      </w:r>
      <w:r>
        <w:rPr>
          <w:rFonts w:ascii="Times New Roman" w:hAnsi="Times New Roman"/>
          <w:sz w:val="24"/>
          <w:szCs w:val="24"/>
          <w:lang w:val="en-US"/>
        </w:rPr>
        <w:t xml:space="preserve">2012; </w:t>
      </w:r>
      <w:r w:rsidRPr="00232B23">
        <w:rPr>
          <w:rFonts w:ascii="Times New Roman" w:hAnsi="Times New Roman"/>
          <w:b/>
          <w:sz w:val="24"/>
          <w:szCs w:val="24"/>
          <w:lang w:val="en-US"/>
        </w:rPr>
        <w:t>19</w:t>
      </w:r>
      <w:r>
        <w:rPr>
          <w:rFonts w:ascii="Times New Roman" w:hAnsi="Times New Roman"/>
          <w:sz w:val="24"/>
          <w:szCs w:val="24"/>
          <w:lang w:val="en-US"/>
        </w:rPr>
        <w:t>: 15-20</w:t>
      </w:r>
    </w:p>
    <w:p w:rsidR="00B356BE" w:rsidRPr="00EA7E35" w:rsidRDefault="00B356BE" w:rsidP="00EA7E35">
      <w:pPr>
        <w:pStyle w:val="Luettelokappale"/>
        <w:numPr>
          <w:ilvl w:val="0"/>
          <w:numId w:val="1"/>
        </w:numPr>
        <w:spacing w:line="480" w:lineRule="auto"/>
        <w:ind w:left="714" w:hanging="357"/>
        <w:rPr>
          <w:rFonts w:ascii="Times New Roman" w:hAnsi="Times New Roman"/>
          <w:sz w:val="24"/>
          <w:szCs w:val="24"/>
          <w:lang w:val="en-US"/>
        </w:rPr>
      </w:pPr>
      <w:r w:rsidRPr="00EA7E35">
        <w:rPr>
          <w:rFonts w:ascii="Times New Roman" w:hAnsi="Times New Roman"/>
          <w:sz w:val="24"/>
          <w:szCs w:val="24"/>
          <w:lang w:val="it-IT"/>
        </w:rPr>
        <w:t xml:space="preserve">Lehmann HC, Hughes RAC, Kieseier BC, Hartung HP. Recent developments and future direction in Guillain-Barré syndrome. </w:t>
      </w:r>
      <w:r w:rsidRPr="00EA7E35">
        <w:rPr>
          <w:rFonts w:ascii="Times New Roman" w:hAnsi="Times New Roman"/>
          <w:i/>
          <w:sz w:val="24"/>
          <w:szCs w:val="24"/>
          <w:lang w:val="it-IT"/>
        </w:rPr>
        <w:t>J Peripher Nerv Syst</w:t>
      </w:r>
      <w:r w:rsidRPr="00EA7E35">
        <w:rPr>
          <w:rFonts w:ascii="Times New Roman" w:hAnsi="Times New Roman"/>
          <w:sz w:val="24"/>
          <w:szCs w:val="24"/>
          <w:lang w:val="it-IT"/>
        </w:rPr>
        <w:t xml:space="preserve"> 2012; </w:t>
      </w:r>
      <w:r w:rsidRPr="00EA7E35">
        <w:rPr>
          <w:rFonts w:ascii="Times New Roman" w:hAnsi="Times New Roman"/>
          <w:b/>
          <w:sz w:val="24"/>
          <w:szCs w:val="24"/>
          <w:lang w:val="it-IT"/>
        </w:rPr>
        <w:t>17</w:t>
      </w:r>
      <w:r w:rsidRPr="00EA7E35">
        <w:rPr>
          <w:rFonts w:ascii="Times New Roman" w:hAnsi="Times New Roman"/>
          <w:sz w:val="24"/>
          <w:szCs w:val="24"/>
          <w:lang w:val="it-IT"/>
        </w:rPr>
        <w:t>(Suppl): 57-70</w:t>
      </w:r>
    </w:p>
    <w:p w:rsidR="00B356BE" w:rsidRPr="0002664E" w:rsidRDefault="00B356BE" w:rsidP="003B5145">
      <w:pPr>
        <w:pStyle w:val="Luettelokappale"/>
        <w:numPr>
          <w:ilvl w:val="0"/>
          <w:numId w:val="1"/>
        </w:numPr>
        <w:spacing w:line="480" w:lineRule="auto"/>
        <w:ind w:left="714" w:hanging="357"/>
        <w:rPr>
          <w:rFonts w:ascii="Times New Roman" w:hAnsi="Times New Roman"/>
          <w:sz w:val="24"/>
          <w:szCs w:val="24"/>
          <w:lang w:val="en-US"/>
        </w:rPr>
      </w:pPr>
      <w:r>
        <w:rPr>
          <w:rFonts w:ascii="Times New Roman" w:hAnsi="Times New Roman"/>
          <w:sz w:val="24"/>
          <w:szCs w:val="24"/>
          <w:lang w:val="en-US"/>
        </w:rPr>
        <w:t xml:space="preserve">Sejvar JJ, Baughman AL, Wise M, Morgan OW. Population incidence of Guillain-Barré syndrome: A systematic review and meta-analysis. </w:t>
      </w:r>
      <w:r w:rsidRPr="00F4671E">
        <w:rPr>
          <w:rFonts w:ascii="Times New Roman" w:hAnsi="Times New Roman"/>
          <w:i/>
          <w:sz w:val="24"/>
          <w:szCs w:val="24"/>
          <w:lang w:val="en-US"/>
        </w:rPr>
        <w:t>Neuroepidemiology</w:t>
      </w:r>
      <w:r>
        <w:rPr>
          <w:rFonts w:ascii="Times New Roman" w:hAnsi="Times New Roman"/>
          <w:sz w:val="24"/>
          <w:szCs w:val="24"/>
          <w:lang w:val="en-US"/>
        </w:rPr>
        <w:t xml:space="preserve"> 2011; </w:t>
      </w:r>
      <w:r w:rsidRPr="00F4671E">
        <w:rPr>
          <w:rFonts w:ascii="Times New Roman" w:hAnsi="Times New Roman"/>
          <w:b/>
          <w:sz w:val="24"/>
          <w:szCs w:val="24"/>
          <w:lang w:val="en-US"/>
        </w:rPr>
        <w:t>36</w:t>
      </w:r>
      <w:r>
        <w:rPr>
          <w:rFonts w:ascii="Times New Roman" w:hAnsi="Times New Roman"/>
          <w:sz w:val="24"/>
          <w:szCs w:val="24"/>
          <w:lang w:val="en-US"/>
        </w:rPr>
        <w:t>: 123-133</w:t>
      </w:r>
    </w:p>
    <w:p w:rsidR="00B356BE" w:rsidRPr="00945030" w:rsidRDefault="00B356BE" w:rsidP="003B5145">
      <w:pPr>
        <w:pStyle w:val="Luettelokappale"/>
        <w:numPr>
          <w:ilvl w:val="0"/>
          <w:numId w:val="1"/>
        </w:numPr>
        <w:spacing w:line="480" w:lineRule="auto"/>
        <w:ind w:left="714" w:hanging="357"/>
        <w:rPr>
          <w:rFonts w:ascii="Times New Roman" w:hAnsi="Times New Roman"/>
          <w:sz w:val="24"/>
          <w:szCs w:val="24"/>
          <w:lang w:val="en-US"/>
        </w:rPr>
      </w:pPr>
      <w:r w:rsidRPr="00E9019B">
        <w:rPr>
          <w:rFonts w:ascii="Times New Roman" w:hAnsi="Times New Roman"/>
          <w:sz w:val="24"/>
          <w:szCs w:val="24"/>
        </w:rPr>
        <w:t xml:space="preserve">Kärppä M. Akuutti polyradikuliitti – “tikkuilusta” tehohoitoon. </w:t>
      </w:r>
      <w:r w:rsidRPr="00EB2F9F">
        <w:rPr>
          <w:rFonts w:ascii="Times New Roman" w:hAnsi="Times New Roman"/>
          <w:i/>
          <w:sz w:val="24"/>
          <w:szCs w:val="24"/>
          <w:lang w:val="en-US"/>
        </w:rPr>
        <w:t>Duodecim</w:t>
      </w:r>
      <w:r>
        <w:rPr>
          <w:rFonts w:ascii="Times New Roman" w:hAnsi="Times New Roman"/>
          <w:sz w:val="24"/>
          <w:szCs w:val="24"/>
          <w:lang w:val="en-US"/>
        </w:rPr>
        <w:t xml:space="preserve"> 2009; </w:t>
      </w:r>
      <w:r w:rsidRPr="00EB2F9F">
        <w:rPr>
          <w:rFonts w:ascii="Times New Roman" w:hAnsi="Times New Roman"/>
          <w:b/>
          <w:sz w:val="24"/>
          <w:szCs w:val="24"/>
          <w:lang w:val="en-US"/>
        </w:rPr>
        <w:t>125</w:t>
      </w:r>
      <w:r>
        <w:rPr>
          <w:rFonts w:ascii="Times New Roman" w:hAnsi="Times New Roman"/>
          <w:sz w:val="24"/>
          <w:szCs w:val="24"/>
          <w:lang w:val="en-US"/>
        </w:rPr>
        <w:t>: 1615-1621</w:t>
      </w:r>
    </w:p>
    <w:p w:rsidR="00B356BE" w:rsidRDefault="00B356BE" w:rsidP="003B5145">
      <w:pPr>
        <w:pStyle w:val="Luettelokappale"/>
        <w:numPr>
          <w:ilvl w:val="0"/>
          <w:numId w:val="1"/>
        </w:numPr>
        <w:spacing w:line="480" w:lineRule="auto"/>
        <w:ind w:left="714" w:hanging="357"/>
        <w:rPr>
          <w:rFonts w:ascii="Times New Roman" w:hAnsi="Times New Roman"/>
          <w:sz w:val="24"/>
          <w:szCs w:val="24"/>
          <w:lang w:val="en-US"/>
        </w:rPr>
      </w:pPr>
      <w:r>
        <w:rPr>
          <w:rFonts w:ascii="Times New Roman" w:hAnsi="Times New Roman"/>
          <w:sz w:val="24"/>
          <w:szCs w:val="24"/>
          <w:lang w:val="en-US"/>
        </w:rPr>
        <w:t xml:space="preserve">Lehmann HC, Hartung HP, Kieseier BC, Hughes RAC. Guillain-Barré syndrome after exposure to influenza virus. </w:t>
      </w:r>
      <w:r w:rsidRPr="00094F49">
        <w:rPr>
          <w:rFonts w:ascii="Times New Roman" w:hAnsi="Times New Roman"/>
          <w:i/>
          <w:sz w:val="24"/>
          <w:szCs w:val="24"/>
          <w:lang w:val="en-US"/>
        </w:rPr>
        <w:t>Lancet Infect Dis</w:t>
      </w:r>
      <w:r>
        <w:rPr>
          <w:rFonts w:ascii="Times New Roman" w:hAnsi="Times New Roman"/>
          <w:sz w:val="24"/>
          <w:szCs w:val="24"/>
          <w:lang w:val="en-US"/>
        </w:rPr>
        <w:t xml:space="preserve"> 2010; </w:t>
      </w:r>
      <w:r w:rsidRPr="00094F49">
        <w:rPr>
          <w:rFonts w:ascii="Times New Roman" w:hAnsi="Times New Roman"/>
          <w:b/>
          <w:sz w:val="24"/>
          <w:szCs w:val="24"/>
          <w:lang w:val="en-US"/>
        </w:rPr>
        <w:t>10</w:t>
      </w:r>
      <w:r>
        <w:rPr>
          <w:rFonts w:ascii="Times New Roman" w:hAnsi="Times New Roman"/>
          <w:sz w:val="24"/>
          <w:szCs w:val="24"/>
          <w:lang w:val="en-US"/>
        </w:rPr>
        <w:t>: 643-651</w:t>
      </w:r>
    </w:p>
    <w:p w:rsidR="00B356BE" w:rsidRDefault="00B356BE" w:rsidP="003B5145">
      <w:pPr>
        <w:pStyle w:val="Luettelokappale"/>
        <w:numPr>
          <w:ilvl w:val="0"/>
          <w:numId w:val="1"/>
        </w:numPr>
        <w:spacing w:line="480" w:lineRule="auto"/>
        <w:ind w:left="714" w:hanging="357"/>
        <w:rPr>
          <w:rFonts w:ascii="Times New Roman" w:hAnsi="Times New Roman"/>
          <w:sz w:val="24"/>
          <w:szCs w:val="24"/>
          <w:lang w:val="en-US"/>
        </w:rPr>
      </w:pPr>
      <w:r>
        <w:rPr>
          <w:rFonts w:ascii="Times New Roman" w:hAnsi="Times New Roman"/>
          <w:sz w:val="24"/>
          <w:szCs w:val="24"/>
          <w:lang w:val="en-US"/>
        </w:rPr>
        <w:t xml:space="preserve">Linden S, Vuorinen T, Österback R, Soilu-Hänninen M. Parechovirus infection preceding Guillain-Barré syndrome. </w:t>
      </w:r>
      <w:r w:rsidRPr="00373F57">
        <w:rPr>
          <w:rFonts w:ascii="Times New Roman" w:hAnsi="Times New Roman"/>
          <w:i/>
          <w:sz w:val="24"/>
          <w:szCs w:val="24"/>
          <w:lang w:val="en-US"/>
        </w:rPr>
        <w:t>J Neurovirol</w:t>
      </w:r>
      <w:r>
        <w:rPr>
          <w:rFonts w:ascii="Times New Roman" w:hAnsi="Times New Roman"/>
          <w:sz w:val="24"/>
          <w:szCs w:val="24"/>
          <w:lang w:val="en-US"/>
        </w:rPr>
        <w:t xml:space="preserve"> 2012; </w:t>
      </w:r>
      <w:r w:rsidRPr="00373F57">
        <w:rPr>
          <w:rFonts w:ascii="Times New Roman" w:hAnsi="Times New Roman"/>
          <w:b/>
          <w:sz w:val="24"/>
          <w:szCs w:val="24"/>
          <w:lang w:val="en-US"/>
        </w:rPr>
        <w:t>18</w:t>
      </w:r>
      <w:r>
        <w:rPr>
          <w:rFonts w:ascii="Times New Roman" w:hAnsi="Times New Roman"/>
          <w:sz w:val="24"/>
          <w:szCs w:val="24"/>
          <w:lang w:val="en-US"/>
        </w:rPr>
        <w:t>: 434-436</w:t>
      </w:r>
    </w:p>
    <w:p w:rsidR="00B356BE" w:rsidRDefault="00B356BE" w:rsidP="003B5145">
      <w:pPr>
        <w:pStyle w:val="Luettelokappale"/>
        <w:numPr>
          <w:ilvl w:val="0"/>
          <w:numId w:val="1"/>
        </w:numPr>
        <w:spacing w:line="480" w:lineRule="auto"/>
        <w:ind w:left="714" w:hanging="357"/>
        <w:rPr>
          <w:rFonts w:ascii="Times New Roman" w:hAnsi="Times New Roman"/>
          <w:sz w:val="24"/>
          <w:szCs w:val="24"/>
          <w:lang w:val="en-US"/>
        </w:rPr>
      </w:pPr>
      <w:r w:rsidRPr="002862A0">
        <w:rPr>
          <w:rFonts w:ascii="Times New Roman" w:hAnsi="Times New Roman"/>
          <w:sz w:val="24"/>
          <w:szCs w:val="24"/>
          <w:lang w:val="en-US"/>
        </w:rPr>
        <w:t xml:space="preserve">Gensicke H, Datta AN, Dill P, </w:t>
      </w:r>
      <w:r>
        <w:rPr>
          <w:rFonts w:ascii="Times New Roman" w:hAnsi="Times New Roman"/>
          <w:sz w:val="24"/>
          <w:szCs w:val="24"/>
          <w:lang w:val="en-US"/>
        </w:rPr>
        <w:t xml:space="preserve">Schindler C, Fischer D. Increased incidence of Guillain-Barré syndrome after surgery. </w:t>
      </w:r>
      <w:r w:rsidRPr="002862A0">
        <w:rPr>
          <w:rFonts w:ascii="Times New Roman" w:hAnsi="Times New Roman"/>
          <w:i/>
          <w:sz w:val="24"/>
          <w:szCs w:val="24"/>
          <w:lang w:val="en-US"/>
        </w:rPr>
        <w:t>Eur J Neurol</w:t>
      </w:r>
      <w:r>
        <w:rPr>
          <w:rFonts w:ascii="Times New Roman" w:hAnsi="Times New Roman"/>
          <w:sz w:val="24"/>
          <w:szCs w:val="24"/>
          <w:lang w:val="en-US"/>
        </w:rPr>
        <w:t xml:space="preserve"> 2012; </w:t>
      </w:r>
      <w:r w:rsidRPr="002862A0">
        <w:rPr>
          <w:rFonts w:ascii="Times New Roman" w:hAnsi="Times New Roman"/>
          <w:b/>
          <w:sz w:val="24"/>
          <w:szCs w:val="24"/>
          <w:lang w:val="en-US"/>
        </w:rPr>
        <w:t>19</w:t>
      </w:r>
      <w:r>
        <w:rPr>
          <w:rFonts w:ascii="Times New Roman" w:hAnsi="Times New Roman"/>
          <w:sz w:val="24"/>
          <w:szCs w:val="24"/>
          <w:lang w:val="en-US"/>
        </w:rPr>
        <w:t>: 1239-1244</w:t>
      </w:r>
    </w:p>
    <w:p w:rsidR="00B356BE" w:rsidRPr="002862A0" w:rsidRDefault="00B356BE" w:rsidP="003B5145">
      <w:pPr>
        <w:pStyle w:val="Luettelokappale"/>
        <w:numPr>
          <w:ilvl w:val="0"/>
          <w:numId w:val="1"/>
        </w:numPr>
        <w:spacing w:line="480" w:lineRule="auto"/>
        <w:ind w:left="714" w:hanging="357"/>
        <w:rPr>
          <w:rFonts w:ascii="Times New Roman" w:hAnsi="Times New Roman"/>
          <w:sz w:val="24"/>
          <w:szCs w:val="24"/>
          <w:lang w:val="en-US"/>
        </w:rPr>
      </w:pPr>
      <w:r>
        <w:rPr>
          <w:rFonts w:ascii="Times New Roman" w:hAnsi="Times New Roman"/>
          <w:sz w:val="24"/>
          <w:szCs w:val="24"/>
          <w:lang w:val="en-US"/>
        </w:rPr>
        <w:t xml:space="preserve">Hurwitz ES, Holman RC, Nelson DB, Schonberger LB. National surveillance of Guillain-Barré syndrome: January 1978-March 1979. </w:t>
      </w:r>
      <w:r w:rsidRPr="00013C24">
        <w:rPr>
          <w:rFonts w:ascii="Times New Roman" w:hAnsi="Times New Roman"/>
          <w:i/>
          <w:sz w:val="24"/>
          <w:szCs w:val="24"/>
          <w:lang w:val="en-US"/>
        </w:rPr>
        <w:t>Neurology</w:t>
      </w:r>
      <w:r>
        <w:rPr>
          <w:rFonts w:ascii="Times New Roman" w:hAnsi="Times New Roman"/>
          <w:sz w:val="24"/>
          <w:szCs w:val="24"/>
          <w:lang w:val="en-US"/>
        </w:rPr>
        <w:t xml:space="preserve"> 1983; </w:t>
      </w:r>
      <w:r w:rsidRPr="00013C24">
        <w:rPr>
          <w:rFonts w:ascii="Times New Roman" w:hAnsi="Times New Roman"/>
          <w:b/>
          <w:sz w:val="24"/>
          <w:szCs w:val="24"/>
          <w:lang w:val="en-US"/>
        </w:rPr>
        <w:t>33</w:t>
      </w:r>
      <w:r>
        <w:rPr>
          <w:rFonts w:ascii="Times New Roman" w:hAnsi="Times New Roman"/>
          <w:sz w:val="24"/>
          <w:szCs w:val="24"/>
          <w:lang w:val="en-US"/>
        </w:rPr>
        <w:t>: 150-157</w:t>
      </w:r>
    </w:p>
    <w:p w:rsidR="00B356BE" w:rsidRDefault="00B356BE" w:rsidP="003B5145">
      <w:pPr>
        <w:pStyle w:val="Luettelokappale"/>
        <w:numPr>
          <w:ilvl w:val="0"/>
          <w:numId w:val="1"/>
        </w:numPr>
        <w:spacing w:line="480" w:lineRule="auto"/>
        <w:ind w:left="714" w:hanging="357"/>
        <w:rPr>
          <w:rFonts w:ascii="Times New Roman" w:hAnsi="Times New Roman"/>
          <w:sz w:val="24"/>
          <w:szCs w:val="24"/>
          <w:lang w:val="en-US"/>
        </w:rPr>
      </w:pPr>
      <w:r>
        <w:rPr>
          <w:rFonts w:ascii="Times New Roman" w:hAnsi="Times New Roman"/>
          <w:sz w:val="24"/>
          <w:szCs w:val="24"/>
          <w:lang w:val="nl-NL"/>
        </w:rPr>
        <w:t xml:space="preserve">Mäkinen TM, Juvonen R, Jokelainen J, et al. Cold temperature and low humidity are associated with increased occurrence of repiratory tract infections. </w:t>
      </w:r>
      <w:r w:rsidRPr="000F3958">
        <w:rPr>
          <w:rFonts w:ascii="Times New Roman" w:hAnsi="Times New Roman"/>
          <w:i/>
          <w:sz w:val="24"/>
          <w:szCs w:val="24"/>
          <w:lang w:val="nl-NL"/>
        </w:rPr>
        <w:t>Respir Med</w:t>
      </w:r>
      <w:r>
        <w:rPr>
          <w:rFonts w:ascii="Times New Roman" w:hAnsi="Times New Roman"/>
          <w:sz w:val="24"/>
          <w:szCs w:val="24"/>
          <w:lang w:val="nl-NL"/>
        </w:rPr>
        <w:t xml:space="preserve"> 2009; </w:t>
      </w:r>
      <w:r w:rsidRPr="000F3958">
        <w:rPr>
          <w:rFonts w:ascii="Times New Roman" w:hAnsi="Times New Roman"/>
          <w:b/>
          <w:sz w:val="24"/>
          <w:szCs w:val="24"/>
          <w:lang w:val="nl-NL"/>
        </w:rPr>
        <w:t>103</w:t>
      </w:r>
      <w:r>
        <w:rPr>
          <w:rFonts w:ascii="Times New Roman" w:hAnsi="Times New Roman"/>
          <w:sz w:val="24"/>
          <w:szCs w:val="24"/>
          <w:lang w:val="nl-NL"/>
        </w:rPr>
        <w:t>: 456-462</w:t>
      </w:r>
    </w:p>
    <w:p w:rsidR="00B356BE" w:rsidRDefault="00B356BE" w:rsidP="003B5145">
      <w:pPr>
        <w:pStyle w:val="Luettelokappale"/>
        <w:numPr>
          <w:ilvl w:val="0"/>
          <w:numId w:val="1"/>
        </w:numPr>
        <w:spacing w:line="480" w:lineRule="auto"/>
        <w:ind w:left="714" w:hanging="357"/>
        <w:rPr>
          <w:rFonts w:ascii="Times New Roman" w:hAnsi="Times New Roman"/>
          <w:sz w:val="24"/>
          <w:szCs w:val="24"/>
          <w:lang w:val="en-US"/>
        </w:rPr>
      </w:pPr>
      <w:r>
        <w:rPr>
          <w:rFonts w:ascii="Times New Roman" w:hAnsi="Times New Roman"/>
          <w:sz w:val="24"/>
          <w:szCs w:val="24"/>
          <w:lang w:val="it-IT"/>
        </w:rPr>
        <w:lastRenderedPageBreak/>
        <w:t xml:space="preserve">Kwong JC, Vasa PP, Campitelli MA, et al. Risk of Guillain-Barré syndrome after seasonal influenza vaccination and influenza health-care encounters: a self-controlled study. </w:t>
      </w:r>
      <w:r w:rsidRPr="0090554B">
        <w:rPr>
          <w:rFonts w:ascii="Times New Roman" w:hAnsi="Times New Roman"/>
          <w:i/>
          <w:sz w:val="24"/>
          <w:szCs w:val="24"/>
          <w:lang w:val="it-IT"/>
        </w:rPr>
        <w:t xml:space="preserve">Lancet Infect Dis </w:t>
      </w:r>
      <w:r>
        <w:rPr>
          <w:rFonts w:ascii="Times New Roman" w:hAnsi="Times New Roman"/>
          <w:sz w:val="24"/>
          <w:szCs w:val="24"/>
          <w:lang w:val="it-IT"/>
        </w:rPr>
        <w:t xml:space="preserve">2013; </w:t>
      </w:r>
      <w:r w:rsidRPr="0090554B">
        <w:rPr>
          <w:rFonts w:ascii="Times New Roman" w:hAnsi="Times New Roman"/>
          <w:b/>
          <w:sz w:val="24"/>
          <w:szCs w:val="24"/>
          <w:lang w:val="it-IT"/>
        </w:rPr>
        <w:t>13</w:t>
      </w:r>
      <w:r>
        <w:rPr>
          <w:rFonts w:ascii="Times New Roman" w:hAnsi="Times New Roman"/>
          <w:sz w:val="24"/>
          <w:szCs w:val="24"/>
          <w:lang w:val="it-IT"/>
        </w:rPr>
        <w:t>: 769-776</w:t>
      </w:r>
    </w:p>
    <w:p w:rsidR="00B356BE" w:rsidRPr="006475F3" w:rsidRDefault="00B356BE" w:rsidP="003B5145">
      <w:pPr>
        <w:pStyle w:val="Luettelokappale"/>
        <w:numPr>
          <w:ilvl w:val="0"/>
          <w:numId w:val="1"/>
        </w:numPr>
        <w:spacing w:line="480" w:lineRule="auto"/>
        <w:ind w:left="714" w:hanging="357"/>
        <w:rPr>
          <w:rFonts w:ascii="Times New Roman" w:hAnsi="Times New Roman"/>
          <w:sz w:val="24"/>
          <w:szCs w:val="24"/>
          <w:lang w:val="en-US"/>
        </w:rPr>
      </w:pPr>
      <w:r>
        <w:rPr>
          <w:rFonts w:ascii="Times New Roman" w:hAnsi="Times New Roman"/>
          <w:sz w:val="24"/>
          <w:szCs w:val="24"/>
          <w:lang w:val="en-US"/>
        </w:rPr>
        <w:t xml:space="preserve">Prestel J, Volkers P, Mentzer D, et al. Risk of Guillain-Barré syndrome following pandemic influenza A(H1N1) 2009 vaccination in Germany. </w:t>
      </w:r>
      <w:r w:rsidRPr="006475F3">
        <w:rPr>
          <w:rFonts w:ascii="Times New Roman" w:hAnsi="Times New Roman"/>
          <w:i/>
          <w:sz w:val="24"/>
          <w:szCs w:val="24"/>
          <w:lang w:val="en-US"/>
        </w:rPr>
        <w:t>Pharmacoepidemiol Drug Saf</w:t>
      </w:r>
      <w:r>
        <w:rPr>
          <w:rFonts w:ascii="Times New Roman" w:hAnsi="Times New Roman"/>
          <w:sz w:val="24"/>
          <w:szCs w:val="24"/>
          <w:lang w:val="en-US"/>
        </w:rPr>
        <w:t xml:space="preserve"> 2014; </w:t>
      </w:r>
      <w:r w:rsidRPr="006475F3">
        <w:rPr>
          <w:rFonts w:ascii="Times New Roman" w:hAnsi="Times New Roman"/>
          <w:sz w:val="24"/>
          <w:szCs w:val="24"/>
        </w:rPr>
        <w:t>doi: 10.1002/pds.3638. [Epub ahead of print]</w:t>
      </w:r>
    </w:p>
    <w:p w:rsidR="00B356BE" w:rsidRDefault="00B356BE" w:rsidP="003B5145">
      <w:pPr>
        <w:pStyle w:val="Luettelokappale"/>
        <w:numPr>
          <w:ilvl w:val="0"/>
          <w:numId w:val="1"/>
        </w:numPr>
        <w:spacing w:line="480" w:lineRule="auto"/>
        <w:ind w:left="714" w:hanging="357"/>
        <w:rPr>
          <w:rFonts w:ascii="Times New Roman" w:hAnsi="Times New Roman"/>
          <w:sz w:val="24"/>
          <w:szCs w:val="24"/>
          <w:lang w:val="en-US"/>
        </w:rPr>
      </w:pPr>
      <w:r w:rsidRPr="006475F3">
        <w:rPr>
          <w:rFonts w:ascii="Times New Roman" w:hAnsi="Times New Roman"/>
          <w:sz w:val="24"/>
          <w:szCs w:val="24"/>
          <w:lang w:val="en-US"/>
        </w:rPr>
        <w:t xml:space="preserve">Polakowski LL, Sandhu SK, Martin DB, et al. Chart-confirmed guillain-barre syndrome after 2009 H1N1 influenza vaccination among the Medicare population, 2009-2010. </w:t>
      </w:r>
      <w:r w:rsidRPr="006475F3">
        <w:rPr>
          <w:rFonts w:ascii="Times New Roman" w:hAnsi="Times New Roman"/>
          <w:i/>
          <w:sz w:val="24"/>
          <w:szCs w:val="24"/>
          <w:lang w:val="en-US"/>
        </w:rPr>
        <w:t>Am J Epidemiol</w:t>
      </w:r>
      <w:r>
        <w:rPr>
          <w:rFonts w:ascii="Times New Roman" w:hAnsi="Times New Roman"/>
          <w:sz w:val="24"/>
          <w:szCs w:val="24"/>
          <w:lang w:val="en-US"/>
        </w:rPr>
        <w:t xml:space="preserve"> 2013; </w:t>
      </w:r>
      <w:r w:rsidRPr="006475F3">
        <w:rPr>
          <w:rFonts w:ascii="Times New Roman" w:hAnsi="Times New Roman"/>
          <w:b/>
          <w:sz w:val="24"/>
          <w:szCs w:val="24"/>
          <w:lang w:val="en-US"/>
        </w:rPr>
        <w:t>178</w:t>
      </w:r>
      <w:r>
        <w:rPr>
          <w:rFonts w:ascii="Times New Roman" w:hAnsi="Times New Roman"/>
          <w:sz w:val="24"/>
          <w:szCs w:val="24"/>
          <w:lang w:val="en-US"/>
        </w:rPr>
        <w:t>: 962-973</w:t>
      </w:r>
    </w:p>
    <w:p w:rsidR="00B356BE" w:rsidRDefault="00B356BE" w:rsidP="003B5145">
      <w:pPr>
        <w:pStyle w:val="Luettelokappale"/>
        <w:numPr>
          <w:ilvl w:val="0"/>
          <w:numId w:val="1"/>
        </w:numPr>
        <w:spacing w:line="480" w:lineRule="auto"/>
        <w:ind w:left="714" w:hanging="357"/>
        <w:rPr>
          <w:rFonts w:ascii="Times New Roman" w:hAnsi="Times New Roman"/>
          <w:sz w:val="24"/>
          <w:szCs w:val="24"/>
          <w:lang w:val="en-US"/>
        </w:rPr>
      </w:pPr>
      <w:r>
        <w:rPr>
          <w:rFonts w:ascii="Times New Roman" w:hAnsi="Times New Roman"/>
          <w:sz w:val="24"/>
          <w:szCs w:val="24"/>
          <w:lang w:val="en-US"/>
        </w:rPr>
        <w:t xml:space="preserve">Verity C, Stellitano L, Winstone AM, Stowe J, Andrews N, Miller E. Pandemic A7H1N1 2009 influenza vaccination, preceding infections and clinical findings in UK children with Guillain-Barré syndrome. </w:t>
      </w:r>
      <w:r w:rsidRPr="006475F3">
        <w:rPr>
          <w:rFonts w:ascii="Times New Roman" w:hAnsi="Times New Roman"/>
          <w:i/>
          <w:sz w:val="24"/>
          <w:szCs w:val="24"/>
          <w:lang w:val="en-US"/>
        </w:rPr>
        <w:t>Arch Dis Child</w:t>
      </w:r>
      <w:r>
        <w:rPr>
          <w:rFonts w:ascii="Times New Roman" w:hAnsi="Times New Roman"/>
          <w:sz w:val="24"/>
          <w:szCs w:val="24"/>
          <w:lang w:val="en-US"/>
        </w:rPr>
        <w:t xml:space="preserve"> 2014; </w:t>
      </w:r>
      <w:r w:rsidRPr="006475F3">
        <w:rPr>
          <w:rFonts w:ascii="Times New Roman" w:hAnsi="Times New Roman"/>
          <w:b/>
          <w:sz w:val="24"/>
          <w:szCs w:val="24"/>
          <w:lang w:val="en-US"/>
        </w:rPr>
        <w:t>99</w:t>
      </w:r>
      <w:r>
        <w:rPr>
          <w:rFonts w:ascii="Times New Roman" w:hAnsi="Times New Roman"/>
          <w:sz w:val="24"/>
          <w:szCs w:val="24"/>
          <w:lang w:val="en-US"/>
        </w:rPr>
        <w:t>: 532-538</w:t>
      </w:r>
    </w:p>
    <w:p w:rsidR="00B356BE" w:rsidRDefault="00B356BE" w:rsidP="003B5145">
      <w:pPr>
        <w:pStyle w:val="Luettelokappale"/>
        <w:numPr>
          <w:ilvl w:val="0"/>
          <w:numId w:val="1"/>
        </w:numPr>
        <w:spacing w:line="480" w:lineRule="auto"/>
        <w:ind w:left="714" w:hanging="357"/>
        <w:rPr>
          <w:rFonts w:ascii="Times New Roman" w:hAnsi="Times New Roman"/>
          <w:sz w:val="24"/>
          <w:szCs w:val="24"/>
          <w:lang w:val="en-US"/>
        </w:rPr>
      </w:pPr>
      <w:r>
        <w:rPr>
          <w:rFonts w:ascii="Times New Roman" w:hAnsi="Times New Roman"/>
          <w:sz w:val="24"/>
          <w:szCs w:val="24"/>
          <w:lang w:val="en-US"/>
        </w:rPr>
        <w:t xml:space="preserve">Romio S, Wibel D, Dieleman JP, et al. Guillain-Barré syndrome and adjuvanted pandemic influenza A (H1N1) 2009 vaccines: a multinational self-controlled case series in Europe. </w:t>
      </w:r>
      <w:r w:rsidRPr="006475F3">
        <w:rPr>
          <w:rFonts w:ascii="Times New Roman" w:hAnsi="Times New Roman"/>
          <w:i/>
          <w:sz w:val="24"/>
          <w:szCs w:val="24"/>
          <w:lang w:val="en-US"/>
        </w:rPr>
        <w:t>PLoS One</w:t>
      </w:r>
      <w:r>
        <w:rPr>
          <w:rFonts w:ascii="Times New Roman" w:hAnsi="Times New Roman"/>
          <w:sz w:val="24"/>
          <w:szCs w:val="24"/>
          <w:lang w:val="en-US"/>
        </w:rPr>
        <w:t xml:space="preserve"> 2014; </w:t>
      </w:r>
      <w:r w:rsidRPr="006475F3">
        <w:rPr>
          <w:rFonts w:ascii="Times New Roman" w:hAnsi="Times New Roman"/>
          <w:b/>
          <w:sz w:val="24"/>
          <w:szCs w:val="24"/>
          <w:lang w:val="en-US"/>
        </w:rPr>
        <w:t>9</w:t>
      </w:r>
      <w:r>
        <w:rPr>
          <w:rFonts w:ascii="Times New Roman" w:hAnsi="Times New Roman"/>
          <w:sz w:val="24"/>
          <w:szCs w:val="24"/>
          <w:lang w:val="en-US"/>
        </w:rPr>
        <w:t>: e82222</w:t>
      </w:r>
    </w:p>
    <w:p w:rsidR="00B356BE" w:rsidRPr="00F77793" w:rsidRDefault="00B356BE" w:rsidP="003B5145">
      <w:pPr>
        <w:pStyle w:val="Luettelokappale"/>
        <w:numPr>
          <w:ilvl w:val="0"/>
          <w:numId w:val="1"/>
        </w:numPr>
        <w:spacing w:line="480" w:lineRule="auto"/>
        <w:ind w:left="714" w:hanging="357"/>
        <w:rPr>
          <w:rFonts w:ascii="Times New Roman" w:hAnsi="Times New Roman"/>
          <w:sz w:val="24"/>
          <w:szCs w:val="24"/>
          <w:lang w:val="en-US"/>
        </w:rPr>
      </w:pPr>
      <w:r>
        <w:rPr>
          <w:rFonts w:ascii="Times New Roman" w:hAnsi="Times New Roman"/>
          <w:sz w:val="24"/>
          <w:szCs w:val="24"/>
          <w:lang w:val="en-US"/>
        </w:rPr>
        <w:t xml:space="preserve">Vellozzi C, Igbal S, Stewart B, Tokars J, DeStefano F. Cumulative risk of Guillain-Barré syndrome among vaccinated and unvaccinated populations during the 2009 H1N1 influenza pandemic. </w:t>
      </w:r>
      <w:r w:rsidRPr="006475F3">
        <w:rPr>
          <w:rFonts w:ascii="Times New Roman" w:hAnsi="Times New Roman"/>
          <w:i/>
          <w:sz w:val="24"/>
          <w:szCs w:val="24"/>
          <w:lang w:val="en-US"/>
        </w:rPr>
        <w:t>Am J Public Health</w:t>
      </w:r>
      <w:r>
        <w:rPr>
          <w:rFonts w:ascii="Times New Roman" w:hAnsi="Times New Roman"/>
          <w:sz w:val="24"/>
          <w:szCs w:val="24"/>
          <w:lang w:val="en-US"/>
        </w:rPr>
        <w:t xml:space="preserve"> 2014; </w:t>
      </w:r>
      <w:r w:rsidRPr="006475F3">
        <w:rPr>
          <w:rFonts w:ascii="Times New Roman" w:hAnsi="Times New Roman"/>
          <w:b/>
          <w:sz w:val="24"/>
          <w:szCs w:val="24"/>
          <w:lang w:val="en-US"/>
        </w:rPr>
        <w:t>104</w:t>
      </w:r>
      <w:r>
        <w:rPr>
          <w:rFonts w:ascii="Times New Roman" w:hAnsi="Times New Roman"/>
          <w:sz w:val="24"/>
          <w:szCs w:val="24"/>
          <w:lang w:val="en-US"/>
        </w:rPr>
        <w:t>: 696-701.</w:t>
      </w:r>
    </w:p>
    <w:p w:rsidR="00B356BE" w:rsidRDefault="00B356BE" w:rsidP="00EB25E2">
      <w:pPr>
        <w:pStyle w:val="Luettelokappale"/>
        <w:spacing w:line="480" w:lineRule="auto"/>
        <w:ind w:left="357"/>
        <w:rPr>
          <w:rFonts w:ascii="Times New Roman" w:hAnsi="Times New Roman"/>
          <w:sz w:val="24"/>
          <w:szCs w:val="24"/>
          <w:lang w:val="en-US"/>
        </w:rPr>
      </w:pPr>
      <w:r w:rsidRPr="00361541">
        <w:rPr>
          <w:rFonts w:ascii="Times New Roman" w:hAnsi="Times New Roman"/>
          <w:sz w:val="24"/>
          <w:szCs w:val="24"/>
          <w:lang w:val="en-US"/>
        </w:rPr>
        <w:br w:type="page"/>
      </w:r>
      <w:r w:rsidRPr="00EB25E2">
        <w:rPr>
          <w:rFonts w:ascii="Times New Roman" w:hAnsi="Times New Roman"/>
          <w:b/>
          <w:sz w:val="24"/>
          <w:szCs w:val="24"/>
          <w:lang w:val="en-US"/>
        </w:rPr>
        <w:lastRenderedPageBreak/>
        <w:t>Figure</w:t>
      </w:r>
      <w:r>
        <w:rPr>
          <w:rFonts w:ascii="Times New Roman" w:hAnsi="Times New Roman"/>
          <w:sz w:val="24"/>
          <w:szCs w:val="24"/>
          <w:lang w:val="en-US"/>
        </w:rPr>
        <w:t>. The number of</w:t>
      </w:r>
      <w:bookmarkStart w:id="0" w:name="_GoBack"/>
      <w:bookmarkEnd w:id="0"/>
      <w:r>
        <w:rPr>
          <w:rFonts w:ascii="Times New Roman" w:hAnsi="Times New Roman"/>
          <w:sz w:val="24"/>
          <w:szCs w:val="24"/>
          <w:lang w:val="en-US"/>
        </w:rPr>
        <w:t xml:space="preserve"> GBS cases by year in the Hospital District of Southwest Finland. The diagnosis was accepted according to the slightly modified Swiss Neurological Society criteria for GBS (table 1).</w:t>
      </w:r>
    </w:p>
    <w:p w:rsidR="00B356BE" w:rsidRDefault="00EB25E2" w:rsidP="00E60778">
      <w:pPr>
        <w:rPr>
          <w:noProof/>
          <w:lang w:eastAsia="fi-FI"/>
        </w:rPr>
      </w:pPr>
      <w:r>
        <w:rPr>
          <w:noProof/>
          <w:lang w:eastAsia="fi-FI"/>
        </w:rPr>
        <w:drawing>
          <wp:inline distT="0" distB="0" distL="0" distR="0">
            <wp:extent cx="5732145" cy="3070225"/>
            <wp:effectExtent l="0" t="0" r="20955" b="15875"/>
            <wp:docPr id="1" name="Kaavi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EB25E2" w:rsidRDefault="00EB25E2" w:rsidP="00E60778">
      <w:pPr>
        <w:rPr>
          <w:rFonts w:ascii="Times New Roman" w:hAnsi="Times New Roman"/>
          <w:sz w:val="24"/>
          <w:szCs w:val="24"/>
          <w:lang w:val="en-US"/>
        </w:rPr>
      </w:pPr>
    </w:p>
    <w:p w:rsidR="00EB25E2" w:rsidRDefault="00EB25E2" w:rsidP="00EB25E2">
      <w:pPr>
        <w:pBdr>
          <w:bottom w:val="single" w:sz="12" w:space="1" w:color="auto"/>
        </w:pBdr>
        <w:rPr>
          <w:rFonts w:ascii="Times New Roman" w:hAnsi="Times New Roman"/>
          <w:sz w:val="24"/>
          <w:szCs w:val="24"/>
          <w:lang w:val="en-US"/>
        </w:rPr>
      </w:pPr>
      <w:r w:rsidRPr="0018257A">
        <w:rPr>
          <w:rFonts w:ascii="Times New Roman" w:hAnsi="Times New Roman"/>
          <w:b/>
          <w:sz w:val="24"/>
          <w:szCs w:val="24"/>
          <w:lang w:val="en-US"/>
        </w:rPr>
        <w:t>Table 1.</w:t>
      </w:r>
      <w:r w:rsidRPr="0018257A">
        <w:rPr>
          <w:rFonts w:ascii="Times New Roman" w:hAnsi="Times New Roman"/>
          <w:sz w:val="24"/>
          <w:szCs w:val="24"/>
          <w:lang w:val="en-US"/>
        </w:rPr>
        <w:t xml:space="preserve"> The slightly modified Swiss</w:t>
      </w:r>
      <w:r w:rsidRPr="0018257A">
        <w:rPr>
          <w:lang w:val="en-US"/>
        </w:rPr>
        <w:t xml:space="preserve"> </w:t>
      </w:r>
      <w:r>
        <w:rPr>
          <w:rFonts w:ascii="Times New Roman" w:hAnsi="Times New Roman"/>
          <w:sz w:val="24"/>
          <w:szCs w:val="24"/>
          <w:lang w:val="en-US"/>
        </w:rPr>
        <w:t>Neurological Society criteria for GBS also used in t</w:t>
      </w:r>
      <w:r>
        <w:rPr>
          <w:rFonts w:ascii="Times New Roman" w:hAnsi="Times New Roman"/>
          <w:sz w:val="24"/>
          <w:szCs w:val="24"/>
          <w:lang w:val="en-US"/>
        </w:rPr>
        <w:t>he study of Gensicke et al. [10]</w:t>
      </w:r>
    </w:p>
    <w:p w:rsidR="00EB25E2" w:rsidRPr="0018257A" w:rsidRDefault="00EB25E2" w:rsidP="00EB25E2">
      <w:pPr>
        <w:pStyle w:val="Luettelokappale"/>
        <w:numPr>
          <w:ilvl w:val="0"/>
          <w:numId w:val="5"/>
        </w:numPr>
        <w:autoSpaceDE w:val="0"/>
        <w:autoSpaceDN w:val="0"/>
        <w:adjustRightInd w:val="0"/>
        <w:spacing w:after="0" w:line="240" w:lineRule="auto"/>
        <w:rPr>
          <w:rFonts w:ascii="Times New Roman" w:hAnsi="Times New Roman"/>
          <w:sz w:val="24"/>
          <w:szCs w:val="24"/>
          <w:lang w:val="en-US"/>
        </w:rPr>
      </w:pPr>
      <w:r w:rsidRPr="0018257A">
        <w:rPr>
          <w:rFonts w:ascii="Times New Roman" w:hAnsi="Times New Roman"/>
          <w:sz w:val="24"/>
          <w:szCs w:val="24"/>
          <w:lang w:val="en-US"/>
        </w:rPr>
        <w:t>Progressive motor weakness of more than one limb with potential involvement of the trunk-muscles, bulbar and facial muscles and external ophthalmoplegia</w:t>
      </w:r>
    </w:p>
    <w:p w:rsidR="00EB25E2" w:rsidRPr="0018257A" w:rsidRDefault="00EB25E2" w:rsidP="00EB25E2">
      <w:pPr>
        <w:autoSpaceDE w:val="0"/>
        <w:autoSpaceDN w:val="0"/>
        <w:adjustRightInd w:val="0"/>
        <w:spacing w:after="0" w:line="240" w:lineRule="auto"/>
        <w:rPr>
          <w:rFonts w:ascii="Times New Roman" w:hAnsi="Times New Roman"/>
          <w:sz w:val="24"/>
          <w:szCs w:val="24"/>
          <w:lang w:val="en-US"/>
        </w:rPr>
      </w:pPr>
    </w:p>
    <w:p w:rsidR="00EB25E2" w:rsidRPr="0018257A" w:rsidRDefault="00EB25E2" w:rsidP="00EB25E2">
      <w:pPr>
        <w:pStyle w:val="Luettelokappale"/>
        <w:numPr>
          <w:ilvl w:val="0"/>
          <w:numId w:val="5"/>
        </w:numPr>
        <w:autoSpaceDE w:val="0"/>
        <w:autoSpaceDN w:val="0"/>
        <w:adjustRightInd w:val="0"/>
        <w:spacing w:after="0" w:line="240" w:lineRule="auto"/>
        <w:rPr>
          <w:rFonts w:ascii="Times New Roman" w:hAnsi="Times New Roman"/>
          <w:sz w:val="24"/>
          <w:szCs w:val="24"/>
          <w:lang w:val="en-US"/>
        </w:rPr>
      </w:pPr>
      <w:r w:rsidRPr="0018257A">
        <w:rPr>
          <w:rFonts w:ascii="Times New Roman" w:hAnsi="Times New Roman"/>
          <w:sz w:val="24"/>
          <w:szCs w:val="24"/>
          <w:lang w:val="en-US"/>
        </w:rPr>
        <w:t>Distal areflexia</w:t>
      </w:r>
    </w:p>
    <w:p w:rsidR="00EB25E2" w:rsidRPr="0018257A" w:rsidRDefault="00EB25E2" w:rsidP="00EB25E2">
      <w:pPr>
        <w:autoSpaceDE w:val="0"/>
        <w:autoSpaceDN w:val="0"/>
        <w:adjustRightInd w:val="0"/>
        <w:spacing w:after="0" w:line="240" w:lineRule="auto"/>
        <w:rPr>
          <w:rFonts w:ascii="Times New Roman" w:hAnsi="Times New Roman"/>
          <w:sz w:val="24"/>
          <w:szCs w:val="24"/>
          <w:lang w:val="en-US"/>
        </w:rPr>
      </w:pPr>
    </w:p>
    <w:p w:rsidR="00EB25E2" w:rsidRPr="0018257A" w:rsidRDefault="00EB25E2" w:rsidP="00EB25E2">
      <w:pPr>
        <w:pStyle w:val="Luettelokappale"/>
        <w:numPr>
          <w:ilvl w:val="0"/>
          <w:numId w:val="5"/>
        </w:numPr>
        <w:autoSpaceDE w:val="0"/>
        <w:autoSpaceDN w:val="0"/>
        <w:adjustRightInd w:val="0"/>
        <w:spacing w:after="0" w:line="240" w:lineRule="auto"/>
        <w:rPr>
          <w:rFonts w:ascii="Times New Roman" w:hAnsi="Times New Roman"/>
          <w:sz w:val="24"/>
          <w:szCs w:val="24"/>
          <w:lang w:val="en-US"/>
        </w:rPr>
      </w:pPr>
      <w:r w:rsidRPr="0018257A">
        <w:rPr>
          <w:rFonts w:ascii="Times New Roman" w:hAnsi="Times New Roman"/>
          <w:sz w:val="24"/>
          <w:szCs w:val="24"/>
          <w:lang w:val="en-US"/>
        </w:rPr>
        <w:t>Reaching the nadir of symptoms within 4 weeks</w:t>
      </w:r>
    </w:p>
    <w:p w:rsidR="00EB25E2" w:rsidRPr="0018257A" w:rsidRDefault="00EB25E2" w:rsidP="00EB25E2">
      <w:pPr>
        <w:autoSpaceDE w:val="0"/>
        <w:autoSpaceDN w:val="0"/>
        <w:adjustRightInd w:val="0"/>
        <w:spacing w:after="0" w:line="240" w:lineRule="auto"/>
        <w:rPr>
          <w:rFonts w:ascii="Times New Roman" w:hAnsi="Times New Roman"/>
          <w:sz w:val="24"/>
          <w:szCs w:val="24"/>
          <w:lang w:val="en-US"/>
        </w:rPr>
      </w:pPr>
    </w:p>
    <w:p w:rsidR="00EB25E2" w:rsidRPr="0018257A" w:rsidRDefault="00EB25E2" w:rsidP="00EB25E2">
      <w:pPr>
        <w:pStyle w:val="Luettelokappale"/>
        <w:numPr>
          <w:ilvl w:val="0"/>
          <w:numId w:val="5"/>
        </w:numPr>
        <w:autoSpaceDE w:val="0"/>
        <w:autoSpaceDN w:val="0"/>
        <w:adjustRightInd w:val="0"/>
        <w:spacing w:after="0" w:line="240" w:lineRule="auto"/>
        <w:rPr>
          <w:rFonts w:ascii="Times New Roman" w:hAnsi="Times New Roman"/>
          <w:sz w:val="24"/>
          <w:szCs w:val="24"/>
          <w:lang w:val="en-US"/>
        </w:rPr>
      </w:pPr>
      <w:r w:rsidRPr="0018257A">
        <w:rPr>
          <w:rFonts w:ascii="Times New Roman" w:hAnsi="Times New Roman"/>
          <w:sz w:val="24"/>
          <w:szCs w:val="24"/>
          <w:lang w:val="en-US"/>
        </w:rPr>
        <w:t>At least one of the following laboratory and</w:t>
      </w:r>
      <w:r>
        <w:rPr>
          <w:rFonts w:ascii="Times New Roman" w:hAnsi="Times New Roman"/>
          <w:sz w:val="24"/>
          <w:szCs w:val="24"/>
          <w:lang w:val="en-US"/>
        </w:rPr>
        <w:t xml:space="preserve"> </w:t>
      </w:r>
      <w:r w:rsidRPr="0018257A">
        <w:rPr>
          <w:rFonts w:ascii="Times New Roman" w:hAnsi="Times New Roman"/>
          <w:sz w:val="24"/>
          <w:szCs w:val="24"/>
          <w:lang w:val="en-US"/>
        </w:rPr>
        <w:t>electrodiagnostic criteria</w:t>
      </w:r>
    </w:p>
    <w:p w:rsidR="00EB25E2" w:rsidRPr="0018257A" w:rsidRDefault="00EB25E2" w:rsidP="00EB25E2">
      <w:pPr>
        <w:pStyle w:val="Luettelokappale"/>
        <w:numPr>
          <w:ilvl w:val="2"/>
          <w:numId w:val="5"/>
        </w:numPr>
        <w:autoSpaceDE w:val="0"/>
        <w:autoSpaceDN w:val="0"/>
        <w:adjustRightInd w:val="0"/>
        <w:spacing w:after="0" w:line="240" w:lineRule="auto"/>
        <w:rPr>
          <w:rFonts w:ascii="Times New Roman" w:hAnsi="Times New Roman"/>
          <w:sz w:val="24"/>
          <w:szCs w:val="24"/>
          <w:lang w:val="en-US"/>
        </w:rPr>
      </w:pPr>
      <w:r w:rsidRPr="0018257A">
        <w:rPr>
          <w:rFonts w:ascii="Times New Roman" w:hAnsi="Times New Roman"/>
          <w:sz w:val="24"/>
          <w:szCs w:val="24"/>
          <w:lang w:val="en-US"/>
        </w:rPr>
        <w:t>Albumino-cytological dissociation in cerebrospinal fluid (CSF) (elevated protein, 50 or fewer mononuclear leucocytes/mm3)</w:t>
      </w:r>
    </w:p>
    <w:p w:rsidR="00EB25E2" w:rsidRPr="0018257A" w:rsidRDefault="00EB25E2" w:rsidP="00EB25E2">
      <w:pPr>
        <w:pStyle w:val="Luettelokappale"/>
        <w:numPr>
          <w:ilvl w:val="2"/>
          <w:numId w:val="5"/>
        </w:numPr>
        <w:autoSpaceDE w:val="0"/>
        <w:autoSpaceDN w:val="0"/>
        <w:adjustRightInd w:val="0"/>
        <w:spacing w:after="0" w:line="240" w:lineRule="auto"/>
        <w:rPr>
          <w:rFonts w:ascii="Times New Roman" w:hAnsi="Times New Roman"/>
          <w:sz w:val="24"/>
          <w:szCs w:val="24"/>
          <w:lang w:val="en-US"/>
        </w:rPr>
      </w:pPr>
      <w:r w:rsidRPr="0018257A">
        <w:rPr>
          <w:rFonts w:ascii="Times New Roman" w:hAnsi="Times New Roman"/>
          <w:sz w:val="24"/>
          <w:szCs w:val="24"/>
          <w:lang w:val="en-US"/>
        </w:rPr>
        <w:t>Electrophysiological abnormalities that represent a demyelinating affection of the peripheral nerves (prolonged distal latencies, slowed nerve conduction velocities, temporal dispersion of motor action potentials, slowed or absent F-wave responses)</w:t>
      </w:r>
    </w:p>
    <w:p w:rsidR="00EB25E2" w:rsidRDefault="00EB25E2" w:rsidP="00EB25E2">
      <w:pPr>
        <w:pStyle w:val="Luettelokappale"/>
        <w:numPr>
          <w:ilvl w:val="2"/>
          <w:numId w:val="5"/>
        </w:numPr>
        <w:autoSpaceDE w:val="0"/>
        <w:autoSpaceDN w:val="0"/>
        <w:adjustRightInd w:val="0"/>
        <w:spacing w:after="0" w:line="240" w:lineRule="auto"/>
        <w:rPr>
          <w:rFonts w:ascii="Times New Roman" w:hAnsi="Times New Roman"/>
          <w:sz w:val="24"/>
          <w:szCs w:val="24"/>
          <w:lang w:val="en-US"/>
        </w:rPr>
      </w:pPr>
      <w:r w:rsidRPr="0018257A">
        <w:rPr>
          <w:rFonts w:ascii="Times New Roman" w:hAnsi="Times New Roman"/>
          <w:sz w:val="24"/>
          <w:szCs w:val="24"/>
          <w:lang w:val="en-US"/>
        </w:rPr>
        <w:t>Elevated antiganglioside antibodies in serum or CSF (Asialo-GM1, GM1/2, GD1A/B, GQ1B)</w:t>
      </w:r>
    </w:p>
    <w:p w:rsidR="00EB25E2" w:rsidRPr="0018257A" w:rsidRDefault="00EB25E2" w:rsidP="00EB25E2">
      <w:pPr>
        <w:pBdr>
          <w:bottom w:val="single" w:sz="12" w:space="1" w:color="auto"/>
        </w:pBdr>
        <w:autoSpaceDE w:val="0"/>
        <w:autoSpaceDN w:val="0"/>
        <w:adjustRightInd w:val="0"/>
        <w:spacing w:after="0" w:line="240" w:lineRule="auto"/>
        <w:rPr>
          <w:rFonts w:ascii="Times New Roman" w:hAnsi="Times New Roman"/>
          <w:sz w:val="24"/>
          <w:szCs w:val="24"/>
          <w:lang w:val="en-US"/>
        </w:rPr>
      </w:pPr>
    </w:p>
    <w:p w:rsidR="00EB25E2" w:rsidRDefault="00EB25E2" w:rsidP="00EB25E2">
      <w:pPr>
        <w:autoSpaceDE w:val="0"/>
        <w:autoSpaceDN w:val="0"/>
        <w:adjustRightInd w:val="0"/>
        <w:spacing w:after="0" w:line="240" w:lineRule="auto"/>
        <w:rPr>
          <w:rFonts w:ascii="Times New Roman" w:hAnsi="Times New Roman"/>
          <w:sz w:val="24"/>
          <w:szCs w:val="24"/>
          <w:lang w:val="en-US"/>
        </w:rPr>
      </w:pPr>
    </w:p>
    <w:p w:rsidR="00B356BE" w:rsidRPr="00EB25E2" w:rsidRDefault="00B356BE" w:rsidP="00E60778">
      <w:pPr>
        <w:rPr>
          <w:rFonts w:ascii="Times New Roman" w:hAnsi="Times New Roman"/>
          <w:b/>
          <w:sz w:val="24"/>
          <w:szCs w:val="24"/>
          <w:lang w:val="en-US"/>
        </w:rPr>
      </w:pPr>
    </w:p>
    <w:p w:rsidR="00B356BE" w:rsidRDefault="00B356BE" w:rsidP="00390D95">
      <w:pPr>
        <w:rPr>
          <w:rFonts w:ascii="Times New Roman" w:hAnsi="Times New Roman"/>
          <w:sz w:val="24"/>
          <w:szCs w:val="24"/>
          <w:lang w:val="en-US"/>
        </w:rPr>
      </w:pPr>
      <w:r w:rsidRPr="00EB25E2">
        <w:rPr>
          <w:rFonts w:ascii="Times New Roman" w:hAnsi="Times New Roman"/>
          <w:b/>
          <w:sz w:val="24"/>
          <w:szCs w:val="24"/>
          <w:lang w:val="en-US"/>
        </w:rPr>
        <w:lastRenderedPageBreak/>
        <w:t>Table 2.</w:t>
      </w:r>
      <w:r w:rsidRPr="00E60778">
        <w:rPr>
          <w:rFonts w:ascii="Times New Roman" w:hAnsi="Times New Roman"/>
          <w:b/>
          <w:sz w:val="24"/>
          <w:szCs w:val="24"/>
          <w:lang w:val="en-US"/>
        </w:rPr>
        <w:t xml:space="preserve"> </w:t>
      </w:r>
      <w:r w:rsidRPr="00E60778">
        <w:rPr>
          <w:rFonts w:ascii="Times New Roman" w:hAnsi="Times New Roman"/>
          <w:sz w:val="24"/>
          <w:szCs w:val="24"/>
          <w:lang w:val="en-US"/>
        </w:rPr>
        <w:t xml:space="preserve">Demographics, clinical and diagnostical charasteristics of patients with </w:t>
      </w:r>
      <w:r>
        <w:rPr>
          <w:rFonts w:ascii="Times New Roman" w:hAnsi="Times New Roman"/>
          <w:sz w:val="24"/>
          <w:szCs w:val="24"/>
          <w:lang w:val="en-US"/>
        </w:rPr>
        <w:t>GBS</w:t>
      </w:r>
      <w:r w:rsidRPr="00E60778">
        <w:rPr>
          <w:rFonts w:ascii="Times New Roman" w:hAnsi="Times New Roman"/>
          <w:sz w:val="24"/>
          <w:szCs w:val="24"/>
          <w:lang w:val="en-US"/>
        </w:rPr>
        <w:t xml:space="preserve"> categorized by potential trigger factors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82"/>
        <w:gridCol w:w="1105"/>
        <w:gridCol w:w="988"/>
        <w:gridCol w:w="988"/>
        <w:gridCol w:w="1001"/>
        <w:gridCol w:w="1034"/>
        <w:gridCol w:w="1322"/>
        <w:gridCol w:w="963"/>
        <w:gridCol w:w="1071"/>
      </w:tblGrid>
      <w:tr w:rsidR="00EB25E2" w:rsidTr="00EB25E2">
        <w:tc>
          <w:tcPr>
            <w:tcW w:w="1668" w:type="dxa"/>
            <w:tcBorders>
              <w:top w:val="single" w:sz="4" w:space="0" w:color="auto"/>
              <w:left w:val="single" w:sz="4" w:space="0" w:color="auto"/>
              <w:bottom w:val="single" w:sz="4" w:space="0" w:color="auto"/>
              <w:right w:val="single" w:sz="4" w:space="0" w:color="auto"/>
            </w:tcBorders>
          </w:tcPr>
          <w:p w:rsidR="00EB25E2" w:rsidRDefault="00EB25E2">
            <w:pPr>
              <w:spacing w:after="0" w:line="240" w:lineRule="auto"/>
            </w:pPr>
          </w:p>
        </w:tc>
        <w:tc>
          <w:tcPr>
            <w:tcW w:w="1474"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Infection (all)</w:t>
            </w:r>
          </w:p>
        </w:tc>
        <w:tc>
          <w:tcPr>
            <w:tcW w:w="1571"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RTI</w:t>
            </w:r>
          </w:p>
        </w:tc>
        <w:tc>
          <w:tcPr>
            <w:tcW w:w="1571"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GII</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RTI+GII</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Surgery</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Vaccination</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Other or no trigger</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All patients</w:t>
            </w:r>
          </w:p>
        </w:tc>
      </w:tr>
      <w:tr w:rsidR="00EB25E2" w:rsidTr="00EB25E2">
        <w:tc>
          <w:tcPr>
            <w:tcW w:w="1668"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pPr>
            <w:r>
              <w:t>No.</w:t>
            </w:r>
          </w:p>
        </w:tc>
        <w:tc>
          <w:tcPr>
            <w:tcW w:w="1474"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49</w:t>
            </w:r>
          </w:p>
        </w:tc>
        <w:tc>
          <w:tcPr>
            <w:tcW w:w="1571"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29</w:t>
            </w:r>
          </w:p>
        </w:tc>
        <w:tc>
          <w:tcPr>
            <w:tcW w:w="1571"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16</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2</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4</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2</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14</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69</w:t>
            </w:r>
          </w:p>
        </w:tc>
      </w:tr>
      <w:tr w:rsidR="00EB25E2" w:rsidTr="00EB25E2">
        <w:tc>
          <w:tcPr>
            <w:tcW w:w="1668"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pPr>
            <w:r>
              <w:t>%</w:t>
            </w:r>
          </w:p>
        </w:tc>
        <w:tc>
          <w:tcPr>
            <w:tcW w:w="1474"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71.0</w:t>
            </w:r>
          </w:p>
        </w:tc>
        <w:tc>
          <w:tcPr>
            <w:tcW w:w="1571"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42.0</w:t>
            </w:r>
          </w:p>
        </w:tc>
        <w:tc>
          <w:tcPr>
            <w:tcW w:w="1571"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23.2</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2.9</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5.8</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2.9</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20.3</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100</w:t>
            </w:r>
          </w:p>
        </w:tc>
      </w:tr>
      <w:tr w:rsidR="00EB25E2" w:rsidTr="00EB25E2">
        <w:tc>
          <w:tcPr>
            <w:tcW w:w="1668"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pPr>
            <w:r>
              <w:t>M/F</w:t>
            </w:r>
          </w:p>
        </w:tc>
        <w:tc>
          <w:tcPr>
            <w:tcW w:w="1474"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32/17</w:t>
            </w:r>
          </w:p>
        </w:tc>
        <w:tc>
          <w:tcPr>
            <w:tcW w:w="1571"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17/12</w:t>
            </w:r>
          </w:p>
        </w:tc>
        <w:tc>
          <w:tcPr>
            <w:tcW w:w="1571"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12/4</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2/0</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1/3</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0/2</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11/3</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44/25</w:t>
            </w:r>
          </w:p>
        </w:tc>
      </w:tr>
      <w:tr w:rsidR="00EB25E2" w:rsidTr="00EB25E2">
        <w:tc>
          <w:tcPr>
            <w:tcW w:w="1668"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pPr>
            <w:r>
              <w:t>Mean age (year)</w:t>
            </w:r>
          </w:p>
        </w:tc>
        <w:tc>
          <w:tcPr>
            <w:tcW w:w="1474"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50.8</w:t>
            </w:r>
          </w:p>
        </w:tc>
        <w:tc>
          <w:tcPr>
            <w:tcW w:w="1571"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44.6</w:t>
            </w:r>
          </w:p>
        </w:tc>
        <w:tc>
          <w:tcPr>
            <w:tcW w:w="1571"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60.9</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59.0</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59.3</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69.5</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63.8</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54.5</w:t>
            </w:r>
          </w:p>
        </w:tc>
      </w:tr>
      <w:tr w:rsidR="00EB25E2" w:rsidTr="00EB25E2">
        <w:tc>
          <w:tcPr>
            <w:tcW w:w="1668"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pPr>
            <w:r>
              <w:t>Mean days to onset</w:t>
            </w:r>
          </w:p>
        </w:tc>
        <w:tc>
          <w:tcPr>
            <w:tcW w:w="1474"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12.4</w:t>
            </w:r>
          </w:p>
        </w:tc>
        <w:tc>
          <w:tcPr>
            <w:tcW w:w="1571"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12.5</w:t>
            </w:r>
          </w:p>
        </w:tc>
        <w:tc>
          <w:tcPr>
            <w:tcW w:w="1571"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12.6</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n.a.</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18</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14</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n.a.</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12.7</w:t>
            </w:r>
          </w:p>
        </w:tc>
      </w:tr>
      <w:tr w:rsidR="00EB25E2" w:rsidTr="00EB25E2">
        <w:tc>
          <w:tcPr>
            <w:tcW w:w="1668"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rPr>
                <w:vertAlign w:val="superscript"/>
              </w:rPr>
            </w:pPr>
            <w:r>
              <w:t>Pathological NCS</w:t>
            </w:r>
            <w:r>
              <w:rPr>
                <w:vertAlign w:val="superscript"/>
              </w:rPr>
              <w:t>a</w:t>
            </w:r>
          </w:p>
        </w:tc>
        <w:tc>
          <w:tcPr>
            <w:tcW w:w="12476" w:type="dxa"/>
            <w:gridSpan w:val="8"/>
            <w:tcBorders>
              <w:top w:val="single" w:sz="4" w:space="0" w:color="auto"/>
              <w:left w:val="single" w:sz="4" w:space="0" w:color="auto"/>
              <w:bottom w:val="single" w:sz="4" w:space="0" w:color="auto"/>
              <w:right w:val="single" w:sz="4" w:space="0" w:color="auto"/>
            </w:tcBorders>
          </w:tcPr>
          <w:p w:rsidR="00EB25E2" w:rsidRDefault="00EB25E2">
            <w:pPr>
              <w:spacing w:after="0" w:line="240" w:lineRule="auto"/>
              <w:jc w:val="center"/>
            </w:pPr>
          </w:p>
        </w:tc>
      </w:tr>
      <w:tr w:rsidR="00EB25E2" w:rsidTr="00EB25E2">
        <w:tc>
          <w:tcPr>
            <w:tcW w:w="1668"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pPr>
            <w:r>
              <w:t>Present no.</w:t>
            </w:r>
          </w:p>
        </w:tc>
        <w:tc>
          <w:tcPr>
            <w:tcW w:w="1474"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44 (94%)</w:t>
            </w:r>
          </w:p>
        </w:tc>
        <w:tc>
          <w:tcPr>
            <w:tcW w:w="1571"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26 (90%)</w:t>
            </w:r>
          </w:p>
        </w:tc>
        <w:tc>
          <w:tcPr>
            <w:tcW w:w="1571"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14 (100%)</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2 (100%)</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4 (100%)</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1 (100%)</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11 (79%)</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60 (91%)</w:t>
            </w:r>
          </w:p>
        </w:tc>
      </w:tr>
      <w:tr w:rsidR="00EB25E2" w:rsidTr="00EB25E2">
        <w:tc>
          <w:tcPr>
            <w:tcW w:w="1668"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pPr>
            <w:r>
              <w:t>Not done</w:t>
            </w:r>
          </w:p>
        </w:tc>
        <w:tc>
          <w:tcPr>
            <w:tcW w:w="1474"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0</w:t>
            </w:r>
          </w:p>
        </w:tc>
        <w:tc>
          <w:tcPr>
            <w:tcW w:w="1571"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0</w:t>
            </w:r>
          </w:p>
        </w:tc>
        <w:tc>
          <w:tcPr>
            <w:tcW w:w="1571"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0</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0</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0</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1</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0</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1</w:t>
            </w:r>
          </w:p>
        </w:tc>
      </w:tr>
      <w:tr w:rsidR="00EB25E2" w:rsidTr="00EB25E2">
        <w:tc>
          <w:tcPr>
            <w:tcW w:w="1668"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pPr>
            <w:r>
              <w:t>Data absent no.</w:t>
            </w:r>
          </w:p>
        </w:tc>
        <w:tc>
          <w:tcPr>
            <w:tcW w:w="1474"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2</w:t>
            </w:r>
          </w:p>
        </w:tc>
        <w:tc>
          <w:tcPr>
            <w:tcW w:w="1571"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0</w:t>
            </w:r>
          </w:p>
        </w:tc>
        <w:tc>
          <w:tcPr>
            <w:tcW w:w="1571"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2</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0</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0</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0</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0</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2</w:t>
            </w:r>
          </w:p>
        </w:tc>
      </w:tr>
      <w:tr w:rsidR="00EB25E2" w:rsidTr="00EB25E2">
        <w:tc>
          <w:tcPr>
            <w:tcW w:w="1668"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rPr>
                <w:vertAlign w:val="superscript"/>
              </w:rPr>
            </w:pPr>
            <w:r>
              <w:t>Pathological CSF</w:t>
            </w:r>
            <w:r>
              <w:rPr>
                <w:vertAlign w:val="superscript"/>
              </w:rPr>
              <w:t>a</w:t>
            </w:r>
          </w:p>
        </w:tc>
        <w:tc>
          <w:tcPr>
            <w:tcW w:w="12476" w:type="dxa"/>
            <w:gridSpan w:val="8"/>
            <w:tcBorders>
              <w:top w:val="single" w:sz="4" w:space="0" w:color="auto"/>
              <w:left w:val="single" w:sz="4" w:space="0" w:color="auto"/>
              <w:bottom w:val="single" w:sz="4" w:space="0" w:color="auto"/>
              <w:right w:val="single" w:sz="4" w:space="0" w:color="auto"/>
            </w:tcBorders>
          </w:tcPr>
          <w:p w:rsidR="00EB25E2" w:rsidRDefault="00EB25E2">
            <w:pPr>
              <w:spacing w:after="0" w:line="240" w:lineRule="auto"/>
              <w:jc w:val="center"/>
            </w:pPr>
          </w:p>
        </w:tc>
      </w:tr>
      <w:tr w:rsidR="00EB25E2" w:rsidTr="00EB25E2">
        <w:tc>
          <w:tcPr>
            <w:tcW w:w="1668"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pPr>
            <w:r>
              <w:t>Present no.</w:t>
            </w:r>
          </w:p>
        </w:tc>
        <w:tc>
          <w:tcPr>
            <w:tcW w:w="1474"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34 (69%)</w:t>
            </w:r>
          </w:p>
        </w:tc>
        <w:tc>
          <w:tcPr>
            <w:tcW w:w="1571"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20 (69%)</w:t>
            </w:r>
          </w:p>
        </w:tc>
        <w:tc>
          <w:tcPr>
            <w:tcW w:w="1571"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10 (63%)</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2 (100%)</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3 (100%)</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2 (100%)</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12 (86%)</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51 (75%)</w:t>
            </w:r>
          </w:p>
        </w:tc>
      </w:tr>
      <w:tr w:rsidR="00EB25E2" w:rsidTr="00EB25E2">
        <w:tc>
          <w:tcPr>
            <w:tcW w:w="1668"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pPr>
            <w:r>
              <w:t>Not done</w:t>
            </w:r>
          </w:p>
        </w:tc>
        <w:tc>
          <w:tcPr>
            <w:tcW w:w="1474"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0</w:t>
            </w:r>
          </w:p>
        </w:tc>
        <w:tc>
          <w:tcPr>
            <w:tcW w:w="1571"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0</w:t>
            </w:r>
          </w:p>
        </w:tc>
        <w:tc>
          <w:tcPr>
            <w:tcW w:w="1571"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0</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0</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0</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0</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0</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0</w:t>
            </w:r>
          </w:p>
        </w:tc>
      </w:tr>
      <w:tr w:rsidR="00EB25E2" w:rsidTr="00EB25E2">
        <w:tc>
          <w:tcPr>
            <w:tcW w:w="1668"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pPr>
            <w:r>
              <w:t>Data absent no.</w:t>
            </w:r>
          </w:p>
        </w:tc>
        <w:tc>
          <w:tcPr>
            <w:tcW w:w="1474"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0</w:t>
            </w:r>
          </w:p>
        </w:tc>
        <w:tc>
          <w:tcPr>
            <w:tcW w:w="1571"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0</w:t>
            </w:r>
          </w:p>
        </w:tc>
        <w:tc>
          <w:tcPr>
            <w:tcW w:w="1571"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0</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0</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1</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0</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0</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1</w:t>
            </w:r>
          </w:p>
        </w:tc>
      </w:tr>
      <w:tr w:rsidR="00EB25E2" w:rsidTr="00EB25E2">
        <w:tc>
          <w:tcPr>
            <w:tcW w:w="1668"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rPr>
                <w:vertAlign w:val="superscript"/>
              </w:rPr>
            </w:pPr>
            <w:r>
              <w:t>Elevated Abs level</w:t>
            </w:r>
            <w:r>
              <w:rPr>
                <w:vertAlign w:val="superscript"/>
              </w:rPr>
              <w:t>b</w:t>
            </w:r>
          </w:p>
        </w:tc>
        <w:tc>
          <w:tcPr>
            <w:tcW w:w="12476" w:type="dxa"/>
            <w:gridSpan w:val="8"/>
            <w:tcBorders>
              <w:top w:val="single" w:sz="4" w:space="0" w:color="auto"/>
              <w:left w:val="single" w:sz="4" w:space="0" w:color="auto"/>
              <w:bottom w:val="single" w:sz="4" w:space="0" w:color="auto"/>
              <w:right w:val="single" w:sz="4" w:space="0" w:color="auto"/>
            </w:tcBorders>
          </w:tcPr>
          <w:p w:rsidR="00EB25E2" w:rsidRDefault="00EB25E2">
            <w:pPr>
              <w:spacing w:after="0" w:line="240" w:lineRule="auto"/>
              <w:jc w:val="center"/>
            </w:pPr>
          </w:p>
        </w:tc>
      </w:tr>
      <w:tr w:rsidR="00EB25E2" w:rsidTr="00EB25E2">
        <w:tc>
          <w:tcPr>
            <w:tcW w:w="1668"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pPr>
            <w:r>
              <w:t>Present no.</w:t>
            </w:r>
          </w:p>
        </w:tc>
        <w:tc>
          <w:tcPr>
            <w:tcW w:w="1474"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6 (67%)</w:t>
            </w:r>
          </w:p>
        </w:tc>
        <w:tc>
          <w:tcPr>
            <w:tcW w:w="1571"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5 (100%)</w:t>
            </w:r>
          </w:p>
        </w:tc>
        <w:tc>
          <w:tcPr>
            <w:tcW w:w="1571"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1 (33%)</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0</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0</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0</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1 (50%)</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7 (50%)</w:t>
            </w:r>
          </w:p>
        </w:tc>
      </w:tr>
      <w:tr w:rsidR="00EB25E2" w:rsidTr="00EB25E2">
        <w:tc>
          <w:tcPr>
            <w:tcW w:w="1668"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pPr>
            <w:r>
              <w:t>Not done</w:t>
            </w:r>
          </w:p>
        </w:tc>
        <w:tc>
          <w:tcPr>
            <w:tcW w:w="1474"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40</w:t>
            </w:r>
          </w:p>
        </w:tc>
        <w:tc>
          <w:tcPr>
            <w:tcW w:w="1571"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24</w:t>
            </w:r>
          </w:p>
        </w:tc>
        <w:tc>
          <w:tcPr>
            <w:tcW w:w="1571"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13</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2</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3</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0</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12</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55</w:t>
            </w:r>
          </w:p>
        </w:tc>
      </w:tr>
      <w:tr w:rsidR="00EB25E2" w:rsidTr="00EB25E2">
        <w:tc>
          <w:tcPr>
            <w:tcW w:w="1668"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pPr>
            <w:r>
              <w:t>Data absent no.</w:t>
            </w:r>
          </w:p>
        </w:tc>
        <w:tc>
          <w:tcPr>
            <w:tcW w:w="1474"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0</w:t>
            </w:r>
          </w:p>
        </w:tc>
        <w:tc>
          <w:tcPr>
            <w:tcW w:w="1571"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0</w:t>
            </w:r>
          </w:p>
        </w:tc>
        <w:tc>
          <w:tcPr>
            <w:tcW w:w="1571"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0</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0</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0</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0</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0</w:t>
            </w:r>
          </w:p>
        </w:tc>
        <w:tc>
          <w:tcPr>
            <w:tcW w:w="157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pPr>
            <w:r>
              <w:t>0</w:t>
            </w:r>
          </w:p>
        </w:tc>
      </w:tr>
    </w:tbl>
    <w:p w:rsidR="00EB25E2" w:rsidRDefault="00EB25E2" w:rsidP="00390D95">
      <w:pPr>
        <w:rPr>
          <w:rFonts w:ascii="Times New Roman" w:hAnsi="Times New Roman"/>
          <w:sz w:val="24"/>
          <w:szCs w:val="24"/>
          <w:lang w:val="en-US"/>
        </w:rPr>
      </w:pPr>
    </w:p>
    <w:p w:rsidR="00B356BE" w:rsidRPr="002E019E" w:rsidRDefault="00B356BE" w:rsidP="00390D95">
      <w:pPr>
        <w:rPr>
          <w:lang w:val="en-US"/>
        </w:rPr>
      </w:pPr>
      <w:r w:rsidRPr="002E019E">
        <w:rPr>
          <w:lang w:val="en-US"/>
        </w:rPr>
        <w:t>CSF, Cerebrospinal Fluid; Abs, Anti-ganglioside antibodies</w:t>
      </w:r>
      <w:r>
        <w:rPr>
          <w:lang w:val="en-US"/>
        </w:rPr>
        <w:t>, GM1 antibodies were primarily tested</w:t>
      </w:r>
      <w:r w:rsidRPr="002E019E">
        <w:rPr>
          <w:lang w:val="en-US"/>
        </w:rPr>
        <w:t>; RTI, Respiratory Tract Infection; GII, Gastrointestinal Infection; NCS, Nerve Conduction Studies</w:t>
      </w:r>
      <w:r>
        <w:rPr>
          <w:lang w:val="en-US"/>
        </w:rPr>
        <w:t>; n.a., not applicable</w:t>
      </w:r>
    </w:p>
    <w:p w:rsidR="00B356BE" w:rsidRDefault="00B356BE" w:rsidP="00390D95">
      <w:pPr>
        <w:rPr>
          <w:lang w:val="en-US"/>
        </w:rPr>
      </w:pPr>
      <w:r>
        <w:rPr>
          <w:vertAlign w:val="superscript"/>
          <w:lang w:val="en-US"/>
        </w:rPr>
        <w:t>a</w:t>
      </w:r>
      <w:r>
        <w:rPr>
          <w:lang w:val="en-US"/>
        </w:rPr>
        <w:t xml:space="preserve"> According to the diagnostic criteria of GBS (Table 1)</w:t>
      </w:r>
    </w:p>
    <w:p w:rsidR="00B356BE" w:rsidRDefault="00B356BE" w:rsidP="00390D95">
      <w:pPr>
        <w:rPr>
          <w:lang w:val="en-US"/>
        </w:rPr>
      </w:pPr>
      <w:r>
        <w:rPr>
          <w:vertAlign w:val="superscript"/>
          <w:lang w:val="en-US"/>
        </w:rPr>
        <w:t>b</w:t>
      </w:r>
      <w:r>
        <w:rPr>
          <w:lang w:val="en-US"/>
        </w:rPr>
        <w:t xml:space="preserve"> Higher than normal level as defined by the HUSLAB department of Virology and Immunology</w:t>
      </w:r>
    </w:p>
    <w:p w:rsidR="00B356BE" w:rsidRDefault="00B356BE" w:rsidP="00390D95">
      <w:pPr>
        <w:rPr>
          <w:rFonts w:ascii="Times New Roman" w:hAnsi="Times New Roman"/>
          <w:sz w:val="24"/>
          <w:szCs w:val="24"/>
          <w:lang w:val="en-US"/>
        </w:rPr>
      </w:pPr>
    </w:p>
    <w:p w:rsidR="00EB25E2" w:rsidRDefault="00B356BE" w:rsidP="00EB25E2">
      <w:pPr>
        <w:rPr>
          <w:lang w:val="en-US"/>
        </w:rPr>
      </w:pPr>
      <w:r w:rsidRPr="00EB25E2">
        <w:rPr>
          <w:b/>
          <w:lang w:val="en-US"/>
        </w:rPr>
        <w:t>Table 3.</w:t>
      </w:r>
      <w:r w:rsidRPr="00BF21D6">
        <w:rPr>
          <w:lang w:val="en-US"/>
        </w:rPr>
        <w:t xml:space="preserve"> Characteristics of the patients who had </w:t>
      </w:r>
      <w:r>
        <w:rPr>
          <w:lang w:val="en-US"/>
        </w:rPr>
        <w:t xml:space="preserve">been tested for antiganglioside </w:t>
      </w:r>
      <w:r w:rsidRPr="00BF21D6">
        <w:rPr>
          <w:lang w:val="en-US"/>
        </w:rPr>
        <w:t>antibodies.</w:t>
      </w:r>
      <w:r w:rsidR="00EB25E2" w:rsidRPr="00EB25E2">
        <w:rPr>
          <w:lang w:val="en-US"/>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38"/>
        <w:gridCol w:w="472"/>
        <w:gridCol w:w="562"/>
        <w:gridCol w:w="621"/>
        <w:gridCol w:w="447"/>
        <w:gridCol w:w="631"/>
        <w:gridCol w:w="631"/>
        <w:gridCol w:w="714"/>
        <w:gridCol w:w="991"/>
        <w:gridCol w:w="749"/>
        <w:gridCol w:w="620"/>
        <w:gridCol w:w="1036"/>
        <w:gridCol w:w="651"/>
        <w:gridCol w:w="991"/>
      </w:tblGrid>
      <w:tr w:rsidR="00EB25E2" w:rsidTr="00EB25E2">
        <w:tc>
          <w:tcPr>
            <w:tcW w:w="1112" w:type="dxa"/>
            <w:tcBorders>
              <w:top w:val="single" w:sz="4" w:space="0" w:color="auto"/>
              <w:left w:val="single" w:sz="4" w:space="0" w:color="auto"/>
              <w:bottom w:val="single" w:sz="4" w:space="0" w:color="auto"/>
              <w:right w:val="single" w:sz="4" w:space="0" w:color="auto"/>
            </w:tcBorders>
          </w:tcPr>
          <w:p w:rsidR="00EB25E2" w:rsidRDefault="00EB25E2">
            <w:pPr>
              <w:spacing w:after="0" w:line="240" w:lineRule="auto"/>
              <w:rPr>
                <w:lang w:val="en-US"/>
              </w:rPr>
            </w:pPr>
          </w:p>
        </w:tc>
        <w:tc>
          <w:tcPr>
            <w:tcW w:w="675"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lang w:val="en-US"/>
              </w:rPr>
            </w:pPr>
            <w:r>
              <w:rPr>
                <w:lang w:val="en-US"/>
              </w:rPr>
              <w:t>AIDP</w:t>
            </w:r>
          </w:p>
        </w:tc>
        <w:tc>
          <w:tcPr>
            <w:tcW w:w="82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lang w:val="en-US"/>
              </w:rPr>
            </w:pPr>
            <w:r>
              <w:rPr>
                <w:lang w:val="en-US"/>
              </w:rPr>
              <w:t>AMAN</w:t>
            </w:r>
          </w:p>
        </w:tc>
        <w:tc>
          <w:tcPr>
            <w:tcW w:w="376"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lang w:val="en-US"/>
              </w:rPr>
            </w:pPr>
            <w:r>
              <w:rPr>
                <w:lang w:val="en-US"/>
              </w:rPr>
              <w:t>AMSAN</w:t>
            </w:r>
          </w:p>
        </w:tc>
        <w:tc>
          <w:tcPr>
            <w:tcW w:w="634"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lang w:val="en-US"/>
              </w:rPr>
            </w:pPr>
            <w:r>
              <w:rPr>
                <w:lang w:val="en-US"/>
              </w:rPr>
              <w:t>MFS</w:t>
            </w:r>
          </w:p>
        </w:tc>
        <w:tc>
          <w:tcPr>
            <w:tcW w:w="936"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lang w:val="en-US"/>
              </w:rPr>
            </w:pPr>
            <w:r>
              <w:rPr>
                <w:lang w:val="en-US"/>
              </w:rPr>
              <w:t>ENMG-posi</w:t>
            </w:r>
            <w:r>
              <w:rPr>
                <w:lang w:val="en-US"/>
              </w:rPr>
              <w:lastRenderedPageBreak/>
              <w:t>tive</w:t>
            </w:r>
          </w:p>
        </w:tc>
        <w:tc>
          <w:tcPr>
            <w:tcW w:w="936"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lang w:val="en-US"/>
              </w:rPr>
            </w:pPr>
            <w:r>
              <w:rPr>
                <w:lang w:val="en-US"/>
              </w:rPr>
              <w:lastRenderedPageBreak/>
              <w:t>CSF-positive</w:t>
            </w:r>
          </w:p>
        </w:tc>
        <w:tc>
          <w:tcPr>
            <w:tcW w:w="1073"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lang w:val="en-US"/>
              </w:rPr>
            </w:pPr>
            <w:r>
              <w:rPr>
                <w:lang w:val="en-US"/>
              </w:rPr>
              <w:t>Mean durat</w:t>
            </w:r>
            <w:r>
              <w:rPr>
                <w:lang w:val="en-US"/>
              </w:rPr>
              <w:lastRenderedPageBreak/>
              <w:t>ion from trigger to symptom onset (days)</w:t>
            </w:r>
          </w:p>
        </w:tc>
        <w:tc>
          <w:tcPr>
            <w:tcW w:w="1529"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lang w:val="en-US"/>
              </w:rPr>
            </w:pPr>
            <w:r>
              <w:rPr>
                <w:lang w:val="en-US"/>
              </w:rPr>
              <w:lastRenderedPageBreak/>
              <w:t xml:space="preserve">Mean duration of </w:t>
            </w:r>
            <w:r>
              <w:rPr>
                <w:lang w:val="en-US"/>
              </w:rPr>
              <w:lastRenderedPageBreak/>
              <w:t>hospitalization (days)</w:t>
            </w:r>
          </w:p>
        </w:tc>
        <w:tc>
          <w:tcPr>
            <w:tcW w:w="1131"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lang w:val="en-US"/>
              </w:rPr>
            </w:pPr>
            <w:r>
              <w:rPr>
                <w:lang w:val="en-US"/>
              </w:rPr>
              <w:lastRenderedPageBreak/>
              <w:t>Median durat</w:t>
            </w:r>
            <w:r>
              <w:rPr>
                <w:lang w:val="en-US"/>
              </w:rPr>
              <w:lastRenderedPageBreak/>
              <w:t>ion of ICU admission</w:t>
            </w:r>
          </w:p>
        </w:tc>
        <w:tc>
          <w:tcPr>
            <w:tcW w:w="91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lang w:val="en-US"/>
              </w:rPr>
            </w:pPr>
            <w:r>
              <w:rPr>
                <w:lang w:val="en-US"/>
              </w:rPr>
              <w:lastRenderedPageBreak/>
              <w:t xml:space="preserve">Mean mRS </w:t>
            </w:r>
            <w:r>
              <w:rPr>
                <w:lang w:val="en-US"/>
              </w:rPr>
              <w:lastRenderedPageBreak/>
              <w:t>score at 6 months</w:t>
            </w:r>
          </w:p>
        </w:tc>
        <w:tc>
          <w:tcPr>
            <w:tcW w:w="1604"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lang w:val="en-US"/>
              </w:rPr>
            </w:pPr>
            <w:r>
              <w:rPr>
                <w:lang w:val="en-US"/>
              </w:rPr>
              <w:lastRenderedPageBreak/>
              <w:t xml:space="preserve">Number of patients </w:t>
            </w:r>
            <w:r>
              <w:rPr>
                <w:lang w:val="en-US"/>
              </w:rPr>
              <w:lastRenderedPageBreak/>
              <w:t>treated with plasmapheresis</w:t>
            </w:r>
          </w:p>
        </w:tc>
        <w:tc>
          <w:tcPr>
            <w:tcW w:w="95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lang w:val="en-US"/>
              </w:rPr>
            </w:pPr>
            <w:r>
              <w:rPr>
                <w:lang w:val="en-US"/>
              </w:rPr>
              <w:lastRenderedPageBreak/>
              <w:t xml:space="preserve">Number of </w:t>
            </w:r>
            <w:r>
              <w:rPr>
                <w:lang w:val="en-US"/>
              </w:rPr>
              <w:lastRenderedPageBreak/>
              <w:t>patients treated with IvIG</w:t>
            </w:r>
          </w:p>
        </w:tc>
        <w:tc>
          <w:tcPr>
            <w:tcW w:w="1528"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lang w:val="en-US"/>
              </w:rPr>
            </w:pPr>
            <w:r>
              <w:rPr>
                <w:lang w:val="en-US"/>
              </w:rPr>
              <w:lastRenderedPageBreak/>
              <w:t>Died during hospitali</w:t>
            </w:r>
            <w:r>
              <w:rPr>
                <w:lang w:val="en-US"/>
              </w:rPr>
              <w:lastRenderedPageBreak/>
              <w:t>zation</w:t>
            </w:r>
          </w:p>
        </w:tc>
      </w:tr>
      <w:tr w:rsidR="00EB25E2" w:rsidTr="00EB25E2">
        <w:tc>
          <w:tcPr>
            <w:tcW w:w="111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lang w:val="en-US"/>
              </w:rPr>
            </w:pPr>
            <w:r>
              <w:rPr>
                <w:lang w:val="en-US"/>
              </w:rPr>
              <w:lastRenderedPageBreak/>
              <w:t>Antibody-positive (N=7)</w:t>
            </w:r>
          </w:p>
        </w:tc>
        <w:tc>
          <w:tcPr>
            <w:tcW w:w="675"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lang w:val="en-US"/>
              </w:rPr>
            </w:pPr>
            <w:r>
              <w:rPr>
                <w:lang w:val="en-US"/>
              </w:rPr>
              <w:t>4</w:t>
            </w:r>
          </w:p>
        </w:tc>
        <w:tc>
          <w:tcPr>
            <w:tcW w:w="82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lang w:val="en-US"/>
              </w:rPr>
            </w:pPr>
            <w:r>
              <w:rPr>
                <w:lang w:val="en-US"/>
              </w:rPr>
              <w:t>1</w:t>
            </w:r>
          </w:p>
        </w:tc>
        <w:tc>
          <w:tcPr>
            <w:tcW w:w="376"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lang w:val="en-US"/>
              </w:rPr>
            </w:pPr>
            <w:r>
              <w:rPr>
                <w:lang w:val="en-US"/>
              </w:rPr>
              <w:t>0</w:t>
            </w:r>
          </w:p>
        </w:tc>
        <w:tc>
          <w:tcPr>
            <w:tcW w:w="634"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vertAlign w:val="superscript"/>
                <w:lang w:val="en-US"/>
              </w:rPr>
            </w:pPr>
            <w:r>
              <w:rPr>
                <w:lang w:val="en-US"/>
              </w:rPr>
              <w:t>2</w:t>
            </w:r>
            <w:r>
              <w:rPr>
                <w:vertAlign w:val="superscript"/>
                <w:lang w:val="en-US"/>
              </w:rPr>
              <w:t>2</w:t>
            </w:r>
          </w:p>
        </w:tc>
        <w:tc>
          <w:tcPr>
            <w:tcW w:w="936"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lang w:val="en-US"/>
              </w:rPr>
            </w:pPr>
            <w:r>
              <w:rPr>
                <w:lang w:val="en-US"/>
              </w:rPr>
              <w:t>6 (86%)</w:t>
            </w:r>
          </w:p>
        </w:tc>
        <w:tc>
          <w:tcPr>
            <w:tcW w:w="936"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lang w:val="en-US"/>
              </w:rPr>
            </w:pPr>
            <w:r>
              <w:rPr>
                <w:lang w:val="en-US"/>
              </w:rPr>
              <w:t>3 (43%)</w:t>
            </w:r>
          </w:p>
        </w:tc>
        <w:tc>
          <w:tcPr>
            <w:tcW w:w="1073"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lang w:val="en-US"/>
              </w:rPr>
            </w:pPr>
            <w:r>
              <w:rPr>
                <w:lang w:val="en-US"/>
              </w:rPr>
              <w:t>9.0 (N=4; SD 4.2; range 4-13)</w:t>
            </w:r>
          </w:p>
        </w:tc>
        <w:tc>
          <w:tcPr>
            <w:tcW w:w="1529"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lang w:val="en-US"/>
              </w:rPr>
            </w:pPr>
            <w:r>
              <w:rPr>
                <w:lang w:val="en-US"/>
              </w:rPr>
              <w:t>18.0 (SD 14.1; range 8-43)</w:t>
            </w:r>
          </w:p>
        </w:tc>
        <w:tc>
          <w:tcPr>
            <w:tcW w:w="1131"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vertAlign w:val="superscript"/>
                <w:lang w:val="en-US"/>
              </w:rPr>
            </w:pPr>
            <w:r>
              <w:rPr>
                <w:lang w:val="en-US"/>
              </w:rPr>
              <w:t>0</w:t>
            </w:r>
            <w:r>
              <w:rPr>
                <w:vertAlign w:val="superscript"/>
                <w:lang w:val="en-US"/>
              </w:rPr>
              <w:t>4</w:t>
            </w:r>
          </w:p>
        </w:tc>
        <w:tc>
          <w:tcPr>
            <w:tcW w:w="91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lang w:val="en-US"/>
              </w:rPr>
            </w:pPr>
            <w:r>
              <w:rPr>
                <w:lang w:val="en-US"/>
              </w:rPr>
              <w:t>2.0 (N=5; SD 1.6; range 0-4)</w:t>
            </w:r>
          </w:p>
        </w:tc>
        <w:tc>
          <w:tcPr>
            <w:tcW w:w="1604"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lang w:val="en-US"/>
              </w:rPr>
            </w:pPr>
            <w:r>
              <w:rPr>
                <w:lang w:val="en-US"/>
              </w:rPr>
              <w:t>3 (43%)</w:t>
            </w:r>
          </w:p>
        </w:tc>
        <w:tc>
          <w:tcPr>
            <w:tcW w:w="95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vertAlign w:val="superscript"/>
                <w:lang w:val="en-US"/>
              </w:rPr>
            </w:pPr>
            <w:r>
              <w:rPr>
                <w:lang w:val="en-US"/>
              </w:rPr>
              <w:t>5 (71%)</w:t>
            </w:r>
            <w:r>
              <w:rPr>
                <w:vertAlign w:val="superscript"/>
                <w:lang w:val="en-US"/>
              </w:rPr>
              <w:t>6</w:t>
            </w:r>
          </w:p>
        </w:tc>
        <w:tc>
          <w:tcPr>
            <w:tcW w:w="1528"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lang w:val="en-US"/>
              </w:rPr>
            </w:pPr>
            <w:r>
              <w:rPr>
                <w:lang w:val="en-US"/>
              </w:rPr>
              <w:t>0</w:t>
            </w:r>
          </w:p>
        </w:tc>
      </w:tr>
      <w:tr w:rsidR="00EB25E2" w:rsidTr="00EB25E2">
        <w:tc>
          <w:tcPr>
            <w:tcW w:w="111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lang w:val="en-US"/>
              </w:rPr>
            </w:pPr>
            <w:r>
              <w:rPr>
                <w:lang w:val="en-US"/>
              </w:rPr>
              <w:t>Antibody-negative (N=7)</w:t>
            </w:r>
          </w:p>
        </w:tc>
        <w:tc>
          <w:tcPr>
            <w:tcW w:w="675"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lang w:val="en-US"/>
              </w:rPr>
            </w:pPr>
            <w:r>
              <w:rPr>
                <w:lang w:val="en-US"/>
              </w:rPr>
              <w:t>4</w:t>
            </w:r>
            <w:r>
              <w:rPr>
                <w:vertAlign w:val="superscript"/>
                <w:lang w:val="en-US"/>
              </w:rPr>
              <w:t>1</w:t>
            </w:r>
          </w:p>
        </w:tc>
        <w:tc>
          <w:tcPr>
            <w:tcW w:w="82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lang w:val="en-US"/>
              </w:rPr>
            </w:pPr>
            <w:r>
              <w:rPr>
                <w:lang w:val="en-US"/>
              </w:rPr>
              <w:t>1</w:t>
            </w:r>
            <w:r>
              <w:rPr>
                <w:vertAlign w:val="superscript"/>
                <w:lang w:val="en-US"/>
              </w:rPr>
              <w:t>1</w:t>
            </w:r>
          </w:p>
        </w:tc>
        <w:tc>
          <w:tcPr>
            <w:tcW w:w="376"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lang w:val="en-US"/>
              </w:rPr>
            </w:pPr>
            <w:r>
              <w:rPr>
                <w:lang w:val="en-US"/>
              </w:rPr>
              <w:t>1</w:t>
            </w:r>
            <w:r>
              <w:rPr>
                <w:vertAlign w:val="superscript"/>
                <w:lang w:val="en-US"/>
              </w:rPr>
              <w:t>1</w:t>
            </w:r>
          </w:p>
        </w:tc>
        <w:tc>
          <w:tcPr>
            <w:tcW w:w="634"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lang w:val="en-US"/>
              </w:rPr>
            </w:pPr>
            <w:r>
              <w:rPr>
                <w:lang w:val="en-US"/>
              </w:rPr>
              <w:t>0</w:t>
            </w:r>
            <w:r>
              <w:rPr>
                <w:vertAlign w:val="superscript"/>
                <w:lang w:val="en-US"/>
              </w:rPr>
              <w:t>1</w:t>
            </w:r>
          </w:p>
        </w:tc>
        <w:tc>
          <w:tcPr>
            <w:tcW w:w="936"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vertAlign w:val="superscript"/>
                <w:lang w:val="en-US"/>
              </w:rPr>
            </w:pPr>
            <w:r>
              <w:rPr>
                <w:lang w:val="en-US"/>
              </w:rPr>
              <w:t>6 (86%)</w:t>
            </w:r>
            <w:r>
              <w:rPr>
                <w:vertAlign w:val="superscript"/>
                <w:lang w:val="en-US"/>
              </w:rPr>
              <w:t>1</w:t>
            </w:r>
          </w:p>
        </w:tc>
        <w:tc>
          <w:tcPr>
            <w:tcW w:w="936"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vertAlign w:val="superscript"/>
                <w:lang w:val="en-US"/>
              </w:rPr>
            </w:pPr>
            <w:r>
              <w:rPr>
                <w:lang w:val="en-US"/>
              </w:rPr>
              <w:t>6 (86%)</w:t>
            </w:r>
            <w:r>
              <w:rPr>
                <w:vertAlign w:val="superscript"/>
                <w:lang w:val="en-US"/>
              </w:rPr>
              <w:t>3</w:t>
            </w:r>
          </w:p>
        </w:tc>
        <w:tc>
          <w:tcPr>
            <w:tcW w:w="1073"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lang w:val="en-US"/>
              </w:rPr>
            </w:pPr>
            <w:r>
              <w:rPr>
                <w:lang w:val="en-US"/>
              </w:rPr>
              <w:t>12.8 (N=4; SD 6.2; range 7-21)</w:t>
            </w:r>
          </w:p>
        </w:tc>
        <w:tc>
          <w:tcPr>
            <w:tcW w:w="1529"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lang w:val="en-US"/>
              </w:rPr>
            </w:pPr>
            <w:r>
              <w:rPr>
                <w:lang w:val="en-US"/>
              </w:rPr>
              <w:t>24.4 (SD 10.7; range 11-39)</w:t>
            </w:r>
          </w:p>
        </w:tc>
        <w:tc>
          <w:tcPr>
            <w:tcW w:w="1131"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vertAlign w:val="superscript"/>
                <w:lang w:val="en-US"/>
              </w:rPr>
            </w:pPr>
            <w:r>
              <w:rPr>
                <w:lang w:val="en-US"/>
              </w:rPr>
              <w:t>13.5 (N=4; SD 10.1; range 3-27)</w:t>
            </w:r>
            <w:r>
              <w:rPr>
                <w:vertAlign w:val="superscript"/>
                <w:lang w:val="en-US"/>
              </w:rPr>
              <w:t>5</w:t>
            </w:r>
          </w:p>
        </w:tc>
        <w:tc>
          <w:tcPr>
            <w:tcW w:w="91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lang w:val="en-US"/>
              </w:rPr>
            </w:pPr>
            <w:r>
              <w:rPr>
                <w:lang w:val="en-US"/>
              </w:rPr>
              <w:t>2.8 (N=6; SD 1.7, range 1-6)</w:t>
            </w:r>
          </w:p>
        </w:tc>
        <w:tc>
          <w:tcPr>
            <w:tcW w:w="1604"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lang w:val="en-US"/>
              </w:rPr>
            </w:pPr>
            <w:r>
              <w:rPr>
                <w:lang w:val="en-US"/>
              </w:rPr>
              <w:t>1 (14%)</w:t>
            </w:r>
          </w:p>
        </w:tc>
        <w:tc>
          <w:tcPr>
            <w:tcW w:w="95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lang w:val="en-US"/>
              </w:rPr>
            </w:pPr>
            <w:r>
              <w:rPr>
                <w:lang w:val="en-US"/>
              </w:rPr>
              <w:t>5 (71%)</w:t>
            </w:r>
          </w:p>
        </w:tc>
        <w:tc>
          <w:tcPr>
            <w:tcW w:w="1528"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lang w:val="en-US"/>
              </w:rPr>
            </w:pPr>
            <w:r>
              <w:rPr>
                <w:lang w:val="en-US"/>
              </w:rPr>
              <w:t>1 (14%)</w:t>
            </w:r>
          </w:p>
        </w:tc>
      </w:tr>
    </w:tbl>
    <w:p w:rsidR="00EB25E2" w:rsidRDefault="00EB25E2" w:rsidP="00EB25E2">
      <w:pPr>
        <w:rPr>
          <w:lang w:val="en-US"/>
        </w:rPr>
      </w:pPr>
      <w:r>
        <w:rPr>
          <w:lang w:val="en-US"/>
        </w:rPr>
        <w:t xml:space="preserve">Patients were primarily tested for GM1 antibodies. Two patients with negative results were further tested for GQ1P antibodies of which another came back positive and these patients are presented according to this result.; </w:t>
      </w:r>
      <w:r>
        <w:rPr>
          <w:vertAlign w:val="superscript"/>
          <w:lang w:val="en-US"/>
        </w:rPr>
        <w:t>1</w:t>
      </w:r>
      <w:r>
        <w:rPr>
          <w:lang w:val="en-US"/>
        </w:rPr>
        <w:t xml:space="preserve">ENMG was not performed on one patient; 2GM1 antibodies were negative, GQ1P antibodies positive; </w:t>
      </w:r>
      <w:r>
        <w:rPr>
          <w:vertAlign w:val="superscript"/>
          <w:lang w:val="en-US"/>
        </w:rPr>
        <w:t>3</w:t>
      </w:r>
      <w:r>
        <w:rPr>
          <w:lang w:val="en-US"/>
        </w:rPr>
        <w:t xml:space="preserve">One patient had had CSF sampling performed but the results were unavailable;  </w:t>
      </w:r>
      <w:r>
        <w:rPr>
          <w:vertAlign w:val="superscript"/>
          <w:lang w:val="en-US"/>
        </w:rPr>
        <w:t>4</w:t>
      </w:r>
      <w:r>
        <w:rPr>
          <w:lang w:val="en-US"/>
        </w:rPr>
        <w:t xml:space="preserve">No one of the antibody-positive patients was admitted to the ICU; </w:t>
      </w:r>
      <w:r>
        <w:rPr>
          <w:vertAlign w:val="superscript"/>
          <w:lang w:val="en-US"/>
        </w:rPr>
        <w:t>5</w:t>
      </w:r>
      <w:r>
        <w:rPr>
          <w:lang w:val="en-US"/>
        </w:rPr>
        <w:t xml:space="preserve">Two of these patients were readmitted to the ICU, these figures are based on the total number of days at the ICU; </w:t>
      </w:r>
      <w:r>
        <w:rPr>
          <w:vertAlign w:val="superscript"/>
          <w:lang w:val="en-US"/>
        </w:rPr>
        <w:t>6</w:t>
      </w:r>
      <w:r>
        <w:rPr>
          <w:lang w:val="en-US"/>
        </w:rPr>
        <w:t xml:space="preserve">Two patients received two courses of IvIG; </w:t>
      </w:r>
    </w:p>
    <w:p w:rsidR="00B356BE" w:rsidRDefault="00B356BE" w:rsidP="00390D95">
      <w:pPr>
        <w:rPr>
          <w:rFonts w:ascii="Times New Roman" w:hAnsi="Times New Roman"/>
          <w:sz w:val="24"/>
          <w:szCs w:val="24"/>
          <w:lang w:val="en-US"/>
        </w:rPr>
      </w:pPr>
    </w:p>
    <w:p w:rsidR="00B356BE" w:rsidRDefault="00B356BE" w:rsidP="00390D95">
      <w:pPr>
        <w:rPr>
          <w:rFonts w:ascii="Times New Roman" w:hAnsi="Times New Roman"/>
          <w:sz w:val="24"/>
          <w:szCs w:val="24"/>
          <w:lang w:val="en-US"/>
        </w:rPr>
      </w:pPr>
      <w:r w:rsidRPr="00EB25E2">
        <w:rPr>
          <w:rFonts w:ascii="Times New Roman" w:hAnsi="Times New Roman"/>
          <w:b/>
          <w:sz w:val="24"/>
          <w:szCs w:val="24"/>
          <w:lang w:val="en-US"/>
        </w:rPr>
        <w:t>Table 4.</w:t>
      </w:r>
      <w:r w:rsidRPr="00E60778">
        <w:rPr>
          <w:rFonts w:ascii="Times New Roman" w:hAnsi="Times New Roman"/>
          <w:sz w:val="24"/>
          <w:szCs w:val="24"/>
          <w:lang w:val="en-US"/>
        </w:rPr>
        <w:t xml:space="preserve"> Infections as triggers of </w:t>
      </w:r>
      <w:r>
        <w:rPr>
          <w:rFonts w:ascii="Times New Roman" w:hAnsi="Times New Roman"/>
          <w:sz w:val="24"/>
          <w:szCs w:val="24"/>
          <w:lang w:val="en-US"/>
        </w:rPr>
        <w:t>GBS</w:t>
      </w:r>
      <w:r w:rsidRPr="00E60778">
        <w:rPr>
          <w:rFonts w:ascii="Times New Roman" w:hAnsi="Times New Roman"/>
          <w:sz w:val="24"/>
          <w:szCs w:val="24"/>
          <w:lang w:val="en-US"/>
        </w:rPr>
        <w:t>, categorized by aetiology</w:t>
      </w:r>
    </w:p>
    <w:tbl>
      <w:tblPr>
        <w:tblStyle w:val="TaulukkoRuudukko"/>
        <w:tblW w:w="0" w:type="auto"/>
        <w:tblLook w:val="04A0" w:firstRow="1" w:lastRow="0" w:firstColumn="1" w:lastColumn="0" w:noHBand="0" w:noVBand="1"/>
      </w:tblPr>
      <w:tblGrid>
        <w:gridCol w:w="6629"/>
        <w:gridCol w:w="3149"/>
      </w:tblGrid>
      <w:tr w:rsidR="00EB25E2" w:rsidTr="00EB25E2">
        <w:tc>
          <w:tcPr>
            <w:tcW w:w="6629"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rPr>
                <w:b/>
                <w:sz w:val="22"/>
                <w:szCs w:val="22"/>
                <w:lang w:val="en-US"/>
              </w:rPr>
            </w:pPr>
            <w:r>
              <w:rPr>
                <w:b/>
                <w:lang w:val="en-US"/>
              </w:rPr>
              <w:t>Aetiology of infection</w:t>
            </w:r>
          </w:p>
        </w:tc>
        <w:tc>
          <w:tcPr>
            <w:tcW w:w="3149"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b/>
                <w:sz w:val="22"/>
                <w:szCs w:val="22"/>
                <w:lang w:val="en-US"/>
              </w:rPr>
            </w:pPr>
            <w:r>
              <w:rPr>
                <w:b/>
                <w:lang w:val="en-US"/>
              </w:rPr>
              <w:t>No.</w:t>
            </w:r>
          </w:p>
        </w:tc>
      </w:tr>
      <w:tr w:rsidR="00EB25E2" w:rsidTr="00EB25E2">
        <w:tc>
          <w:tcPr>
            <w:tcW w:w="6629"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rPr>
                <w:sz w:val="22"/>
                <w:szCs w:val="22"/>
                <w:lang w:val="en-US"/>
              </w:rPr>
            </w:pPr>
            <w:r>
              <w:rPr>
                <w:lang w:val="en-US"/>
              </w:rPr>
              <w:t xml:space="preserve">Gastroenteritis caused by </w:t>
            </w:r>
            <w:r>
              <w:rPr>
                <w:i/>
                <w:lang w:val="en-US"/>
              </w:rPr>
              <w:t>Campylobacter jejuni</w:t>
            </w:r>
          </w:p>
        </w:tc>
        <w:tc>
          <w:tcPr>
            <w:tcW w:w="3149"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sz w:val="22"/>
                <w:szCs w:val="22"/>
                <w:lang w:val="en-US"/>
              </w:rPr>
            </w:pPr>
            <w:r>
              <w:rPr>
                <w:lang w:val="en-US"/>
              </w:rPr>
              <w:t>3</w:t>
            </w:r>
          </w:p>
        </w:tc>
      </w:tr>
      <w:tr w:rsidR="00EB25E2" w:rsidTr="00EB25E2">
        <w:tc>
          <w:tcPr>
            <w:tcW w:w="6629"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rPr>
                <w:sz w:val="22"/>
                <w:szCs w:val="22"/>
                <w:lang w:val="en-US"/>
              </w:rPr>
            </w:pPr>
            <w:r>
              <w:rPr>
                <w:lang w:val="en-US"/>
              </w:rPr>
              <w:t xml:space="preserve">Gastroenteritis caused by </w:t>
            </w:r>
            <w:r>
              <w:rPr>
                <w:i/>
                <w:lang w:val="en-US"/>
              </w:rPr>
              <w:t>Norovirus</w:t>
            </w:r>
          </w:p>
        </w:tc>
        <w:tc>
          <w:tcPr>
            <w:tcW w:w="3149"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sz w:val="22"/>
                <w:szCs w:val="22"/>
                <w:lang w:val="en-US"/>
              </w:rPr>
            </w:pPr>
            <w:r>
              <w:rPr>
                <w:lang w:val="en-US"/>
              </w:rPr>
              <w:t>1</w:t>
            </w:r>
          </w:p>
        </w:tc>
      </w:tr>
      <w:tr w:rsidR="00EB25E2" w:rsidTr="00EB25E2">
        <w:tc>
          <w:tcPr>
            <w:tcW w:w="6629"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rPr>
                <w:sz w:val="22"/>
                <w:szCs w:val="22"/>
                <w:lang w:val="en-US"/>
              </w:rPr>
            </w:pPr>
            <w:r>
              <w:rPr>
                <w:lang w:val="en-US"/>
              </w:rPr>
              <w:t>Unspecified gastroenteritis</w:t>
            </w:r>
          </w:p>
        </w:tc>
        <w:tc>
          <w:tcPr>
            <w:tcW w:w="3149"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sz w:val="22"/>
                <w:szCs w:val="22"/>
                <w:lang w:val="en-US"/>
              </w:rPr>
            </w:pPr>
            <w:r>
              <w:rPr>
                <w:lang w:val="en-US"/>
              </w:rPr>
              <w:t>12</w:t>
            </w:r>
          </w:p>
        </w:tc>
      </w:tr>
      <w:tr w:rsidR="00EB25E2" w:rsidTr="00EB25E2">
        <w:tc>
          <w:tcPr>
            <w:tcW w:w="6629"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rPr>
                <w:sz w:val="22"/>
                <w:szCs w:val="22"/>
                <w:lang w:val="en-US"/>
              </w:rPr>
            </w:pPr>
            <w:r>
              <w:rPr>
                <w:lang w:val="en-US"/>
              </w:rPr>
              <w:t>Unspecified gastroenteritis and unspecified respiratory tract infection</w:t>
            </w:r>
          </w:p>
        </w:tc>
        <w:tc>
          <w:tcPr>
            <w:tcW w:w="3149"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sz w:val="22"/>
                <w:szCs w:val="22"/>
                <w:lang w:val="en-US"/>
              </w:rPr>
            </w:pPr>
            <w:r>
              <w:rPr>
                <w:lang w:val="en-US"/>
              </w:rPr>
              <w:t>2</w:t>
            </w:r>
          </w:p>
        </w:tc>
      </w:tr>
      <w:tr w:rsidR="00EB25E2" w:rsidTr="00EB25E2">
        <w:tc>
          <w:tcPr>
            <w:tcW w:w="6629"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rPr>
                <w:sz w:val="22"/>
                <w:szCs w:val="22"/>
                <w:lang w:val="en-US"/>
              </w:rPr>
            </w:pPr>
            <w:r>
              <w:rPr>
                <w:lang w:val="en-US"/>
              </w:rPr>
              <w:t>Erysipelas</w:t>
            </w:r>
          </w:p>
        </w:tc>
        <w:tc>
          <w:tcPr>
            <w:tcW w:w="3149"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sz w:val="22"/>
                <w:szCs w:val="22"/>
                <w:lang w:val="en-US"/>
              </w:rPr>
            </w:pPr>
            <w:r>
              <w:rPr>
                <w:lang w:val="en-US"/>
              </w:rPr>
              <w:t>1</w:t>
            </w:r>
          </w:p>
        </w:tc>
      </w:tr>
      <w:tr w:rsidR="00EB25E2" w:rsidTr="00EB25E2">
        <w:tc>
          <w:tcPr>
            <w:tcW w:w="6629"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rPr>
                <w:sz w:val="22"/>
                <w:szCs w:val="22"/>
                <w:lang w:val="en-US"/>
              </w:rPr>
            </w:pPr>
            <w:r>
              <w:rPr>
                <w:lang w:val="en-US"/>
              </w:rPr>
              <w:t xml:space="preserve">Infection by </w:t>
            </w:r>
            <w:r>
              <w:rPr>
                <w:i/>
                <w:lang w:val="en-US"/>
              </w:rPr>
              <w:t>Cytomegalovirus</w:t>
            </w:r>
            <w:r>
              <w:rPr>
                <w:lang w:val="en-US"/>
              </w:rPr>
              <w:t>, unsymptomatic</w:t>
            </w:r>
          </w:p>
        </w:tc>
        <w:tc>
          <w:tcPr>
            <w:tcW w:w="3149"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sz w:val="22"/>
                <w:szCs w:val="22"/>
                <w:lang w:val="en-US"/>
              </w:rPr>
            </w:pPr>
            <w:r>
              <w:rPr>
                <w:lang w:val="en-US"/>
              </w:rPr>
              <w:t>1</w:t>
            </w:r>
          </w:p>
        </w:tc>
      </w:tr>
      <w:tr w:rsidR="00EB25E2" w:rsidTr="00EB25E2">
        <w:tc>
          <w:tcPr>
            <w:tcW w:w="6629"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rPr>
                <w:sz w:val="22"/>
                <w:szCs w:val="22"/>
                <w:lang w:val="en-US"/>
              </w:rPr>
            </w:pPr>
            <w:r>
              <w:rPr>
                <w:lang w:val="en-US"/>
              </w:rPr>
              <w:t xml:space="preserve">Respiratory tract infection caused by </w:t>
            </w:r>
            <w:r>
              <w:rPr>
                <w:i/>
                <w:lang w:val="en-US"/>
              </w:rPr>
              <w:t>Mycoplasma pneumonia</w:t>
            </w:r>
          </w:p>
        </w:tc>
        <w:tc>
          <w:tcPr>
            <w:tcW w:w="3149"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sz w:val="22"/>
                <w:szCs w:val="22"/>
                <w:lang w:val="en-US"/>
              </w:rPr>
            </w:pPr>
            <w:r>
              <w:rPr>
                <w:lang w:val="en-US"/>
              </w:rPr>
              <w:t>3</w:t>
            </w:r>
          </w:p>
        </w:tc>
      </w:tr>
      <w:tr w:rsidR="00EB25E2" w:rsidTr="00EB25E2">
        <w:tc>
          <w:tcPr>
            <w:tcW w:w="6629"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rPr>
                <w:i/>
                <w:sz w:val="22"/>
                <w:szCs w:val="22"/>
                <w:lang w:val="en-US"/>
              </w:rPr>
            </w:pPr>
            <w:r>
              <w:rPr>
                <w:lang w:val="en-US"/>
              </w:rPr>
              <w:t xml:space="preserve">Mononucleosis caused by </w:t>
            </w:r>
            <w:r>
              <w:rPr>
                <w:i/>
                <w:lang w:val="en-US"/>
              </w:rPr>
              <w:t>Ebstein-Barr virus</w:t>
            </w:r>
          </w:p>
        </w:tc>
        <w:tc>
          <w:tcPr>
            <w:tcW w:w="3149"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sz w:val="22"/>
                <w:szCs w:val="22"/>
                <w:lang w:val="en-US"/>
              </w:rPr>
            </w:pPr>
            <w:r>
              <w:rPr>
                <w:lang w:val="en-US"/>
              </w:rPr>
              <w:t>1</w:t>
            </w:r>
          </w:p>
        </w:tc>
      </w:tr>
      <w:tr w:rsidR="00EB25E2" w:rsidTr="00EB25E2">
        <w:tc>
          <w:tcPr>
            <w:tcW w:w="6629"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rPr>
                <w:i/>
                <w:sz w:val="22"/>
                <w:szCs w:val="22"/>
                <w:lang w:val="en-US"/>
              </w:rPr>
            </w:pPr>
            <w:r>
              <w:rPr>
                <w:lang w:val="en-US"/>
              </w:rPr>
              <w:t xml:space="preserve">Respiratory tract infection caused by </w:t>
            </w:r>
            <w:r>
              <w:rPr>
                <w:i/>
                <w:lang w:val="en-US"/>
              </w:rPr>
              <w:t>enterovirus</w:t>
            </w:r>
          </w:p>
        </w:tc>
        <w:tc>
          <w:tcPr>
            <w:tcW w:w="3149"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sz w:val="22"/>
                <w:szCs w:val="22"/>
                <w:lang w:val="en-US"/>
              </w:rPr>
            </w:pPr>
            <w:r>
              <w:rPr>
                <w:lang w:val="en-US"/>
              </w:rPr>
              <w:t>1</w:t>
            </w:r>
          </w:p>
        </w:tc>
      </w:tr>
      <w:tr w:rsidR="00EB25E2" w:rsidTr="00EB25E2">
        <w:tc>
          <w:tcPr>
            <w:tcW w:w="6629"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rPr>
                <w:sz w:val="22"/>
                <w:szCs w:val="22"/>
                <w:lang w:val="en-US"/>
              </w:rPr>
            </w:pPr>
            <w:r>
              <w:rPr>
                <w:lang w:val="en-US"/>
              </w:rPr>
              <w:t>Unspecified otitis media</w:t>
            </w:r>
          </w:p>
        </w:tc>
        <w:tc>
          <w:tcPr>
            <w:tcW w:w="3149"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sz w:val="22"/>
                <w:szCs w:val="22"/>
                <w:lang w:val="en-US"/>
              </w:rPr>
            </w:pPr>
            <w:r>
              <w:rPr>
                <w:lang w:val="en-US"/>
              </w:rPr>
              <w:t>1</w:t>
            </w:r>
          </w:p>
        </w:tc>
      </w:tr>
      <w:tr w:rsidR="00EB25E2" w:rsidTr="00EB25E2">
        <w:tc>
          <w:tcPr>
            <w:tcW w:w="6629"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rPr>
                <w:sz w:val="22"/>
                <w:szCs w:val="22"/>
                <w:lang w:val="en-US"/>
              </w:rPr>
            </w:pPr>
            <w:r>
              <w:rPr>
                <w:lang w:val="en-US"/>
              </w:rPr>
              <w:t>Sinuitis maxillaris acuta</w:t>
            </w:r>
          </w:p>
        </w:tc>
        <w:tc>
          <w:tcPr>
            <w:tcW w:w="3149"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sz w:val="22"/>
                <w:szCs w:val="22"/>
                <w:lang w:val="en-US"/>
              </w:rPr>
            </w:pPr>
            <w:r>
              <w:rPr>
                <w:lang w:val="en-US"/>
              </w:rPr>
              <w:t>2</w:t>
            </w:r>
          </w:p>
        </w:tc>
      </w:tr>
      <w:tr w:rsidR="00EB25E2" w:rsidTr="00EB25E2">
        <w:tc>
          <w:tcPr>
            <w:tcW w:w="6629"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rPr>
                <w:sz w:val="22"/>
                <w:szCs w:val="22"/>
                <w:lang w:val="en-US"/>
              </w:rPr>
            </w:pPr>
            <w:r>
              <w:rPr>
                <w:lang w:val="en-US"/>
              </w:rPr>
              <w:t>Pansinuitis acuta</w:t>
            </w:r>
          </w:p>
        </w:tc>
        <w:tc>
          <w:tcPr>
            <w:tcW w:w="3149"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sz w:val="22"/>
                <w:szCs w:val="22"/>
                <w:lang w:val="en-US"/>
              </w:rPr>
            </w:pPr>
            <w:r>
              <w:rPr>
                <w:lang w:val="en-US"/>
              </w:rPr>
              <w:t>1</w:t>
            </w:r>
          </w:p>
        </w:tc>
      </w:tr>
      <w:tr w:rsidR="00EB25E2" w:rsidTr="00EB25E2">
        <w:tc>
          <w:tcPr>
            <w:tcW w:w="6629"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rPr>
                <w:sz w:val="22"/>
                <w:szCs w:val="22"/>
                <w:lang w:val="en-US"/>
              </w:rPr>
            </w:pPr>
            <w:r>
              <w:rPr>
                <w:lang w:val="en-US"/>
              </w:rPr>
              <w:t>Streptococcal tonsillitis</w:t>
            </w:r>
          </w:p>
        </w:tc>
        <w:tc>
          <w:tcPr>
            <w:tcW w:w="3149"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sz w:val="22"/>
                <w:szCs w:val="22"/>
                <w:lang w:val="en-US"/>
              </w:rPr>
            </w:pPr>
            <w:r>
              <w:rPr>
                <w:lang w:val="en-US"/>
              </w:rPr>
              <w:t>1</w:t>
            </w:r>
          </w:p>
        </w:tc>
      </w:tr>
      <w:tr w:rsidR="00EB25E2" w:rsidTr="00EB25E2">
        <w:tc>
          <w:tcPr>
            <w:tcW w:w="6629"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rPr>
                <w:sz w:val="22"/>
                <w:szCs w:val="22"/>
                <w:lang w:val="en-US"/>
              </w:rPr>
            </w:pPr>
            <w:r>
              <w:rPr>
                <w:lang w:val="en-US"/>
              </w:rPr>
              <w:t>Unspecified acute upper respiratory tract infection</w:t>
            </w:r>
          </w:p>
        </w:tc>
        <w:tc>
          <w:tcPr>
            <w:tcW w:w="3149"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sz w:val="22"/>
                <w:szCs w:val="22"/>
                <w:lang w:val="en-US"/>
              </w:rPr>
            </w:pPr>
            <w:r>
              <w:rPr>
                <w:lang w:val="en-US"/>
              </w:rPr>
              <w:t>16</w:t>
            </w:r>
          </w:p>
        </w:tc>
      </w:tr>
      <w:tr w:rsidR="00EB25E2" w:rsidTr="00EB25E2">
        <w:tc>
          <w:tcPr>
            <w:tcW w:w="6629"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rPr>
                <w:i/>
                <w:sz w:val="22"/>
                <w:szCs w:val="22"/>
                <w:lang w:val="en-US"/>
              </w:rPr>
            </w:pPr>
            <w:r>
              <w:rPr>
                <w:lang w:val="en-US"/>
              </w:rPr>
              <w:lastRenderedPageBreak/>
              <w:t xml:space="preserve">Infection by </w:t>
            </w:r>
            <w:r>
              <w:rPr>
                <w:i/>
                <w:lang w:val="en-US"/>
              </w:rPr>
              <w:t>Influenza A virus</w:t>
            </w:r>
          </w:p>
        </w:tc>
        <w:tc>
          <w:tcPr>
            <w:tcW w:w="3149"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sz w:val="22"/>
                <w:szCs w:val="22"/>
                <w:lang w:val="en-US"/>
              </w:rPr>
            </w:pPr>
            <w:r>
              <w:rPr>
                <w:lang w:val="en-US"/>
              </w:rPr>
              <w:t>2</w:t>
            </w:r>
          </w:p>
        </w:tc>
      </w:tr>
      <w:tr w:rsidR="00EB25E2" w:rsidTr="00EB25E2">
        <w:tc>
          <w:tcPr>
            <w:tcW w:w="6629"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rPr>
                <w:i/>
                <w:sz w:val="22"/>
                <w:szCs w:val="22"/>
                <w:lang w:val="en-US"/>
              </w:rPr>
            </w:pPr>
            <w:r>
              <w:rPr>
                <w:lang w:val="en-US"/>
              </w:rPr>
              <w:t xml:space="preserve">Acute bronchitis caused by </w:t>
            </w:r>
            <w:r>
              <w:rPr>
                <w:i/>
                <w:lang w:val="en-US"/>
              </w:rPr>
              <w:t>Rhinovirus</w:t>
            </w:r>
          </w:p>
        </w:tc>
        <w:tc>
          <w:tcPr>
            <w:tcW w:w="3149"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sz w:val="22"/>
                <w:szCs w:val="22"/>
                <w:lang w:val="en-US"/>
              </w:rPr>
            </w:pPr>
            <w:r>
              <w:rPr>
                <w:lang w:val="en-US"/>
              </w:rPr>
              <w:t>1</w:t>
            </w:r>
          </w:p>
        </w:tc>
      </w:tr>
    </w:tbl>
    <w:p w:rsidR="00B356BE" w:rsidRDefault="00B356BE" w:rsidP="00390D95">
      <w:pPr>
        <w:rPr>
          <w:rFonts w:ascii="Times New Roman" w:hAnsi="Times New Roman"/>
          <w:sz w:val="24"/>
          <w:szCs w:val="24"/>
          <w:lang w:val="en-US"/>
        </w:rPr>
      </w:pPr>
    </w:p>
    <w:p w:rsidR="00EB25E2" w:rsidRDefault="00B356BE" w:rsidP="00EB25E2">
      <w:pPr>
        <w:rPr>
          <w:rFonts w:ascii="Times New Roman" w:hAnsi="Times New Roman"/>
          <w:sz w:val="24"/>
          <w:szCs w:val="24"/>
          <w:lang w:val="en-US"/>
        </w:rPr>
      </w:pPr>
      <w:r w:rsidRPr="00EB25E2">
        <w:rPr>
          <w:rFonts w:ascii="Times New Roman" w:hAnsi="Times New Roman"/>
          <w:b/>
          <w:sz w:val="24"/>
          <w:szCs w:val="24"/>
          <w:lang w:val="en-US"/>
        </w:rPr>
        <w:t>Table 5.</w:t>
      </w:r>
      <w:r>
        <w:rPr>
          <w:rFonts w:ascii="Times New Roman" w:hAnsi="Times New Roman"/>
          <w:sz w:val="24"/>
          <w:szCs w:val="24"/>
          <w:lang w:val="en-US"/>
        </w:rPr>
        <w:t xml:space="preserve"> Charac</w:t>
      </w:r>
      <w:r w:rsidRPr="00D20281">
        <w:rPr>
          <w:rFonts w:ascii="Times New Roman" w:hAnsi="Times New Roman"/>
          <w:sz w:val="24"/>
          <w:szCs w:val="24"/>
          <w:lang w:val="en-US"/>
        </w:rPr>
        <w:t>teristics of</w:t>
      </w:r>
      <w:r>
        <w:rPr>
          <w:rFonts w:ascii="Times New Roman" w:hAnsi="Times New Roman"/>
          <w:sz w:val="24"/>
          <w:szCs w:val="24"/>
          <w:lang w:val="en-US"/>
        </w:rPr>
        <w:t xml:space="preserve"> the</w:t>
      </w:r>
      <w:r w:rsidRPr="00D20281">
        <w:rPr>
          <w:rFonts w:ascii="Times New Roman" w:hAnsi="Times New Roman"/>
          <w:sz w:val="24"/>
          <w:szCs w:val="24"/>
          <w:lang w:val="en-US"/>
        </w:rPr>
        <w:t xml:space="preserve"> post-surgical </w:t>
      </w:r>
      <w:r>
        <w:rPr>
          <w:rFonts w:ascii="Times New Roman" w:hAnsi="Times New Roman"/>
          <w:sz w:val="24"/>
          <w:szCs w:val="24"/>
          <w:lang w:val="en-US"/>
        </w:rPr>
        <w:t>and post-vaccination GBS</w:t>
      </w:r>
      <w:r w:rsidRPr="00D20281">
        <w:rPr>
          <w:rFonts w:ascii="Times New Roman" w:hAnsi="Times New Roman"/>
          <w:sz w:val="24"/>
          <w:szCs w:val="24"/>
          <w:lang w:val="en-US"/>
        </w:rPr>
        <w:t xml:space="preserve"> patients</w:t>
      </w:r>
    </w:p>
    <w:tbl>
      <w:tblPr>
        <w:tblW w:w="107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84"/>
        <w:gridCol w:w="1485"/>
        <w:gridCol w:w="1417"/>
        <w:gridCol w:w="1985"/>
        <w:gridCol w:w="1842"/>
        <w:gridCol w:w="2170"/>
      </w:tblGrid>
      <w:tr w:rsidR="00EB25E2" w:rsidTr="00EB25E2">
        <w:tc>
          <w:tcPr>
            <w:tcW w:w="1884"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rFonts w:ascii="Times New Roman" w:hAnsi="Times New Roman"/>
                <w:sz w:val="24"/>
                <w:szCs w:val="24"/>
                <w:lang w:val="en-US"/>
              </w:rPr>
            </w:pPr>
            <w:r>
              <w:rPr>
                <w:rFonts w:ascii="Times New Roman" w:hAnsi="Times New Roman"/>
                <w:sz w:val="24"/>
                <w:szCs w:val="24"/>
                <w:lang w:val="en-US"/>
              </w:rPr>
              <w:t>Type of surgery / vaccination</w:t>
            </w:r>
          </w:p>
        </w:tc>
        <w:tc>
          <w:tcPr>
            <w:tcW w:w="1485"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rFonts w:ascii="Times New Roman" w:hAnsi="Times New Roman"/>
                <w:sz w:val="24"/>
                <w:szCs w:val="24"/>
                <w:lang w:val="en-US"/>
              </w:rPr>
            </w:pPr>
            <w:r>
              <w:rPr>
                <w:rFonts w:ascii="Times New Roman" w:hAnsi="Times New Roman"/>
                <w:sz w:val="24"/>
                <w:szCs w:val="24"/>
                <w:lang w:val="en-US"/>
              </w:rPr>
              <w:t>Gender (M/F)</w:t>
            </w:r>
          </w:p>
        </w:tc>
        <w:tc>
          <w:tcPr>
            <w:tcW w:w="1417"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rFonts w:ascii="Times New Roman" w:hAnsi="Times New Roman"/>
                <w:sz w:val="24"/>
                <w:szCs w:val="24"/>
                <w:lang w:val="en-US"/>
              </w:rPr>
            </w:pPr>
            <w:r>
              <w:rPr>
                <w:rFonts w:ascii="Times New Roman" w:hAnsi="Times New Roman"/>
                <w:sz w:val="24"/>
                <w:szCs w:val="24"/>
                <w:lang w:val="en-US"/>
              </w:rPr>
              <w:t>Age (year)</w:t>
            </w:r>
          </w:p>
        </w:tc>
        <w:tc>
          <w:tcPr>
            <w:tcW w:w="1985"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rFonts w:ascii="Times New Roman" w:hAnsi="Times New Roman"/>
                <w:sz w:val="24"/>
                <w:szCs w:val="24"/>
                <w:lang w:val="en-US"/>
              </w:rPr>
            </w:pPr>
            <w:r>
              <w:rPr>
                <w:rFonts w:ascii="Times New Roman" w:hAnsi="Times New Roman"/>
                <w:sz w:val="24"/>
                <w:szCs w:val="24"/>
                <w:lang w:val="en-US"/>
              </w:rPr>
              <w:t>Days before onset and subtype of GBS</w:t>
            </w:r>
          </w:p>
        </w:tc>
        <w:tc>
          <w:tcPr>
            <w:tcW w:w="184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rFonts w:ascii="Times New Roman" w:hAnsi="Times New Roman"/>
                <w:sz w:val="24"/>
                <w:szCs w:val="24"/>
                <w:lang w:val="en-US"/>
              </w:rPr>
            </w:pPr>
            <w:r>
              <w:rPr>
                <w:rFonts w:ascii="Times New Roman" w:hAnsi="Times New Roman"/>
                <w:sz w:val="24"/>
                <w:szCs w:val="24"/>
                <w:lang w:val="en-US"/>
              </w:rPr>
              <w:t>Month and year of onset</w:t>
            </w:r>
          </w:p>
        </w:tc>
        <w:tc>
          <w:tcPr>
            <w:tcW w:w="2170"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rFonts w:ascii="Times New Roman" w:hAnsi="Times New Roman"/>
                <w:sz w:val="24"/>
                <w:szCs w:val="24"/>
                <w:lang w:val="en-US"/>
              </w:rPr>
            </w:pPr>
            <w:r>
              <w:rPr>
                <w:rFonts w:ascii="Times New Roman" w:hAnsi="Times New Roman"/>
                <w:sz w:val="24"/>
                <w:szCs w:val="24"/>
                <w:lang w:val="en-US"/>
              </w:rPr>
              <w:t xml:space="preserve">Other </w:t>
            </w:r>
          </w:p>
        </w:tc>
      </w:tr>
      <w:tr w:rsidR="00EB25E2" w:rsidTr="00EB25E2">
        <w:tc>
          <w:tcPr>
            <w:tcW w:w="1884"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rFonts w:ascii="Times New Roman" w:hAnsi="Times New Roman"/>
                <w:sz w:val="24"/>
                <w:szCs w:val="24"/>
                <w:lang w:val="en-US"/>
              </w:rPr>
            </w:pPr>
            <w:r>
              <w:rPr>
                <w:rFonts w:ascii="Times New Roman" w:hAnsi="Times New Roman"/>
                <w:sz w:val="24"/>
                <w:szCs w:val="24"/>
                <w:lang w:val="en-US"/>
              </w:rPr>
              <w:t>Thymectomy</w:t>
            </w:r>
          </w:p>
        </w:tc>
        <w:tc>
          <w:tcPr>
            <w:tcW w:w="1485"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rFonts w:ascii="Times New Roman" w:hAnsi="Times New Roman"/>
                <w:sz w:val="24"/>
                <w:szCs w:val="24"/>
                <w:lang w:val="en-US"/>
              </w:rPr>
            </w:pPr>
            <w:r>
              <w:rPr>
                <w:rFonts w:ascii="Times New Roman" w:hAnsi="Times New Roman"/>
                <w:sz w:val="24"/>
                <w:szCs w:val="24"/>
                <w:lang w:val="en-US"/>
              </w:rPr>
              <w:t>F</w:t>
            </w:r>
          </w:p>
        </w:tc>
        <w:tc>
          <w:tcPr>
            <w:tcW w:w="1417"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rFonts w:ascii="Times New Roman" w:hAnsi="Times New Roman"/>
                <w:sz w:val="24"/>
                <w:szCs w:val="24"/>
                <w:lang w:val="en-US"/>
              </w:rPr>
            </w:pPr>
            <w:r>
              <w:rPr>
                <w:rFonts w:ascii="Times New Roman" w:hAnsi="Times New Roman"/>
                <w:sz w:val="24"/>
                <w:szCs w:val="24"/>
                <w:lang w:val="en-US"/>
              </w:rPr>
              <w:t>60</w:t>
            </w:r>
          </w:p>
        </w:tc>
        <w:tc>
          <w:tcPr>
            <w:tcW w:w="1985"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rFonts w:ascii="Times New Roman" w:hAnsi="Times New Roman"/>
                <w:sz w:val="24"/>
                <w:szCs w:val="24"/>
                <w:lang w:val="en-US"/>
              </w:rPr>
            </w:pPr>
            <w:r>
              <w:rPr>
                <w:rFonts w:ascii="Times New Roman" w:hAnsi="Times New Roman"/>
                <w:sz w:val="24"/>
                <w:szCs w:val="24"/>
                <w:lang w:val="en-US"/>
              </w:rPr>
              <w:t>15, AIDP</w:t>
            </w:r>
          </w:p>
        </w:tc>
        <w:tc>
          <w:tcPr>
            <w:tcW w:w="184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rFonts w:ascii="Times New Roman" w:hAnsi="Times New Roman"/>
                <w:sz w:val="24"/>
                <w:szCs w:val="24"/>
                <w:lang w:val="en-US"/>
              </w:rPr>
            </w:pPr>
            <w:r>
              <w:rPr>
                <w:rFonts w:ascii="Times New Roman" w:hAnsi="Times New Roman"/>
                <w:sz w:val="24"/>
                <w:szCs w:val="24"/>
                <w:lang w:val="en-US"/>
              </w:rPr>
              <w:t>February 2010</w:t>
            </w:r>
          </w:p>
        </w:tc>
        <w:tc>
          <w:tcPr>
            <w:tcW w:w="2170"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rFonts w:ascii="Times New Roman" w:hAnsi="Times New Roman"/>
                <w:sz w:val="24"/>
                <w:szCs w:val="24"/>
                <w:lang w:val="en-US"/>
              </w:rPr>
            </w:pPr>
            <w:r>
              <w:rPr>
                <w:rFonts w:ascii="Times New Roman" w:hAnsi="Times New Roman"/>
                <w:sz w:val="24"/>
                <w:szCs w:val="24"/>
                <w:lang w:val="en-US"/>
              </w:rPr>
              <w:t>Mediastinoscopy</w:t>
            </w:r>
          </w:p>
        </w:tc>
      </w:tr>
      <w:tr w:rsidR="00EB25E2" w:rsidRPr="00EB25E2" w:rsidTr="00EB25E2">
        <w:tc>
          <w:tcPr>
            <w:tcW w:w="1884"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rFonts w:ascii="Times New Roman" w:hAnsi="Times New Roman"/>
                <w:sz w:val="24"/>
                <w:szCs w:val="24"/>
                <w:lang w:val="en-US"/>
              </w:rPr>
            </w:pPr>
            <w:r>
              <w:rPr>
                <w:rFonts w:ascii="Times New Roman" w:hAnsi="Times New Roman"/>
                <w:sz w:val="24"/>
                <w:szCs w:val="24"/>
                <w:lang w:val="en-US"/>
              </w:rPr>
              <w:t>Posterior fusion of lumbar spine with fixation, more than 3 vertebraea</w:t>
            </w:r>
          </w:p>
        </w:tc>
        <w:tc>
          <w:tcPr>
            <w:tcW w:w="1485"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rFonts w:ascii="Times New Roman" w:hAnsi="Times New Roman"/>
                <w:sz w:val="24"/>
                <w:szCs w:val="24"/>
                <w:lang w:val="en-US"/>
              </w:rPr>
            </w:pPr>
            <w:r>
              <w:rPr>
                <w:rFonts w:ascii="Times New Roman" w:hAnsi="Times New Roman"/>
                <w:sz w:val="24"/>
                <w:szCs w:val="24"/>
                <w:lang w:val="en-US"/>
              </w:rPr>
              <w:t>M</w:t>
            </w:r>
          </w:p>
        </w:tc>
        <w:tc>
          <w:tcPr>
            <w:tcW w:w="1417"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rFonts w:ascii="Times New Roman" w:hAnsi="Times New Roman"/>
                <w:sz w:val="24"/>
                <w:szCs w:val="24"/>
                <w:lang w:val="en-US"/>
              </w:rPr>
            </w:pPr>
            <w:r>
              <w:rPr>
                <w:rFonts w:ascii="Times New Roman" w:hAnsi="Times New Roman"/>
                <w:sz w:val="24"/>
                <w:szCs w:val="24"/>
                <w:lang w:val="en-US"/>
              </w:rPr>
              <w:t>75</w:t>
            </w:r>
          </w:p>
        </w:tc>
        <w:tc>
          <w:tcPr>
            <w:tcW w:w="1985"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rFonts w:ascii="Times New Roman" w:hAnsi="Times New Roman"/>
                <w:sz w:val="24"/>
                <w:szCs w:val="24"/>
                <w:lang w:val="en-US"/>
              </w:rPr>
            </w:pPr>
            <w:r>
              <w:rPr>
                <w:rFonts w:ascii="Times New Roman" w:hAnsi="Times New Roman"/>
                <w:sz w:val="24"/>
                <w:szCs w:val="24"/>
                <w:lang w:val="en-US"/>
              </w:rPr>
              <w:t>9, AIDP</w:t>
            </w:r>
          </w:p>
        </w:tc>
        <w:tc>
          <w:tcPr>
            <w:tcW w:w="184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rFonts w:ascii="Times New Roman" w:hAnsi="Times New Roman"/>
                <w:sz w:val="24"/>
                <w:szCs w:val="24"/>
                <w:lang w:val="en-US"/>
              </w:rPr>
            </w:pPr>
            <w:r>
              <w:rPr>
                <w:rFonts w:ascii="Times New Roman" w:hAnsi="Times New Roman"/>
                <w:sz w:val="24"/>
                <w:szCs w:val="24"/>
                <w:lang w:val="en-US"/>
              </w:rPr>
              <w:t>December 2012</w:t>
            </w:r>
          </w:p>
        </w:tc>
        <w:tc>
          <w:tcPr>
            <w:tcW w:w="2170"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rFonts w:ascii="Times New Roman" w:hAnsi="Times New Roman"/>
                <w:sz w:val="24"/>
                <w:szCs w:val="24"/>
                <w:lang w:val="en-US"/>
              </w:rPr>
            </w:pPr>
            <w:r>
              <w:rPr>
                <w:rFonts w:ascii="Times New Roman" w:hAnsi="Times New Roman"/>
                <w:sz w:val="24"/>
                <w:szCs w:val="24"/>
                <w:lang w:val="en-US"/>
              </w:rPr>
              <w:t>Re-operated the next day due to pedicle screw compressing on n. peroneus. Received 324ml of autologous, washed red blood cells (RBC) in the first surgery and 0.615 units of allogenic RBC’s in the second</w:t>
            </w:r>
          </w:p>
        </w:tc>
      </w:tr>
      <w:tr w:rsidR="00EB25E2" w:rsidTr="00EB25E2">
        <w:tc>
          <w:tcPr>
            <w:tcW w:w="1884"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rFonts w:ascii="Times New Roman" w:hAnsi="Times New Roman"/>
                <w:sz w:val="24"/>
                <w:szCs w:val="24"/>
                <w:lang w:val="en-US"/>
              </w:rPr>
            </w:pPr>
            <w:r>
              <w:rPr>
                <w:rFonts w:ascii="Times New Roman" w:hAnsi="Times New Roman"/>
                <w:sz w:val="24"/>
                <w:szCs w:val="24"/>
                <w:lang w:val="en-US"/>
              </w:rPr>
              <w:t>Posterior fusion of lumbar spine without fixation and decompression of lumbar nerve roots</w:t>
            </w:r>
          </w:p>
        </w:tc>
        <w:tc>
          <w:tcPr>
            <w:tcW w:w="1485"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rFonts w:ascii="Times New Roman" w:hAnsi="Times New Roman"/>
                <w:sz w:val="24"/>
                <w:szCs w:val="24"/>
                <w:lang w:val="en-US"/>
              </w:rPr>
            </w:pPr>
            <w:r>
              <w:rPr>
                <w:rFonts w:ascii="Times New Roman" w:hAnsi="Times New Roman"/>
                <w:sz w:val="24"/>
                <w:szCs w:val="24"/>
                <w:lang w:val="en-US"/>
              </w:rPr>
              <w:t>F</w:t>
            </w:r>
          </w:p>
        </w:tc>
        <w:tc>
          <w:tcPr>
            <w:tcW w:w="1417"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rFonts w:ascii="Times New Roman" w:hAnsi="Times New Roman"/>
                <w:sz w:val="24"/>
                <w:szCs w:val="24"/>
                <w:lang w:val="en-US"/>
              </w:rPr>
            </w:pPr>
            <w:r>
              <w:rPr>
                <w:rFonts w:ascii="Times New Roman" w:hAnsi="Times New Roman"/>
                <w:sz w:val="24"/>
                <w:szCs w:val="24"/>
                <w:lang w:val="en-US"/>
              </w:rPr>
              <w:t>69</w:t>
            </w:r>
          </w:p>
        </w:tc>
        <w:tc>
          <w:tcPr>
            <w:tcW w:w="1985"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rFonts w:ascii="Times New Roman" w:hAnsi="Times New Roman"/>
                <w:sz w:val="24"/>
                <w:szCs w:val="24"/>
                <w:lang w:val="en-US"/>
              </w:rPr>
            </w:pPr>
            <w:r>
              <w:rPr>
                <w:rFonts w:ascii="Times New Roman" w:hAnsi="Times New Roman"/>
                <w:sz w:val="24"/>
                <w:szCs w:val="24"/>
                <w:lang w:val="en-US"/>
              </w:rPr>
              <w:t>30, AIDP</w:t>
            </w:r>
          </w:p>
        </w:tc>
        <w:tc>
          <w:tcPr>
            <w:tcW w:w="184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rFonts w:ascii="Times New Roman" w:hAnsi="Times New Roman"/>
                <w:sz w:val="24"/>
                <w:szCs w:val="24"/>
                <w:lang w:val="en-US"/>
              </w:rPr>
            </w:pPr>
            <w:r>
              <w:rPr>
                <w:rFonts w:ascii="Times New Roman" w:hAnsi="Times New Roman"/>
                <w:sz w:val="24"/>
                <w:szCs w:val="24"/>
                <w:lang w:val="en-US"/>
              </w:rPr>
              <w:t>June 2011</w:t>
            </w:r>
          </w:p>
        </w:tc>
        <w:tc>
          <w:tcPr>
            <w:tcW w:w="2170" w:type="dxa"/>
            <w:tcBorders>
              <w:top w:val="single" w:sz="4" w:space="0" w:color="auto"/>
              <w:left w:val="single" w:sz="4" w:space="0" w:color="auto"/>
              <w:bottom w:val="single" w:sz="4" w:space="0" w:color="auto"/>
              <w:right w:val="single" w:sz="4" w:space="0" w:color="auto"/>
            </w:tcBorders>
          </w:tcPr>
          <w:p w:rsidR="00EB25E2" w:rsidRDefault="00EB25E2">
            <w:pPr>
              <w:spacing w:after="0" w:line="240" w:lineRule="auto"/>
              <w:jc w:val="center"/>
              <w:rPr>
                <w:rFonts w:ascii="Times New Roman" w:hAnsi="Times New Roman"/>
                <w:sz w:val="24"/>
                <w:szCs w:val="24"/>
                <w:lang w:val="en-US"/>
              </w:rPr>
            </w:pPr>
          </w:p>
        </w:tc>
      </w:tr>
      <w:tr w:rsidR="00EB25E2" w:rsidTr="00EB25E2">
        <w:tc>
          <w:tcPr>
            <w:tcW w:w="1884"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rFonts w:ascii="Times New Roman" w:hAnsi="Times New Roman"/>
                <w:sz w:val="24"/>
                <w:szCs w:val="24"/>
                <w:lang w:val="en-US"/>
              </w:rPr>
            </w:pPr>
            <w:r>
              <w:rPr>
                <w:rFonts w:ascii="Times New Roman" w:hAnsi="Times New Roman"/>
                <w:sz w:val="24"/>
                <w:szCs w:val="24"/>
                <w:lang w:val="en-US"/>
              </w:rPr>
              <w:t>Extended vitrectomy through pars plana</w:t>
            </w:r>
          </w:p>
        </w:tc>
        <w:tc>
          <w:tcPr>
            <w:tcW w:w="1485"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rFonts w:ascii="Times New Roman" w:hAnsi="Times New Roman"/>
                <w:sz w:val="24"/>
                <w:szCs w:val="24"/>
                <w:lang w:val="en-US"/>
              </w:rPr>
            </w:pPr>
            <w:r>
              <w:rPr>
                <w:rFonts w:ascii="Times New Roman" w:hAnsi="Times New Roman"/>
                <w:sz w:val="24"/>
                <w:szCs w:val="24"/>
                <w:lang w:val="en-US"/>
              </w:rPr>
              <w:t>F</w:t>
            </w:r>
          </w:p>
        </w:tc>
        <w:tc>
          <w:tcPr>
            <w:tcW w:w="1417"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rFonts w:ascii="Times New Roman" w:hAnsi="Times New Roman"/>
                <w:sz w:val="24"/>
                <w:szCs w:val="24"/>
                <w:lang w:val="en-US"/>
              </w:rPr>
            </w:pPr>
            <w:r>
              <w:rPr>
                <w:rFonts w:ascii="Times New Roman" w:hAnsi="Times New Roman"/>
                <w:sz w:val="24"/>
                <w:szCs w:val="24"/>
                <w:lang w:val="en-US"/>
              </w:rPr>
              <w:t>33</w:t>
            </w:r>
          </w:p>
        </w:tc>
        <w:tc>
          <w:tcPr>
            <w:tcW w:w="1985"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rFonts w:ascii="Times New Roman" w:hAnsi="Times New Roman"/>
                <w:sz w:val="24"/>
                <w:szCs w:val="24"/>
                <w:lang w:val="en-US"/>
              </w:rPr>
            </w:pPr>
            <w:r>
              <w:rPr>
                <w:rFonts w:ascii="Times New Roman" w:hAnsi="Times New Roman"/>
                <w:sz w:val="24"/>
                <w:szCs w:val="24"/>
                <w:lang w:val="en-US"/>
              </w:rPr>
              <w:t>Unknown, AMSAN</w:t>
            </w:r>
          </w:p>
        </w:tc>
        <w:tc>
          <w:tcPr>
            <w:tcW w:w="184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rFonts w:ascii="Times New Roman" w:hAnsi="Times New Roman"/>
                <w:sz w:val="24"/>
                <w:szCs w:val="24"/>
                <w:lang w:val="en-US"/>
              </w:rPr>
            </w:pPr>
            <w:r>
              <w:rPr>
                <w:rFonts w:ascii="Times New Roman" w:hAnsi="Times New Roman"/>
                <w:sz w:val="24"/>
                <w:szCs w:val="24"/>
                <w:lang w:val="en-US"/>
              </w:rPr>
              <w:t>May 2004</w:t>
            </w:r>
          </w:p>
        </w:tc>
        <w:tc>
          <w:tcPr>
            <w:tcW w:w="2170"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rFonts w:ascii="Times New Roman" w:hAnsi="Times New Roman"/>
                <w:sz w:val="24"/>
                <w:szCs w:val="24"/>
                <w:lang w:val="en-US"/>
              </w:rPr>
            </w:pPr>
            <w:r>
              <w:rPr>
                <w:rFonts w:ascii="Times New Roman" w:hAnsi="Times New Roman"/>
                <w:sz w:val="24"/>
                <w:szCs w:val="24"/>
                <w:lang w:val="en-US"/>
              </w:rPr>
              <w:t>Accurate date of symptom onset not specified but within four weeks of operation. Patient has a juvenile diabetes with multiple complications</w:t>
            </w:r>
          </w:p>
        </w:tc>
      </w:tr>
      <w:tr w:rsidR="00EB25E2" w:rsidRPr="00EB25E2" w:rsidTr="00EB25E2">
        <w:tc>
          <w:tcPr>
            <w:tcW w:w="1884"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rFonts w:ascii="Times New Roman" w:hAnsi="Times New Roman"/>
                <w:sz w:val="24"/>
                <w:szCs w:val="24"/>
                <w:lang w:val="en-US"/>
              </w:rPr>
            </w:pPr>
            <w:r>
              <w:rPr>
                <w:rFonts w:ascii="Times New Roman" w:hAnsi="Times New Roman"/>
                <w:sz w:val="24"/>
                <w:szCs w:val="24"/>
                <w:lang w:val="en-US"/>
              </w:rPr>
              <w:t>Seasonal influenza</w:t>
            </w:r>
          </w:p>
        </w:tc>
        <w:tc>
          <w:tcPr>
            <w:tcW w:w="1485"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rFonts w:ascii="Times New Roman" w:hAnsi="Times New Roman"/>
                <w:sz w:val="24"/>
                <w:szCs w:val="24"/>
                <w:lang w:val="en-US"/>
              </w:rPr>
            </w:pPr>
            <w:r>
              <w:rPr>
                <w:rFonts w:ascii="Times New Roman" w:hAnsi="Times New Roman"/>
                <w:sz w:val="24"/>
                <w:szCs w:val="24"/>
                <w:lang w:val="en-US"/>
              </w:rPr>
              <w:t>F</w:t>
            </w:r>
          </w:p>
        </w:tc>
        <w:tc>
          <w:tcPr>
            <w:tcW w:w="1417"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rFonts w:ascii="Times New Roman" w:hAnsi="Times New Roman"/>
                <w:sz w:val="24"/>
                <w:szCs w:val="24"/>
                <w:lang w:val="en-US"/>
              </w:rPr>
            </w:pPr>
            <w:r>
              <w:rPr>
                <w:rFonts w:ascii="Times New Roman" w:hAnsi="Times New Roman"/>
                <w:sz w:val="24"/>
                <w:szCs w:val="24"/>
                <w:lang w:val="en-US"/>
              </w:rPr>
              <w:t>65</w:t>
            </w:r>
          </w:p>
        </w:tc>
        <w:tc>
          <w:tcPr>
            <w:tcW w:w="1985"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rFonts w:ascii="Times New Roman" w:hAnsi="Times New Roman"/>
                <w:sz w:val="24"/>
                <w:szCs w:val="24"/>
                <w:lang w:val="en-US"/>
              </w:rPr>
            </w:pPr>
            <w:r>
              <w:rPr>
                <w:rFonts w:ascii="Times New Roman" w:hAnsi="Times New Roman"/>
                <w:sz w:val="24"/>
                <w:szCs w:val="24"/>
                <w:lang w:val="en-US"/>
              </w:rPr>
              <w:t>19, AMAN</w:t>
            </w:r>
          </w:p>
        </w:tc>
        <w:tc>
          <w:tcPr>
            <w:tcW w:w="184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rFonts w:ascii="Times New Roman" w:hAnsi="Times New Roman"/>
                <w:sz w:val="24"/>
                <w:szCs w:val="24"/>
                <w:lang w:val="en-US"/>
              </w:rPr>
            </w:pPr>
            <w:r>
              <w:rPr>
                <w:rFonts w:ascii="Times New Roman" w:hAnsi="Times New Roman"/>
                <w:sz w:val="24"/>
                <w:szCs w:val="24"/>
                <w:lang w:val="en-US"/>
              </w:rPr>
              <w:t>November 2007</w:t>
            </w:r>
          </w:p>
        </w:tc>
        <w:tc>
          <w:tcPr>
            <w:tcW w:w="2170"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rFonts w:ascii="Times New Roman" w:hAnsi="Times New Roman"/>
                <w:sz w:val="24"/>
                <w:szCs w:val="24"/>
                <w:lang w:val="en-US"/>
              </w:rPr>
            </w:pPr>
            <w:r>
              <w:rPr>
                <w:rFonts w:ascii="Times New Roman" w:hAnsi="Times New Roman"/>
                <w:sz w:val="24"/>
                <w:szCs w:val="24"/>
                <w:lang w:val="en-US"/>
              </w:rPr>
              <w:t>A severe pneumonia 5 days before onset of polyradiculitis</w:t>
            </w:r>
          </w:p>
        </w:tc>
      </w:tr>
      <w:tr w:rsidR="00EB25E2" w:rsidRPr="00EB25E2" w:rsidTr="00EB25E2">
        <w:tc>
          <w:tcPr>
            <w:tcW w:w="1884"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rFonts w:ascii="Times New Roman" w:hAnsi="Times New Roman"/>
                <w:sz w:val="24"/>
                <w:szCs w:val="24"/>
                <w:lang w:val="en-US"/>
              </w:rPr>
            </w:pPr>
            <w:r>
              <w:rPr>
                <w:rFonts w:ascii="Times New Roman" w:hAnsi="Times New Roman"/>
                <w:sz w:val="24"/>
                <w:szCs w:val="24"/>
                <w:lang w:val="en-US"/>
              </w:rPr>
              <w:t>Pandemic influenza</w:t>
            </w:r>
          </w:p>
        </w:tc>
        <w:tc>
          <w:tcPr>
            <w:tcW w:w="1485"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rFonts w:ascii="Times New Roman" w:hAnsi="Times New Roman"/>
                <w:sz w:val="24"/>
                <w:szCs w:val="24"/>
                <w:lang w:val="en-US"/>
              </w:rPr>
            </w:pPr>
            <w:r>
              <w:rPr>
                <w:rFonts w:ascii="Times New Roman" w:hAnsi="Times New Roman"/>
                <w:sz w:val="24"/>
                <w:szCs w:val="24"/>
                <w:lang w:val="en-US"/>
              </w:rPr>
              <w:t>F</w:t>
            </w:r>
          </w:p>
        </w:tc>
        <w:tc>
          <w:tcPr>
            <w:tcW w:w="1417"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rFonts w:ascii="Times New Roman" w:hAnsi="Times New Roman"/>
                <w:sz w:val="24"/>
                <w:szCs w:val="24"/>
                <w:lang w:val="en-US"/>
              </w:rPr>
            </w:pPr>
            <w:r>
              <w:rPr>
                <w:rFonts w:ascii="Times New Roman" w:hAnsi="Times New Roman"/>
                <w:sz w:val="24"/>
                <w:szCs w:val="24"/>
                <w:lang w:val="en-US"/>
              </w:rPr>
              <w:t>74</w:t>
            </w:r>
          </w:p>
        </w:tc>
        <w:tc>
          <w:tcPr>
            <w:tcW w:w="1985"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rFonts w:ascii="Times New Roman" w:hAnsi="Times New Roman"/>
                <w:sz w:val="24"/>
                <w:szCs w:val="24"/>
                <w:lang w:val="en-US"/>
              </w:rPr>
            </w:pPr>
            <w:r>
              <w:rPr>
                <w:rFonts w:ascii="Times New Roman" w:hAnsi="Times New Roman"/>
                <w:sz w:val="24"/>
                <w:szCs w:val="24"/>
                <w:lang w:val="en-US"/>
              </w:rPr>
              <w:t>14, ENMG not done</w:t>
            </w:r>
          </w:p>
        </w:tc>
        <w:tc>
          <w:tcPr>
            <w:tcW w:w="1842"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rFonts w:ascii="Times New Roman" w:hAnsi="Times New Roman"/>
                <w:sz w:val="24"/>
                <w:szCs w:val="24"/>
                <w:lang w:val="en-US"/>
              </w:rPr>
            </w:pPr>
            <w:r>
              <w:rPr>
                <w:rFonts w:ascii="Times New Roman" w:hAnsi="Times New Roman"/>
                <w:sz w:val="24"/>
                <w:szCs w:val="24"/>
                <w:lang w:val="en-US"/>
              </w:rPr>
              <w:t>January 2010</w:t>
            </w:r>
          </w:p>
        </w:tc>
        <w:tc>
          <w:tcPr>
            <w:tcW w:w="2170" w:type="dxa"/>
            <w:tcBorders>
              <w:top w:val="single" w:sz="4" w:space="0" w:color="auto"/>
              <w:left w:val="single" w:sz="4" w:space="0" w:color="auto"/>
              <w:bottom w:val="single" w:sz="4" w:space="0" w:color="auto"/>
              <w:right w:val="single" w:sz="4" w:space="0" w:color="auto"/>
            </w:tcBorders>
            <w:hideMark/>
          </w:tcPr>
          <w:p w:rsidR="00EB25E2" w:rsidRDefault="00EB25E2">
            <w:pPr>
              <w:spacing w:after="0" w:line="240" w:lineRule="auto"/>
              <w:jc w:val="center"/>
              <w:rPr>
                <w:rFonts w:ascii="Times New Roman" w:hAnsi="Times New Roman"/>
                <w:sz w:val="24"/>
                <w:szCs w:val="24"/>
                <w:lang w:val="en-US"/>
              </w:rPr>
            </w:pPr>
            <w:r>
              <w:rPr>
                <w:rFonts w:ascii="Times New Roman" w:hAnsi="Times New Roman"/>
                <w:sz w:val="24"/>
                <w:szCs w:val="24"/>
                <w:lang w:val="en-US"/>
              </w:rPr>
              <w:t>Symptoms limited to cranial nerves</w:t>
            </w:r>
          </w:p>
        </w:tc>
      </w:tr>
    </w:tbl>
    <w:p w:rsidR="00B356BE" w:rsidRPr="00E60778" w:rsidRDefault="00B356BE" w:rsidP="00390D95">
      <w:pPr>
        <w:rPr>
          <w:rFonts w:ascii="Times New Roman" w:hAnsi="Times New Roman"/>
          <w:sz w:val="24"/>
          <w:szCs w:val="24"/>
          <w:lang w:val="en-US"/>
        </w:rPr>
      </w:pPr>
    </w:p>
    <w:p w:rsidR="00B356BE" w:rsidRPr="00E60778" w:rsidRDefault="00B356BE" w:rsidP="00390D95">
      <w:pPr>
        <w:rPr>
          <w:rFonts w:ascii="Times New Roman" w:hAnsi="Times New Roman"/>
          <w:sz w:val="24"/>
          <w:szCs w:val="24"/>
          <w:lang w:val="en-US"/>
        </w:rPr>
      </w:pPr>
    </w:p>
    <w:p w:rsidR="00B356BE" w:rsidRDefault="00B356BE" w:rsidP="00E60778">
      <w:pPr>
        <w:rPr>
          <w:rFonts w:ascii="Times New Roman" w:hAnsi="Times New Roman"/>
          <w:sz w:val="24"/>
          <w:szCs w:val="24"/>
          <w:lang w:val="en-US"/>
        </w:rPr>
      </w:pPr>
    </w:p>
    <w:sectPr w:rsidR="00B356BE" w:rsidSect="00843C59">
      <w:pgSz w:w="11906" w:h="16838"/>
      <w:pgMar w:top="1417" w:right="1134"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A93FCE"/>
    <w:multiLevelType w:val="hybridMultilevel"/>
    <w:tmpl w:val="C52CA79E"/>
    <w:lvl w:ilvl="0" w:tplc="040B0011">
      <w:start w:val="1"/>
      <w:numFmt w:val="decimal"/>
      <w:lvlText w:val="%1)"/>
      <w:lvlJc w:val="left"/>
      <w:pPr>
        <w:ind w:left="720" w:hanging="360"/>
      </w:pPr>
      <w:rPr>
        <w:rFonts w:cs="Times New Roman" w:hint="default"/>
      </w:rPr>
    </w:lvl>
    <w:lvl w:ilvl="1" w:tplc="040B0019" w:tentative="1">
      <w:start w:val="1"/>
      <w:numFmt w:val="lowerLetter"/>
      <w:lvlText w:val="%2."/>
      <w:lvlJc w:val="left"/>
      <w:pPr>
        <w:ind w:left="1440" w:hanging="360"/>
      </w:pPr>
      <w:rPr>
        <w:rFonts w:cs="Times New Roman"/>
      </w:rPr>
    </w:lvl>
    <w:lvl w:ilvl="2" w:tplc="040B001B" w:tentative="1">
      <w:start w:val="1"/>
      <w:numFmt w:val="lowerRoman"/>
      <w:lvlText w:val="%3."/>
      <w:lvlJc w:val="right"/>
      <w:pPr>
        <w:ind w:left="2160" w:hanging="180"/>
      </w:pPr>
      <w:rPr>
        <w:rFonts w:cs="Times New Roman"/>
      </w:rPr>
    </w:lvl>
    <w:lvl w:ilvl="3" w:tplc="040B000F" w:tentative="1">
      <w:start w:val="1"/>
      <w:numFmt w:val="decimal"/>
      <w:lvlText w:val="%4."/>
      <w:lvlJc w:val="left"/>
      <w:pPr>
        <w:ind w:left="2880" w:hanging="360"/>
      </w:pPr>
      <w:rPr>
        <w:rFonts w:cs="Times New Roman"/>
      </w:rPr>
    </w:lvl>
    <w:lvl w:ilvl="4" w:tplc="040B0019" w:tentative="1">
      <w:start w:val="1"/>
      <w:numFmt w:val="lowerLetter"/>
      <w:lvlText w:val="%5."/>
      <w:lvlJc w:val="left"/>
      <w:pPr>
        <w:ind w:left="3600" w:hanging="360"/>
      </w:pPr>
      <w:rPr>
        <w:rFonts w:cs="Times New Roman"/>
      </w:rPr>
    </w:lvl>
    <w:lvl w:ilvl="5" w:tplc="040B001B" w:tentative="1">
      <w:start w:val="1"/>
      <w:numFmt w:val="lowerRoman"/>
      <w:lvlText w:val="%6."/>
      <w:lvlJc w:val="right"/>
      <w:pPr>
        <w:ind w:left="4320" w:hanging="180"/>
      </w:pPr>
      <w:rPr>
        <w:rFonts w:cs="Times New Roman"/>
      </w:rPr>
    </w:lvl>
    <w:lvl w:ilvl="6" w:tplc="040B000F" w:tentative="1">
      <w:start w:val="1"/>
      <w:numFmt w:val="decimal"/>
      <w:lvlText w:val="%7."/>
      <w:lvlJc w:val="left"/>
      <w:pPr>
        <w:ind w:left="5040" w:hanging="360"/>
      </w:pPr>
      <w:rPr>
        <w:rFonts w:cs="Times New Roman"/>
      </w:rPr>
    </w:lvl>
    <w:lvl w:ilvl="7" w:tplc="040B0019" w:tentative="1">
      <w:start w:val="1"/>
      <w:numFmt w:val="lowerLetter"/>
      <w:lvlText w:val="%8."/>
      <w:lvlJc w:val="left"/>
      <w:pPr>
        <w:ind w:left="5760" w:hanging="360"/>
      </w:pPr>
      <w:rPr>
        <w:rFonts w:cs="Times New Roman"/>
      </w:rPr>
    </w:lvl>
    <w:lvl w:ilvl="8" w:tplc="040B001B" w:tentative="1">
      <w:start w:val="1"/>
      <w:numFmt w:val="lowerRoman"/>
      <w:lvlText w:val="%9."/>
      <w:lvlJc w:val="right"/>
      <w:pPr>
        <w:ind w:left="6480" w:hanging="180"/>
      </w:pPr>
      <w:rPr>
        <w:rFonts w:cs="Times New Roman"/>
      </w:rPr>
    </w:lvl>
  </w:abstractNum>
  <w:abstractNum w:abstractNumId="1">
    <w:nsid w:val="372A0131"/>
    <w:multiLevelType w:val="hybridMultilevel"/>
    <w:tmpl w:val="D6980C32"/>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
    <w:nsid w:val="3D1E618D"/>
    <w:multiLevelType w:val="hybridMultilevel"/>
    <w:tmpl w:val="94A630E4"/>
    <w:lvl w:ilvl="0" w:tplc="3AAC69BA">
      <w:numFmt w:val="bullet"/>
      <w:lvlText w:val="-"/>
      <w:lvlJc w:val="left"/>
      <w:pPr>
        <w:ind w:left="720" w:hanging="360"/>
      </w:pPr>
      <w:rPr>
        <w:rFonts w:ascii="Calibri" w:eastAsia="Times New Roman" w:hAnsi="Calibri" w:hint="default"/>
      </w:rPr>
    </w:lvl>
    <w:lvl w:ilvl="1" w:tplc="040B0003" w:tentative="1">
      <w:start w:val="1"/>
      <w:numFmt w:val="bullet"/>
      <w:lvlText w:val="o"/>
      <w:lvlJc w:val="left"/>
      <w:pPr>
        <w:ind w:left="1440" w:hanging="360"/>
      </w:pPr>
      <w:rPr>
        <w:rFonts w:ascii="Courier New" w:hAnsi="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
    <w:nsid w:val="60450593"/>
    <w:multiLevelType w:val="hybridMultilevel"/>
    <w:tmpl w:val="CEFC194C"/>
    <w:lvl w:ilvl="0" w:tplc="040B000F">
      <w:start w:val="1"/>
      <w:numFmt w:val="decimal"/>
      <w:lvlText w:val="%1."/>
      <w:lvlJc w:val="left"/>
      <w:pPr>
        <w:ind w:left="720" w:hanging="360"/>
      </w:pPr>
      <w:rPr>
        <w:rFonts w:cs="Times New Roman" w:hint="default"/>
      </w:rPr>
    </w:lvl>
    <w:lvl w:ilvl="1" w:tplc="040B0019" w:tentative="1">
      <w:start w:val="1"/>
      <w:numFmt w:val="lowerLetter"/>
      <w:lvlText w:val="%2."/>
      <w:lvlJc w:val="left"/>
      <w:pPr>
        <w:ind w:left="1440" w:hanging="360"/>
      </w:pPr>
      <w:rPr>
        <w:rFonts w:cs="Times New Roman"/>
      </w:rPr>
    </w:lvl>
    <w:lvl w:ilvl="2" w:tplc="040B001B" w:tentative="1">
      <w:start w:val="1"/>
      <w:numFmt w:val="lowerRoman"/>
      <w:lvlText w:val="%3."/>
      <w:lvlJc w:val="right"/>
      <w:pPr>
        <w:ind w:left="2160" w:hanging="180"/>
      </w:pPr>
      <w:rPr>
        <w:rFonts w:cs="Times New Roman"/>
      </w:rPr>
    </w:lvl>
    <w:lvl w:ilvl="3" w:tplc="040B000F" w:tentative="1">
      <w:start w:val="1"/>
      <w:numFmt w:val="decimal"/>
      <w:lvlText w:val="%4."/>
      <w:lvlJc w:val="left"/>
      <w:pPr>
        <w:ind w:left="2880" w:hanging="360"/>
      </w:pPr>
      <w:rPr>
        <w:rFonts w:cs="Times New Roman"/>
      </w:rPr>
    </w:lvl>
    <w:lvl w:ilvl="4" w:tplc="040B0019" w:tentative="1">
      <w:start w:val="1"/>
      <w:numFmt w:val="lowerLetter"/>
      <w:lvlText w:val="%5."/>
      <w:lvlJc w:val="left"/>
      <w:pPr>
        <w:ind w:left="3600" w:hanging="360"/>
      </w:pPr>
      <w:rPr>
        <w:rFonts w:cs="Times New Roman"/>
      </w:rPr>
    </w:lvl>
    <w:lvl w:ilvl="5" w:tplc="040B001B" w:tentative="1">
      <w:start w:val="1"/>
      <w:numFmt w:val="lowerRoman"/>
      <w:lvlText w:val="%6."/>
      <w:lvlJc w:val="right"/>
      <w:pPr>
        <w:ind w:left="4320" w:hanging="180"/>
      </w:pPr>
      <w:rPr>
        <w:rFonts w:cs="Times New Roman"/>
      </w:rPr>
    </w:lvl>
    <w:lvl w:ilvl="6" w:tplc="040B000F" w:tentative="1">
      <w:start w:val="1"/>
      <w:numFmt w:val="decimal"/>
      <w:lvlText w:val="%7."/>
      <w:lvlJc w:val="left"/>
      <w:pPr>
        <w:ind w:left="5040" w:hanging="360"/>
      </w:pPr>
      <w:rPr>
        <w:rFonts w:cs="Times New Roman"/>
      </w:rPr>
    </w:lvl>
    <w:lvl w:ilvl="7" w:tplc="040B0019" w:tentative="1">
      <w:start w:val="1"/>
      <w:numFmt w:val="lowerLetter"/>
      <w:lvlText w:val="%8."/>
      <w:lvlJc w:val="left"/>
      <w:pPr>
        <w:ind w:left="5760" w:hanging="360"/>
      </w:pPr>
      <w:rPr>
        <w:rFonts w:cs="Times New Roman"/>
      </w:rPr>
    </w:lvl>
    <w:lvl w:ilvl="8" w:tplc="040B001B" w:tentative="1">
      <w:start w:val="1"/>
      <w:numFmt w:val="lowerRoman"/>
      <w:lvlText w:val="%9."/>
      <w:lvlJc w:val="right"/>
      <w:pPr>
        <w:ind w:left="6480" w:hanging="180"/>
      </w:pPr>
      <w:rPr>
        <w:rFonts w:cs="Times New Roman"/>
      </w:rPr>
    </w:lvl>
  </w:abstractNum>
  <w:abstractNum w:abstractNumId="4">
    <w:nsid w:val="650C55F8"/>
    <w:multiLevelType w:val="hybridMultilevel"/>
    <w:tmpl w:val="0CF2ECF8"/>
    <w:lvl w:ilvl="0" w:tplc="465E06CC">
      <w:start w:val="28"/>
      <w:numFmt w:val="bullet"/>
      <w:lvlText w:val="-"/>
      <w:lvlJc w:val="left"/>
      <w:pPr>
        <w:ind w:left="720" w:hanging="360"/>
      </w:pPr>
      <w:rPr>
        <w:rFonts w:ascii="Calibri" w:eastAsia="Times New Roman" w:hAnsi="Calibri" w:hint="default"/>
      </w:rPr>
    </w:lvl>
    <w:lvl w:ilvl="1" w:tplc="040B0003" w:tentative="1">
      <w:start w:val="1"/>
      <w:numFmt w:val="bullet"/>
      <w:lvlText w:val="o"/>
      <w:lvlJc w:val="left"/>
      <w:pPr>
        <w:ind w:left="1440" w:hanging="360"/>
      </w:pPr>
      <w:rPr>
        <w:rFonts w:ascii="Courier New" w:hAnsi="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4"/>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1304"/>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3D12"/>
    <w:rsid w:val="000023CB"/>
    <w:rsid w:val="0000767C"/>
    <w:rsid w:val="00013C24"/>
    <w:rsid w:val="0001590E"/>
    <w:rsid w:val="0001599F"/>
    <w:rsid w:val="000234DD"/>
    <w:rsid w:val="00023EF5"/>
    <w:rsid w:val="0002664E"/>
    <w:rsid w:val="00026A01"/>
    <w:rsid w:val="000341C1"/>
    <w:rsid w:val="00036757"/>
    <w:rsid w:val="00037142"/>
    <w:rsid w:val="00037BA9"/>
    <w:rsid w:val="00041213"/>
    <w:rsid w:val="0004288B"/>
    <w:rsid w:val="00044874"/>
    <w:rsid w:val="00046465"/>
    <w:rsid w:val="00051DA1"/>
    <w:rsid w:val="000529DD"/>
    <w:rsid w:val="0006101E"/>
    <w:rsid w:val="00062B04"/>
    <w:rsid w:val="00065A74"/>
    <w:rsid w:val="00065E7B"/>
    <w:rsid w:val="00066337"/>
    <w:rsid w:val="00067DF9"/>
    <w:rsid w:val="000711E5"/>
    <w:rsid w:val="00074992"/>
    <w:rsid w:val="00075F97"/>
    <w:rsid w:val="00077231"/>
    <w:rsid w:val="00085848"/>
    <w:rsid w:val="00094F49"/>
    <w:rsid w:val="000950C7"/>
    <w:rsid w:val="00095409"/>
    <w:rsid w:val="000A0C63"/>
    <w:rsid w:val="000A2F25"/>
    <w:rsid w:val="000A7CBA"/>
    <w:rsid w:val="000B1924"/>
    <w:rsid w:val="000B2BA5"/>
    <w:rsid w:val="000C1706"/>
    <w:rsid w:val="000C49CD"/>
    <w:rsid w:val="000D18FD"/>
    <w:rsid w:val="000D359F"/>
    <w:rsid w:val="000D3703"/>
    <w:rsid w:val="000D6C9E"/>
    <w:rsid w:val="000D78D1"/>
    <w:rsid w:val="000E20D7"/>
    <w:rsid w:val="000E3E43"/>
    <w:rsid w:val="000E647F"/>
    <w:rsid w:val="000F1095"/>
    <w:rsid w:val="000F3958"/>
    <w:rsid w:val="000F3A20"/>
    <w:rsid w:val="000F46B9"/>
    <w:rsid w:val="000F5C5E"/>
    <w:rsid w:val="00101C20"/>
    <w:rsid w:val="00102137"/>
    <w:rsid w:val="00102CE3"/>
    <w:rsid w:val="00102EBA"/>
    <w:rsid w:val="00105851"/>
    <w:rsid w:val="00110C2E"/>
    <w:rsid w:val="00111DE8"/>
    <w:rsid w:val="0011288D"/>
    <w:rsid w:val="00115EE2"/>
    <w:rsid w:val="00116853"/>
    <w:rsid w:val="00120C76"/>
    <w:rsid w:val="00120D62"/>
    <w:rsid w:val="00122579"/>
    <w:rsid w:val="00122958"/>
    <w:rsid w:val="001243EF"/>
    <w:rsid w:val="0012446F"/>
    <w:rsid w:val="00125CA7"/>
    <w:rsid w:val="001379CD"/>
    <w:rsid w:val="00146B10"/>
    <w:rsid w:val="001558B1"/>
    <w:rsid w:val="00156170"/>
    <w:rsid w:val="00162E68"/>
    <w:rsid w:val="00163C56"/>
    <w:rsid w:val="00164961"/>
    <w:rsid w:val="001652E4"/>
    <w:rsid w:val="0016577C"/>
    <w:rsid w:val="001669A8"/>
    <w:rsid w:val="001724CE"/>
    <w:rsid w:val="0018097F"/>
    <w:rsid w:val="001815D4"/>
    <w:rsid w:val="0018257A"/>
    <w:rsid w:val="00186635"/>
    <w:rsid w:val="001901AE"/>
    <w:rsid w:val="00193178"/>
    <w:rsid w:val="001965B0"/>
    <w:rsid w:val="001A121E"/>
    <w:rsid w:val="001A360B"/>
    <w:rsid w:val="001A6ADA"/>
    <w:rsid w:val="001A6AE7"/>
    <w:rsid w:val="001B5AE5"/>
    <w:rsid w:val="001B68CE"/>
    <w:rsid w:val="001B7EEC"/>
    <w:rsid w:val="001C0DF6"/>
    <w:rsid w:val="001C4F2C"/>
    <w:rsid w:val="001D1BA6"/>
    <w:rsid w:val="001E13E5"/>
    <w:rsid w:val="001E1AEF"/>
    <w:rsid w:val="001E440C"/>
    <w:rsid w:val="001F4BEF"/>
    <w:rsid w:val="00202356"/>
    <w:rsid w:val="00211A15"/>
    <w:rsid w:val="00211DFE"/>
    <w:rsid w:val="00211F37"/>
    <w:rsid w:val="002127D9"/>
    <w:rsid w:val="00213394"/>
    <w:rsid w:val="00213D6A"/>
    <w:rsid w:val="0022529D"/>
    <w:rsid w:val="0022625E"/>
    <w:rsid w:val="00232675"/>
    <w:rsid w:val="00232B23"/>
    <w:rsid w:val="0024005F"/>
    <w:rsid w:val="002402D1"/>
    <w:rsid w:val="00240405"/>
    <w:rsid w:val="00241671"/>
    <w:rsid w:val="00244660"/>
    <w:rsid w:val="00245704"/>
    <w:rsid w:val="002502B8"/>
    <w:rsid w:val="0025428C"/>
    <w:rsid w:val="00257BFE"/>
    <w:rsid w:val="00257D46"/>
    <w:rsid w:val="00261668"/>
    <w:rsid w:val="002703EE"/>
    <w:rsid w:val="00271F0B"/>
    <w:rsid w:val="00272340"/>
    <w:rsid w:val="00272D22"/>
    <w:rsid w:val="00273F34"/>
    <w:rsid w:val="0027758D"/>
    <w:rsid w:val="0027798A"/>
    <w:rsid w:val="00280076"/>
    <w:rsid w:val="002813C6"/>
    <w:rsid w:val="00281D20"/>
    <w:rsid w:val="00281F31"/>
    <w:rsid w:val="002862A0"/>
    <w:rsid w:val="00291C99"/>
    <w:rsid w:val="002978EB"/>
    <w:rsid w:val="002A258F"/>
    <w:rsid w:val="002A2CEB"/>
    <w:rsid w:val="002A4091"/>
    <w:rsid w:val="002A5ECA"/>
    <w:rsid w:val="002B2E6A"/>
    <w:rsid w:val="002B7DDF"/>
    <w:rsid w:val="002C613F"/>
    <w:rsid w:val="002C7F8B"/>
    <w:rsid w:val="002D0145"/>
    <w:rsid w:val="002E019E"/>
    <w:rsid w:val="002E11A4"/>
    <w:rsid w:val="002E1893"/>
    <w:rsid w:val="002E1DF7"/>
    <w:rsid w:val="002E43C3"/>
    <w:rsid w:val="002E6221"/>
    <w:rsid w:val="002F0546"/>
    <w:rsid w:val="002F24B9"/>
    <w:rsid w:val="002F4293"/>
    <w:rsid w:val="002F55AD"/>
    <w:rsid w:val="003008ED"/>
    <w:rsid w:val="003026AA"/>
    <w:rsid w:val="00303E34"/>
    <w:rsid w:val="003050B6"/>
    <w:rsid w:val="003075F2"/>
    <w:rsid w:val="00315829"/>
    <w:rsid w:val="003158F2"/>
    <w:rsid w:val="003219ED"/>
    <w:rsid w:val="00323810"/>
    <w:rsid w:val="003245D8"/>
    <w:rsid w:val="00331580"/>
    <w:rsid w:val="003323B6"/>
    <w:rsid w:val="003328D8"/>
    <w:rsid w:val="00334611"/>
    <w:rsid w:val="003352D9"/>
    <w:rsid w:val="00337027"/>
    <w:rsid w:val="00342736"/>
    <w:rsid w:val="0034709F"/>
    <w:rsid w:val="00347DCD"/>
    <w:rsid w:val="00357100"/>
    <w:rsid w:val="0036042A"/>
    <w:rsid w:val="00360935"/>
    <w:rsid w:val="00361541"/>
    <w:rsid w:val="00362C08"/>
    <w:rsid w:val="003676D6"/>
    <w:rsid w:val="0036782F"/>
    <w:rsid w:val="00373F57"/>
    <w:rsid w:val="00382054"/>
    <w:rsid w:val="0038468A"/>
    <w:rsid w:val="00390083"/>
    <w:rsid w:val="00390D95"/>
    <w:rsid w:val="0039225C"/>
    <w:rsid w:val="00392B37"/>
    <w:rsid w:val="003A225C"/>
    <w:rsid w:val="003A3B77"/>
    <w:rsid w:val="003A55BB"/>
    <w:rsid w:val="003B5145"/>
    <w:rsid w:val="003C0435"/>
    <w:rsid w:val="003C3EDD"/>
    <w:rsid w:val="003C7F98"/>
    <w:rsid w:val="003D0A65"/>
    <w:rsid w:val="003D0BD3"/>
    <w:rsid w:val="003D12B9"/>
    <w:rsid w:val="003D368D"/>
    <w:rsid w:val="003D4275"/>
    <w:rsid w:val="003D4D9B"/>
    <w:rsid w:val="003D57DF"/>
    <w:rsid w:val="003D60D2"/>
    <w:rsid w:val="003D65C9"/>
    <w:rsid w:val="003E4680"/>
    <w:rsid w:val="003E7CEE"/>
    <w:rsid w:val="003F0A4A"/>
    <w:rsid w:val="003F37A9"/>
    <w:rsid w:val="0040245F"/>
    <w:rsid w:val="004071D5"/>
    <w:rsid w:val="00407E96"/>
    <w:rsid w:val="00411DAB"/>
    <w:rsid w:val="0041226B"/>
    <w:rsid w:val="00412498"/>
    <w:rsid w:val="00412DCC"/>
    <w:rsid w:val="00414643"/>
    <w:rsid w:val="00414F4C"/>
    <w:rsid w:val="0041586F"/>
    <w:rsid w:val="00415918"/>
    <w:rsid w:val="00421A62"/>
    <w:rsid w:val="00422498"/>
    <w:rsid w:val="00430E20"/>
    <w:rsid w:val="00437DC3"/>
    <w:rsid w:val="00442CEB"/>
    <w:rsid w:val="004430E1"/>
    <w:rsid w:val="00444B1C"/>
    <w:rsid w:val="0044682A"/>
    <w:rsid w:val="0045326B"/>
    <w:rsid w:val="00454387"/>
    <w:rsid w:val="00454D07"/>
    <w:rsid w:val="004610D4"/>
    <w:rsid w:val="00462AB8"/>
    <w:rsid w:val="00465AD6"/>
    <w:rsid w:val="00483909"/>
    <w:rsid w:val="00484DE0"/>
    <w:rsid w:val="00493B77"/>
    <w:rsid w:val="00494316"/>
    <w:rsid w:val="0049459C"/>
    <w:rsid w:val="004960BD"/>
    <w:rsid w:val="00496899"/>
    <w:rsid w:val="004A0F0D"/>
    <w:rsid w:val="004A3FF7"/>
    <w:rsid w:val="004A473D"/>
    <w:rsid w:val="004B5007"/>
    <w:rsid w:val="004B5D9E"/>
    <w:rsid w:val="004B74FA"/>
    <w:rsid w:val="004C410F"/>
    <w:rsid w:val="004C4F6E"/>
    <w:rsid w:val="004C53D4"/>
    <w:rsid w:val="004C5C5B"/>
    <w:rsid w:val="004C78CE"/>
    <w:rsid w:val="004D1135"/>
    <w:rsid w:val="004D1782"/>
    <w:rsid w:val="004D2A51"/>
    <w:rsid w:val="004D2E01"/>
    <w:rsid w:val="004D7DE0"/>
    <w:rsid w:val="004E08BD"/>
    <w:rsid w:val="004E0DAD"/>
    <w:rsid w:val="004E4074"/>
    <w:rsid w:val="004E4632"/>
    <w:rsid w:val="004E5449"/>
    <w:rsid w:val="004E5BD1"/>
    <w:rsid w:val="004F01FA"/>
    <w:rsid w:val="004F1603"/>
    <w:rsid w:val="004F2E28"/>
    <w:rsid w:val="004F34FA"/>
    <w:rsid w:val="004F4CD7"/>
    <w:rsid w:val="004F50C6"/>
    <w:rsid w:val="00504412"/>
    <w:rsid w:val="0051061A"/>
    <w:rsid w:val="00513D12"/>
    <w:rsid w:val="005156E0"/>
    <w:rsid w:val="00515FBA"/>
    <w:rsid w:val="005166D2"/>
    <w:rsid w:val="00516C94"/>
    <w:rsid w:val="00516DCF"/>
    <w:rsid w:val="005206FB"/>
    <w:rsid w:val="005236FC"/>
    <w:rsid w:val="00524DA7"/>
    <w:rsid w:val="00526AE2"/>
    <w:rsid w:val="00530A3D"/>
    <w:rsid w:val="00534196"/>
    <w:rsid w:val="0055263A"/>
    <w:rsid w:val="00557F38"/>
    <w:rsid w:val="00561588"/>
    <w:rsid w:val="00562102"/>
    <w:rsid w:val="00562DE9"/>
    <w:rsid w:val="00570B99"/>
    <w:rsid w:val="005711E3"/>
    <w:rsid w:val="005848CB"/>
    <w:rsid w:val="00584CD3"/>
    <w:rsid w:val="00587556"/>
    <w:rsid w:val="00587886"/>
    <w:rsid w:val="0059133F"/>
    <w:rsid w:val="00591ECB"/>
    <w:rsid w:val="005929AA"/>
    <w:rsid w:val="005970F6"/>
    <w:rsid w:val="005977A5"/>
    <w:rsid w:val="005A2498"/>
    <w:rsid w:val="005A3ACB"/>
    <w:rsid w:val="005B2662"/>
    <w:rsid w:val="005B486A"/>
    <w:rsid w:val="005C06D5"/>
    <w:rsid w:val="005C3E3A"/>
    <w:rsid w:val="005D09D8"/>
    <w:rsid w:val="005D27C0"/>
    <w:rsid w:val="005D4181"/>
    <w:rsid w:val="005E0C5E"/>
    <w:rsid w:val="005E0F5F"/>
    <w:rsid w:val="005E1BD5"/>
    <w:rsid w:val="005E36C0"/>
    <w:rsid w:val="005E43EB"/>
    <w:rsid w:val="005E4EB5"/>
    <w:rsid w:val="005E6B59"/>
    <w:rsid w:val="005E79AB"/>
    <w:rsid w:val="005F1FE0"/>
    <w:rsid w:val="005F4ED7"/>
    <w:rsid w:val="005F6898"/>
    <w:rsid w:val="005F7174"/>
    <w:rsid w:val="005F744E"/>
    <w:rsid w:val="00605F53"/>
    <w:rsid w:val="00606E5D"/>
    <w:rsid w:val="00610FB3"/>
    <w:rsid w:val="00614D0F"/>
    <w:rsid w:val="006166DC"/>
    <w:rsid w:val="006204EA"/>
    <w:rsid w:val="00620780"/>
    <w:rsid w:val="00621B11"/>
    <w:rsid w:val="0063143F"/>
    <w:rsid w:val="00632B08"/>
    <w:rsid w:val="00636C88"/>
    <w:rsid w:val="00636F05"/>
    <w:rsid w:val="0064607C"/>
    <w:rsid w:val="0064706E"/>
    <w:rsid w:val="006475F3"/>
    <w:rsid w:val="00647DC6"/>
    <w:rsid w:val="00651E02"/>
    <w:rsid w:val="00655BC2"/>
    <w:rsid w:val="00656A8B"/>
    <w:rsid w:val="006600B2"/>
    <w:rsid w:val="00665CA0"/>
    <w:rsid w:val="006808B5"/>
    <w:rsid w:val="0068282F"/>
    <w:rsid w:val="00682A80"/>
    <w:rsid w:val="00685DB6"/>
    <w:rsid w:val="00692D13"/>
    <w:rsid w:val="006A5B2F"/>
    <w:rsid w:val="006B1C00"/>
    <w:rsid w:val="006B361F"/>
    <w:rsid w:val="006B4D9B"/>
    <w:rsid w:val="006C6395"/>
    <w:rsid w:val="006C6B7F"/>
    <w:rsid w:val="006D036C"/>
    <w:rsid w:val="006D08BE"/>
    <w:rsid w:val="006D1016"/>
    <w:rsid w:val="006D2082"/>
    <w:rsid w:val="006D4489"/>
    <w:rsid w:val="006D7009"/>
    <w:rsid w:val="006D7701"/>
    <w:rsid w:val="006E0E75"/>
    <w:rsid w:val="006E1541"/>
    <w:rsid w:val="006E5875"/>
    <w:rsid w:val="006F0835"/>
    <w:rsid w:val="006F393D"/>
    <w:rsid w:val="00702854"/>
    <w:rsid w:val="0070378A"/>
    <w:rsid w:val="00703A07"/>
    <w:rsid w:val="00707DC3"/>
    <w:rsid w:val="00713649"/>
    <w:rsid w:val="0071387F"/>
    <w:rsid w:val="007209E9"/>
    <w:rsid w:val="00726815"/>
    <w:rsid w:val="00726CFF"/>
    <w:rsid w:val="00732450"/>
    <w:rsid w:val="00732C1A"/>
    <w:rsid w:val="0073467A"/>
    <w:rsid w:val="007351EA"/>
    <w:rsid w:val="00735D73"/>
    <w:rsid w:val="007364FC"/>
    <w:rsid w:val="00737286"/>
    <w:rsid w:val="00740C50"/>
    <w:rsid w:val="007429C5"/>
    <w:rsid w:val="0074413F"/>
    <w:rsid w:val="00752504"/>
    <w:rsid w:val="00752756"/>
    <w:rsid w:val="00752EC1"/>
    <w:rsid w:val="00755B58"/>
    <w:rsid w:val="00774913"/>
    <w:rsid w:val="007815FA"/>
    <w:rsid w:val="00784E5E"/>
    <w:rsid w:val="0079064C"/>
    <w:rsid w:val="00790D03"/>
    <w:rsid w:val="007927B2"/>
    <w:rsid w:val="00792F70"/>
    <w:rsid w:val="007931BD"/>
    <w:rsid w:val="0079462B"/>
    <w:rsid w:val="007951D6"/>
    <w:rsid w:val="0079564C"/>
    <w:rsid w:val="007A15C3"/>
    <w:rsid w:val="007A2447"/>
    <w:rsid w:val="007A3B21"/>
    <w:rsid w:val="007A5450"/>
    <w:rsid w:val="007A5830"/>
    <w:rsid w:val="007B1037"/>
    <w:rsid w:val="007B4CCE"/>
    <w:rsid w:val="007B755C"/>
    <w:rsid w:val="007C17B0"/>
    <w:rsid w:val="007C1CBD"/>
    <w:rsid w:val="007C3488"/>
    <w:rsid w:val="007C3B06"/>
    <w:rsid w:val="007C448D"/>
    <w:rsid w:val="007D1120"/>
    <w:rsid w:val="007D7BC7"/>
    <w:rsid w:val="007E64CE"/>
    <w:rsid w:val="007F1EFF"/>
    <w:rsid w:val="007F3BC5"/>
    <w:rsid w:val="007F503F"/>
    <w:rsid w:val="007F6BAE"/>
    <w:rsid w:val="007F73F1"/>
    <w:rsid w:val="00802A16"/>
    <w:rsid w:val="00804F5E"/>
    <w:rsid w:val="00805ECC"/>
    <w:rsid w:val="008060A7"/>
    <w:rsid w:val="008079DC"/>
    <w:rsid w:val="00813624"/>
    <w:rsid w:val="0081364D"/>
    <w:rsid w:val="00815052"/>
    <w:rsid w:val="008159AC"/>
    <w:rsid w:val="00820402"/>
    <w:rsid w:val="0082162F"/>
    <w:rsid w:val="00822770"/>
    <w:rsid w:val="0082425B"/>
    <w:rsid w:val="008357FA"/>
    <w:rsid w:val="00835EAC"/>
    <w:rsid w:val="00841FA0"/>
    <w:rsid w:val="00843C59"/>
    <w:rsid w:val="008539C1"/>
    <w:rsid w:val="00853DD7"/>
    <w:rsid w:val="00860843"/>
    <w:rsid w:val="008620FA"/>
    <w:rsid w:val="00862475"/>
    <w:rsid w:val="00863F79"/>
    <w:rsid w:val="00864601"/>
    <w:rsid w:val="0086491C"/>
    <w:rsid w:val="0086519F"/>
    <w:rsid w:val="00866CA0"/>
    <w:rsid w:val="0087103C"/>
    <w:rsid w:val="00875FCF"/>
    <w:rsid w:val="008807CB"/>
    <w:rsid w:val="00880A8A"/>
    <w:rsid w:val="00884A0A"/>
    <w:rsid w:val="008852D1"/>
    <w:rsid w:val="0088692A"/>
    <w:rsid w:val="00887919"/>
    <w:rsid w:val="008907C9"/>
    <w:rsid w:val="008942CC"/>
    <w:rsid w:val="008952D3"/>
    <w:rsid w:val="00895342"/>
    <w:rsid w:val="00896404"/>
    <w:rsid w:val="008A227E"/>
    <w:rsid w:val="008A3998"/>
    <w:rsid w:val="008A4268"/>
    <w:rsid w:val="008A5006"/>
    <w:rsid w:val="008B2F1C"/>
    <w:rsid w:val="008B7D61"/>
    <w:rsid w:val="008C221D"/>
    <w:rsid w:val="008C2B1B"/>
    <w:rsid w:val="008C2FF2"/>
    <w:rsid w:val="008C4164"/>
    <w:rsid w:val="008C47FD"/>
    <w:rsid w:val="008C52C6"/>
    <w:rsid w:val="008D0D28"/>
    <w:rsid w:val="008D0E10"/>
    <w:rsid w:val="008D673C"/>
    <w:rsid w:val="008D69B3"/>
    <w:rsid w:val="008E2575"/>
    <w:rsid w:val="008F0914"/>
    <w:rsid w:val="008F0E49"/>
    <w:rsid w:val="008F706B"/>
    <w:rsid w:val="009011B4"/>
    <w:rsid w:val="0090127C"/>
    <w:rsid w:val="009015BD"/>
    <w:rsid w:val="0090554B"/>
    <w:rsid w:val="009105E0"/>
    <w:rsid w:val="00912569"/>
    <w:rsid w:val="00912D82"/>
    <w:rsid w:val="00916291"/>
    <w:rsid w:val="009162C7"/>
    <w:rsid w:val="00920035"/>
    <w:rsid w:val="00920063"/>
    <w:rsid w:val="00921C4C"/>
    <w:rsid w:val="0092300D"/>
    <w:rsid w:val="0092439F"/>
    <w:rsid w:val="0092510C"/>
    <w:rsid w:val="0092546D"/>
    <w:rsid w:val="00925D80"/>
    <w:rsid w:val="009310F7"/>
    <w:rsid w:val="00931AE8"/>
    <w:rsid w:val="00931E29"/>
    <w:rsid w:val="009435B4"/>
    <w:rsid w:val="00944B05"/>
    <w:rsid w:val="00945030"/>
    <w:rsid w:val="00950264"/>
    <w:rsid w:val="009507AA"/>
    <w:rsid w:val="00951256"/>
    <w:rsid w:val="00953AF7"/>
    <w:rsid w:val="00955810"/>
    <w:rsid w:val="00964187"/>
    <w:rsid w:val="00966AC2"/>
    <w:rsid w:val="00967236"/>
    <w:rsid w:val="00980362"/>
    <w:rsid w:val="00983229"/>
    <w:rsid w:val="009867C1"/>
    <w:rsid w:val="009916ED"/>
    <w:rsid w:val="00992298"/>
    <w:rsid w:val="009970A9"/>
    <w:rsid w:val="009971C3"/>
    <w:rsid w:val="0099755E"/>
    <w:rsid w:val="009A1A30"/>
    <w:rsid w:val="009A3F99"/>
    <w:rsid w:val="009A5851"/>
    <w:rsid w:val="009C79E2"/>
    <w:rsid w:val="009D25E2"/>
    <w:rsid w:val="009D4079"/>
    <w:rsid w:val="009D7D7D"/>
    <w:rsid w:val="009E4EE6"/>
    <w:rsid w:val="009E618A"/>
    <w:rsid w:val="009F20F9"/>
    <w:rsid w:val="009F5025"/>
    <w:rsid w:val="009F6326"/>
    <w:rsid w:val="00A00066"/>
    <w:rsid w:val="00A010FA"/>
    <w:rsid w:val="00A01EF4"/>
    <w:rsid w:val="00A02650"/>
    <w:rsid w:val="00A102CA"/>
    <w:rsid w:val="00A22EAA"/>
    <w:rsid w:val="00A252C1"/>
    <w:rsid w:val="00A26157"/>
    <w:rsid w:val="00A26C34"/>
    <w:rsid w:val="00A27192"/>
    <w:rsid w:val="00A30307"/>
    <w:rsid w:val="00A31EA3"/>
    <w:rsid w:val="00A3421E"/>
    <w:rsid w:val="00A34536"/>
    <w:rsid w:val="00A3500A"/>
    <w:rsid w:val="00A351AC"/>
    <w:rsid w:val="00A367BE"/>
    <w:rsid w:val="00A37732"/>
    <w:rsid w:val="00A41C7B"/>
    <w:rsid w:val="00A43298"/>
    <w:rsid w:val="00A55FF7"/>
    <w:rsid w:val="00A56E83"/>
    <w:rsid w:val="00A57FA6"/>
    <w:rsid w:val="00A62EDC"/>
    <w:rsid w:val="00A65EDB"/>
    <w:rsid w:val="00A6764F"/>
    <w:rsid w:val="00A70564"/>
    <w:rsid w:val="00A70675"/>
    <w:rsid w:val="00A709D3"/>
    <w:rsid w:val="00A712B4"/>
    <w:rsid w:val="00A72E18"/>
    <w:rsid w:val="00A757B0"/>
    <w:rsid w:val="00A81C0F"/>
    <w:rsid w:val="00A85FC8"/>
    <w:rsid w:val="00A86670"/>
    <w:rsid w:val="00A9223F"/>
    <w:rsid w:val="00A92554"/>
    <w:rsid w:val="00A95249"/>
    <w:rsid w:val="00A978D5"/>
    <w:rsid w:val="00A97EE5"/>
    <w:rsid w:val="00AA19C8"/>
    <w:rsid w:val="00AA3DB8"/>
    <w:rsid w:val="00AA6F7F"/>
    <w:rsid w:val="00AA7751"/>
    <w:rsid w:val="00AB0282"/>
    <w:rsid w:val="00AB42B6"/>
    <w:rsid w:val="00AB6FA6"/>
    <w:rsid w:val="00AC7279"/>
    <w:rsid w:val="00AD0D99"/>
    <w:rsid w:val="00AD221A"/>
    <w:rsid w:val="00AD29E4"/>
    <w:rsid w:val="00AD2B20"/>
    <w:rsid w:val="00AD4143"/>
    <w:rsid w:val="00AD4E85"/>
    <w:rsid w:val="00AD51BC"/>
    <w:rsid w:val="00AE01AD"/>
    <w:rsid w:val="00AE6AC5"/>
    <w:rsid w:val="00AF4143"/>
    <w:rsid w:val="00AF46E8"/>
    <w:rsid w:val="00AF4A05"/>
    <w:rsid w:val="00AF5569"/>
    <w:rsid w:val="00AF73C9"/>
    <w:rsid w:val="00B016CC"/>
    <w:rsid w:val="00B145E2"/>
    <w:rsid w:val="00B20E90"/>
    <w:rsid w:val="00B25815"/>
    <w:rsid w:val="00B32DED"/>
    <w:rsid w:val="00B356BE"/>
    <w:rsid w:val="00B422FA"/>
    <w:rsid w:val="00B42A1C"/>
    <w:rsid w:val="00B4449F"/>
    <w:rsid w:val="00B46CC9"/>
    <w:rsid w:val="00B574C2"/>
    <w:rsid w:val="00B63D2D"/>
    <w:rsid w:val="00B65FEA"/>
    <w:rsid w:val="00B719C5"/>
    <w:rsid w:val="00B71FD8"/>
    <w:rsid w:val="00B73767"/>
    <w:rsid w:val="00B760A3"/>
    <w:rsid w:val="00B82BB6"/>
    <w:rsid w:val="00B8499D"/>
    <w:rsid w:val="00B84B42"/>
    <w:rsid w:val="00B8529E"/>
    <w:rsid w:val="00B85882"/>
    <w:rsid w:val="00B92AFE"/>
    <w:rsid w:val="00B92F22"/>
    <w:rsid w:val="00BA0310"/>
    <w:rsid w:val="00BA1794"/>
    <w:rsid w:val="00BA6D7D"/>
    <w:rsid w:val="00BB12A2"/>
    <w:rsid w:val="00BB1735"/>
    <w:rsid w:val="00BB3512"/>
    <w:rsid w:val="00BB5BF4"/>
    <w:rsid w:val="00BC0DD3"/>
    <w:rsid w:val="00BC18D3"/>
    <w:rsid w:val="00BC1A23"/>
    <w:rsid w:val="00BC1A7A"/>
    <w:rsid w:val="00BC29C3"/>
    <w:rsid w:val="00BC70DA"/>
    <w:rsid w:val="00BC737E"/>
    <w:rsid w:val="00BD030F"/>
    <w:rsid w:val="00BD20E9"/>
    <w:rsid w:val="00BE4E74"/>
    <w:rsid w:val="00BF1173"/>
    <w:rsid w:val="00BF1A76"/>
    <w:rsid w:val="00BF21D6"/>
    <w:rsid w:val="00BF2AAF"/>
    <w:rsid w:val="00BF46D9"/>
    <w:rsid w:val="00C00E29"/>
    <w:rsid w:val="00C04015"/>
    <w:rsid w:val="00C051ED"/>
    <w:rsid w:val="00C05632"/>
    <w:rsid w:val="00C115D6"/>
    <w:rsid w:val="00C15B2B"/>
    <w:rsid w:val="00C16F83"/>
    <w:rsid w:val="00C2091A"/>
    <w:rsid w:val="00C20E71"/>
    <w:rsid w:val="00C237D2"/>
    <w:rsid w:val="00C24BBF"/>
    <w:rsid w:val="00C27B31"/>
    <w:rsid w:val="00C27D2A"/>
    <w:rsid w:val="00C30DC5"/>
    <w:rsid w:val="00C3116E"/>
    <w:rsid w:val="00C31EC0"/>
    <w:rsid w:val="00C355E4"/>
    <w:rsid w:val="00C35DB4"/>
    <w:rsid w:val="00C40115"/>
    <w:rsid w:val="00C4548F"/>
    <w:rsid w:val="00C47162"/>
    <w:rsid w:val="00C526ED"/>
    <w:rsid w:val="00C53874"/>
    <w:rsid w:val="00C54F9E"/>
    <w:rsid w:val="00C55EB4"/>
    <w:rsid w:val="00C55F38"/>
    <w:rsid w:val="00C566EF"/>
    <w:rsid w:val="00C56914"/>
    <w:rsid w:val="00C57F07"/>
    <w:rsid w:val="00C60D82"/>
    <w:rsid w:val="00C626A6"/>
    <w:rsid w:val="00C65E76"/>
    <w:rsid w:val="00C94AAB"/>
    <w:rsid w:val="00CA004E"/>
    <w:rsid w:val="00CB10C7"/>
    <w:rsid w:val="00CB2189"/>
    <w:rsid w:val="00CB4A83"/>
    <w:rsid w:val="00CB790A"/>
    <w:rsid w:val="00CC01D1"/>
    <w:rsid w:val="00CC242B"/>
    <w:rsid w:val="00CC2AB6"/>
    <w:rsid w:val="00CC5366"/>
    <w:rsid w:val="00CE0234"/>
    <w:rsid w:val="00CE064E"/>
    <w:rsid w:val="00CE2529"/>
    <w:rsid w:val="00CE4756"/>
    <w:rsid w:val="00CE68D6"/>
    <w:rsid w:val="00CF0BC8"/>
    <w:rsid w:val="00CF0D06"/>
    <w:rsid w:val="00CF3E43"/>
    <w:rsid w:val="00CF4651"/>
    <w:rsid w:val="00CF46B4"/>
    <w:rsid w:val="00CF4FA2"/>
    <w:rsid w:val="00CF7A75"/>
    <w:rsid w:val="00D05E02"/>
    <w:rsid w:val="00D12075"/>
    <w:rsid w:val="00D1249C"/>
    <w:rsid w:val="00D13189"/>
    <w:rsid w:val="00D13ACD"/>
    <w:rsid w:val="00D15008"/>
    <w:rsid w:val="00D1508E"/>
    <w:rsid w:val="00D15B63"/>
    <w:rsid w:val="00D20281"/>
    <w:rsid w:val="00D2065F"/>
    <w:rsid w:val="00D210B2"/>
    <w:rsid w:val="00D21D81"/>
    <w:rsid w:val="00D2213E"/>
    <w:rsid w:val="00D27B09"/>
    <w:rsid w:val="00D30F5D"/>
    <w:rsid w:val="00D32FFD"/>
    <w:rsid w:val="00D341D8"/>
    <w:rsid w:val="00D36144"/>
    <w:rsid w:val="00D37742"/>
    <w:rsid w:val="00D4211A"/>
    <w:rsid w:val="00D43F09"/>
    <w:rsid w:val="00D44ABF"/>
    <w:rsid w:val="00D456BD"/>
    <w:rsid w:val="00D45B40"/>
    <w:rsid w:val="00D53B7A"/>
    <w:rsid w:val="00D542C3"/>
    <w:rsid w:val="00D54C79"/>
    <w:rsid w:val="00D55075"/>
    <w:rsid w:val="00D60720"/>
    <w:rsid w:val="00D63203"/>
    <w:rsid w:val="00D63F61"/>
    <w:rsid w:val="00D664A9"/>
    <w:rsid w:val="00D66F0D"/>
    <w:rsid w:val="00D809C4"/>
    <w:rsid w:val="00D80D87"/>
    <w:rsid w:val="00D83535"/>
    <w:rsid w:val="00D8575F"/>
    <w:rsid w:val="00D864D4"/>
    <w:rsid w:val="00D87F2D"/>
    <w:rsid w:val="00D92E13"/>
    <w:rsid w:val="00D94306"/>
    <w:rsid w:val="00DA1BAD"/>
    <w:rsid w:val="00DA603E"/>
    <w:rsid w:val="00DB110F"/>
    <w:rsid w:val="00DB1DD2"/>
    <w:rsid w:val="00DB29D8"/>
    <w:rsid w:val="00DB5D2A"/>
    <w:rsid w:val="00DC3F2D"/>
    <w:rsid w:val="00DC5AB2"/>
    <w:rsid w:val="00DC5FBC"/>
    <w:rsid w:val="00DC7770"/>
    <w:rsid w:val="00DC7E1F"/>
    <w:rsid w:val="00DD51FC"/>
    <w:rsid w:val="00DE1014"/>
    <w:rsid w:val="00DE1E21"/>
    <w:rsid w:val="00DE2A58"/>
    <w:rsid w:val="00DE2F11"/>
    <w:rsid w:val="00DE721C"/>
    <w:rsid w:val="00DF3FB4"/>
    <w:rsid w:val="00DF769C"/>
    <w:rsid w:val="00E003B2"/>
    <w:rsid w:val="00E06BD0"/>
    <w:rsid w:val="00E20C65"/>
    <w:rsid w:val="00E25A26"/>
    <w:rsid w:val="00E2779A"/>
    <w:rsid w:val="00E2781D"/>
    <w:rsid w:val="00E31451"/>
    <w:rsid w:val="00E315BA"/>
    <w:rsid w:val="00E34C47"/>
    <w:rsid w:val="00E37BAD"/>
    <w:rsid w:val="00E41D2A"/>
    <w:rsid w:val="00E41FCE"/>
    <w:rsid w:val="00E46F92"/>
    <w:rsid w:val="00E478C4"/>
    <w:rsid w:val="00E47E00"/>
    <w:rsid w:val="00E55AF5"/>
    <w:rsid w:val="00E55CDF"/>
    <w:rsid w:val="00E60778"/>
    <w:rsid w:val="00E620AF"/>
    <w:rsid w:val="00E622BC"/>
    <w:rsid w:val="00E632F7"/>
    <w:rsid w:val="00E64E29"/>
    <w:rsid w:val="00E651AB"/>
    <w:rsid w:val="00E70151"/>
    <w:rsid w:val="00E70B94"/>
    <w:rsid w:val="00E70CAA"/>
    <w:rsid w:val="00E70E2B"/>
    <w:rsid w:val="00E71B78"/>
    <w:rsid w:val="00E7345D"/>
    <w:rsid w:val="00E74A65"/>
    <w:rsid w:val="00E82071"/>
    <w:rsid w:val="00E9019B"/>
    <w:rsid w:val="00E914F3"/>
    <w:rsid w:val="00E9591A"/>
    <w:rsid w:val="00E9788A"/>
    <w:rsid w:val="00EA0186"/>
    <w:rsid w:val="00EA20E2"/>
    <w:rsid w:val="00EA463D"/>
    <w:rsid w:val="00EA7966"/>
    <w:rsid w:val="00EA7E35"/>
    <w:rsid w:val="00EB25E2"/>
    <w:rsid w:val="00EB2F9F"/>
    <w:rsid w:val="00EB4EB6"/>
    <w:rsid w:val="00EB5C54"/>
    <w:rsid w:val="00EC2946"/>
    <w:rsid w:val="00EC7271"/>
    <w:rsid w:val="00ED08D1"/>
    <w:rsid w:val="00ED349F"/>
    <w:rsid w:val="00ED4D3B"/>
    <w:rsid w:val="00ED5748"/>
    <w:rsid w:val="00ED6214"/>
    <w:rsid w:val="00ED76E7"/>
    <w:rsid w:val="00EE4303"/>
    <w:rsid w:val="00EE7B0E"/>
    <w:rsid w:val="00EF12C8"/>
    <w:rsid w:val="00EF1E8A"/>
    <w:rsid w:val="00EF3D28"/>
    <w:rsid w:val="00EF440F"/>
    <w:rsid w:val="00EF6E7A"/>
    <w:rsid w:val="00F01C40"/>
    <w:rsid w:val="00F02150"/>
    <w:rsid w:val="00F04979"/>
    <w:rsid w:val="00F05481"/>
    <w:rsid w:val="00F07134"/>
    <w:rsid w:val="00F101FA"/>
    <w:rsid w:val="00F1034D"/>
    <w:rsid w:val="00F14007"/>
    <w:rsid w:val="00F17B42"/>
    <w:rsid w:val="00F2244C"/>
    <w:rsid w:val="00F22847"/>
    <w:rsid w:val="00F22FF9"/>
    <w:rsid w:val="00F23948"/>
    <w:rsid w:val="00F24CE4"/>
    <w:rsid w:val="00F2721A"/>
    <w:rsid w:val="00F33BBA"/>
    <w:rsid w:val="00F33CA5"/>
    <w:rsid w:val="00F3410F"/>
    <w:rsid w:val="00F40016"/>
    <w:rsid w:val="00F40CD8"/>
    <w:rsid w:val="00F4276D"/>
    <w:rsid w:val="00F4503C"/>
    <w:rsid w:val="00F4671E"/>
    <w:rsid w:val="00F46E4B"/>
    <w:rsid w:val="00F46ED8"/>
    <w:rsid w:val="00F50789"/>
    <w:rsid w:val="00F52F72"/>
    <w:rsid w:val="00F53FA7"/>
    <w:rsid w:val="00F63D69"/>
    <w:rsid w:val="00F65C6A"/>
    <w:rsid w:val="00F72972"/>
    <w:rsid w:val="00F72ACA"/>
    <w:rsid w:val="00F77793"/>
    <w:rsid w:val="00F8076F"/>
    <w:rsid w:val="00F8089C"/>
    <w:rsid w:val="00F8139B"/>
    <w:rsid w:val="00F826CA"/>
    <w:rsid w:val="00F83208"/>
    <w:rsid w:val="00F837C7"/>
    <w:rsid w:val="00F8449C"/>
    <w:rsid w:val="00F848E2"/>
    <w:rsid w:val="00F853CF"/>
    <w:rsid w:val="00F85A15"/>
    <w:rsid w:val="00F868F7"/>
    <w:rsid w:val="00F8729D"/>
    <w:rsid w:val="00F9094C"/>
    <w:rsid w:val="00F90C28"/>
    <w:rsid w:val="00F92269"/>
    <w:rsid w:val="00F92720"/>
    <w:rsid w:val="00F95AAC"/>
    <w:rsid w:val="00F974AB"/>
    <w:rsid w:val="00FA0616"/>
    <w:rsid w:val="00FA14D0"/>
    <w:rsid w:val="00FA7F78"/>
    <w:rsid w:val="00FB2122"/>
    <w:rsid w:val="00FC23F0"/>
    <w:rsid w:val="00FC25AF"/>
    <w:rsid w:val="00FC289C"/>
    <w:rsid w:val="00FC4BB7"/>
    <w:rsid w:val="00FC7CA7"/>
    <w:rsid w:val="00FD0FC1"/>
    <w:rsid w:val="00FD5D83"/>
    <w:rsid w:val="00FD6327"/>
    <w:rsid w:val="00FE0D91"/>
    <w:rsid w:val="00FE1B70"/>
    <w:rsid w:val="00FE48EA"/>
    <w:rsid w:val="00FE64C9"/>
    <w:rsid w:val="00FF0FAA"/>
    <w:rsid w:val="00FF1902"/>
    <w:rsid w:val="00FF2F0A"/>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State"/>
  <w:smartTagType w:namespaceuri="urn:schemas-microsoft-com:office:smarttags" w:name="City"/>
  <w:smartTagType w:namespaceuri="urn:schemas-microsoft-com:office:smarttags" w:name="country-region"/>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fi-FI" w:eastAsia="fi-FI"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i">
    <w:name w:val="Normal"/>
    <w:qFormat/>
    <w:rsid w:val="00843C59"/>
    <w:pPr>
      <w:spacing w:after="200" w:line="276" w:lineRule="auto"/>
    </w:pPr>
    <w:rPr>
      <w:lang w:eastAsia="en-US"/>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Seliteteksti">
    <w:name w:val="Balloon Text"/>
    <w:basedOn w:val="Normaali"/>
    <w:link w:val="SelitetekstiChar"/>
    <w:uiPriority w:val="99"/>
    <w:semiHidden/>
    <w:rsid w:val="00C115D6"/>
    <w:pPr>
      <w:spacing w:after="0" w:line="240" w:lineRule="auto"/>
    </w:pPr>
    <w:rPr>
      <w:rFonts w:ascii="Tahoma" w:hAnsi="Tahoma"/>
      <w:sz w:val="16"/>
      <w:szCs w:val="16"/>
      <w:lang w:eastAsia="fi-FI"/>
    </w:rPr>
  </w:style>
  <w:style w:type="character" w:customStyle="1" w:styleId="SelitetekstiChar">
    <w:name w:val="Seliteteksti Char"/>
    <w:basedOn w:val="Kappaleenoletusfontti"/>
    <w:link w:val="Seliteteksti"/>
    <w:uiPriority w:val="99"/>
    <w:semiHidden/>
    <w:locked/>
    <w:rsid w:val="00C115D6"/>
    <w:rPr>
      <w:rFonts w:ascii="Tahoma" w:hAnsi="Tahoma" w:cs="Times New Roman"/>
      <w:sz w:val="16"/>
    </w:rPr>
  </w:style>
  <w:style w:type="character" w:styleId="Hyperlinkki">
    <w:name w:val="Hyperlink"/>
    <w:basedOn w:val="Kappaleenoletusfontti"/>
    <w:uiPriority w:val="99"/>
    <w:rsid w:val="008A227E"/>
    <w:rPr>
      <w:rFonts w:cs="Times New Roman"/>
      <w:color w:val="0000FF"/>
      <w:u w:val="single"/>
    </w:rPr>
  </w:style>
  <w:style w:type="character" w:styleId="Kommentinviite">
    <w:name w:val="annotation reference"/>
    <w:basedOn w:val="Kappaleenoletusfontti"/>
    <w:uiPriority w:val="99"/>
    <w:semiHidden/>
    <w:rsid w:val="00805ECC"/>
    <w:rPr>
      <w:rFonts w:cs="Times New Roman"/>
      <w:sz w:val="16"/>
    </w:rPr>
  </w:style>
  <w:style w:type="paragraph" w:styleId="Kommentinteksti">
    <w:name w:val="annotation text"/>
    <w:basedOn w:val="Normaali"/>
    <w:link w:val="KommentintekstiChar"/>
    <w:uiPriority w:val="99"/>
    <w:rsid w:val="00805ECC"/>
    <w:pPr>
      <w:spacing w:line="240" w:lineRule="auto"/>
    </w:pPr>
    <w:rPr>
      <w:sz w:val="20"/>
      <w:szCs w:val="20"/>
      <w:lang w:eastAsia="fi-FI"/>
    </w:rPr>
  </w:style>
  <w:style w:type="character" w:customStyle="1" w:styleId="KommentintekstiChar">
    <w:name w:val="Kommentin teksti Char"/>
    <w:basedOn w:val="Kappaleenoletusfontti"/>
    <w:link w:val="Kommentinteksti"/>
    <w:uiPriority w:val="99"/>
    <w:locked/>
    <w:rsid w:val="00805ECC"/>
    <w:rPr>
      <w:rFonts w:cs="Times New Roman"/>
      <w:sz w:val="20"/>
    </w:rPr>
  </w:style>
  <w:style w:type="paragraph" w:styleId="Kommentinotsikko">
    <w:name w:val="annotation subject"/>
    <w:basedOn w:val="Kommentinteksti"/>
    <w:next w:val="Kommentinteksti"/>
    <w:link w:val="KommentinotsikkoChar"/>
    <w:uiPriority w:val="99"/>
    <w:semiHidden/>
    <w:rsid w:val="00805ECC"/>
    <w:rPr>
      <w:b/>
      <w:bCs/>
    </w:rPr>
  </w:style>
  <w:style w:type="character" w:customStyle="1" w:styleId="KommentinotsikkoChar">
    <w:name w:val="Kommentin otsikko Char"/>
    <w:basedOn w:val="KommentintekstiChar"/>
    <w:link w:val="Kommentinotsikko"/>
    <w:uiPriority w:val="99"/>
    <w:semiHidden/>
    <w:locked/>
    <w:rsid w:val="00805ECC"/>
    <w:rPr>
      <w:rFonts w:cs="Times New Roman"/>
      <w:b/>
      <w:sz w:val="20"/>
    </w:rPr>
  </w:style>
  <w:style w:type="paragraph" w:styleId="Muutos">
    <w:name w:val="Revision"/>
    <w:hidden/>
    <w:uiPriority w:val="99"/>
    <w:semiHidden/>
    <w:rsid w:val="00A22EAA"/>
    <w:rPr>
      <w:lang w:eastAsia="en-US"/>
    </w:rPr>
  </w:style>
  <w:style w:type="paragraph" w:styleId="Luettelokappale">
    <w:name w:val="List Paragraph"/>
    <w:basedOn w:val="Normaali"/>
    <w:uiPriority w:val="34"/>
    <w:qFormat/>
    <w:rsid w:val="00752504"/>
    <w:pPr>
      <w:ind w:left="720"/>
      <w:contextualSpacing/>
    </w:pPr>
  </w:style>
  <w:style w:type="character" w:customStyle="1" w:styleId="ti">
    <w:name w:val="ti"/>
    <w:uiPriority w:val="99"/>
    <w:rsid w:val="00A85FC8"/>
  </w:style>
  <w:style w:type="table" w:styleId="TaulukkoRuudukko">
    <w:name w:val="Table Grid"/>
    <w:basedOn w:val="Normaalitaulukko"/>
    <w:uiPriority w:val="59"/>
    <w:rsid w:val="001E13E5"/>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siakirjanrakenneruutu">
    <w:name w:val="Document Map"/>
    <w:basedOn w:val="Normaali"/>
    <w:link w:val="AsiakirjanrakenneruutuChar"/>
    <w:uiPriority w:val="99"/>
    <w:semiHidden/>
    <w:rsid w:val="00F8089C"/>
    <w:pPr>
      <w:shd w:val="clear" w:color="auto" w:fill="000080"/>
    </w:pPr>
    <w:rPr>
      <w:rFonts w:ascii="Times New Roman" w:hAnsi="Times New Roman"/>
      <w:sz w:val="2"/>
      <w:szCs w:val="20"/>
    </w:rPr>
  </w:style>
  <w:style w:type="character" w:customStyle="1" w:styleId="AsiakirjanrakenneruutuChar">
    <w:name w:val="Asiakirjan rakenneruutu Char"/>
    <w:basedOn w:val="Kappaleenoletusfontti"/>
    <w:link w:val="Asiakirjanrakenneruutu"/>
    <w:uiPriority w:val="99"/>
    <w:semiHidden/>
    <w:locked/>
    <w:rsid w:val="000F5C5E"/>
    <w:rPr>
      <w:rFonts w:ascii="Times New Roman" w:hAnsi="Times New Roman" w:cs="Times New Roman"/>
      <w:sz w:val="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fi-FI" w:eastAsia="fi-FI"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i">
    <w:name w:val="Normal"/>
    <w:qFormat/>
    <w:rsid w:val="00843C59"/>
    <w:pPr>
      <w:spacing w:after="200" w:line="276" w:lineRule="auto"/>
    </w:pPr>
    <w:rPr>
      <w:lang w:eastAsia="en-US"/>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Seliteteksti">
    <w:name w:val="Balloon Text"/>
    <w:basedOn w:val="Normaali"/>
    <w:link w:val="SelitetekstiChar"/>
    <w:uiPriority w:val="99"/>
    <w:semiHidden/>
    <w:rsid w:val="00C115D6"/>
    <w:pPr>
      <w:spacing w:after="0" w:line="240" w:lineRule="auto"/>
    </w:pPr>
    <w:rPr>
      <w:rFonts w:ascii="Tahoma" w:hAnsi="Tahoma"/>
      <w:sz w:val="16"/>
      <w:szCs w:val="16"/>
      <w:lang w:eastAsia="fi-FI"/>
    </w:rPr>
  </w:style>
  <w:style w:type="character" w:customStyle="1" w:styleId="SelitetekstiChar">
    <w:name w:val="Seliteteksti Char"/>
    <w:basedOn w:val="Kappaleenoletusfontti"/>
    <w:link w:val="Seliteteksti"/>
    <w:uiPriority w:val="99"/>
    <w:semiHidden/>
    <w:locked/>
    <w:rsid w:val="00C115D6"/>
    <w:rPr>
      <w:rFonts w:ascii="Tahoma" w:hAnsi="Tahoma" w:cs="Times New Roman"/>
      <w:sz w:val="16"/>
    </w:rPr>
  </w:style>
  <w:style w:type="character" w:styleId="Hyperlinkki">
    <w:name w:val="Hyperlink"/>
    <w:basedOn w:val="Kappaleenoletusfontti"/>
    <w:uiPriority w:val="99"/>
    <w:rsid w:val="008A227E"/>
    <w:rPr>
      <w:rFonts w:cs="Times New Roman"/>
      <w:color w:val="0000FF"/>
      <w:u w:val="single"/>
    </w:rPr>
  </w:style>
  <w:style w:type="character" w:styleId="Kommentinviite">
    <w:name w:val="annotation reference"/>
    <w:basedOn w:val="Kappaleenoletusfontti"/>
    <w:uiPriority w:val="99"/>
    <w:semiHidden/>
    <w:rsid w:val="00805ECC"/>
    <w:rPr>
      <w:rFonts w:cs="Times New Roman"/>
      <w:sz w:val="16"/>
    </w:rPr>
  </w:style>
  <w:style w:type="paragraph" w:styleId="Kommentinteksti">
    <w:name w:val="annotation text"/>
    <w:basedOn w:val="Normaali"/>
    <w:link w:val="KommentintekstiChar"/>
    <w:uiPriority w:val="99"/>
    <w:rsid w:val="00805ECC"/>
    <w:pPr>
      <w:spacing w:line="240" w:lineRule="auto"/>
    </w:pPr>
    <w:rPr>
      <w:sz w:val="20"/>
      <w:szCs w:val="20"/>
      <w:lang w:eastAsia="fi-FI"/>
    </w:rPr>
  </w:style>
  <w:style w:type="character" w:customStyle="1" w:styleId="KommentintekstiChar">
    <w:name w:val="Kommentin teksti Char"/>
    <w:basedOn w:val="Kappaleenoletusfontti"/>
    <w:link w:val="Kommentinteksti"/>
    <w:uiPriority w:val="99"/>
    <w:locked/>
    <w:rsid w:val="00805ECC"/>
    <w:rPr>
      <w:rFonts w:cs="Times New Roman"/>
      <w:sz w:val="20"/>
    </w:rPr>
  </w:style>
  <w:style w:type="paragraph" w:styleId="Kommentinotsikko">
    <w:name w:val="annotation subject"/>
    <w:basedOn w:val="Kommentinteksti"/>
    <w:next w:val="Kommentinteksti"/>
    <w:link w:val="KommentinotsikkoChar"/>
    <w:uiPriority w:val="99"/>
    <w:semiHidden/>
    <w:rsid w:val="00805ECC"/>
    <w:rPr>
      <w:b/>
      <w:bCs/>
    </w:rPr>
  </w:style>
  <w:style w:type="character" w:customStyle="1" w:styleId="KommentinotsikkoChar">
    <w:name w:val="Kommentin otsikko Char"/>
    <w:basedOn w:val="KommentintekstiChar"/>
    <w:link w:val="Kommentinotsikko"/>
    <w:uiPriority w:val="99"/>
    <w:semiHidden/>
    <w:locked/>
    <w:rsid w:val="00805ECC"/>
    <w:rPr>
      <w:rFonts w:cs="Times New Roman"/>
      <w:b/>
      <w:sz w:val="20"/>
    </w:rPr>
  </w:style>
  <w:style w:type="paragraph" w:styleId="Muutos">
    <w:name w:val="Revision"/>
    <w:hidden/>
    <w:uiPriority w:val="99"/>
    <w:semiHidden/>
    <w:rsid w:val="00A22EAA"/>
    <w:rPr>
      <w:lang w:eastAsia="en-US"/>
    </w:rPr>
  </w:style>
  <w:style w:type="paragraph" w:styleId="Luettelokappale">
    <w:name w:val="List Paragraph"/>
    <w:basedOn w:val="Normaali"/>
    <w:uiPriority w:val="34"/>
    <w:qFormat/>
    <w:rsid w:val="00752504"/>
    <w:pPr>
      <w:ind w:left="720"/>
      <w:contextualSpacing/>
    </w:pPr>
  </w:style>
  <w:style w:type="character" w:customStyle="1" w:styleId="ti">
    <w:name w:val="ti"/>
    <w:uiPriority w:val="99"/>
    <w:rsid w:val="00A85FC8"/>
  </w:style>
  <w:style w:type="table" w:styleId="TaulukkoRuudukko">
    <w:name w:val="Table Grid"/>
    <w:basedOn w:val="Normaalitaulukko"/>
    <w:uiPriority w:val="59"/>
    <w:rsid w:val="001E13E5"/>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siakirjanrakenneruutu">
    <w:name w:val="Document Map"/>
    <w:basedOn w:val="Normaali"/>
    <w:link w:val="AsiakirjanrakenneruutuChar"/>
    <w:uiPriority w:val="99"/>
    <w:semiHidden/>
    <w:rsid w:val="00F8089C"/>
    <w:pPr>
      <w:shd w:val="clear" w:color="auto" w:fill="000080"/>
    </w:pPr>
    <w:rPr>
      <w:rFonts w:ascii="Times New Roman" w:hAnsi="Times New Roman"/>
      <w:sz w:val="2"/>
      <w:szCs w:val="20"/>
    </w:rPr>
  </w:style>
  <w:style w:type="character" w:customStyle="1" w:styleId="AsiakirjanrakenneruutuChar">
    <w:name w:val="Asiakirjan rakenneruutu Char"/>
    <w:basedOn w:val="Kappaleenoletusfontti"/>
    <w:link w:val="Asiakirjanrakenneruutu"/>
    <w:uiPriority w:val="99"/>
    <w:semiHidden/>
    <w:locked/>
    <w:rsid w:val="000F5C5E"/>
    <w:rPr>
      <w:rFonts w:ascii="Times New Roman" w:hAnsi="Times New Roman" w:cs="Times New Roman"/>
      <w:sz w:val="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327735">
      <w:marLeft w:val="0"/>
      <w:marRight w:val="0"/>
      <w:marTop w:val="0"/>
      <w:marBottom w:val="0"/>
      <w:divBdr>
        <w:top w:val="none" w:sz="0" w:space="0" w:color="auto"/>
        <w:left w:val="none" w:sz="0" w:space="0" w:color="auto"/>
        <w:bottom w:val="none" w:sz="0" w:space="0" w:color="auto"/>
        <w:right w:val="none" w:sz="0" w:space="0" w:color="auto"/>
      </w:divBdr>
    </w:div>
    <w:div w:id="291327736">
      <w:marLeft w:val="0"/>
      <w:marRight w:val="0"/>
      <w:marTop w:val="0"/>
      <w:marBottom w:val="0"/>
      <w:divBdr>
        <w:top w:val="none" w:sz="0" w:space="0" w:color="auto"/>
        <w:left w:val="none" w:sz="0" w:space="0" w:color="auto"/>
        <w:bottom w:val="none" w:sz="0" w:space="0" w:color="auto"/>
        <w:right w:val="none" w:sz="0" w:space="0" w:color="auto"/>
      </w:divBdr>
    </w:div>
    <w:div w:id="291327737">
      <w:marLeft w:val="0"/>
      <w:marRight w:val="0"/>
      <w:marTop w:val="0"/>
      <w:marBottom w:val="0"/>
      <w:divBdr>
        <w:top w:val="none" w:sz="0" w:space="0" w:color="auto"/>
        <w:left w:val="none" w:sz="0" w:space="0" w:color="auto"/>
        <w:bottom w:val="none" w:sz="0" w:space="0" w:color="auto"/>
        <w:right w:val="none" w:sz="0" w:space="0" w:color="auto"/>
      </w:divBdr>
    </w:div>
    <w:div w:id="291327738">
      <w:marLeft w:val="0"/>
      <w:marRight w:val="0"/>
      <w:marTop w:val="0"/>
      <w:marBottom w:val="0"/>
      <w:divBdr>
        <w:top w:val="none" w:sz="0" w:space="0" w:color="auto"/>
        <w:left w:val="none" w:sz="0" w:space="0" w:color="auto"/>
        <w:bottom w:val="none" w:sz="0" w:space="0" w:color="auto"/>
        <w:right w:val="none" w:sz="0" w:space="0" w:color="auto"/>
      </w:divBdr>
    </w:div>
    <w:div w:id="1323389718">
      <w:bodyDiv w:val="1"/>
      <w:marLeft w:val="0"/>
      <w:marRight w:val="0"/>
      <w:marTop w:val="0"/>
      <w:marBottom w:val="0"/>
      <w:divBdr>
        <w:top w:val="none" w:sz="0" w:space="0" w:color="auto"/>
        <w:left w:val="none" w:sz="0" w:space="0" w:color="auto"/>
        <w:bottom w:val="none" w:sz="0" w:space="0" w:color="auto"/>
        <w:right w:val="none" w:sz="0" w:space="0" w:color="auto"/>
      </w:divBdr>
    </w:div>
    <w:div w:id="1343512186">
      <w:bodyDiv w:val="1"/>
      <w:marLeft w:val="0"/>
      <w:marRight w:val="0"/>
      <w:marTop w:val="0"/>
      <w:marBottom w:val="0"/>
      <w:divBdr>
        <w:top w:val="none" w:sz="0" w:space="0" w:color="auto"/>
        <w:left w:val="none" w:sz="0" w:space="0" w:color="auto"/>
        <w:bottom w:val="none" w:sz="0" w:space="0" w:color="auto"/>
        <w:right w:val="none" w:sz="0" w:space="0" w:color="auto"/>
      </w:divBdr>
    </w:div>
    <w:div w:id="1394044245">
      <w:bodyDiv w:val="1"/>
      <w:marLeft w:val="0"/>
      <w:marRight w:val="0"/>
      <w:marTop w:val="0"/>
      <w:marBottom w:val="0"/>
      <w:divBdr>
        <w:top w:val="none" w:sz="0" w:space="0" w:color="auto"/>
        <w:left w:val="none" w:sz="0" w:space="0" w:color="auto"/>
        <w:bottom w:val="none" w:sz="0" w:space="0" w:color="auto"/>
        <w:right w:val="none" w:sz="0" w:space="0" w:color="auto"/>
      </w:divBdr>
    </w:div>
    <w:div w:id="14640379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microsoft.com/office/2007/relationships/stylesWithEffects" Target="stylesWithEffects.xml"/><Relationship Id="rId7" Type="http://schemas.openxmlformats.org/officeDocument/2006/relationships/hyperlink" Target="http://www.ncbi.nlm.nih.gov/pubmed/2251965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jussi.sipila@utu.fi"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D:\GBS\Data\GBS%20data.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i-FI"/>
  <c:roundedCorners val="1"/>
  <c:style val="2"/>
  <c:chart>
    <c:autoTitleDeleted val="1"/>
    <c:plotArea>
      <c:layout/>
      <c:barChart>
        <c:barDir val="col"/>
        <c:grouping val="clustered"/>
        <c:varyColors val="1"/>
        <c:ser>
          <c:idx val="0"/>
          <c:order val="0"/>
          <c:tx>
            <c:v>No. of cases by year</c:v>
          </c:tx>
          <c:invertIfNegative val="1"/>
          <c:dLbls>
            <c:showLegendKey val="1"/>
            <c:showVal val="1"/>
            <c:showCatName val="1"/>
            <c:showSerName val="1"/>
            <c:showPercent val="1"/>
            <c:showBubbleSize val="1"/>
            <c:showLeaderLines val="0"/>
          </c:dLbls>
          <c:cat>
            <c:numRef>
              <c:f>Taul1!$U$1:$U$10</c:f>
              <c:numCache>
                <c:formatCode>General</c:formatCode>
                <c:ptCount val="10"/>
                <c:pt idx="0">
                  <c:v>2004</c:v>
                </c:pt>
                <c:pt idx="1">
                  <c:v>2005</c:v>
                </c:pt>
                <c:pt idx="2">
                  <c:v>2006</c:v>
                </c:pt>
                <c:pt idx="3">
                  <c:v>2007</c:v>
                </c:pt>
                <c:pt idx="4">
                  <c:v>2008</c:v>
                </c:pt>
                <c:pt idx="5">
                  <c:v>2009</c:v>
                </c:pt>
                <c:pt idx="6">
                  <c:v>2010</c:v>
                </c:pt>
                <c:pt idx="7">
                  <c:v>2011</c:v>
                </c:pt>
                <c:pt idx="8">
                  <c:v>2012</c:v>
                </c:pt>
                <c:pt idx="9">
                  <c:v>2013</c:v>
                </c:pt>
              </c:numCache>
            </c:numRef>
          </c:cat>
          <c:val>
            <c:numRef>
              <c:f>Taul1!$V$1:$V$10</c:f>
              <c:numCache>
                <c:formatCode>General</c:formatCode>
                <c:ptCount val="10"/>
                <c:pt idx="0">
                  <c:v>3</c:v>
                </c:pt>
                <c:pt idx="1">
                  <c:v>6</c:v>
                </c:pt>
                <c:pt idx="2">
                  <c:v>4</c:v>
                </c:pt>
                <c:pt idx="3">
                  <c:v>4</c:v>
                </c:pt>
                <c:pt idx="4">
                  <c:v>5</c:v>
                </c:pt>
                <c:pt idx="5">
                  <c:v>12</c:v>
                </c:pt>
                <c:pt idx="6">
                  <c:v>10</c:v>
                </c:pt>
                <c:pt idx="7">
                  <c:v>9</c:v>
                </c:pt>
                <c:pt idx="8">
                  <c:v>6</c:v>
                </c:pt>
                <c:pt idx="9">
                  <c:v>10</c:v>
                </c:pt>
              </c:numCache>
            </c:numRef>
          </c:val>
        </c:ser>
        <c:dLbls>
          <c:showLegendKey val="0"/>
          <c:showVal val="0"/>
          <c:showCatName val="0"/>
          <c:showSerName val="0"/>
          <c:showPercent val="0"/>
          <c:showBubbleSize val="0"/>
        </c:dLbls>
        <c:gapWidth val="150"/>
        <c:axId val="193640320"/>
        <c:axId val="193641856"/>
      </c:barChart>
      <c:catAx>
        <c:axId val="193640320"/>
        <c:scaling>
          <c:orientation val="minMax"/>
        </c:scaling>
        <c:delete val="1"/>
        <c:axPos val="b"/>
        <c:numFmt formatCode="General" sourceLinked="1"/>
        <c:majorTickMark val="cross"/>
        <c:minorTickMark val="cross"/>
        <c:tickLblPos val="nextTo"/>
        <c:crossAx val="193641856"/>
        <c:crosses val="autoZero"/>
        <c:auto val="1"/>
        <c:lblAlgn val="ctr"/>
        <c:lblOffset val="100"/>
        <c:noMultiLvlLbl val="1"/>
      </c:catAx>
      <c:valAx>
        <c:axId val="193641856"/>
        <c:scaling>
          <c:orientation val="minMax"/>
          <c:max val="12"/>
        </c:scaling>
        <c:delete val="1"/>
        <c:axPos val="l"/>
        <c:majorGridlines/>
        <c:numFmt formatCode="General" sourceLinked="1"/>
        <c:majorTickMark val="cross"/>
        <c:minorTickMark val="cross"/>
        <c:tickLblPos val="nextTo"/>
        <c:crossAx val="193640320"/>
        <c:crosses val="autoZero"/>
        <c:crossBetween val="between"/>
      </c:valAx>
    </c:plotArea>
    <c:plotVisOnly val="1"/>
    <c:dispBlanksAs val="gap"/>
    <c:showDLblsOverMax val="1"/>
  </c:chart>
  <c:externalData r:id="rId1">
    <c:autoUpdate val="1"/>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983D1E41.dotm</Template>
  <TotalTime>0</TotalTime>
  <Pages>17</Pages>
  <Words>2976</Words>
  <Characters>24112</Characters>
  <Application>Microsoft Office Word</Application>
  <DocSecurity>0</DocSecurity>
  <Lines>200</Lines>
  <Paragraphs>54</Paragraphs>
  <ScaleCrop>false</ScaleCrop>
  <HeadingPairs>
    <vt:vector size="2" baseType="variant">
      <vt:variant>
        <vt:lpstr>Otsikko</vt:lpstr>
      </vt:variant>
      <vt:variant>
        <vt:i4>1</vt:i4>
      </vt:variant>
    </vt:vector>
  </HeadingPairs>
  <TitlesOfParts>
    <vt:vector size="1" baseType="lpstr">
      <vt:lpstr>The incidence and triggers of adult-onset polyradiculitis in Southwestern Finland 2004-2013</vt:lpstr>
    </vt:vector>
  </TitlesOfParts>
  <Company>Varsinais-Suomen Sairaanhoitopiiri</Company>
  <LinksUpToDate>false</LinksUpToDate>
  <CharactersWithSpaces>27034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incidence and triggers of adult-onset polyradiculitis in Southwestern Finland 2004-2013</dc:title>
  <dc:creator>Jussi Sipilä</dc:creator>
  <cp:lastModifiedBy>Jussi Sipilä</cp:lastModifiedBy>
  <cp:revision>2</cp:revision>
  <dcterms:created xsi:type="dcterms:W3CDTF">2015-01-16T13:16:00Z</dcterms:created>
  <dcterms:modified xsi:type="dcterms:W3CDTF">2015-01-16T13:16:00Z</dcterms:modified>
</cp:coreProperties>
</file>