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6DC8DD" w14:textId="49FA7A90" w:rsidR="00342103" w:rsidRDefault="001D15A0" w:rsidP="00D806AD">
      <w:pPr>
        <w:spacing w:line="360" w:lineRule="auto"/>
        <w:jc w:val="center"/>
        <w:outlineLvl w:val="0"/>
        <w:rPr>
          <w:b/>
        </w:rPr>
      </w:pPr>
      <w:r>
        <w:rPr>
          <w:b/>
        </w:rPr>
        <w:t xml:space="preserve">A </w:t>
      </w:r>
      <w:r w:rsidR="00A727DD">
        <w:rPr>
          <w:b/>
        </w:rPr>
        <w:t>Cognitive Grammar</w:t>
      </w:r>
      <w:r>
        <w:rPr>
          <w:b/>
        </w:rPr>
        <w:t xml:space="preserve"> Perspective on Temporal </w:t>
      </w:r>
      <w:r w:rsidR="00F141FA">
        <w:rPr>
          <w:b/>
        </w:rPr>
        <w:t>Conceptualization</w:t>
      </w:r>
      <w:r>
        <w:rPr>
          <w:b/>
        </w:rPr>
        <w:t xml:space="preserve"> in SLA</w:t>
      </w:r>
    </w:p>
    <w:p w14:paraId="06CA90DB" w14:textId="77777777" w:rsidR="00840882" w:rsidRDefault="00840882" w:rsidP="00010599">
      <w:pPr>
        <w:spacing w:line="360" w:lineRule="auto"/>
        <w:rPr>
          <w:color w:val="000000" w:themeColor="text1"/>
        </w:rPr>
      </w:pPr>
    </w:p>
    <w:p w14:paraId="4AB322BA" w14:textId="62AC5BF4" w:rsidR="008D4920" w:rsidRDefault="008D4920" w:rsidP="00840882">
      <w:pPr>
        <w:spacing w:line="360" w:lineRule="auto"/>
        <w:rPr>
          <w:color w:val="000000" w:themeColor="text1"/>
        </w:rPr>
      </w:pPr>
      <w:r w:rsidRPr="008D4920">
        <w:rPr>
          <w:b/>
          <w:color w:val="000000" w:themeColor="text1"/>
        </w:rPr>
        <w:t>Abstract</w:t>
      </w:r>
      <w:r>
        <w:rPr>
          <w:color w:val="000000" w:themeColor="text1"/>
        </w:rPr>
        <w:t xml:space="preserve">: </w:t>
      </w:r>
      <w:r w:rsidR="00F141FA">
        <w:rPr>
          <w:color w:val="000000" w:themeColor="text1"/>
        </w:rPr>
        <w:t xml:space="preserve">This </w:t>
      </w:r>
      <w:r w:rsidR="00D22A3A">
        <w:rPr>
          <w:color w:val="000000" w:themeColor="text1"/>
        </w:rPr>
        <w:t>article</w:t>
      </w:r>
      <w:r w:rsidR="00F141FA">
        <w:rPr>
          <w:color w:val="000000" w:themeColor="text1"/>
        </w:rPr>
        <w:t xml:space="preserve"> shows </w:t>
      </w:r>
      <w:r w:rsidR="00157E18">
        <w:rPr>
          <w:color w:val="000000" w:themeColor="text1"/>
        </w:rPr>
        <w:t xml:space="preserve">how cognitive grammar </w:t>
      </w:r>
      <w:r w:rsidR="002923F8">
        <w:rPr>
          <w:color w:val="000000" w:themeColor="text1"/>
        </w:rPr>
        <w:t xml:space="preserve">and cognitive linguistics </w:t>
      </w:r>
      <w:r w:rsidR="00157E18">
        <w:rPr>
          <w:color w:val="000000" w:themeColor="text1"/>
        </w:rPr>
        <w:t xml:space="preserve">theory </w:t>
      </w:r>
      <w:r w:rsidR="00F141FA">
        <w:rPr>
          <w:color w:val="000000" w:themeColor="text1"/>
        </w:rPr>
        <w:t xml:space="preserve">offer </w:t>
      </w:r>
      <w:r w:rsidR="00157E18">
        <w:rPr>
          <w:color w:val="000000" w:themeColor="text1"/>
        </w:rPr>
        <w:t>a fruitful</w:t>
      </w:r>
      <w:r w:rsidR="00F141FA">
        <w:rPr>
          <w:color w:val="000000" w:themeColor="text1"/>
        </w:rPr>
        <w:t xml:space="preserve"> </w:t>
      </w:r>
      <w:r w:rsidR="00157E18">
        <w:rPr>
          <w:color w:val="000000" w:themeColor="text1"/>
        </w:rPr>
        <w:t>paradigm</w:t>
      </w:r>
      <w:r w:rsidR="00F141FA">
        <w:rPr>
          <w:color w:val="000000" w:themeColor="text1"/>
        </w:rPr>
        <w:t xml:space="preserve"> </w:t>
      </w:r>
      <w:r w:rsidR="00157E18">
        <w:rPr>
          <w:color w:val="000000" w:themeColor="text1"/>
        </w:rPr>
        <w:t xml:space="preserve">within </w:t>
      </w:r>
      <w:r w:rsidR="00F141FA">
        <w:rPr>
          <w:color w:val="000000" w:themeColor="text1"/>
        </w:rPr>
        <w:t>which the process of second language acquisition can be examined. The aim</w:t>
      </w:r>
      <w:r>
        <w:rPr>
          <w:color w:val="000000" w:themeColor="text1"/>
        </w:rPr>
        <w:t xml:space="preserve"> </w:t>
      </w:r>
      <w:r w:rsidR="00F141FA">
        <w:rPr>
          <w:color w:val="000000" w:themeColor="text1"/>
        </w:rPr>
        <w:t>is</w:t>
      </w:r>
      <w:r>
        <w:rPr>
          <w:color w:val="000000" w:themeColor="text1"/>
        </w:rPr>
        <w:t xml:space="preserve"> to describe and examine the benefit of using </w:t>
      </w:r>
      <w:r w:rsidR="00EF4502">
        <w:rPr>
          <w:color w:val="000000" w:themeColor="text1"/>
        </w:rPr>
        <w:t xml:space="preserve">notions developed within the </w:t>
      </w:r>
      <w:r w:rsidR="00976613">
        <w:rPr>
          <w:color w:val="000000" w:themeColor="text1"/>
        </w:rPr>
        <w:t xml:space="preserve">CG and CL </w:t>
      </w:r>
      <w:r w:rsidR="00EF4502">
        <w:rPr>
          <w:color w:val="000000" w:themeColor="text1"/>
        </w:rPr>
        <w:t>framework</w:t>
      </w:r>
      <w:r w:rsidR="00976613">
        <w:rPr>
          <w:color w:val="000000" w:themeColor="text1"/>
        </w:rPr>
        <w:t>s</w:t>
      </w:r>
      <w:r w:rsidR="00EC5E84">
        <w:rPr>
          <w:color w:val="000000" w:themeColor="text1"/>
        </w:rPr>
        <w:t xml:space="preserve"> </w:t>
      </w:r>
      <w:r w:rsidR="00B83326">
        <w:rPr>
          <w:color w:val="000000" w:themeColor="text1"/>
        </w:rPr>
        <w:t xml:space="preserve">to </w:t>
      </w:r>
      <w:r w:rsidR="00EC5E84">
        <w:rPr>
          <w:color w:val="000000" w:themeColor="text1"/>
        </w:rPr>
        <w:t>the study of crosslinguistic influence</w:t>
      </w:r>
      <w:r w:rsidR="00157E18">
        <w:rPr>
          <w:color w:val="000000" w:themeColor="text1"/>
        </w:rPr>
        <w:t>, especially conceptual transfer,</w:t>
      </w:r>
      <w:r w:rsidR="00EC5E84">
        <w:rPr>
          <w:color w:val="000000" w:themeColor="text1"/>
        </w:rPr>
        <w:t xml:space="preserve"> in multilinguals. </w:t>
      </w:r>
      <w:r w:rsidR="00B83326">
        <w:rPr>
          <w:color w:val="000000" w:themeColor="text1"/>
        </w:rPr>
        <w:t xml:space="preserve">In recent years, the growth of </w:t>
      </w:r>
      <w:r w:rsidR="00030E37">
        <w:rPr>
          <w:color w:val="000000" w:themeColor="text1"/>
        </w:rPr>
        <w:t xml:space="preserve">empirical </w:t>
      </w:r>
      <w:r w:rsidR="00B83326">
        <w:rPr>
          <w:color w:val="000000" w:themeColor="text1"/>
        </w:rPr>
        <w:t xml:space="preserve">research </w:t>
      </w:r>
      <w:r w:rsidR="00030E37">
        <w:rPr>
          <w:color w:val="000000" w:themeColor="text1"/>
        </w:rPr>
        <w:t xml:space="preserve">concerning the contribution of </w:t>
      </w:r>
      <w:r w:rsidR="009B45B6">
        <w:rPr>
          <w:color w:val="000000" w:themeColor="text1"/>
        </w:rPr>
        <w:t>cognitive-inspired theories</w:t>
      </w:r>
      <w:r w:rsidR="00030E37">
        <w:rPr>
          <w:color w:val="000000" w:themeColor="text1"/>
        </w:rPr>
        <w:t xml:space="preserve"> to </w:t>
      </w:r>
      <w:r w:rsidR="009B45B6">
        <w:rPr>
          <w:color w:val="000000" w:themeColor="text1"/>
        </w:rPr>
        <w:t xml:space="preserve">the study of </w:t>
      </w:r>
      <w:r w:rsidR="005D6691">
        <w:rPr>
          <w:color w:val="000000" w:themeColor="text1"/>
        </w:rPr>
        <w:t>second language acquisition</w:t>
      </w:r>
      <w:r w:rsidR="009B45B6">
        <w:rPr>
          <w:color w:val="000000" w:themeColor="text1"/>
        </w:rPr>
        <w:t xml:space="preserve"> and multilingualism</w:t>
      </w:r>
      <w:r w:rsidR="00516A5D">
        <w:rPr>
          <w:color w:val="000000" w:themeColor="text1"/>
        </w:rPr>
        <w:t xml:space="preserve"> has grown extensively</w:t>
      </w:r>
      <w:r w:rsidR="00B83326">
        <w:rPr>
          <w:color w:val="000000" w:themeColor="text1"/>
        </w:rPr>
        <w:t xml:space="preserve">. </w:t>
      </w:r>
      <w:r w:rsidR="00157E18">
        <w:rPr>
          <w:color w:val="000000" w:themeColor="text1"/>
        </w:rPr>
        <w:t xml:space="preserve">This </w:t>
      </w:r>
      <w:r w:rsidR="00D22A3A">
        <w:rPr>
          <w:color w:val="000000" w:themeColor="text1"/>
        </w:rPr>
        <w:t>article</w:t>
      </w:r>
      <w:r w:rsidR="00FB4574">
        <w:rPr>
          <w:color w:val="000000" w:themeColor="text1"/>
        </w:rPr>
        <w:t xml:space="preserve"> </w:t>
      </w:r>
      <w:r w:rsidR="00157E18">
        <w:rPr>
          <w:color w:val="000000" w:themeColor="text1"/>
        </w:rPr>
        <w:t>illustrates the possible contribution of CL to SLA</w:t>
      </w:r>
      <w:r w:rsidR="00FB4574">
        <w:rPr>
          <w:color w:val="000000" w:themeColor="text1"/>
        </w:rPr>
        <w:t xml:space="preserve"> </w:t>
      </w:r>
      <w:r w:rsidR="00157E18">
        <w:rPr>
          <w:color w:val="000000" w:themeColor="text1"/>
        </w:rPr>
        <w:t xml:space="preserve">by focusing on one particular line of inquiry: </w:t>
      </w:r>
      <w:r w:rsidR="00E17DFE">
        <w:rPr>
          <w:color w:val="000000" w:themeColor="text1"/>
        </w:rPr>
        <w:t xml:space="preserve">that of construal. Specifically, it examines how the notions developed within cognitive grammar theory can be useful tools for the analysis and comparison of conceptualization patterns of events, thus giving rise to  </w:t>
      </w:r>
      <w:r w:rsidR="00157E18">
        <w:rPr>
          <w:color w:val="000000" w:themeColor="text1"/>
        </w:rPr>
        <w:t>transfer</w:t>
      </w:r>
      <w:r w:rsidR="00E17DFE">
        <w:rPr>
          <w:color w:val="000000" w:themeColor="text1"/>
        </w:rPr>
        <w:t xml:space="preserve"> effects stemming from the way a person construes and conceptualizes </w:t>
      </w:r>
      <w:r w:rsidR="00836E7F">
        <w:rPr>
          <w:color w:val="000000" w:themeColor="text1"/>
        </w:rPr>
        <w:t>events</w:t>
      </w:r>
      <w:r w:rsidR="00F141FA">
        <w:rPr>
          <w:color w:val="000000" w:themeColor="text1"/>
        </w:rPr>
        <w:t xml:space="preserve">. </w:t>
      </w:r>
      <w:r w:rsidR="00B53738">
        <w:rPr>
          <w:color w:val="000000" w:themeColor="text1"/>
        </w:rPr>
        <w:t xml:space="preserve">The starting hypothesis is that </w:t>
      </w:r>
      <w:r w:rsidR="00E17DFE">
        <w:rPr>
          <w:color w:val="000000" w:themeColor="text1"/>
        </w:rPr>
        <w:t>conceptual transfer</w:t>
      </w:r>
      <w:r w:rsidR="00B53738">
        <w:rPr>
          <w:color w:val="000000" w:themeColor="text1"/>
        </w:rPr>
        <w:t xml:space="preserve"> effects in the use of the target grammar</w:t>
      </w:r>
      <w:r w:rsidR="00C467FE">
        <w:rPr>
          <w:color w:val="000000" w:themeColor="text1"/>
        </w:rPr>
        <w:t xml:space="preserve">, in this case the </w:t>
      </w:r>
      <w:r w:rsidR="00046794">
        <w:rPr>
          <w:color w:val="000000" w:themeColor="text1"/>
        </w:rPr>
        <w:t xml:space="preserve">transfer effects </w:t>
      </w:r>
      <w:r w:rsidR="00C467FE">
        <w:rPr>
          <w:color w:val="000000" w:themeColor="text1"/>
        </w:rPr>
        <w:t>in the TIME domain,</w:t>
      </w:r>
      <w:r w:rsidR="00B53738">
        <w:rPr>
          <w:color w:val="000000" w:themeColor="text1"/>
        </w:rPr>
        <w:t xml:space="preserve"> may originate from the conc</w:t>
      </w:r>
      <w:r w:rsidR="008D4D8C">
        <w:rPr>
          <w:color w:val="000000" w:themeColor="text1"/>
        </w:rPr>
        <w:t xml:space="preserve">eptualization patterns that </w:t>
      </w:r>
      <w:r w:rsidR="000F4067">
        <w:rPr>
          <w:color w:val="000000" w:themeColor="text1"/>
        </w:rPr>
        <w:t xml:space="preserve">the </w:t>
      </w:r>
      <w:r w:rsidR="00B53738">
        <w:rPr>
          <w:color w:val="000000" w:themeColor="text1"/>
        </w:rPr>
        <w:t>multilingual</w:t>
      </w:r>
      <w:r w:rsidR="009E79DD">
        <w:rPr>
          <w:color w:val="000000" w:themeColor="text1"/>
        </w:rPr>
        <w:t xml:space="preserve"> has</w:t>
      </w:r>
      <w:r w:rsidR="008D4D8C">
        <w:rPr>
          <w:color w:val="000000" w:themeColor="text1"/>
        </w:rPr>
        <w:t xml:space="preserve"> acquired as</w:t>
      </w:r>
      <w:r w:rsidR="000F4067">
        <w:rPr>
          <w:color w:val="000000" w:themeColor="text1"/>
        </w:rPr>
        <w:t xml:space="preserve"> a </w:t>
      </w:r>
      <w:r w:rsidR="00B53738">
        <w:rPr>
          <w:color w:val="000000" w:themeColor="text1"/>
        </w:rPr>
        <w:t xml:space="preserve">speaker of </w:t>
      </w:r>
      <w:r w:rsidR="000F4067">
        <w:rPr>
          <w:color w:val="000000" w:themeColor="text1"/>
        </w:rPr>
        <w:t>another L1</w:t>
      </w:r>
      <w:r w:rsidR="008D4D8C">
        <w:rPr>
          <w:color w:val="000000" w:themeColor="text1"/>
        </w:rPr>
        <w:t xml:space="preserve">. </w:t>
      </w:r>
      <w:r w:rsidR="00046794">
        <w:rPr>
          <w:color w:val="000000" w:themeColor="text1"/>
        </w:rPr>
        <w:t xml:space="preserve">Previous transfer research has obtained evidence to suggest that patterns of L1 conceptualizations may be transferred into learners’ L2 through patterns that are similar to their L1. The utilization of central tools within </w:t>
      </w:r>
      <w:r w:rsidR="00F07B13">
        <w:rPr>
          <w:color w:val="000000" w:themeColor="text1"/>
        </w:rPr>
        <w:t>cognitive grammar</w:t>
      </w:r>
      <w:r w:rsidR="00046794">
        <w:rPr>
          <w:color w:val="000000" w:themeColor="text1"/>
        </w:rPr>
        <w:t xml:space="preserve"> in order to unmask conceptual differences represents an important contribution to the </w:t>
      </w:r>
      <w:r w:rsidR="0081709D">
        <w:rPr>
          <w:color w:val="000000" w:themeColor="text1"/>
        </w:rPr>
        <w:t xml:space="preserve">state of the art of </w:t>
      </w:r>
      <w:r w:rsidR="00046794">
        <w:rPr>
          <w:color w:val="000000" w:themeColor="text1"/>
        </w:rPr>
        <w:t xml:space="preserve">crosslinguistic </w:t>
      </w:r>
      <w:r w:rsidR="00A11EA2">
        <w:rPr>
          <w:color w:val="000000" w:themeColor="text1"/>
        </w:rPr>
        <w:t>influence research.</w:t>
      </w:r>
      <w:r w:rsidR="0081709D">
        <w:rPr>
          <w:color w:val="000000" w:themeColor="text1"/>
        </w:rPr>
        <w:t xml:space="preserve"> </w:t>
      </w:r>
      <w:r w:rsidR="00046794">
        <w:rPr>
          <w:color w:val="000000" w:themeColor="text1"/>
        </w:rPr>
        <w:t xml:space="preserve"> </w:t>
      </w:r>
    </w:p>
    <w:p w14:paraId="554823D1" w14:textId="77777777" w:rsidR="008D4920" w:rsidRDefault="008D4920" w:rsidP="00965D55">
      <w:pPr>
        <w:spacing w:line="360" w:lineRule="auto"/>
        <w:rPr>
          <w:color w:val="000000" w:themeColor="text1"/>
        </w:rPr>
      </w:pPr>
    </w:p>
    <w:p w14:paraId="0B73BC4D" w14:textId="2C982971" w:rsidR="00BB47B4" w:rsidRDefault="00840882" w:rsidP="00965D55">
      <w:pPr>
        <w:spacing w:line="360" w:lineRule="auto"/>
        <w:rPr>
          <w:color w:val="000000" w:themeColor="text1"/>
        </w:rPr>
      </w:pPr>
      <w:r>
        <w:rPr>
          <w:b/>
          <w:color w:val="000000" w:themeColor="text1"/>
        </w:rPr>
        <w:t>Key</w:t>
      </w:r>
      <w:r w:rsidR="008D4920">
        <w:rPr>
          <w:b/>
          <w:color w:val="000000" w:themeColor="text1"/>
        </w:rPr>
        <w:t xml:space="preserve">words: </w:t>
      </w:r>
      <w:r w:rsidR="006C47A5" w:rsidRPr="006C47A5">
        <w:rPr>
          <w:color w:val="000000" w:themeColor="text1"/>
        </w:rPr>
        <w:t xml:space="preserve">cognitive </w:t>
      </w:r>
      <w:r w:rsidR="00A727DD">
        <w:rPr>
          <w:color w:val="000000" w:themeColor="text1"/>
        </w:rPr>
        <w:t>grammar</w:t>
      </w:r>
      <w:r w:rsidR="006C47A5" w:rsidRPr="006C47A5">
        <w:rPr>
          <w:color w:val="000000" w:themeColor="text1"/>
        </w:rPr>
        <w:t>,</w:t>
      </w:r>
      <w:r w:rsidR="006C47A5">
        <w:rPr>
          <w:color w:val="000000" w:themeColor="text1"/>
        </w:rPr>
        <w:t xml:space="preserve"> </w:t>
      </w:r>
      <w:r w:rsidR="00C77750">
        <w:rPr>
          <w:color w:val="000000" w:themeColor="text1"/>
        </w:rPr>
        <w:t xml:space="preserve">construal, </w:t>
      </w:r>
      <w:r w:rsidR="004157BB">
        <w:rPr>
          <w:color w:val="000000" w:themeColor="text1"/>
        </w:rPr>
        <w:t xml:space="preserve">tense and aspect, </w:t>
      </w:r>
      <w:r w:rsidR="006311F2">
        <w:rPr>
          <w:color w:val="000000" w:themeColor="text1"/>
        </w:rPr>
        <w:t>conceptual transfer</w:t>
      </w:r>
      <w:r w:rsidR="004157BB">
        <w:rPr>
          <w:color w:val="000000" w:themeColor="text1"/>
        </w:rPr>
        <w:t>,</w:t>
      </w:r>
      <w:r w:rsidR="00817E13">
        <w:rPr>
          <w:color w:val="000000" w:themeColor="text1"/>
        </w:rPr>
        <w:t xml:space="preserve"> </w:t>
      </w:r>
      <w:r w:rsidR="006311F2">
        <w:rPr>
          <w:color w:val="000000" w:themeColor="text1"/>
        </w:rPr>
        <w:t xml:space="preserve">multilingualism </w:t>
      </w:r>
      <w:r w:rsidR="00BC15B7">
        <w:rPr>
          <w:color w:val="000000" w:themeColor="text1"/>
        </w:rPr>
        <w:t xml:space="preserve"> </w:t>
      </w:r>
    </w:p>
    <w:p w14:paraId="720B871F" w14:textId="70CAFD0F" w:rsidR="00BB47B4" w:rsidRDefault="00BB47B4" w:rsidP="00965D55">
      <w:pPr>
        <w:spacing w:line="360" w:lineRule="auto"/>
        <w:rPr>
          <w:b/>
          <w:color w:val="000000" w:themeColor="text1"/>
        </w:rPr>
      </w:pPr>
    </w:p>
    <w:p w14:paraId="365B16AB" w14:textId="5F817F74" w:rsidR="00B92502" w:rsidRDefault="00B92502" w:rsidP="00965D55">
      <w:pPr>
        <w:spacing w:line="360" w:lineRule="auto"/>
        <w:rPr>
          <w:b/>
          <w:color w:val="000000" w:themeColor="text1"/>
        </w:rPr>
      </w:pPr>
    </w:p>
    <w:p w14:paraId="06035D1C" w14:textId="4A17B817" w:rsidR="00B92502" w:rsidRDefault="00B92502" w:rsidP="00965D55">
      <w:pPr>
        <w:spacing w:line="360" w:lineRule="auto"/>
        <w:rPr>
          <w:b/>
          <w:color w:val="000000" w:themeColor="text1"/>
        </w:rPr>
      </w:pPr>
    </w:p>
    <w:p w14:paraId="0AFE17AF" w14:textId="50DF596F" w:rsidR="00B92502" w:rsidRDefault="00B92502" w:rsidP="00965D55">
      <w:pPr>
        <w:spacing w:line="360" w:lineRule="auto"/>
        <w:rPr>
          <w:b/>
          <w:color w:val="000000" w:themeColor="text1"/>
        </w:rPr>
      </w:pPr>
    </w:p>
    <w:p w14:paraId="2376CE65" w14:textId="1FD8AEB8" w:rsidR="00B92502" w:rsidRDefault="00B92502" w:rsidP="00965D55">
      <w:pPr>
        <w:spacing w:line="360" w:lineRule="auto"/>
        <w:rPr>
          <w:b/>
          <w:color w:val="000000" w:themeColor="text1"/>
        </w:rPr>
      </w:pPr>
    </w:p>
    <w:p w14:paraId="56B37AE5" w14:textId="3E7E89EB" w:rsidR="00B92502" w:rsidRDefault="00B92502" w:rsidP="00965D55">
      <w:pPr>
        <w:spacing w:line="360" w:lineRule="auto"/>
        <w:rPr>
          <w:b/>
          <w:color w:val="000000" w:themeColor="text1"/>
        </w:rPr>
      </w:pPr>
    </w:p>
    <w:p w14:paraId="177DD756" w14:textId="51BAC559" w:rsidR="00B92502" w:rsidRDefault="00B92502" w:rsidP="00965D55">
      <w:pPr>
        <w:spacing w:line="360" w:lineRule="auto"/>
        <w:rPr>
          <w:b/>
          <w:color w:val="000000" w:themeColor="text1"/>
        </w:rPr>
      </w:pPr>
    </w:p>
    <w:p w14:paraId="0531CFA3" w14:textId="62F74DB2" w:rsidR="00B92502" w:rsidRDefault="00B92502" w:rsidP="00965D55">
      <w:pPr>
        <w:spacing w:line="360" w:lineRule="auto"/>
        <w:rPr>
          <w:b/>
          <w:color w:val="000000" w:themeColor="text1"/>
        </w:rPr>
      </w:pPr>
    </w:p>
    <w:p w14:paraId="446C8952" w14:textId="12DCD899" w:rsidR="00B92502" w:rsidRDefault="00B92502" w:rsidP="00965D55">
      <w:pPr>
        <w:spacing w:line="360" w:lineRule="auto"/>
        <w:rPr>
          <w:b/>
          <w:color w:val="000000" w:themeColor="text1"/>
        </w:rPr>
      </w:pPr>
    </w:p>
    <w:p w14:paraId="3D6E15D6" w14:textId="43488BAF" w:rsidR="00B92502" w:rsidRDefault="00B92502" w:rsidP="00965D55">
      <w:pPr>
        <w:spacing w:line="360" w:lineRule="auto"/>
        <w:rPr>
          <w:b/>
          <w:color w:val="000000" w:themeColor="text1"/>
        </w:rPr>
      </w:pPr>
    </w:p>
    <w:p w14:paraId="5123835A" w14:textId="77777777" w:rsidR="00B92502" w:rsidRPr="00F31FA2" w:rsidRDefault="00B92502" w:rsidP="00965D55">
      <w:pPr>
        <w:spacing w:line="360" w:lineRule="auto"/>
        <w:rPr>
          <w:b/>
          <w:color w:val="000000" w:themeColor="text1"/>
        </w:rPr>
      </w:pPr>
    </w:p>
    <w:p w14:paraId="6E50E5B7" w14:textId="7A0EBCFB" w:rsidR="00340548" w:rsidRDefault="00CF54AB" w:rsidP="00D806AD">
      <w:pPr>
        <w:spacing w:line="360" w:lineRule="auto"/>
        <w:outlineLvl w:val="0"/>
        <w:rPr>
          <w:b/>
          <w:color w:val="000000" w:themeColor="text1"/>
        </w:rPr>
      </w:pPr>
      <w:r>
        <w:rPr>
          <w:b/>
          <w:color w:val="000000" w:themeColor="text1"/>
        </w:rPr>
        <w:lastRenderedPageBreak/>
        <w:t>1</w:t>
      </w:r>
      <w:r w:rsidR="00A727DD" w:rsidRPr="00965D55">
        <w:rPr>
          <w:b/>
          <w:color w:val="000000" w:themeColor="text1"/>
        </w:rPr>
        <w:t xml:space="preserve"> Introduction</w:t>
      </w:r>
      <w:r w:rsidR="00BF3109">
        <w:rPr>
          <w:rStyle w:val="FootnoteReference"/>
          <w:b/>
          <w:color w:val="000000" w:themeColor="text1"/>
        </w:rPr>
        <w:footnoteReference w:id="1"/>
      </w:r>
      <w:r w:rsidR="00A727DD" w:rsidRPr="00965D55">
        <w:rPr>
          <w:b/>
          <w:color w:val="000000" w:themeColor="text1"/>
        </w:rPr>
        <w:t xml:space="preserve"> </w:t>
      </w:r>
    </w:p>
    <w:p w14:paraId="6365A2CB" w14:textId="2E5E9482" w:rsidR="00A119D8" w:rsidRDefault="00787749" w:rsidP="00A119D8">
      <w:pPr>
        <w:spacing w:line="360" w:lineRule="auto"/>
        <w:outlineLvl w:val="0"/>
        <w:rPr>
          <w:color w:val="000000" w:themeColor="text1"/>
        </w:rPr>
      </w:pPr>
      <w:r>
        <w:rPr>
          <w:color w:val="000000" w:themeColor="text1"/>
        </w:rPr>
        <w:t xml:space="preserve">Crosslinguistic influence (henceforth, CLI) is a central topic in the field of second-language acquisition (henceforth, SLA) and cognitive science. </w:t>
      </w:r>
      <w:r w:rsidR="00A119D8">
        <w:rPr>
          <w:color w:val="000000" w:themeColor="text1"/>
        </w:rPr>
        <w:t>In this line of inquiry, t</w:t>
      </w:r>
      <w:r w:rsidRPr="00787749">
        <w:rPr>
          <w:color w:val="000000" w:themeColor="text1"/>
        </w:rPr>
        <w:t>he relationship between language and thought</w:t>
      </w:r>
      <w:r w:rsidR="00477EA4">
        <w:rPr>
          <w:color w:val="000000" w:themeColor="text1"/>
        </w:rPr>
        <w:t xml:space="preserve">, </w:t>
      </w:r>
      <w:r>
        <w:rPr>
          <w:color w:val="000000" w:themeColor="text1"/>
        </w:rPr>
        <w:t>the</w:t>
      </w:r>
      <w:r w:rsidR="00477EA4">
        <w:rPr>
          <w:color w:val="000000" w:themeColor="text1"/>
        </w:rPr>
        <w:t xml:space="preserve"> </w:t>
      </w:r>
      <w:r>
        <w:rPr>
          <w:color w:val="000000" w:themeColor="text1"/>
        </w:rPr>
        <w:t xml:space="preserve">possible cognitive </w:t>
      </w:r>
      <w:r w:rsidR="00A119D8">
        <w:rPr>
          <w:color w:val="000000" w:themeColor="text1"/>
        </w:rPr>
        <w:t xml:space="preserve">consequences </w:t>
      </w:r>
      <w:r w:rsidR="002D2569">
        <w:rPr>
          <w:color w:val="000000" w:themeColor="text1"/>
        </w:rPr>
        <w:t xml:space="preserve">of speaking two or more languages, </w:t>
      </w:r>
      <w:r w:rsidR="00477EA4">
        <w:rPr>
          <w:color w:val="000000" w:themeColor="text1"/>
        </w:rPr>
        <w:t xml:space="preserve">and </w:t>
      </w:r>
      <w:r w:rsidR="002D2569">
        <w:rPr>
          <w:color w:val="000000" w:themeColor="text1"/>
        </w:rPr>
        <w:t xml:space="preserve">the cognitive </w:t>
      </w:r>
      <w:r>
        <w:rPr>
          <w:color w:val="000000" w:themeColor="text1"/>
        </w:rPr>
        <w:t>sources and paths of transfer</w:t>
      </w:r>
      <w:r w:rsidRPr="00787749">
        <w:rPr>
          <w:color w:val="000000" w:themeColor="text1"/>
        </w:rPr>
        <w:t xml:space="preserve"> in multilinguals</w:t>
      </w:r>
      <w:r w:rsidRPr="00787749">
        <w:rPr>
          <w:rStyle w:val="FootnoteReference"/>
          <w:color w:val="000000" w:themeColor="text1"/>
        </w:rPr>
        <w:footnoteReference w:id="2"/>
      </w:r>
      <w:r w:rsidRPr="00787749">
        <w:rPr>
          <w:color w:val="000000" w:themeColor="text1"/>
        </w:rPr>
        <w:t xml:space="preserve"> ha</w:t>
      </w:r>
      <w:r w:rsidR="00477EA4">
        <w:rPr>
          <w:color w:val="000000" w:themeColor="text1"/>
        </w:rPr>
        <w:t>ve</w:t>
      </w:r>
      <w:r w:rsidRPr="00787749">
        <w:rPr>
          <w:color w:val="000000" w:themeColor="text1"/>
        </w:rPr>
        <w:t xml:space="preserve"> been subject</w:t>
      </w:r>
      <w:r w:rsidR="00477EA4">
        <w:rPr>
          <w:color w:val="000000" w:themeColor="text1"/>
        </w:rPr>
        <w:t xml:space="preserve">s </w:t>
      </w:r>
      <w:r w:rsidRPr="00787749">
        <w:rPr>
          <w:color w:val="000000" w:themeColor="text1"/>
        </w:rPr>
        <w:t>of considerable interest.</w:t>
      </w:r>
      <w:r>
        <w:rPr>
          <w:color w:val="000000" w:themeColor="text1"/>
        </w:rPr>
        <w:t xml:space="preserve"> </w:t>
      </w:r>
      <w:r w:rsidRPr="00787749">
        <w:rPr>
          <w:color w:val="000000" w:themeColor="text1"/>
        </w:rPr>
        <w:t>One aspect that has been approached in this line of research is how language-specific and language-related patterns acquired in the process of first language acquisition (henceforth, L1) influence the ways of conceptualizing, organizing and expressing information in a second language (henceforth, L2).</w:t>
      </w:r>
      <w:r>
        <w:rPr>
          <w:color w:val="000000" w:themeColor="text1"/>
        </w:rPr>
        <w:t xml:space="preserve"> This article discusses how cognitive grammar (</w:t>
      </w:r>
      <w:r w:rsidR="009B232C">
        <w:rPr>
          <w:color w:val="000000" w:themeColor="text1"/>
        </w:rPr>
        <w:t xml:space="preserve">henceforth, </w:t>
      </w:r>
      <w:r>
        <w:rPr>
          <w:color w:val="000000" w:themeColor="text1"/>
        </w:rPr>
        <w:t>CG), one of the most significant projects within the cognitive linguistics (</w:t>
      </w:r>
      <w:r w:rsidR="009B232C">
        <w:rPr>
          <w:color w:val="000000" w:themeColor="text1"/>
        </w:rPr>
        <w:t xml:space="preserve">henceforth, </w:t>
      </w:r>
      <w:r>
        <w:rPr>
          <w:color w:val="000000" w:themeColor="text1"/>
        </w:rPr>
        <w:t xml:space="preserve">CL) movement, can contribute to the investigation of how learners establish form-meaning connections in SLA and how </w:t>
      </w:r>
      <w:r w:rsidRPr="00787749">
        <w:rPr>
          <w:color w:val="000000" w:themeColor="text1"/>
        </w:rPr>
        <w:t xml:space="preserve">entrenched cognitive patterns in the speakers’ L1 exert </w:t>
      </w:r>
      <w:r>
        <w:rPr>
          <w:color w:val="000000" w:themeColor="text1"/>
        </w:rPr>
        <w:t xml:space="preserve">influence </w:t>
      </w:r>
      <w:r w:rsidRPr="00787749">
        <w:rPr>
          <w:color w:val="000000" w:themeColor="text1"/>
        </w:rPr>
        <w:t>on the knowledge and use of their L2</w:t>
      </w:r>
      <w:r w:rsidR="00A76160">
        <w:rPr>
          <w:color w:val="000000" w:themeColor="text1"/>
        </w:rPr>
        <w:t xml:space="preserve"> by focusing on one particular line of inquiry: that of construal in event conceptualization.</w:t>
      </w:r>
      <w:r>
        <w:rPr>
          <w:color w:val="000000" w:themeColor="text1"/>
        </w:rPr>
        <w:t xml:space="preserve"> </w:t>
      </w:r>
      <w:r w:rsidR="00A76160">
        <w:rPr>
          <w:color w:val="000000" w:themeColor="text1"/>
        </w:rPr>
        <w:t>Specifically</w:t>
      </w:r>
      <w:r w:rsidR="00C85EB3">
        <w:rPr>
          <w:color w:val="000000" w:themeColor="text1"/>
        </w:rPr>
        <w:t xml:space="preserve">, it illustrates </w:t>
      </w:r>
      <w:r w:rsidR="00A76160">
        <w:rPr>
          <w:color w:val="000000" w:themeColor="text1"/>
        </w:rPr>
        <w:t>how a CG framework of event construal (Langacker, 1987, 1991, 2008)</w:t>
      </w:r>
      <w:r w:rsidR="00FB1108">
        <w:rPr>
          <w:color w:val="000000" w:themeColor="text1"/>
        </w:rPr>
        <w:t xml:space="preserve"> can be fruitful in investigating whether L1-</w:t>
      </w:r>
      <w:r w:rsidR="00FB1108" w:rsidRPr="00A119D8">
        <w:rPr>
          <w:color w:val="000000" w:themeColor="text1"/>
        </w:rPr>
        <w:t>specific patterns in the conceptualization and expression of events carry over to the L2.</w:t>
      </w:r>
      <w:r w:rsidR="00A119D8" w:rsidRPr="00A119D8">
        <w:rPr>
          <w:color w:val="000000" w:themeColor="text1"/>
        </w:rPr>
        <w:t xml:space="preserve"> CG offers a comprehensive understanding of cognitive patterns that are involved in the expression of temporality; for example, expressions such as </w:t>
      </w:r>
      <w:r w:rsidR="00A119D8" w:rsidRPr="00A119D8">
        <w:rPr>
          <w:i/>
          <w:color w:val="000000" w:themeColor="text1"/>
        </w:rPr>
        <w:t xml:space="preserve">I am hating her </w:t>
      </w:r>
      <w:r w:rsidR="00A119D8" w:rsidRPr="00A119D8">
        <w:rPr>
          <w:color w:val="000000" w:themeColor="text1"/>
        </w:rPr>
        <w:t xml:space="preserve">systematically tie the physical experience of intensity to the more abstract experience of non-temporal, subjective concerns on the part of the speaker (De Wit &amp; </w:t>
      </w:r>
      <w:proofErr w:type="spellStart"/>
      <w:r w:rsidR="00A119D8" w:rsidRPr="00A119D8">
        <w:rPr>
          <w:color w:val="000000" w:themeColor="text1"/>
        </w:rPr>
        <w:t>Brisard</w:t>
      </w:r>
      <w:proofErr w:type="spellEnd"/>
      <w:r w:rsidR="00A119D8" w:rsidRPr="00A119D8">
        <w:rPr>
          <w:color w:val="000000" w:themeColor="text1"/>
        </w:rPr>
        <w:t xml:space="preserve">, 2014). In this sense, speakers would conceptually represent the experience of </w:t>
      </w:r>
      <w:r w:rsidR="00A119D8" w:rsidRPr="00A119D8">
        <w:rPr>
          <w:i/>
          <w:color w:val="000000" w:themeColor="text1"/>
        </w:rPr>
        <w:t>intensity</w:t>
      </w:r>
      <w:r w:rsidR="00A119D8" w:rsidRPr="00A119D8">
        <w:rPr>
          <w:color w:val="000000" w:themeColor="text1"/>
        </w:rPr>
        <w:t xml:space="preserve"> through the use of the progressive form. This preferred way of conceptually representing the experience of intensity in English may not be preferred in the multilingual’s mother tongue, and mapping the conceptual counterparts like the one presented here may pose challenges.   </w:t>
      </w:r>
    </w:p>
    <w:p w14:paraId="3FB5C1F2" w14:textId="330EDF50" w:rsidR="00163F6A" w:rsidRPr="00D1743E" w:rsidRDefault="00163F6A" w:rsidP="00163F6A">
      <w:pPr>
        <w:spacing w:line="360" w:lineRule="auto"/>
        <w:ind w:firstLine="720"/>
        <w:rPr>
          <w:color w:val="000000" w:themeColor="text1"/>
        </w:rPr>
      </w:pPr>
      <w:r w:rsidRPr="00D1743E">
        <w:rPr>
          <w:color w:val="000000" w:themeColor="text1"/>
        </w:rPr>
        <w:t xml:space="preserve">The article is divided as follows: Section 2 presents the theoretical background to this line of investigation. This includes a general introduction </w:t>
      </w:r>
      <w:r>
        <w:rPr>
          <w:color w:val="000000" w:themeColor="text1"/>
        </w:rPr>
        <w:t xml:space="preserve">to </w:t>
      </w:r>
      <w:r w:rsidRPr="00D1743E">
        <w:rPr>
          <w:color w:val="000000" w:themeColor="text1"/>
        </w:rPr>
        <w:t xml:space="preserve">its central tenets, and a </w:t>
      </w:r>
      <w:r>
        <w:rPr>
          <w:color w:val="000000" w:themeColor="text1"/>
        </w:rPr>
        <w:t xml:space="preserve">general </w:t>
      </w:r>
      <w:r w:rsidRPr="00D1743E">
        <w:rPr>
          <w:color w:val="000000" w:themeColor="text1"/>
        </w:rPr>
        <w:t xml:space="preserve">presentation of </w:t>
      </w:r>
      <w:r>
        <w:rPr>
          <w:color w:val="000000" w:themeColor="text1"/>
        </w:rPr>
        <w:t xml:space="preserve">CL and Langacker’s CG. Section 3 exemplifies </w:t>
      </w:r>
      <w:r w:rsidRPr="00D1743E">
        <w:rPr>
          <w:color w:val="000000" w:themeColor="text1"/>
        </w:rPr>
        <w:t xml:space="preserve">Langacker’s explanatory descriptions of the relationship between construal patterns and grammatical tense and aspect </w:t>
      </w:r>
      <w:r w:rsidRPr="00D1743E">
        <w:rPr>
          <w:color w:val="000000" w:themeColor="text1"/>
        </w:rPr>
        <w:lastRenderedPageBreak/>
        <w:t xml:space="preserve">categories in English. </w:t>
      </w:r>
      <w:r>
        <w:rPr>
          <w:color w:val="000000" w:themeColor="text1"/>
        </w:rPr>
        <w:t>Next,</w:t>
      </w:r>
      <w:r w:rsidRPr="00D1743E">
        <w:rPr>
          <w:color w:val="000000" w:themeColor="text1"/>
        </w:rPr>
        <w:t xml:space="preserve"> </w:t>
      </w:r>
      <w:r w:rsidR="00CB2F77">
        <w:rPr>
          <w:color w:val="000000" w:themeColor="text1"/>
        </w:rPr>
        <w:t xml:space="preserve">section 4 discusses </w:t>
      </w:r>
      <w:r w:rsidRPr="00D1743E">
        <w:rPr>
          <w:color w:val="000000" w:themeColor="text1"/>
        </w:rPr>
        <w:t>Jarvis’ conceptual transfer hypothesis and how CG/CL can constitute the basis for theoretically grounded premises on the relationship between language and thought</w:t>
      </w:r>
      <w:r>
        <w:rPr>
          <w:color w:val="000000" w:themeColor="text1"/>
        </w:rPr>
        <w:t xml:space="preserve"> </w:t>
      </w:r>
      <w:r w:rsidRPr="00D1743E">
        <w:rPr>
          <w:color w:val="000000" w:themeColor="text1"/>
        </w:rPr>
        <w:t xml:space="preserve">when </w:t>
      </w:r>
      <w:r>
        <w:rPr>
          <w:color w:val="000000" w:themeColor="text1"/>
        </w:rPr>
        <w:t>acquiring</w:t>
      </w:r>
      <w:r w:rsidRPr="00D1743E">
        <w:rPr>
          <w:color w:val="000000" w:themeColor="text1"/>
        </w:rPr>
        <w:t xml:space="preserve"> another language</w:t>
      </w:r>
      <w:r>
        <w:rPr>
          <w:color w:val="000000" w:themeColor="text1"/>
        </w:rPr>
        <w:t xml:space="preserve"> is addressed</w:t>
      </w:r>
      <w:r w:rsidRPr="00D1743E">
        <w:rPr>
          <w:color w:val="000000" w:themeColor="text1"/>
        </w:rPr>
        <w:t xml:space="preserve">. Section </w:t>
      </w:r>
      <w:r>
        <w:rPr>
          <w:color w:val="000000" w:themeColor="text1"/>
        </w:rPr>
        <w:t>5</w:t>
      </w:r>
      <w:r w:rsidRPr="00D1743E">
        <w:rPr>
          <w:color w:val="000000" w:themeColor="text1"/>
        </w:rPr>
        <w:t xml:space="preserve"> attempts to show how the notions of conceptualization and construal in CG can be utilized to investigate competing conceptual preferences that speakers employ when organizing and verbalizing information in another language. Furthermore,  research hypotheses and methodologies of an ongoing research project, conducted by the author, to investigate mother tongue influence in the expression of temporality in L2 English are discussed.  </w:t>
      </w:r>
    </w:p>
    <w:p w14:paraId="4B522F36" w14:textId="77777777" w:rsidR="00AE25EE" w:rsidRDefault="00AE25EE" w:rsidP="00D806AD">
      <w:pPr>
        <w:spacing w:line="360" w:lineRule="auto"/>
        <w:outlineLvl w:val="0"/>
        <w:rPr>
          <w:color w:val="FF0000"/>
        </w:rPr>
      </w:pPr>
    </w:p>
    <w:p w14:paraId="790620D4" w14:textId="3DAA5A2C" w:rsidR="00A82692" w:rsidRDefault="00CF54AB" w:rsidP="00D806AD">
      <w:pPr>
        <w:spacing w:line="360" w:lineRule="auto"/>
        <w:outlineLvl w:val="0"/>
        <w:rPr>
          <w:b/>
          <w:color w:val="000000" w:themeColor="text1"/>
        </w:rPr>
      </w:pPr>
      <w:r>
        <w:rPr>
          <w:b/>
          <w:color w:val="000000" w:themeColor="text1"/>
        </w:rPr>
        <w:t>2</w:t>
      </w:r>
      <w:r w:rsidR="00A727DD" w:rsidRPr="00AF21EE">
        <w:rPr>
          <w:b/>
          <w:color w:val="000000" w:themeColor="text1"/>
        </w:rPr>
        <w:t xml:space="preserve"> </w:t>
      </w:r>
      <w:r w:rsidR="00A82692">
        <w:rPr>
          <w:b/>
          <w:color w:val="000000" w:themeColor="text1"/>
        </w:rPr>
        <w:t>Cognitive Linguistics and Cognitive Grammar</w:t>
      </w:r>
    </w:p>
    <w:p w14:paraId="060BC638" w14:textId="574333E0" w:rsidR="00923211" w:rsidRPr="00E971F4" w:rsidRDefault="00A82692" w:rsidP="00D806AD">
      <w:pPr>
        <w:spacing w:line="360" w:lineRule="auto"/>
        <w:outlineLvl w:val="0"/>
      </w:pPr>
      <w:r>
        <w:rPr>
          <w:b/>
          <w:color w:val="000000" w:themeColor="text1"/>
        </w:rPr>
        <w:t xml:space="preserve">2.1 Central premises  </w:t>
      </w:r>
    </w:p>
    <w:p w14:paraId="2C5E1E4B" w14:textId="5A810EA1" w:rsidR="0048010A" w:rsidRDefault="0001557F" w:rsidP="0061148D">
      <w:pPr>
        <w:spacing w:line="360" w:lineRule="auto"/>
        <w:rPr>
          <w:color w:val="000000" w:themeColor="text1"/>
        </w:rPr>
      </w:pPr>
      <w:r>
        <w:rPr>
          <w:color w:val="000000" w:themeColor="text1"/>
        </w:rPr>
        <w:t>The school of c</w:t>
      </w:r>
      <w:r w:rsidR="00A527F7">
        <w:rPr>
          <w:color w:val="000000" w:themeColor="text1"/>
        </w:rPr>
        <w:t xml:space="preserve">ognitive linguistics </w:t>
      </w:r>
      <w:r>
        <w:rPr>
          <w:color w:val="000000" w:themeColor="text1"/>
        </w:rPr>
        <w:t>represents a broad theoretical descriptive</w:t>
      </w:r>
      <w:r w:rsidR="00A527F7">
        <w:rPr>
          <w:color w:val="000000" w:themeColor="text1"/>
        </w:rPr>
        <w:t xml:space="preserve"> </w:t>
      </w:r>
      <w:r w:rsidR="00DA0037">
        <w:rPr>
          <w:color w:val="000000" w:themeColor="text1"/>
        </w:rPr>
        <w:t xml:space="preserve">and comprises </w:t>
      </w:r>
      <w:r w:rsidR="00A527F7">
        <w:rPr>
          <w:color w:val="000000" w:themeColor="text1"/>
        </w:rPr>
        <w:t xml:space="preserve">a number of prominent theories, </w:t>
      </w:r>
      <w:r w:rsidR="00DA0037">
        <w:rPr>
          <w:color w:val="000000" w:themeColor="text1"/>
        </w:rPr>
        <w:t xml:space="preserve">such as </w:t>
      </w:r>
      <w:proofErr w:type="spellStart"/>
      <w:r w:rsidR="00DA0037">
        <w:rPr>
          <w:color w:val="000000" w:themeColor="text1"/>
        </w:rPr>
        <w:t>Talmy’s</w:t>
      </w:r>
      <w:proofErr w:type="spellEnd"/>
      <w:r w:rsidR="00DA0037">
        <w:rPr>
          <w:color w:val="000000" w:themeColor="text1"/>
        </w:rPr>
        <w:t xml:space="preserve"> </w:t>
      </w:r>
      <w:r w:rsidR="005006B5">
        <w:rPr>
          <w:color w:val="000000" w:themeColor="text1"/>
        </w:rPr>
        <w:t xml:space="preserve">(1985, 1991, 1996) </w:t>
      </w:r>
      <w:r w:rsidR="00DA0037">
        <w:rPr>
          <w:color w:val="000000" w:themeColor="text1"/>
        </w:rPr>
        <w:t xml:space="preserve">typological framework on motion events, </w:t>
      </w:r>
      <w:r w:rsidR="00740661">
        <w:rPr>
          <w:color w:val="000000" w:themeColor="text1"/>
        </w:rPr>
        <w:t xml:space="preserve">conceptual </w:t>
      </w:r>
      <w:r w:rsidR="00DA0037">
        <w:rPr>
          <w:color w:val="000000" w:themeColor="text1"/>
        </w:rPr>
        <w:t xml:space="preserve">metaphor </w:t>
      </w:r>
      <w:r w:rsidR="006024C1">
        <w:rPr>
          <w:color w:val="000000" w:themeColor="text1"/>
        </w:rPr>
        <w:t>t</w:t>
      </w:r>
      <w:r w:rsidR="00DA0037">
        <w:rPr>
          <w:color w:val="000000" w:themeColor="text1"/>
        </w:rPr>
        <w:t>heory (Lakoff, 1987; Johnson, 1987) and Langacker’s c</w:t>
      </w:r>
      <w:r w:rsidR="00A527F7">
        <w:rPr>
          <w:color w:val="000000" w:themeColor="text1"/>
        </w:rPr>
        <w:t xml:space="preserve">ognitive </w:t>
      </w:r>
      <w:r w:rsidR="00DA0037">
        <w:rPr>
          <w:color w:val="000000" w:themeColor="text1"/>
        </w:rPr>
        <w:t>g</w:t>
      </w:r>
      <w:r w:rsidR="00A527F7">
        <w:rPr>
          <w:color w:val="000000" w:themeColor="text1"/>
        </w:rPr>
        <w:t>rammar theory, which h</w:t>
      </w:r>
      <w:r w:rsidR="00A527F7" w:rsidRPr="00A527F7">
        <w:rPr>
          <w:color w:val="000000" w:themeColor="text1"/>
        </w:rPr>
        <w:t>as been the most influential cognitive approach to grammar</w:t>
      </w:r>
      <w:r w:rsidR="00DA0037">
        <w:rPr>
          <w:color w:val="000000" w:themeColor="text1"/>
        </w:rPr>
        <w:t xml:space="preserve"> </w:t>
      </w:r>
      <w:r w:rsidR="0027462D">
        <w:rPr>
          <w:color w:val="000000" w:themeColor="text1"/>
        </w:rPr>
        <w:t>(Langacker, 1987, 1991, 2008)</w:t>
      </w:r>
      <w:r w:rsidR="00A527F7">
        <w:rPr>
          <w:color w:val="000000" w:themeColor="text1"/>
        </w:rPr>
        <w:t xml:space="preserve">. </w:t>
      </w:r>
      <w:r w:rsidR="00DA0037">
        <w:rPr>
          <w:color w:val="000000" w:themeColor="text1"/>
        </w:rPr>
        <w:t xml:space="preserve">A CL theory can be characterized by two guiding principles, the generalisation commitment and the cognitive commitment, that are widely shared by cognitive linguists. The generalisation commitment emerged from the assumption that all aspects of language reflect general cognitive processes; it thus is a commitment to the characterization of general </w:t>
      </w:r>
      <w:r w:rsidR="0094240B">
        <w:rPr>
          <w:color w:val="000000" w:themeColor="text1"/>
        </w:rPr>
        <w:t xml:space="preserve">organizing </w:t>
      </w:r>
      <w:r w:rsidR="00DA0037">
        <w:rPr>
          <w:color w:val="000000" w:themeColor="text1"/>
        </w:rPr>
        <w:t xml:space="preserve">principles </w:t>
      </w:r>
      <w:r w:rsidR="0094240B">
        <w:rPr>
          <w:color w:val="000000" w:themeColor="text1"/>
        </w:rPr>
        <w:t>across different areas of language, such as syntax and semantics</w:t>
      </w:r>
      <w:r w:rsidR="003C0CF8">
        <w:rPr>
          <w:color w:val="000000" w:themeColor="text1"/>
        </w:rPr>
        <w:t xml:space="preserve"> </w:t>
      </w:r>
      <w:r w:rsidR="00DA0037">
        <w:rPr>
          <w:color w:val="000000" w:themeColor="text1"/>
        </w:rPr>
        <w:t>(Evans, 2019</w:t>
      </w:r>
      <w:r w:rsidR="003C0CF8">
        <w:rPr>
          <w:color w:val="000000" w:themeColor="text1"/>
        </w:rPr>
        <w:t>; Lakoff, 1990</w:t>
      </w:r>
      <w:r w:rsidR="00DA0037">
        <w:rPr>
          <w:color w:val="000000" w:themeColor="text1"/>
        </w:rPr>
        <w:t xml:space="preserve">). </w:t>
      </w:r>
      <w:r w:rsidR="0094240B">
        <w:rPr>
          <w:color w:val="000000" w:themeColor="text1"/>
        </w:rPr>
        <w:t>The second commitment constitutes the view that these general principles are characterized with what is known about the mind an</w:t>
      </w:r>
      <w:r w:rsidR="006A04EB">
        <w:rPr>
          <w:color w:val="000000" w:themeColor="text1"/>
        </w:rPr>
        <w:t>d</w:t>
      </w:r>
      <w:r w:rsidR="0094240B">
        <w:rPr>
          <w:color w:val="000000" w:themeColor="text1"/>
        </w:rPr>
        <w:t xml:space="preserve"> brain from other disciplines (Evans &amp; Green, 2006; Langacker, 1987). </w:t>
      </w:r>
      <w:r w:rsidR="00926308">
        <w:rPr>
          <w:color w:val="000000" w:themeColor="text1"/>
        </w:rPr>
        <w:t xml:space="preserve">Among these cognitive principles are categorization, attention, construal and memory. </w:t>
      </w:r>
      <w:r w:rsidR="0094240B">
        <w:rPr>
          <w:color w:val="000000" w:themeColor="text1"/>
        </w:rPr>
        <w:t>The</w:t>
      </w:r>
      <w:r w:rsidR="00777F1C">
        <w:rPr>
          <w:color w:val="000000" w:themeColor="text1"/>
        </w:rPr>
        <w:t>se core commitments underlie t</w:t>
      </w:r>
      <w:r w:rsidR="0094240B">
        <w:rPr>
          <w:color w:val="000000" w:themeColor="text1"/>
        </w:rPr>
        <w:t xml:space="preserve">he approach adopted </w:t>
      </w:r>
      <w:r w:rsidR="00777F1C">
        <w:rPr>
          <w:color w:val="000000" w:themeColor="text1"/>
        </w:rPr>
        <w:t xml:space="preserve">and empirical methodologies employed </w:t>
      </w:r>
      <w:r w:rsidR="0094240B">
        <w:rPr>
          <w:color w:val="000000" w:themeColor="text1"/>
        </w:rPr>
        <w:t xml:space="preserve">by cognitive linguists </w:t>
      </w:r>
      <w:r w:rsidR="00777F1C">
        <w:rPr>
          <w:color w:val="000000" w:themeColor="text1"/>
        </w:rPr>
        <w:t xml:space="preserve">in three main branches: conceptual structure, semantics, and grammar. </w:t>
      </w:r>
    </w:p>
    <w:p w14:paraId="3A62C55F" w14:textId="59B7173B" w:rsidR="0048010A" w:rsidRDefault="00B54AF8" w:rsidP="00926308">
      <w:pPr>
        <w:spacing w:line="360" w:lineRule="auto"/>
        <w:rPr>
          <w:rFonts w:ascii="Times" w:hAnsi="Times" w:cs="Times"/>
        </w:rPr>
      </w:pPr>
      <w:r>
        <w:rPr>
          <w:color w:val="000000" w:themeColor="text1"/>
        </w:rPr>
        <w:tab/>
        <w:t>In CL and CG, m</w:t>
      </w:r>
      <w:r w:rsidRPr="00AA10A0">
        <w:rPr>
          <w:color w:val="000000" w:themeColor="text1"/>
        </w:rPr>
        <w:t>eaning is equated with conceptualization</w:t>
      </w:r>
      <w:r w:rsidR="00FB57D4">
        <w:rPr>
          <w:color w:val="000000" w:themeColor="text1"/>
        </w:rPr>
        <w:t xml:space="preserve">, </w:t>
      </w:r>
      <w:r w:rsidR="0056296A">
        <w:rPr>
          <w:color w:val="000000" w:themeColor="text1"/>
        </w:rPr>
        <w:t xml:space="preserve">i.e., </w:t>
      </w:r>
      <w:r w:rsidR="002F7C5B" w:rsidRPr="003D5377">
        <w:rPr>
          <w:rFonts w:ascii="Times" w:hAnsi="Times" w:cs="Times"/>
        </w:rPr>
        <w:t>any kind of mental experience</w:t>
      </w:r>
      <w:r w:rsidR="00FB57D4">
        <w:rPr>
          <w:rFonts w:ascii="Times" w:hAnsi="Times" w:cs="Times"/>
        </w:rPr>
        <w:t>,</w:t>
      </w:r>
      <w:r w:rsidR="002F7C5B" w:rsidRPr="003D5377">
        <w:rPr>
          <w:rFonts w:ascii="Times" w:hAnsi="Times" w:cs="Times"/>
        </w:rPr>
        <w:t xml:space="preserve"> </w:t>
      </w:r>
      <w:r w:rsidRPr="00AA10A0">
        <w:rPr>
          <w:color w:val="000000" w:themeColor="text1"/>
        </w:rPr>
        <w:t xml:space="preserve">which is viewed as a dynamic </w:t>
      </w:r>
      <w:r>
        <w:rPr>
          <w:color w:val="000000" w:themeColor="text1"/>
        </w:rPr>
        <w:t>process</w:t>
      </w:r>
      <w:r w:rsidRPr="00AA10A0">
        <w:rPr>
          <w:color w:val="000000" w:themeColor="text1"/>
        </w:rPr>
        <w:t xml:space="preserve"> of embodied</w:t>
      </w:r>
      <w:r>
        <w:rPr>
          <w:color w:val="000000" w:themeColor="text1"/>
        </w:rPr>
        <w:t xml:space="preserve"> experience as a result of our interaction with the environment</w:t>
      </w:r>
      <w:r w:rsidR="00727A4C">
        <w:rPr>
          <w:color w:val="000000" w:themeColor="text1"/>
        </w:rPr>
        <w:t xml:space="preserve"> </w:t>
      </w:r>
      <w:r w:rsidR="00727A4C" w:rsidRPr="003D5377">
        <w:rPr>
          <w:rFonts w:ascii="Times" w:hAnsi="Times" w:cs="Times"/>
        </w:rPr>
        <w:t>(Bergen, 2012; Bergen &amp; Chang, 2013</w:t>
      </w:r>
      <w:r w:rsidR="002F7C5B">
        <w:rPr>
          <w:rFonts w:ascii="Times" w:hAnsi="Times" w:cs="Times"/>
        </w:rPr>
        <w:t xml:space="preserve">; </w:t>
      </w:r>
      <w:r w:rsidR="002F7C5B" w:rsidRPr="003D5377">
        <w:rPr>
          <w:rFonts w:ascii="Times" w:hAnsi="Times" w:cs="Times"/>
        </w:rPr>
        <w:t>Langac</w:t>
      </w:r>
      <w:r w:rsidR="002F7C5B">
        <w:rPr>
          <w:rFonts w:ascii="Times" w:hAnsi="Times" w:cs="Times"/>
        </w:rPr>
        <w:t>ker, 2007)</w:t>
      </w:r>
      <w:r w:rsidR="00727A4C">
        <w:rPr>
          <w:rFonts w:ascii="Times" w:hAnsi="Times" w:cs="Times"/>
        </w:rPr>
        <w:t>. Embodied experience describes the close relationship between human experience and bodily experience: the unique nature of our bodies, our location in space and time and the very subjective relationship between us and reality comprise the specific view of the world each one of us have. Reality</w:t>
      </w:r>
      <w:r w:rsidR="00E54F3D">
        <w:rPr>
          <w:rFonts w:ascii="Times" w:hAnsi="Times" w:cs="Times"/>
        </w:rPr>
        <w:t>, then,</w:t>
      </w:r>
      <w:r w:rsidR="00727A4C">
        <w:rPr>
          <w:rFonts w:ascii="Times" w:hAnsi="Times" w:cs="Times"/>
        </w:rPr>
        <w:t xml:space="preserve"> is seen as a product, or function, of the mind and body that </w:t>
      </w:r>
      <w:r w:rsidR="00727A4C">
        <w:rPr>
          <w:rFonts w:ascii="Times" w:hAnsi="Times" w:cs="Times"/>
        </w:rPr>
        <w:lastRenderedPageBreak/>
        <w:t>experiences reality (Bergen, 2012). Conceptualiz</w:t>
      </w:r>
      <w:r w:rsidR="00727A4C" w:rsidRPr="003D5377">
        <w:rPr>
          <w:rFonts w:ascii="Times" w:hAnsi="Times" w:cs="Times"/>
        </w:rPr>
        <w:t>ation is inherently subjective and includes “besides the objective properties of the described object, the way in which the conceptualizer chooses to present it” (</w:t>
      </w:r>
      <w:proofErr w:type="spellStart"/>
      <w:r w:rsidR="00727A4C" w:rsidRPr="003D5377">
        <w:rPr>
          <w:rFonts w:ascii="Times" w:hAnsi="Times" w:cs="Times"/>
        </w:rPr>
        <w:t>Achard</w:t>
      </w:r>
      <w:proofErr w:type="spellEnd"/>
      <w:r w:rsidR="00727A4C" w:rsidRPr="003D5377">
        <w:rPr>
          <w:rFonts w:ascii="Times" w:hAnsi="Times" w:cs="Times"/>
        </w:rPr>
        <w:t xml:space="preserve">, 2004, p. 174). </w:t>
      </w:r>
      <w:r w:rsidR="0056296A">
        <w:t>Language, then, reflects the speaker’s conceptual system, or, in Langacker’s words, “the semantic value of an expression does not reside in the inherent properties of the entity or situation it describes, but critically involves as well the way we choose to think about this entity or situation and mentally portray it” Langacker (1987, 6–7).</w:t>
      </w:r>
      <w:r w:rsidR="004C2F5C">
        <w:rPr>
          <w:rFonts w:ascii="Times" w:hAnsi="Times" w:cs="Times"/>
        </w:rPr>
        <w:t xml:space="preserve"> </w:t>
      </w:r>
      <w:r w:rsidR="00727A4C" w:rsidRPr="003D5377">
        <w:rPr>
          <w:rFonts w:ascii="Times" w:hAnsi="Times" w:cs="Times"/>
        </w:rPr>
        <w:t xml:space="preserve">The dynamic nature </w:t>
      </w:r>
      <w:r w:rsidR="00727A4C">
        <w:rPr>
          <w:rFonts w:ascii="Times" w:hAnsi="Times" w:cs="Times"/>
        </w:rPr>
        <w:t>of meaning construction emphasiz</w:t>
      </w:r>
      <w:r w:rsidR="00727A4C" w:rsidRPr="003D5377">
        <w:rPr>
          <w:rFonts w:ascii="Times" w:hAnsi="Times" w:cs="Times"/>
        </w:rPr>
        <w:t>es the speaker’s cognitive ability to form temporary mental images of a particular scene that reflects the speaker’s conceptual organisation of the situation</w:t>
      </w:r>
      <w:r w:rsidR="00727A4C">
        <w:rPr>
          <w:rFonts w:ascii="Times" w:hAnsi="Times" w:cs="Times"/>
        </w:rPr>
        <w:t xml:space="preserve"> at that specific point in time</w:t>
      </w:r>
      <w:r w:rsidR="00727A4C" w:rsidRPr="003D5377">
        <w:rPr>
          <w:rFonts w:ascii="Times" w:hAnsi="Times" w:cs="Times"/>
        </w:rPr>
        <w:t xml:space="preserve">. In this view, meaning is not </w:t>
      </w:r>
      <w:r w:rsidR="00727A4C">
        <w:rPr>
          <w:rFonts w:ascii="Times" w:hAnsi="Times" w:cs="Times"/>
        </w:rPr>
        <w:t xml:space="preserve">necessarily </w:t>
      </w:r>
      <w:r w:rsidR="00727A4C" w:rsidRPr="003D5377">
        <w:rPr>
          <w:rFonts w:ascii="Times" w:hAnsi="Times" w:cs="Times"/>
        </w:rPr>
        <w:t xml:space="preserve">a property of linguistic expressions in the sense that linguistic units do not carry meaning; rather, meaning resides </w:t>
      </w:r>
      <w:r w:rsidR="00727A4C">
        <w:rPr>
          <w:rFonts w:ascii="Times" w:hAnsi="Times" w:cs="Times"/>
        </w:rPr>
        <w:t xml:space="preserve">and is constructed </w:t>
      </w:r>
      <w:r w:rsidR="00727A4C" w:rsidRPr="003D5377">
        <w:rPr>
          <w:rFonts w:ascii="Times" w:hAnsi="Times" w:cs="Times"/>
        </w:rPr>
        <w:t xml:space="preserve">in the speaker’s mind (Evans &amp; Green, 2006, p. 363). </w:t>
      </w:r>
    </w:p>
    <w:p w14:paraId="6BB2D363" w14:textId="77777777" w:rsidR="0056296A" w:rsidRDefault="0056296A" w:rsidP="00926308">
      <w:pPr>
        <w:spacing w:line="360" w:lineRule="auto"/>
        <w:rPr>
          <w:rFonts w:ascii="Times" w:hAnsi="Times" w:cs="Times"/>
        </w:rPr>
      </w:pPr>
    </w:p>
    <w:p w14:paraId="63915ADC" w14:textId="122B41BB" w:rsidR="00926308" w:rsidRPr="00926308" w:rsidRDefault="00926308" w:rsidP="00926308">
      <w:pPr>
        <w:spacing w:line="360" w:lineRule="auto"/>
        <w:rPr>
          <w:b/>
          <w:color w:val="000000" w:themeColor="text1"/>
        </w:rPr>
      </w:pPr>
      <w:r w:rsidRPr="00926308">
        <w:rPr>
          <w:b/>
          <w:color w:val="000000" w:themeColor="text1"/>
        </w:rPr>
        <w:t>2.</w:t>
      </w:r>
      <w:r w:rsidR="00A82692">
        <w:rPr>
          <w:b/>
          <w:color w:val="000000" w:themeColor="text1"/>
        </w:rPr>
        <w:t>2</w:t>
      </w:r>
      <w:r w:rsidRPr="00926308">
        <w:rPr>
          <w:b/>
          <w:color w:val="000000" w:themeColor="text1"/>
        </w:rPr>
        <w:t xml:space="preserve">. Grammar in </w:t>
      </w:r>
      <w:r w:rsidR="00E64FEC">
        <w:rPr>
          <w:b/>
          <w:color w:val="000000" w:themeColor="text1"/>
        </w:rPr>
        <w:t xml:space="preserve">the </w:t>
      </w:r>
      <w:r w:rsidRPr="00926308">
        <w:rPr>
          <w:b/>
          <w:color w:val="000000" w:themeColor="text1"/>
        </w:rPr>
        <w:t>C</w:t>
      </w:r>
      <w:r w:rsidR="00B646CC">
        <w:rPr>
          <w:b/>
          <w:color w:val="000000" w:themeColor="text1"/>
        </w:rPr>
        <w:t xml:space="preserve">ognitive Linguistics </w:t>
      </w:r>
      <w:r w:rsidR="00E64FEC">
        <w:rPr>
          <w:b/>
          <w:color w:val="000000" w:themeColor="text1"/>
        </w:rPr>
        <w:t>Framework</w:t>
      </w:r>
      <w:r w:rsidR="00B646CC">
        <w:rPr>
          <w:b/>
          <w:color w:val="000000" w:themeColor="text1"/>
        </w:rPr>
        <w:t xml:space="preserve"> </w:t>
      </w:r>
      <w:r w:rsidRPr="00926308">
        <w:rPr>
          <w:b/>
          <w:color w:val="000000" w:themeColor="text1"/>
        </w:rPr>
        <w:t xml:space="preserve"> </w:t>
      </w:r>
    </w:p>
    <w:p w14:paraId="7C3AB3FF" w14:textId="1998F275" w:rsidR="00FE7709" w:rsidRDefault="00092A3D" w:rsidP="000D294C">
      <w:pPr>
        <w:spacing w:line="360" w:lineRule="auto"/>
        <w:rPr>
          <w:color w:val="000000" w:themeColor="text1"/>
        </w:rPr>
      </w:pPr>
      <w:r>
        <w:rPr>
          <w:color w:val="000000" w:themeColor="text1"/>
        </w:rPr>
        <w:t>The cornerstone of CG is its characterization of language structure in terms of general cognitive process, and the ideas of how language and thought interact proposed in CG are now widely held in CL</w:t>
      </w:r>
      <w:r w:rsidR="008341AA">
        <w:rPr>
          <w:color w:val="000000" w:themeColor="text1"/>
        </w:rPr>
        <w:t xml:space="preserve"> (</w:t>
      </w:r>
      <w:r w:rsidR="006F451E">
        <w:rPr>
          <w:color w:val="000000" w:themeColor="text1"/>
        </w:rPr>
        <w:t>Evans</w:t>
      </w:r>
      <w:r w:rsidR="008341AA">
        <w:rPr>
          <w:color w:val="000000" w:themeColor="text1"/>
        </w:rPr>
        <w:t>, 2019)</w:t>
      </w:r>
      <w:r>
        <w:rPr>
          <w:color w:val="000000" w:themeColor="text1"/>
        </w:rPr>
        <w:t xml:space="preserve">. </w:t>
      </w:r>
      <w:r w:rsidR="008C5108">
        <w:rPr>
          <w:color w:val="000000" w:themeColor="text1"/>
        </w:rPr>
        <w:t xml:space="preserve">Language is seen as a window into human cognition rather than being an autonomous, encapsulated faculty that differs from other cognitive operations. The use of principles of gestalt psychology and aspects of visual perception has allowed cognitive linguists and grammarians to approach and understand the motivation behind linguistic structures in terms of specific cognitive processes, such as construal, attention, categorization, inferencing and memory storage (Bybee, 2010; Langacker, 1996).  </w:t>
      </w:r>
      <w:r w:rsidR="00437621">
        <w:rPr>
          <w:color w:val="000000" w:themeColor="text1"/>
        </w:rPr>
        <w:t xml:space="preserve">What follows from this conception of language is that meaning plays the central role in linguistic description. In </w:t>
      </w:r>
      <w:r w:rsidR="00A527F7">
        <w:rPr>
          <w:color w:val="000000" w:themeColor="text1"/>
        </w:rPr>
        <w:t>CG</w:t>
      </w:r>
      <w:r w:rsidR="00437621">
        <w:rPr>
          <w:color w:val="000000" w:themeColor="text1"/>
        </w:rPr>
        <w:t xml:space="preserve">, </w:t>
      </w:r>
      <w:r w:rsidR="00160D04">
        <w:rPr>
          <w:color w:val="000000" w:themeColor="text1"/>
        </w:rPr>
        <w:t xml:space="preserve">all elements of </w:t>
      </w:r>
      <w:r>
        <w:rPr>
          <w:color w:val="000000" w:themeColor="text1"/>
        </w:rPr>
        <w:t>language</w:t>
      </w:r>
      <w:r w:rsidR="00437621">
        <w:rPr>
          <w:color w:val="000000" w:themeColor="text1"/>
        </w:rPr>
        <w:t xml:space="preserve"> are viewed as a vast</w:t>
      </w:r>
      <w:r>
        <w:rPr>
          <w:color w:val="000000" w:themeColor="text1"/>
        </w:rPr>
        <w:t xml:space="preserve"> network </w:t>
      </w:r>
      <w:r w:rsidR="00437621">
        <w:rPr>
          <w:color w:val="000000" w:themeColor="text1"/>
        </w:rPr>
        <w:t xml:space="preserve">consisting </w:t>
      </w:r>
      <w:r>
        <w:rPr>
          <w:color w:val="000000" w:themeColor="text1"/>
        </w:rPr>
        <w:t>of symbolic units that pair sounds with meaning. Assuming that lexicon and grammar are not distinct modules,</w:t>
      </w:r>
      <w:r w:rsidR="00437621">
        <w:rPr>
          <w:color w:val="000000" w:themeColor="text1"/>
        </w:rPr>
        <w:t xml:space="preserve"> both</w:t>
      </w:r>
      <w:r>
        <w:rPr>
          <w:color w:val="000000" w:themeColor="text1"/>
        </w:rPr>
        <w:t xml:space="preserve"> </w:t>
      </w:r>
      <w:r w:rsidR="00437621">
        <w:rPr>
          <w:color w:val="000000" w:themeColor="text1"/>
        </w:rPr>
        <w:t>lexical and grammatical structures</w:t>
      </w:r>
      <w:r w:rsidR="000C6DD1">
        <w:rPr>
          <w:color w:val="000000" w:themeColor="text1"/>
        </w:rPr>
        <w:t xml:space="preserve"> represent symbols and </w:t>
      </w:r>
      <w:r w:rsidR="00437621">
        <w:rPr>
          <w:color w:val="000000" w:themeColor="text1"/>
        </w:rPr>
        <w:t xml:space="preserve">hence </w:t>
      </w:r>
      <w:r w:rsidR="000C6DD1">
        <w:rPr>
          <w:color w:val="000000" w:themeColor="text1"/>
        </w:rPr>
        <w:t xml:space="preserve">convey meaning. These </w:t>
      </w:r>
      <w:r w:rsidR="001C186E">
        <w:rPr>
          <w:color w:val="000000" w:themeColor="text1"/>
        </w:rPr>
        <w:t xml:space="preserve">symbols </w:t>
      </w:r>
      <w:r w:rsidR="000C6DD1">
        <w:rPr>
          <w:color w:val="000000" w:themeColor="text1"/>
        </w:rPr>
        <w:t xml:space="preserve">vary along a continuum from very concrete symbolic units, such as </w:t>
      </w:r>
      <w:r w:rsidR="000C6DD1" w:rsidRPr="000C6DD1">
        <w:rPr>
          <w:i/>
          <w:color w:val="000000" w:themeColor="text1"/>
        </w:rPr>
        <w:t>dog</w:t>
      </w:r>
      <w:r w:rsidR="000C6DD1">
        <w:rPr>
          <w:color w:val="000000" w:themeColor="text1"/>
        </w:rPr>
        <w:t xml:space="preserve">, to more abstract </w:t>
      </w:r>
      <w:r w:rsidR="001C186E">
        <w:rPr>
          <w:color w:val="000000" w:themeColor="text1"/>
        </w:rPr>
        <w:t>ones</w:t>
      </w:r>
      <w:r w:rsidR="000C6DD1">
        <w:rPr>
          <w:color w:val="000000" w:themeColor="text1"/>
        </w:rPr>
        <w:t xml:space="preserve">, such as </w:t>
      </w:r>
      <w:r w:rsidR="000C6DD1" w:rsidRPr="000C6DD1">
        <w:rPr>
          <w:i/>
          <w:color w:val="000000" w:themeColor="text1"/>
        </w:rPr>
        <w:t>relative clause</w:t>
      </w:r>
      <w:r w:rsidR="000C6DD1">
        <w:rPr>
          <w:color w:val="000000" w:themeColor="text1"/>
        </w:rPr>
        <w:t xml:space="preserve"> (Langacker, 2008). </w:t>
      </w:r>
      <w:r w:rsidR="002538B6">
        <w:rPr>
          <w:color w:val="000000" w:themeColor="text1"/>
        </w:rPr>
        <w:t>Additionally, the</w:t>
      </w:r>
      <w:r w:rsidR="003C2072">
        <w:rPr>
          <w:color w:val="000000" w:themeColor="text1"/>
        </w:rPr>
        <w:t xml:space="preserve"> i</w:t>
      </w:r>
      <w:r w:rsidR="00D806AD">
        <w:rPr>
          <w:color w:val="000000" w:themeColor="text1"/>
        </w:rPr>
        <w:t>mage-based view of grammar</w:t>
      </w:r>
      <w:r w:rsidR="003C2072">
        <w:rPr>
          <w:color w:val="000000" w:themeColor="text1"/>
        </w:rPr>
        <w:t xml:space="preserve"> </w:t>
      </w:r>
      <w:r w:rsidR="002538B6">
        <w:rPr>
          <w:color w:val="000000" w:themeColor="text1"/>
        </w:rPr>
        <w:t xml:space="preserve">in CG </w:t>
      </w:r>
      <w:r w:rsidR="003C2072">
        <w:rPr>
          <w:color w:val="000000" w:themeColor="text1"/>
        </w:rPr>
        <w:t xml:space="preserve">denies </w:t>
      </w:r>
      <w:r w:rsidR="002B04AA">
        <w:rPr>
          <w:color w:val="000000" w:themeColor="text1"/>
        </w:rPr>
        <w:t>the understanding</w:t>
      </w:r>
      <w:r w:rsidR="003C2072">
        <w:rPr>
          <w:color w:val="000000" w:themeColor="text1"/>
        </w:rPr>
        <w:t xml:space="preserve"> that languages consist of a set of grammatical universals</w:t>
      </w:r>
      <w:r w:rsidR="002B04AA">
        <w:rPr>
          <w:color w:val="000000" w:themeColor="text1"/>
        </w:rPr>
        <w:t xml:space="preserve"> </w:t>
      </w:r>
      <w:r w:rsidR="006C26B2">
        <w:rPr>
          <w:color w:val="000000" w:themeColor="text1"/>
        </w:rPr>
        <w:t>but</w:t>
      </w:r>
      <w:r w:rsidR="002B04AA">
        <w:rPr>
          <w:color w:val="000000" w:themeColor="text1"/>
        </w:rPr>
        <w:t xml:space="preserve"> allows the idea that grammar itself embodies semantic content. </w:t>
      </w:r>
    </w:p>
    <w:p w14:paraId="01C4B675" w14:textId="6AAB1806" w:rsidR="00A54A45" w:rsidRDefault="00D806AD" w:rsidP="00FE7709">
      <w:pPr>
        <w:spacing w:line="360" w:lineRule="auto"/>
        <w:ind w:firstLine="720"/>
        <w:rPr>
          <w:color w:val="000000" w:themeColor="text1"/>
        </w:rPr>
      </w:pPr>
      <w:r>
        <w:rPr>
          <w:color w:val="000000" w:themeColor="text1"/>
        </w:rPr>
        <w:t xml:space="preserve">Giving importance to these </w:t>
      </w:r>
      <w:r w:rsidR="00342453">
        <w:rPr>
          <w:color w:val="000000" w:themeColor="text1"/>
        </w:rPr>
        <w:t>assumptions</w:t>
      </w:r>
      <w:r>
        <w:rPr>
          <w:color w:val="000000" w:themeColor="text1"/>
        </w:rPr>
        <w:t xml:space="preserve"> </w:t>
      </w:r>
      <w:r w:rsidR="009173EB">
        <w:rPr>
          <w:color w:val="000000" w:themeColor="text1"/>
        </w:rPr>
        <w:t xml:space="preserve">bears consequences for the acquisition of languages. In CG, language is seen as a tool for reaching communication-oriented goals in </w:t>
      </w:r>
      <w:r w:rsidR="009173EB">
        <w:rPr>
          <w:color w:val="000000" w:themeColor="text1"/>
        </w:rPr>
        <w:lastRenderedPageBreak/>
        <w:t>situational contexts in which the language user plays an active role in shaping and constructing language</w:t>
      </w:r>
      <w:r w:rsidR="001F50D4">
        <w:rPr>
          <w:color w:val="000000" w:themeColor="text1"/>
        </w:rPr>
        <w:t xml:space="preserve"> (Langacker, 1987, p. 494)</w:t>
      </w:r>
      <w:r w:rsidR="009173EB">
        <w:rPr>
          <w:color w:val="000000" w:themeColor="text1"/>
        </w:rPr>
        <w:t>.</w:t>
      </w:r>
      <w:r w:rsidR="00001B40">
        <w:rPr>
          <w:color w:val="000000" w:themeColor="text1"/>
        </w:rPr>
        <w:t xml:space="preserve"> </w:t>
      </w:r>
      <w:r w:rsidR="009F5E79">
        <w:rPr>
          <w:color w:val="000000" w:themeColor="text1"/>
        </w:rPr>
        <w:t>Consequently</w:t>
      </w:r>
      <w:r w:rsidR="006A354C">
        <w:rPr>
          <w:color w:val="000000" w:themeColor="text1"/>
        </w:rPr>
        <w:t xml:space="preserve">, </w:t>
      </w:r>
      <w:r w:rsidR="006A354C" w:rsidRPr="006A354C">
        <w:rPr>
          <w:color w:val="000000" w:themeColor="text1"/>
        </w:rPr>
        <w:t xml:space="preserve">as Ellis and </w:t>
      </w:r>
      <w:proofErr w:type="spellStart"/>
      <w:r w:rsidR="006A354C" w:rsidRPr="006A354C">
        <w:rPr>
          <w:color w:val="000000" w:themeColor="text1"/>
        </w:rPr>
        <w:t>Cadierno</w:t>
      </w:r>
      <w:proofErr w:type="spellEnd"/>
      <w:r w:rsidR="006A354C" w:rsidRPr="006A354C">
        <w:rPr>
          <w:color w:val="000000" w:themeColor="text1"/>
        </w:rPr>
        <w:t xml:space="preserve"> (2009) </w:t>
      </w:r>
      <w:r w:rsidR="008C16C8">
        <w:rPr>
          <w:color w:val="000000" w:themeColor="text1"/>
        </w:rPr>
        <w:t>describe it</w:t>
      </w:r>
      <w:r w:rsidR="006A354C" w:rsidRPr="006A354C">
        <w:rPr>
          <w:color w:val="000000" w:themeColor="text1"/>
        </w:rPr>
        <w:t>, subtle linguistic choices “structure concepts and window attention to aspects of experience through the options specific languages make available to speakers” (p. 123).</w:t>
      </w:r>
      <w:r w:rsidR="005C74DA">
        <w:rPr>
          <w:color w:val="000000" w:themeColor="text1"/>
        </w:rPr>
        <w:t xml:space="preserve"> </w:t>
      </w:r>
    </w:p>
    <w:p w14:paraId="48EC2523" w14:textId="77777777" w:rsidR="006F50C3" w:rsidRDefault="006F50C3" w:rsidP="0078232D">
      <w:pPr>
        <w:spacing w:line="360" w:lineRule="auto"/>
        <w:rPr>
          <w:b/>
          <w:color w:val="000000" w:themeColor="text1"/>
        </w:rPr>
      </w:pPr>
    </w:p>
    <w:p w14:paraId="32AD0621" w14:textId="1E4E9D10" w:rsidR="00A727DD" w:rsidRPr="0078232D" w:rsidRDefault="00D72504" w:rsidP="0078232D">
      <w:pPr>
        <w:spacing w:line="360" w:lineRule="auto"/>
        <w:rPr>
          <w:color w:val="000000" w:themeColor="text1"/>
        </w:rPr>
      </w:pPr>
      <w:r>
        <w:rPr>
          <w:b/>
          <w:color w:val="000000" w:themeColor="text1"/>
        </w:rPr>
        <w:t>2.</w:t>
      </w:r>
      <w:r w:rsidR="00E576C6">
        <w:rPr>
          <w:b/>
          <w:color w:val="000000" w:themeColor="text1"/>
        </w:rPr>
        <w:t>3</w:t>
      </w:r>
      <w:r w:rsidR="00A223AB" w:rsidRPr="00C3354B">
        <w:rPr>
          <w:b/>
          <w:color w:val="000000" w:themeColor="text1"/>
        </w:rPr>
        <w:t xml:space="preserve"> Construal </w:t>
      </w:r>
      <w:r w:rsidR="00FE695C">
        <w:rPr>
          <w:b/>
          <w:color w:val="000000" w:themeColor="text1"/>
        </w:rPr>
        <w:t xml:space="preserve">in Cognitive Grammar </w:t>
      </w:r>
      <w:r w:rsidR="005A2EE6">
        <w:rPr>
          <w:b/>
          <w:color w:val="000000" w:themeColor="text1"/>
        </w:rPr>
        <w:t xml:space="preserve"> </w:t>
      </w:r>
    </w:p>
    <w:p w14:paraId="5803935D" w14:textId="74FA0229" w:rsidR="00550110" w:rsidRDefault="00575CE7" w:rsidP="00550110">
      <w:pPr>
        <w:spacing w:line="360" w:lineRule="auto"/>
        <w:rPr>
          <w:color w:val="000000" w:themeColor="text1"/>
        </w:rPr>
      </w:pPr>
      <w:r>
        <w:rPr>
          <w:color w:val="000000" w:themeColor="text1"/>
        </w:rPr>
        <w:t xml:space="preserve">The speaker’s active role in shaping language use is also manifested in the choice of organizing information and selecting a certain linguistic structure to describe a particular scene. This means that the semantic value of an expression is not entirely a matter of what is conceptualized, but also of how that conceptual content is mentally represented, i.e., construed </w:t>
      </w:r>
      <w:r w:rsidRPr="00DA7E37">
        <w:rPr>
          <w:color w:val="000000" w:themeColor="text1"/>
        </w:rPr>
        <w:t>(</w:t>
      </w:r>
      <w:proofErr w:type="spellStart"/>
      <w:r w:rsidRPr="00DA7E37">
        <w:rPr>
          <w:color w:val="000000" w:themeColor="text1"/>
        </w:rPr>
        <w:t>Verhagen</w:t>
      </w:r>
      <w:proofErr w:type="spellEnd"/>
      <w:r w:rsidRPr="00DA7E37">
        <w:rPr>
          <w:color w:val="000000" w:themeColor="text1"/>
        </w:rPr>
        <w:t>, 20</w:t>
      </w:r>
      <w:r w:rsidR="00DA7E37" w:rsidRPr="00DA7E37">
        <w:rPr>
          <w:color w:val="000000" w:themeColor="text1"/>
        </w:rPr>
        <w:t>07</w:t>
      </w:r>
      <w:r w:rsidRPr="00DA7E37">
        <w:rPr>
          <w:color w:val="000000" w:themeColor="text1"/>
        </w:rPr>
        <w:t xml:space="preserve">, p. </w:t>
      </w:r>
      <w:r w:rsidR="00DA7E37" w:rsidRPr="00DA7E37">
        <w:rPr>
          <w:color w:val="000000" w:themeColor="text1"/>
        </w:rPr>
        <w:t>49</w:t>
      </w:r>
      <w:r w:rsidRPr="00DA7E37">
        <w:rPr>
          <w:color w:val="000000" w:themeColor="text1"/>
        </w:rPr>
        <w:t xml:space="preserve">). </w:t>
      </w:r>
      <w:r w:rsidR="00550110">
        <w:rPr>
          <w:color w:val="000000" w:themeColor="text1"/>
        </w:rPr>
        <w:t xml:space="preserve">Langacker describes the active role of the conceptualizer/speaker in shaping language structure as follows: </w:t>
      </w:r>
    </w:p>
    <w:p w14:paraId="1C392EE7" w14:textId="77777777" w:rsidR="00550110" w:rsidRDefault="00550110" w:rsidP="00550110">
      <w:pPr>
        <w:spacing w:line="360" w:lineRule="auto"/>
        <w:ind w:firstLine="720"/>
        <w:rPr>
          <w:color w:val="000000" w:themeColor="text1"/>
        </w:rPr>
      </w:pPr>
    </w:p>
    <w:p w14:paraId="58C91EC5" w14:textId="77777777" w:rsidR="00550110" w:rsidRPr="006D7BDF" w:rsidRDefault="00550110" w:rsidP="00550110">
      <w:pPr>
        <w:spacing w:line="360" w:lineRule="auto"/>
        <w:ind w:left="720"/>
        <w:rPr>
          <w:color w:val="000000" w:themeColor="text1"/>
          <w:sz w:val="22"/>
          <w:szCs w:val="22"/>
        </w:rPr>
      </w:pPr>
      <w:r>
        <w:rPr>
          <w:color w:val="000000" w:themeColor="text1"/>
          <w:sz w:val="22"/>
          <w:szCs w:val="22"/>
        </w:rPr>
        <w:t>A speaker who accurately observes the spatial distribution of certain stars can describe them in many distinct fashions: as a constellation, as a cluster of stars, as specks of light in the sky, etc. Such expressions are semantically distinct; they reflect the speaker’s alternate construals of the scene, each compatible with its objectively given properties. […] Various dimensions of imagery (i.e. construal) must be recognized, the most significant being the profile/base distinction.  (Langacker, 1990, p. 61)</w:t>
      </w:r>
    </w:p>
    <w:p w14:paraId="594CFA0F" w14:textId="77777777" w:rsidR="00550110" w:rsidRDefault="00550110" w:rsidP="0057725E">
      <w:pPr>
        <w:spacing w:line="360" w:lineRule="auto"/>
        <w:rPr>
          <w:color w:val="000000" w:themeColor="text1"/>
        </w:rPr>
      </w:pPr>
    </w:p>
    <w:p w14:paraId="40EF8060" w14:textId="4F184FA0" w:rsidR="00575CE7" w:rsidRDefault="00575CE7" w:rsidP="0057725E">
      <w:pPr>
        <w:spacing w:line="360" w:lineRule="auto"/>
        <w:rPr>
          <w:color w:val="000000" w:themeColor="text1"/>
        </w:rPr>
      </w:pPr>
      <w:r>
        <w:rPr>
          <w:color w:val="000000" w:themeColor="text1"/>
        </w:rPr>
        <w:t>Construal</w:t>
      </w:r>
      <w:r w:rsidR="00550110">
        <w:rPr>
          <w:color w:val="000000" w:themeColor="text1"/>
        </w:rPr>
        <w:t>,</w:t>
      </w:r>
      <w:r>
        <w:rPr>
          <w:color w:val="000000" w:themeColor="text1"/>
        </w:rPr>
        <w:t xml:space="preserve"> the ability to parse the properties of a situation and select </w:t>
      </w:r>
      <w:r w:rsidRPr="00C3120C">
        <w:rPr>
          <w:color w:val="000000" w:themeColor="text1"/>
        </w:rPr>
        <w:t xml:space="preserve">the most fitting structural choice from among the open-ended </w:t>
      </w:r>
      <w:r>
        <w:rPr>
          <w:color w:val="000000" w:themeColor="text1"/>
        </w:rPr>
        <w:t xml:space="preserve">inventory of linguistic choices </w:t>
      </w:r>
      <w:r w:rsidRPr="00C3120C">
        <w:rPr>
          <w:color w:val="000000" w:themeColor="text1"/>
        </w:rPr>
        <w:t>(</w:t>
      </w:r>
      <w:proofErr w:type="spellStart"/>
      <w:r w:rsidRPr="00C3120C">
        <w:rPr>
          <w:color w:val="000000" w:themeColor="text1"/>
        </w:rPr>
        <w:t>Givón</w:t>
      </w:r>
      <w:proofErr w:type="spellEnd"/>
      <w:r w:rsidRPr="00C3120C">
        <w:rPr>
          <w:color w:val="000000" w:themeColor="text1"/>
        </w:rPr>
        <w:t>, 1989, p. 90)</w:t>
      </w:r>
      <w:r w:rsidR="00550110">
        <w:rPr>
          <w:color w:val="000000" w:themeColor="text1"/>
        </w:rPr>
        <w:t xml:space="preserve"> </w:t>
      </w:r>
      <w:r>
        <w:rPr>
          <w:color w:val="000000" w:themeColor="text1"/>
        </w:rPr>
        <w:t xml:space="preserve">is, in large measure, influenced by the nature of our physical bodies, perspective and choice to focus on more salient aspects of a situation while backgrounding others. The conventions for construing the world around us are deeply entrenched in the speech community in which the individual speaker participates (Jarvis, 2011, p. 4); as a result, construal occurs both at the individual and at the language level, with different languages offering distinctive conventions for construal.  </w:t>
      </w:r>
    </w:p>
    <w:p w14:paraId="50AEC66D" w14:textId="26597DA4" w:rsidR="0001149B" w:rsidRDefault="00550110" w:rsidP="00550110">
      <w:pPr>
        <w:spacing w:line="360" w:lineRule="auto"/>
        <w:ind w:firstLine="720"/>
        <w:rPr>
          <w:color w:val="000000" w:themeColor="text1"/>
        </w:rPr>
      </w:pPr>
      <w:r>
        <w:rPr>
          <w:color w:val="000000" w:themeColor="text1"/>
        </w:rPr>
        <w:t>One of the construal processes recognized highly relevant in expressing though</w:t>
      </w:r>
      <w:r w:rsidR="006F50C3">
        <w:rPr>
          <w:color w:val="000000" w:themeColor="text1"/>
        </w:rPr>
        <w:t>t</w:t>
      </w:r>
      <w:r>
        <w:rPr>
          <w:color w:val="000000" w:themeColor="text1"/>
        </w:rPr>
        <w:t xml:space="preserve"> linguistically is the </w:t>
      </w:r>
      <w:r w:rsidRPr="00A92EBB">
        <w:rPr>
          <w:i/>
          <w:color w:val="000000" w:themeColor="text1"/>
        </w:rPr>
        <w:t>profile/base</w:t>
      </w:r>
      <w:r>
        <w:rPr>
          <w:color w:val="000000" w:themeColor="text1"/>
        </w:rPr>
        <w:t xml:space="preserve"> distinction, a subtype of </w:t>
      </w:r>
      <w:r w:rsidR="00FE7F21">
        <w:rPr>
          <w:color w:val="000000" w:themeColor="text1"/>
        </w:rPr>
        <w:t>figure/ground perception grouping in Gestalt psychology</w:t>
      </w:r>
      <w:r w:rsidR="00FE4983">
        <w:rPr>
          <w:color w:val="000000" w:themeColor="text1"/>
        </w:rPr>
        <w:t xml:space="preserve"> (Croft &amp; Cruse, 2004; Langacker, 1987; </w:t>
      </w:r>
      <w:proofErr w:type="spellStart"/>
      <w:r w:rsidR="00FE4983">
        <w:rPr>
          <w:color w:val="000000" w:themeColor="text1"/>
        </w:rPr>
        <w:t>Talmy</w:t>
      </w:r>
      <w:proofErr w:type="spellEnd"/>
      <w:r w:rsidR="00FE4983">
        <w:rPr>
          <w:color w:val="000000" w:themeColor="text1"/>
        </w:rPr>
        <w:t xml:space="preserve">, </w:t>
      </w:r>
      <w:r w:rsidR="008650BA">
        <w:rPr>
          <w:color w:val="000000" w:themeColor="text1"/>
        </w:rPr>
        <w:t>2000)</w:t>
      </w:r>
      <w:r w:rsidR="00FE7F21">
        <w:rPr>
          <w:color w:val="000000" w:themeColor="text1"/>
        </w:rPr>
        <w:t xml:space="preserve">. </w:t>
      </w:r>
      <w:r w:rsidR="009C28B3">
        <w:rPr>
          <w:color w:val="000000" w:themeColor="text1"/>
        </w:rPr>
        <w:t xml:space="preserve">The focus of the speaker’s attention corresponds to the </w:t>
      </w:r>
      <w:r w:rsidR="009C28B3" w:rsidRPr="00B41ED7">
        <w:rPr>
          <w:color w:val="000000" w:themeColor="text1"/>
        </w:rPr>
        <w:t>profile</w:t>
      </w:r>
      <w:r w:rsidR="009C28B3">
        <w:rPr>
          <w:color w:val="000000" w:themeColor="text1"/>
        </w:rPr>
        <w:t xml:space="preserve"> at the conceptual level. A linguistic expression evokes a frame, the base, and within that base primary focus is conferred on the entity that stands out most prominently and is the specific focus of attention, the </w:t>
      </w:r>
      <w:r w:rsidR="009C28B3" w:rsidRPr="00636D45">
        <w:rPr>
          <w:color w:val="000000" w:themeColor="text1"/>
        </w:rPr>
        <w:t>profile</w:t>
      </w:r>
      <w:r w:rsidR="009C28B3">
        <w:rPr>
          <w:color w:val="000000" w:themeColor="text1"/>
        </w:rPr>
        <w:t xml:space="preserve">. The </w:t>
      </w:r>
      <w:r w:rsidR="009C28B3">
        <w:rPr>
          <w:color w:val="000000" w:themeColor="text1"/>
        </w:rPr>
        <w:lastRenderedPageBreak/>
        <w:t xml:space="preserve">profile thus is a substructure of the base that </w:t>
      </w:r>
      <w:r w:rsidR="00831CDF">
        <w:rPr>
          <w:color w:val="000000" w:themeColor="text1"/>
        </w:rPr>
        <w:t xml:space="preserve">receives the most prominence and is foregrounded against the base (Langacker, 2008). </w:t>
      </w:r>
      <w:r w:rsidR="009C28B3">
        <w:rPr>
          <w:color w:val="000000" w:themeColor="text1"/>
        </w:rPr>
        <w:t>Other c</w:t>
      </w:r>
      <w:r w:rsidR="00BA179D">
        <w:rPr>
          <w:color w:val="000000" w:themeColor="text1"/>
        </w:rPr>
        <w:t>entral components in</w:t>
      </w:r>
      <w:r w:rsidR="00832534">
        <w:rPr>
          <w:color w:val="000000" w:themeColor="text1"/>
        </w:rPr>
        <w:t xml:space="preserve"> </w:t>
      </w:r>
      <w:r w:rsidR="0079766E">
        <w:rPr>
          <w:color w:val="000000" w:themeColor="text1"/>
        </w:rPr>
        <w:t xml:space="preserve">any </w:t>
      </w:r>
      <w:r w:rsidR="009C28B3">
        <w:rPr>
          <w:color w:val="000000" w:themeColor="text1"/>
        </w:rPr>
        <w:t>construal</w:t>
      </w:r>
      <w:r w:rsidR="00832534">
        <w:rPr>
          <w:color w:val="000000" w:themeColor="text1"/>
        </w:rPr>
        <w:t xml:space="preserve"> are </w:t>
      </w:r>
      <w:r w:rsidR="00497214" w:rsidRPr="00DE4A44">
        <w:rPr>
          <w:i/>
          <w:color w:val="000000" w:themeColor="text1"/>
        </w:rPr>
        <w:t>ground</w:t>
      </w:r>
      <w:r w:rsidR="009C28B3">
        <w:rPr>
          <w:color w:val="000000" w:themeColor="text1"/>
        </w:rPr>
        <w:t xml:space="preserve"> and</w:t>
      </w:r>
      <w:r w:rsidR="00497214">
        <w:rPr>
          <w:color w:val="000000" w:themeColor="text1"/>
        </w:rPr>
        <w:t xml:space="preserve"> </w:t>
      </w:r>
      <w:r w:rsidR="00497214" w:rsidRPr="00DE4A44">
        <w:rPr>
          <w:i/>
          <w:color w:val="000000" w:themeColor="text1"/>
        </w:rPr>
        <w:t>scope</w:t>
      </w:r>
      <w:r w:rsidR="00CB7302">
        <w:rPr>
          <w:color w:val="000000" w:themeColor="text1"/>
        </w:rPr>
        <w:t>.</w:t>
      </w:r>
      <w:r w:rsidR="0011683A">
        <w:rPr>
          <w:color w:val="000000" w:themeColor="text1"/>
        </w:rPr>
        <w:t xml:space="preserve"> The ground designates the</w:t>
      </w:r>
      <w:r w:rsidR="0079766E">
        <w:rPr>
          <w:color w:val="000000" w:themeColor="text1"/>
        </w:rPr>
        <w:t xml:space="preserve"> context that is necessary for understanding an expression and includes the speech par</w:t>
      </w:r>
      <w:r w:rsidR="003D5E27">
        <w:rPr>
          <w:color w:val="000000" w:themeColor="text1"/>
        </w:rPr>
        <w:t xml:space="preserve">ticipants and </w:t>
      </w:r>
      <w:r w:rsidR="0079766E">
        <w:rPr>
          <w:color w:val="000000" w:themeColor="text1"/>
        </w:rPr>
        <w:t>time of speech</w:t>
      </w:r>
      <w:r w:rsidR="003D5E27">
        <w:rPr>
          <w:color w:val="000000" w:themeColor="text1"/>
        </w:rPr>
        <w:t xml:space="preserve">, and, at a conceptual level, makes up the conceptual core. Ground entities are an inherent part of the conceptual content but can be suppressed </w:t>
      </w:r>
      <w:r w:rsidR="00E85880">
        <w:rPr>
          <w:color w:val="000000" w:themeColor="text1"/>
        </w:rPr>
        <w:t>in the sentence structure (</w:t>
      </w:r>
      <w:proofErr w:type="spellStart"/>
      <w:r w:rsidR="00E85880">
        <w:rPr>
          <w:color w:val="000000" w:themeColor="text1"/>
        </w:rPr>
        <w:t>Radden</w:t>
      </w:r>
      <w:proofErr w:type="spellEnd"/>
      <w:r w:rsidR="00E85880">
        <w:rPr>
          <w:color w:val="000000" w:themeColor="text1"/>
        </w:rPr>
        <w:t xml:space="preserve"> and Driven, 2007, p. 46). </w:t>
      </w:r>
      <w:r w:rsidR="00D06D52">
        <w:rPr>
          <w:color w:val="000000" w:themeColor="text1"/>
        </w:rPr>
        <w:t xml:space="preserve">The viewing frame that a person adopts when visualising a scene corresponds to the scope of </w:t>
      </w:r>
      <w:r w:rsidR="00597377">
        <w:rPr>
          <w:color w:val="000000" w:themeColor="text1"/>
        </w:rPr>
        <w:t xml:space="preserve">conceptual content </w:t>
      </w:r>
      <w:r w:rsidR="00E74AC0">
        <w:rPr>
          <w:color w:val="000000" w:themeColor="text1"/>
        </w:rPr>
        <w:t xml:space="preserve">which </w:t>
      </w:r>
      <w:r w:rsidR="00597377">
        <w:rPr>
          <w:color w:val="000000" w:themeColor="text1"/>
        </w:rPr>
        <w:t>a sentence structure evokes</w:t>
      </w:r>
      <w:r w:rsidR="00AA10A0">
        <w:rPr>
          <w:color w:val="000000" w:themeColor="text1"/>
        </w:rPr>
        <w:t xml:space="preserve"> (Langacker, 1990, p. 62)</w:t>
      </w:r>
      <w:r w:rsidR="00597377">
        <w:rPr>
          <w:color w:val="000000" w:themeColor="text1"/>
        </w:rPr>
        <w:t>.</w:t>
      </w:r>
      <w:r w:rsidR="00176FB6">
        <w:rPr>
          <w:color w:val="000000" w:themeColor="text1"/>
        </w:rPr>
        <w:t xml:space="preserve"> </w:t>
      </w:r>
      <w:r w:rsidR="009C50F1">
        <w:rPr>
          <w:color w:val="000000" w:themeColor="text1"/>
        </w:rPr>
        <w:t xml:space="preserve">A speaker can construe a scene with a maximal or restricted viewing frame. </w:t>
      </w:r>
      <w:r w:rsidR="00620C9E">
        <w:rPr>
          <w:color w:val="000000" w:themeColor="text1"/>
        </w:rPr>
        <w:t>In a</w:t>
      </w:r>
      <w:r w:rsidR="009C50F1">
        <w:rPr>
          <w:color w:val="000000" w:themeColor="text1"/>
        </w:rPr>
        <w:t xml:space="preserve"> maximal viewing arrangement</w:t>
      </w:r>
      <w:r w:rsidR="00620C9E">
        <w:rPr>
          <w:color w:val="000000" w:themeColor="text1"/>
        </w:rPr>
        <w:t>,</w:t>
      </w:r>
      <w:r w:rsidR="009C50F1">
        <w:rPr>
          <w:color w:val="000000" w:themeColor="text1"/>
        </w:rPr>
        <w:t xml:space="preserve"> the speaker </w:t>
      </w:r>
      <w:r w:rsidR="00620C9E">
        <w:rPr>
          <w:color w:val="000000" w:themeColor="text1"/>
        </w:rPr>
        <w:t>construes</w:t>
      </w:r>
      <w:r w:rsidR="009C50F1">
        <w:rPr>
          <w:color w:val="000000" w:themeColor="text1"/>
        </w:rPr>
        <w:t xml:space="preserve"> the </w:t>
      </w:r>
      <w:r w:rsidR="009C50F1" w:rsidRPr="009C50F1">
        <w:rPr>
          <w:color w:val="000000" w:themeColor="text1"/>
        </w:rPr>
        <w:t xml:space="preserve">full array of </w:t>
      </w:r>
      <w:r w:rsidR="009C50F1">
        <w:rPr>
          <w:color w:val="000000" w:themeColor="text1"/>
        </w:rPr>
        <w:t>the conceptual content</w:t>
      </w:r>
      <w:r w:rsidR="009C50F1" w:rsidRPr="009C50F1">
        <w:rPr>
          <w:color w:val="000000" w:themeColor="text1"/>
        </w:rPr>
        <w:t xml:space="preserve">, whereas </w:t>
      </w:r>
      <w:r w:rsidR="002E08EF">
        <w:rPr>
          <w:color w:val="000000" w:themeColor="text1"/>
        </w:rPr>
        <w:t xml:space="preserve">a restricted viewing frame </w:t>
      </w:r>
      <w:r w:rsidR="009C50F1" w:rsidRPr="009C50F1">
        <w:rPr>
          <w:color w:val="000000" w:themeColor="text1"/>
        </w:rPr>
        <w:t>comprises selected segments of that maximal scope that directly presupposes the expression’s profile</w:t>
      </w:r>
      <w:r w:rsidR="00620C9E">
        <w:rPr>
          <w:color w:val="000000" w:themeColor="text1"/>
        </w:rPr>
        <w:t xml:space="preserve"> </w:t>
      </w:r>
      <w:r w:rsidR="00620C9E" w:rsidRPr="009C50F1">
        <w:rPr>
          <w:color w:val="000000" w:themeColor="text1"/>
        </w:rPr>
        <w:t>(</w:t>
      </w:r>
      <w:proofErr w:type="spellStart"/>
      <w:r w:rsidR="00643F3E">
        <w:rPr>
          <w:color w:val="000000" w:themeColor="text1"/>
        </w:rPr>
        <w:t>Casad</w:t>
      </w:r>
      <w:proofErr w:type="spellEnd"/>
      <w:r w:rsidR="00643F3E">
        <w:rPr>
          <w:color w:val="000000" w:themeColor="text1"/>
        </w:rPr>
        <w:t xml:space="preserve">, 1995; </w:t>
      </w:r>
      <w:r w:rsidR="00620C9E" w:rsidRPr="009C50F1">
        <w:rPr>
          <w:color w:val="000000" w:themeColor="text1"/>
        </w:rPr>
        <w:t>Langacker, 1999, p. 49)</w:t>
      </w:r>
      <w:r w:rsidR="009C50F1" w:rsidRPr="009C50F1">
        <w:rPr>
          <w:color w:val="000000" w:themeColor="text1"/>
        </w:rPr>
        <w:t>.</w:t>
      </w:r>
      <w:r w:rsidR="00032C4D">
        <w:rPr>
          <w:color w:val="000000" w:themeColor="text1"/>
        </w:rPr>
        <w:t xml:space="preserve"> T</w:t>
      </w:r>
      <w:r w:rsidR="009C50F1" w:rsidRPr="009C50F1">
        <w:rPr>
          <w:color w:val="000000" w:themeColor="text1"/>
        </w:rPr>
        <w:t>he maximal scope can be thought of as foregrounding the immediate scope</w:t>
      </w:r>
      <w:r w:rsidR="009C50F1">
        <w:rPr>
          <w:color w:val="000000" w:themeColor="text1"/>
        </w:rPr>
        <w:t>. The field of our vision</w:t>
      </w:r>
      <w:r w:rsidR="002E08EF">
        <w:rPr>
          <w:color w:val="000000" w:themeColor="text1"/>
        </w:rPr>
        <w:t>, however,</w:t>
      </w:r>
      <w:r w:rsidR="009C50F1">
        <w:rPr>
          <w:color w:val="000000" w:themeColor="text1"/>
        </w:rPr>
        <w:t xml:space="preserve"> is limited</w:t>
      </w:r>
      <w:r w:rsidR="008875DA">
        <w:rPr>
          <w:color w:val="000000" w:themeColor="text1"/>
        </w:rPr>
        <w:t>,</w:t>
      </w:r>
      <w:r w:rsidR="009C50F1">
        <w:rPr>
          <w:color w:val="000000" w:themeColor="text1"/>
        </w:rPr>
        <w:t xml:space="preserve"> and we are only able to perceive a fragment of our spatial surroundings; hence, the scope of an expression reflects what a person can mentally encompass at any moment in time (Langacker, 2008, p. 62</w:t>
      </w:r>
      <w:r w:rsidR="006910AD">
        <w:rPr>
          <w:color w:val="000000" w:themeColor="text1"/>
        </w:rPr>
        <w:t>f</w:t>
      </w:r>
      <w:r w:rsidR="009C50F1">
        <w:rPr>
          <w:color w:val="000000" w:themeColor="text1"/>
        </w:rPr>
        <w:t>).</w:t>
      </w:r>
    </w:p>
    <w:p w14:paraId="0AEAD2B9" w14:textId="77777777" w:rsidR="00E63EA2" w:rsidRDefault="00E63EA2" w:rsidP="00550110">
      <w:pPr>
        <w:spacing w:line="360" w:lineRule="auto"/>
        <w:ind w:firstLine="720"/>
        <w:rPr>
          <w:color w:val="000000" w:themeColor="text1"/>
        </w:rPr>
      </w:pPr>
    </w:p>
    <w:p w14:paraId="06D9E101" w14:textId="5DD193F5" w:rsidR="00B41ED7" w:rsidRPr="00EE5D5B" w:rsidRDefault="00FB18E3" w:rsidP="00D806AD">
      <w:pPr>
        <w:spacing w:line="360" w:lineRule="auto"/>
        <w:outlineLvl w:val="0"/>
        <w:rPr>
          <w:color w:val="000000" w:themeColor="text1"/>
        </w:rPr>
      </w:pPr>
      <w:r>
        <w:rPr>
          <w:b/>
          <w:color w:val="000000" w:themeColor="text1"/>
        </w:rPr>
        <w:t>3</w:t>
      </w:r>
      <w:r w:rsidR="007C4AEA" w:rsidRPr="00EE5D5B">
        <w:rPr>
          <w:b/>
          <w:color w:val="000000" w:themeColor="text1"/>
        </w:rPr>
        <w:t xml:space="preserve"> </w:t>
      </w:r>
      <w:r w:rsidR="00EE5D5B" w:rsidRPr="00EE5D5B">
        <w:rPr>
          <w:b/>
          <w:color w:val="000000" w:themeColor="text1"/>
        </w:rPr>
        <w:t>Construal of Temporal Relationships</w:t>
      </w:r>
      <w:r w:rsidR="00EE2E5E">
        <w:rPr>
          <w:b/>
          <w:color w:val="000000" w:themeColor="text1"/>
        </w:rPr>
        <w:t xml:space="preserve"> in Cognitive Grammar </w:t>
      </w:r>
      <w:r w:rsidR="002318C6">
        <w:rPr>
          <w:b/>
          <w:color w:val="000000" w:themeColor="text1"/>
        </w:rPr>
        <w:t xml:space="preserve"> </w:t>
      </w:r>
    </w:p>
    <w:p w14:paraId="53B9F742" w14:textId="59BDFAAA" w:rsidR="00003138" w:rsidRDefault="00EC1EC7" w:rsidP="00003138">
      <w:pPr>
        <w:spacing w:line="360" w:lineRule="auto"/>
        <w:rPr>
          <w:color w:val="000000" w:themeColor="text1"/>
        </w:rPr>
      </w:pPr>
      <w:r>
        <w:rPr>
          <w:color w:val="000000" w:themeColor="text1"/>
        </w:rPr>
        <w:t xml:space="preserve">In this section, I will present an account of the theoretical prerequisites pivotal for the conceptual and semantic analysis of tense and aspect marking in CG. </w:t>
      </w:r>
      <w:r w:rsidR="00E63EA2">
        <w:rPr>
          <w:color w:val="000000" w:themeColor="text1"/>
        </w:rPr>
        <w:t>In the construal of temporality</w:t>
      </w:r>
      <w:r w:rsidR="002439C2">
        <w:rPr>
          <w:color w:val="000000" w:themeColor="text1"/>
        </w:rPr>
        <w:t xml:space="preserve"> (see Table 1)</w:t>
      </w:r>
      <w:r w:rsidR="00E63EA2">
        <w:rPr>
          <w:color w:val="000000" w:themeColor="text1"/>
        </w:rPr>
        <w:t>, the speaker describes the temporal relationship of an entity to the ground, to the here and now, by establishing a conceptual relationship with the scene. The use of tense and aspect structures allows the speaker to specify the location of the conceived temporal relationship: tense signifies when and with which likelihood something takes place while grammatical aspect signifies whether the event is construed maximally or with a restricted viewing frame (</w:t>
      </w:r>
      <w:proofErr w:type="spellStart"/>
      <w:r w:rsidR="00E63EA2">
        <w:rPr>
          <w:color w:val="000000" w:themeColor="text1"/>
        </w:rPr>
        <w:t>Boogaart</w:t>
      </w:r>
      <w:proofErr w:type="spellEnd"/>
      <w:r w:rsidR="00E63EA2">
        <w:rPr>
          <w:color w:val="000000" w:themeColor="text1"/>
        </w:rPr>
        <w:t xml:space="preserve"> &amp; Janssen, </w:t>
      </w:r>
      <w:r w:rsidR="00E63EA2" w:rsidRPr="00F83F1F">
        <w:rPr>
          <w:color w:val="000000" w:themeColor="text1"/>
        </w:rPr>
        <w:t>2010</w:t>
      </w:r>
      <w:r w:rsidR="00E63EA2">
        <w:rPr>
          <w:color w:val="000000" w:themeColor="text1"/>
        </w:rPr>
        <w:t xml:space="preserve">; Langacker, 1991, 2008; </w:t>
      </w:r>
      <w:proofErr w:type="spellStart"/>
      <w:r w:rsidR="00E63EA2">
        <w:rPr>
          <w:color w:val="000000" w:themeColor="text1"/>
        </w:rPr>
        <w:t>Michaelis</w:t>
      </w:r>
      <w:proofErr w:type="spellEnd"/>
      <w:r w:rsidR="00E63EA2">
        <w:rPr>
          <w:color w:val="000000" w:themeColor="text1"/>
        </w:rPr>
        <w:t xml:space="preserve">, 2004). </w:t>
      </w:r>
    </w:p>
    <w:p w14:paraId="68463AA6" w14:textId="6944EBE9" w:rsidR="009B3D32" w:rsidRDefault="009B3D32" w:rsidP="00003138">
      <w:pPr>
        <w:spacing w:line="360" w:lineRule="auto"/>
        <w:rPr>
          <w:color w:val="000000" w:themeColor="text1"/>
        </w:rPr>
      </w:pPr>
    </w:p>
    <w:p w14:paraId="141B4248" w14:textId="74CA8890" w:rsidR="009B3D32" w:rsidRDefault="009B3D32" w:rsidP="00003138">
      <w:pPr>
        <w:spacing w:line="360" w:lineRule="auto"/>
        <w:rPr>
          <w:color w:val="000000" w:themeColor="text1"/>
        </w:rPr>
      </w:pPr>
    </w:p>
    <w:p w14:paraId="18E5F64C" w14:textId="4926905C" w:rsidR="009B3D32" w:rsidRDefault="009B3D32" w:rsidP="00003138">
      <w:pPr>
        <w:spacing w:line="360" w:lineRule="auto"/>
        <w:rPr>
          <w:color w:val="000000" w:themeColor="text1"/>
        </w:rPr>
      </w:pPr>
    </w:p>
    <w:p w14:paraId="677CEF96" w14:textId="3F004959" w:rsidR="009B3D32" w:rsidRDefault="009B3D32" w:rsidP="00003138">
      <w:pPr>
        <w:spacing w:line="360" w:lineRule="auto"/>
        <w:rPr>
          <w:color w:val="000000" w:themeColor="text1"/>
        </w:rPr>
      </w:pPr>
    </w:p>
    <w:p w14:paraId="090ABED7" w14:textId="7C47F9F8" w:rsidR="009B3D32" w:rsidRDefault="009B3D32" w:rsidP="00003138">
      <w:pPr>
        <w:spacing w:line="360" w:lineRule="auto"/>
        <w:rPr>
          <w:color w:val="000000" w:themeColor="text1"/>
        </w:rPr>
      </w:pPr>
    </w:p>
    <w:p w14:paraId="704DA450" w14:textId="77777777" w:rsidR="009B3D32" w:rsidRDefault="009B3D32" w:rsidP="00003138">
      <w:pPr>
        <w:spacing w:line="360" w:lineRule="auto"/>
        <w:rPr>
          <w:color w:val="000000" w:themeColor="text1"/>
        </w:rPr>
      </w:pPr>
    </w:p>
    <w:p w14:paraId="4BFCD5FE" w14:textId="77777777" w:rsidR="00AE25EE" w:rsidRDefault="00AE25EE" w:rsidP="00003138">
      <w:pPr>
        <w:spacing w:line="360" w:lineRule="auto"/>
        <w:rPr>
          <w:color w:val="000000" w:themeColor="text1"/>
        </w:rPr>
      </w:pPr>
    </w:p>
    <w:p w14:paraId="05F2B5B5" w14:textId="74BA0F3D" w:rsidR="00483BCF" w:rsidRDefault="00B0428F" w:rsidP="00003138">
      <w:pPr>
        <w:spacing w:line="360" w:lineRule="auto"/>
        <w:rPr>
          <w:color w:val="000000" w:themeColor="text1"/>
        </w:rPr>
      </w:pPr>
      <w:r>
        <w:rPr>
          <w:color w:val="000000" w:themeColor="text1"/>
        </w:rPr>
        <w:lastRenderedPageBreak/>
        <w:t xml:space="preserve">Table 1. </w:t>
      </w:r>
      <w:r w:rsidR="005B438D">
        <w:rPr>
          <w:color w:val="000000" w:themeColor="text1"/>
        </w:rPr>
        <w:t xml:space="preserve"> </w:t>
      </w:r>
      <w:r>
        <w:rPr>
          <w:color w:val="000000" w:themeColor="text1"/>
        </w:rPr>
        <w:t>Event construal patterns</w:t>
      </w:r>
      <w:r w:rsidR="007953FA">
        <w:rPr>
          <w:color w:val="000000" w:themeColor="text1"/>
        </w:rPr>
        <w:t xml:space="preserve"> (based </w:t>
      </w:r>
      <w:r w:rsidR="007953FA" w:rsidRPr="00F83F1F">
        <w:rPr>
          <w:color w:val="000000" w:themeColor="text1"/>
        </w:rPr>
        <w:t>on Langacker, 1987,</w:t>
      </w:r>
      <w:r w:rsidR="00F83F1F" w:rsidRPr="00F83F1F">
        <w:rPr>
          <w:color w:val="000000" w:themeColor="text1"/>
        </w:rPr>
        <w:t xml:space="preserve"> 1996, </w:t>
      </w:r>
      <w:r w:rsidR="007953FA" w:rsidRPr="00F83F1F">
        <w:rPr>
          <w:color w:val="000000" w:themeColor="text1"/>
        </w:rPr>
        <w:t>2008)</w:t>
      </w:r>
      <w:r w:rsidRPr="00F83F1F">
        <w:rPr>
          <w:color w:val="000000" w:themeColor="text1"/>
        </w:rPr>
        <w:t xml:space="preserve"> </w:t>
      </w:r>
    </w:p>
    <w:tbl>
      <w:tblPr>
        <w:tblStyle w:val="ListTable4-Accent3"/>
        <w:tblW w:w="0" w:type="auto"/>
        <w:tblLook w:val="04A0" w:firstRow="1" w:lastRow="0" w:firstColumn="1" w:lastColumn="0" w:noHBand="0" w:noVBand="1"/>
      </w:tblPr>
      <w:tblGrid>
        <w:gridCol w:w="4510"/>
        <w:gridCol w:w="4490"/>
      </w:tblGrid>
      <w:tr w:rsidR="00B0428F" w14:paraId="2CA9F4BD" w14:textId="77777777" w:rsidTr="00A138E0">
        <w:trPr>
          <w:cnfStyle w:val="100000000000" w:firstRow="1" w:lastRow="0" w:firstColumn="0" w:lastColumn="0" w:oddVBand="0" w:evenVBand="0" w:oddHBand="0" w:evenHBand="0" w:firstRowFirstColumn="0" w:firstRowLastColumn="0" w:lastRowFirstColumn="0" w:lastRowLastColumn="0"/>
          <w:trHeight w:val="434"/>
        </w:trPr>
        <w:tc>
          <w:tcPr>
            <w:cnfStyle w:val="001000000000" w:firstRow="0" w:lastRow="0" w:firstColumn="1" w:lastColumn="0" w:oddVBand="0" w:evenVBand="0" w:oddHBand="0" w:evenHBand="0" w:firstRowFirstColumn="0" w:firstRowLastColumn="0" w:lastRowFirstColumn="0" w:lastRowLastColumn="0"/>
            <w:tcW w:w="4510" w:type="dxa"/>
          </w:tcPr>
          <w:p w14:paraId="2A81823D" w14:textId="5CDD2B62" w:rsidR="00B0428F" w:rsidRDefault="00B0428F" w:rsidP="00B0428F">
            <w:pPr>
              <w:spacing w:line="360" w:lineRule="auto"/>
              <w:jc w:val="center"/>
              <w:rPr>
                <w:color w:val="000000" w:themeColor="text1"/>
              </w:rPr>
            </w:pPr>
            <w:r>
              <w:rPr>
                <w:color w:val="000000" w:themeColor="text1"/>
              </w:rPr>
              <w:t>Category</w:t>
            </w:r>
          </w:p>
        </w:tc>
        <w:tc>
          <w:tcPr>
            <w:tcW w:w="4490" w:type="dxa"/>
          </w:tcPr>
          <w:p w14:paraId="456E1F0C" w14:textId="472BB5C2" w:rsidR="00B0428F" w:rsidRDefault="00B0428F" w:rsidP="00B0428F">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rPr>
            </w:pPr>
            <w:r>
              <w:rPr>
                <w:color w:val="000000" w:themeColor="text1"/>
              </w:rPr>
              <w:t>Construal patterns/operations</w:t>
            </w:r>
          </w:p>
        </w:tc>
      </w:tr>
      <w:tr w:rsidR="00B0428F" w14:paraId="089FE0D3" w14:textId="77777777" w:rsidTr="00A138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10" w:type="dxa"/>
          </w:tcPr>
          <w:p w14:paraId="0F1EC749" w14:textId="4EC5EFD8" w:rsidR="00B0428F" w:rsidRDefault="009F25B5" w:rsidP="00B0428F">
            <w:pPr>
              <w:spacing w:line="360" w:lineRule="auto"/>
              <w:jc w:val="center"/>
              <w:rPr>
                <w:color w:val="000000" w:themeColor="text1"/>
              </w:rPr>
            </w:pPr>
            <w:r>
              <w:rPr>
                <w:color w:val="000000" w:themeColor="text1"/>
              </w:rPr>
              <w:t>Function of tense</w:t>
            </w:r>
          </w:p>
        </w:tc>
        <w:tc>
          <w:tcPr>
            <w:tcW w:w="4490" w:type="dxa"/>
          </w:tcPr>
          <w:p w14:paraId="2AD00015" w14:textId="794A53B2" w:rsidR="00B0428F" w:rsidRDefault="00482625" w:rsidP="00B0428F">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 xml:space="preserve">Temporal or epistemic judgement </w:t>
            </w:r>
          </w:p>
        </w:tc>
      </w:tr>
      <w:tr w:rsidR="00B0428F" w14:paraId="6BDED603" w14:textId="77777777" w:rsidTr="00A138E0">
        <w:tc>
          <w:tcPr>
            <w:cnfStyle w:val="001000000000" w:firstRow="0" w:lastRow="0" w:firstColumn="1" w:lastColumn="0" w:oddVBand="0" w:evenVBand="0" w:oddHBand="0" w:evenHBand="0" w:firstRowFirstColumn="0" w:firstRowLastColumn="0" w:lastRowFirstColumn="0" w:lastRowLastColumn="0"/>
            <w:tcW w:w="4510" w:type="dxa"/>
          </w:tcPr>
          <w:p w14:paraId="7880C528" w14:textId="56F02599" w:rsidR="00B0428F" w:rsidRDefault="00EE76D9" w:rsidP="00B0428F">
            <w:pPr>
              <w:spacing w:line="360" w:lineRule="auto"/>
              <w:jc w:val="center"/>
              <w:rPr>
                <w:color w:val="000000" w:themeColor="text1"/>
              </w:rPr>
            </w:pPr>
            <w:r>
              <w:rPr>
                <w:color w:val="000000" w:themeColor="text1"/>
              </w:rPr>
              <w:t>Viewing frame</w:t>
            </w:r>
          </w:p>
        </w:tc>
        <w:tc>
          <w:tcPr>
            <w:tcW w:w="4490" w:type="dxa"/>
          </w:tcPr>
          <w:p w14:paraId="7F188CCF" w14:textId="6758B433" w:rsidR="00B0428F" w:rsidRDefault="00EE76D9" w:rsidP="00B0428F">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 xml:space="preserve">Maximal or restricted </w:t>
            </w:r>
          </w:p>
        </w:tc>
      </w:tr>
      <w:tr w:rsidR="00B0428F" w14:paraId="267EC58E" w14:textId="77777777" w:rsidTr="00A138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10" w:type="dxa"/>
          </w:tcPr>
          <w:p w14:paraId="5EC511D2" w14:textId="07694901" w:rsidR="00B0428F" w:rsidRDefault="00074B78" w:rsidP="00B0428F">
            <w:pPr>
              <w:spacing w:line="360" w:lineRule="auto"/>
              <w:jc w:val="center"/>
              <w:rPr>
                <w:color w:val="000000" w:themeColor="text1"/>
              </w:rPr>
            </w:pPr>
            <w:r>
              <w:rPr>
                <w:color w:val="000000" w:themeColor="text1"/>
              </w:rPr>
              <w:t>Temporal reference point</w:t>
            </w:r>
          </w:p>
        </w:tc>
        <w:tc>
          <w:tcPr>
            <w:tcW w:w="4490" w:type="dxa"/>
          </w:tcPr>
          <w:p w14:paraId="4949924F" w14:textId="2567CE22" w:rsidR="00B0428F" w:rsidRDefault="00074B78" w:rsidP="00B0428F">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Viewing direction</w:t>
            </w:r>
          </w:p>
        </w:tc>
      </w:tr>
      <w:tr w:rsidR="00B0428F" w14:paraId="34F2BE1A" w14:textId="77777777" w:rsidTr="00A138E0">
        <w:tc>
          <w:tcPr>
            <w:cnfStyle w:val="001000000000" w:firstRow="0" w:lastRow="0" w:firstColumn="1" w:lastColumn="0" w:oddVBand="0" w:evenVBand="0" w:oddHBand="0" w:evenHBand="0" w:firstRowFirstColumn="0" w:firstRowLastColumn="0" w:lastRowFirstColumn="0" w:lastRowLastColumn="0"/>
            <w:tcW w:w="4510" w:type="dxa"/>
          </w:tcPr>
          <w:p w14:paraId="686D9ECB" w14:textId="1A5BB84F" w:rsidR="00B0428F" w:rsidRDefault="00074B78" w:rsidP="00B0428F">
            <w:pPr>
              <w:spacing w:line="360" w:lineRule="auto"/>
              <w:jc w:val="center"/>
              <w:rPr>
                <w:color w:val="000000" w:themeColor="text1"/>
              </w:rPr>
            </w:pPr>
            <w:r>
              <w:rPr>
                <w:color w:val="000000" w:themeColor="text1"/>
              </w:rPr>
              <w:t>Degree of subjectivity</w:t>
            </w:r>
          </w:p>
        </w:tc>
        <w:tc>
          <w:tcPr>
            <w:tcW w:w="4490" w:type="dxa"/>
          </w:tcPr>
          <w:p w14:paraId="5071B327" w14:textId="4BBA6CE4" w:rsidR="00B0428F" w:rsidRDefault="00074B78" w:rsidP="00B0428F">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Objective or subjective</w:t>
            </w:r>
          </w:p>
        </w:tc>
      </w:tr>
      <w:tr w:rsidR="00B0428F" w14:paraId="745FB66D" w14:textId="77777777" w:rsidTr="00A138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10" w:type="dxa"/>
          </w:tcPr>
          <w:p w14:paraId="5F73CA9A" w14:textId="49F03787" w:rsidR="00B0428F" w:rsidRDefault="00074B78" w:rsidP="00B0428F">
            <w:pPr>
              <w:spacing w:line="360" w:lineRule="auto"/>
              <w:jc w:val="center"/>
              <w:rPr>
                <w:color w:val="000000" w:themeColor="text1"/>
              </w:rPr>
            </w:pPr>
            <w:r>
              <w:rPr>
                <w:color w:val="000000" w:themeColor="text1"/>
              </w:rPr>
              <w:t>Dynamicity</w:t>
            </w:r>
          </w:p>
        </w:tc>
        <w:tc>
          <w:tcPr>
            <w:tcW w:w="4490" w:type="dxa"/>
          </w:tcPr>
          <w:p w14:paraId="78306A02" w14:textId="71B74448" w:rsidR="00B0428F" w:rsidRDefault="00074B78" w:rsidP="00B0428F">
            <w:pPr>
              <w:spacing w:line="360" w:lineRule="auto"/>
              <w:jc w:val="cente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Summary or sequential scanning</w:t>
            </w:r>
          </w:p>
        </w:tc>
      </w:tr>
    </w:tbl>
    <w:p w14:paraId="0A179A92" w14:textId="77777777" w:rsidR="007953FA" w:rsidRDefault="007953FA" w:rsidP="007953FA">
      <w:pPr>
        <w:spacing w:line="360" w:lineRule="auto"/>
        <w:rPr>
          <w:color w:val="000000" w:themeColor="text1"/>
        </w:rPr>
      </w:pPr>
    </w:p>
    <w:p w14:paraId="7937E047" w14:textId="75B2B112" w:rsidR="002F7482" w:rsidRDefault="00B8074C" w:rsidP="002439C2">
      <w:pPr>
        <w:spacing w:line="360" w:lineRule="auto"/>
        <w:rPr>
          <w:color w:val="000000" w:themeColor="text1"/>
        </w:rPr>
      </w:pPr>
      <w:r>
        <w:rPr>
          <w:color w:val="000000" w:themeColor="text1"/>
        </w:rPr>
        <w:t>T</w:t>
      </w:r>
      <w:r w:rsidR="00D6062C">
        <w:rPr>
          <w:color w:val="000000" w:themeColor="text1"/>
        </w:rPr>
        <w:t xml:space="preserve">ense serves two functions: the temporal function, </w:t>
      </w:r>
      <w:r w:rsidR="00411700">
        <w:rPr>
          <w:color w:val="000000" w:themeColor="text1"/>
        </w:rPr>
        <w:t>which indicates</w:t>
      </w:r>
      <w:r w:rsidR="00D6062C">
        <w:rPr>
          <w:color w:val="000000" w:themeColor="text1"/>
        </w:rPr>
        <w:t xml:space="preserve"> the relationship between the ground and the event</w:t>
      </w:r>
      <w:r w:rsidR="00342103">
        <w:rPr>
          <w:color w:val="000000" w:themeColor="text1"/>
        </w:rPr>
        <w:t xml:space="preserve"> in the domain of time</w:t>
      </w:r>
      <w:r w:rsidR="00D6062C">
        <w:rPr>
          <w:color w:val="000000" w:themeColor="text1"/>
        </w:rPr>
        <w:t xml:space="preserve"> and the e</w:t>
      </w:r>
      <w:r w:rsidR="00411700">
        <w:rPr>
          <w:color w:val="000000" w:themeColor="text1"/>
        </w:rPr>
        <w:t>pistemic function, which represents the speaker’s knowledge about</w:t>
      </w:r>
      <w:r w:rsidR="00BF6053">
        <w:rPr>
          <w:color w:val="000000" w:themeColor="text1"/>
        </w:rPr>
        <w:t xml:space="preserve"> the existential status of the event</w:t>
      </w:r>
      <w:r w:rsidR="00BF1228">
        <w:rPr>
          <w:color w:val="000000" w:themeColor="text1"/>
        </w:rPr>
        <w:t xml:space="preserve">. </w:t>
      </w:r>
      <w:r w:rsidR="006D5499">
        <w:rPr>
          <w:color w:val="000000" w:themeColor="text1"/>
        </w:rPr>
        <w:t xml:space="preserve">If a situation is conceived as true and real, a present or past tense marker is required, such as in (1) below. </w:t>
      </w:r>
      <w:r w:rsidR="0099179C">
        <w:rPr>
          <w:color w:val="000000" w:themeColor="text1"/>
        </w:rPr>
        <w:t>Here, the past -</w:t>
      </w:r>
      <w:proofErr w:type="spellStart"/>
      <w:r w:rsidR="0099179C" w:rsidRPr="0099179C">
        <w:rPr>
          <w:i/>
          <w:color w:val="000000" w:themeColor="text1"/>
        </w:rPr>
        <w:t>ed</w:t>
      </w:r>
      <w:proofErr w:type="spellEnd"/>
      <w:r>
        <w:rPr>
          <w:color w:val="000000" w:themeColor="text1"/>
        </w:rPr>
        <w:t xml:space="preserve"> marker indicates that</w:t>
      </w:r>
      <w:r w:rsidR="0099179C">
        <w:rPr>
          <w:color w:val="000000" w:themeColor="text1"/>
        </w:rPr>
        <w:t xml:space="preserve"> the event </w:t>
      </w:r>
      <w:r w:rsidR="009A7DB1">
        <w:rPr>
          <w:color w:val="000000" w:themeColor="text1"/>
        </w:rPr>
        <w:t>of raining is accepted as real</w:t>
      </w:r>
      <w:r w:rsidR="002F52D8">
        <w:rPr>
          <w:color w:val="000000" w:themeColor="text1"/>
        </w:rPr>
        <w:t>.</w:t>
      </w:r>
      <w:r w:rsidR="0099179C">
        <w:rPr>
          <w:color w:val="000000" w:themeColor="text1"/>
        </w:rPr>
        <w:t xml:space="preserve"> </w:t>
      </w:r>
      <w:r w:rsidR="00794F27">
        <w:rPr>
          <w:color w:val="000000" w:themeColor="text1"/>
        </w:rPr>
        <w:t xml:space="preserve">In addition to </w:t>
      </w:r>
      <w:r w:rsidR="002F4071">
        <w:rPr>
          <w:color w:val="000000" w:themeColor="text1"/>
        </w:rPr>
        <w:t>portraying the event as real, the speaker refers to a past instance of the event</w:t>
      </w:r>
      <w:r w:rsidR="00360AE0">
        <w:rPr>
          <w:color w:val="000000" w:themeColor="text1"/>
        </w:rPr>
        <w:t>.</w:t>
      </w:r>
      <w:r w:rsidR="003E0994">
        <w:rPr>
          <w:color w:val="000000" w:themeColor="text1"/>
        </w:rPr>
        <w:t xml:space="preserve"> In example (2), </w:t>
      </w:r>
      <w:r w:rsidR="00FC0649">
        <w:rPr>
          <w:color w:val="000000" w:themeColor="text1"/>
        </w:rPr>
        <w:t>in contrast</w:t>
      </w:r>
      <w:r w:rsidR="003E0994">
        <w:rPr>
          <w:color w:val="000000" w:themeColor="text1"/>
        </w:rPr>
        <w:t>, the</w:t>
      </w:r>
      <w:r w:rsidR="009B5ED6">
        <w:rPr>
          <w:color w:val="000000" w:themeColor="text1"/>
        </w:rPr>
        <w:t xml:space="preserve"> </w:t>
      </w:r>
      <w:r w:rsidR="003E0994">
        <w:rPr>
          <w:color w:val="000000" w:themeColor="text1"/>
        </w:rPr>
        <w:t xml:space="preserve">speaker </w:t>
      </w:r>
      <w:r w:rsidR="00D04E10">
        <w:rPr>
          <w:color w:val="000000" w:themeColor="text1"/>
        </w:rPr>
        <w:t xml:space="preserve">does not portray </w:t>
      </w:r>
      <w:r w:rsidR="000A53A8">
        <w:rPr>
          <w:color w:val="000000" w:themeColor="text1"/>
        </w:rPr>
        <w:t xml:space="preserve">the occurrence of the event in time with respect to the </w:t>
      </w:r>
      <w:r w:rsidR="00D04E10">
        <w:rPr>
          <w:color w:val="000000" w:themeColor="text1"/>
        </w:rPr>
        <w:t xml:space="preserve">ground but imposes a non-temporal </w:t>
      </w:r>
      <w:r w:rsidR="00A57952">
        <w:rPr>
          <w:color w:val="000000" w:themeColor="text1"/>
        </w:rPr>
        <w:t>interpretation of</w:t>
      </w:r>
      <w:r w:rsidR="00AB023E">
        <w:rPr>
          <w:color w:val="000000" w:themeColor="text1"/>
        </w:rPr>
        <w:t xml:space="preserve"> the </w:t>
      </w:r>
      <w:r w:rsidR="00D04E10">
        <w:rPr>
          <w:color w:val="000000" w:themeColor="text1"/>
        </w:rPr>
        <w:t xml:space="preserve">event. </w:t>
      </w:r>
      <w:r w:rsidR="008001ED">
        <w:rPr>
          <w:color w:val="000000" w:themeColor="text1"/>
        </w:rPr>
        <w:t xml:space="preserve">In this case, the use of past tense </w:t>
      </w:r>
      <w:r w:rsidR="008B505C">
        <w:rPr>
          <w:color w:val="000000" w:themeColor="text1"/>
        </w:rPr>
        <w:t xml:space="preserve">of the modal </w:t>
      </w:r>
      <w:r w:rsidR="008B505C" w:rsidRPr="008B505C">
        <w:rPr>
          <w:i/>
          <w:color w:val="000000" w:themeColor="text1"/>
        </w:rPr>
        <w:t>may</w:t>
      </w:r>
      <w:r>
        <w:rPr>
          <w:color w:val="000000" w:themeColor="text1"/>
        </w:rPr>
        <w:t xml:space="preserve"> open</w:t>
      </w:r>
      <w:r w:rsidR="008001ED">
        <w:rPr>
          <w:color w:val="000000" w:themeColor="text1"/>
        </w:rPr>
        <w:t xml:space="preserve"> up a hypo</w:t>
      </w:r>
      <w:r w:rsidR="00A142BA">
        <w:rPr>
          <w:color w:val="000000" w:themeColor="text1"/>
        </w:rPr>
        <w:t xml:space="preserve">thetical space that is still </w:t>
      </w:r>
      <w:r>
        <w:rPr>
          <w:color w:val="000000" w:themeColor="text1"/>
        </w:rPr>
        <w:t>close to</w:t>
      </w:r>
      <w:r w:rsidR="00A142BA">
        <w:rPr>
          <w:color w:val="000000" w:themeColor="text1"/>
        </w:rPr>
        <w:t xml:space="preserve"> reality</w:t>
      </w:r>
      <w:r w:rsidR="003E4DED">
        <w:rPr>
          <w:color w:val="000000" w:themeColor="text1"/>
        </w:rPr>
        <w:t xml:space="preserve"> (</w:t>
      </w:r>
      <w:proofErr w:type="spellStart"/>
      <w:r w:rsidR="003E4DED">
        <w:rPr>
          <w:color w:val="000000" w:themeColor="text1"/>
        </w:rPr>
        <w:t>Niemeier</w:t>
      </w:r>
      <w:proofErr w:type="spellEnd"/>
      <w:r w:rsidR="003E4DED">
        <w:rPr>
          <w:color w:val="000000" w:themeColor="text1"/>
        </w:rPr>
        <w:t>, 2013)</w:t>
      </w:r>
      <w:r w:rsidR="008B505C">
        <w:rPr>
          <w:color w:val="000000" w:themeColor="text1"/>
        </w:rPr>
        <w:t>. The speaker assesses the likelihood of the event’s occurrence, and in this case, the modal places the event outside reality</w:t>
      </w:r>
      <w:r w:rsidR="0044154F">
        <w:rPr>
          <w:color w:val="000000" w:themeColor="text1"/>
        </w:rPr>
        <w:t xml:space="preserve"> and hence indicates that the event is not accepted as real. </w:t>
      </w:r>
    </w:p>
    <w:p w14:paraId="3823FC2F" w14:textId="77777777" w:rsidR="00535604" w:rsidRDefault="00535604" w:rsidP="00535604">
      <w:pPr>
        <w:spacing w:line="360" w:lineRule="auto"/>
        <w:rPr>
          <w:color w:val="000000" w:themeColor="text1"/>
        </w:rPr>
      </w:pPr>
    </w:p>
    <w:p w14:paraId="68FB112A" w14:textId="52907B7C" w:rsidR="00535604" w:rsidRDefault="00535604" w:rsidP="00535604">
      <w:pPr>
        <w:spacing w:line="360" w:lineRule="auto"/>
        <w:rPr>
          <w:color w:val="000000" w:themeColor="text1"/>
        </w:rPr>
      </w:pPr>
      <w:r>
        <w:rPr>
          <w:color w:val="000000" w:themeColor="text1"/>
        </w:rPr>
        <w:t>(1)</w:t>
      </w:r>
      <w:r>
        <w:rPr>
          <w:color w:val="000000" w:themeColor="text1"/>
        </w:rPr>
        <w:tab/>
        <w:t>It rained</w:t>
      </w:r>
      <w:r w:rsidR="00777EDC">
        <w:rPr>
          <w:color w:val="000000" w:themeColor="text1"/>
        </w:rPr>
        <w:t xml:space="preserve"> yesterday</w:t>
      </w:r>
      <w:r>
        <w:rPr>
          <w:color w:val="000000" w:themeColor="text1"/>
        </w:rPr>
        <w:t xml:space="preserve">.  </w:t>
      </w:r>
      <w:r w:rsidR="00777EDC">
        <w:rPr>
          <w:color w:val="000000" w:themeColor="text1"/>
        </w:rPr>
        <w:tab/>
      </w:r>
      <w:r w:rsidR="00777EDC">
        <w:rPr>
          <w:color w:val="000000" w:themeColor="text1"/>
        </w:rPr>
        <w:tab/>
      </w:r>
      <w:r w:rsidR="00777EDC">
        <w:rPr>
          <w:color w:val="000000" w:themeColor="text1"/>
        </w:rPr>
        <w:tab/>
        <w:t>[temporal meaning]</w:t>
      </w:r>
    </w:p>
    <w:p w14:paraId="5D991317" w14:textId="5C2B9ED5" w:rsidR="00CF7067" w:rsidRDefault="00535604" w:rsidP="00535604">
      <w:pPr>
        <w:spacing w:line="360" w:lineRule="auto"/>
        <w:rPr>
          <w:color w:val="000000" w:themeColor="text1"/>
        </w:rPr>
      </w:pPr>
      <w:r>
        <w:rPr>
          <w:color w:val="000000" w:themeColor="text1"/>
        </w:rPr>
        <w:t>(2)</w:t>
      </w:r>
      <w:r>
        <w:rPr>
          <w:color w:val="000000" w:themeColor="text1"/>
        </w:rPr>
        <w:tab/>
        <w:t xml:space="preserve">It </w:t>
      </w:r>
      <w:r w:rsidR="0020102B">
        <w:rPr>
          <w:color w:val="000000" w:themeColor="text1"/>
        </w:rPr>
        <w:t>might</w:t>
      </w:r>
      <w:r w:rsidR="002C5827">
        <w:rPr>
          <w:color w:val="000000" w:themeColor="text1"/>
        </w:rPr>
        <w:t xml:space="preserve"> </w:t>
      </w:r>
      <w:r>
        <w:rPr>
          <w:color w:val="000000" w:themeColor="text1"/>
        </w:rPr>
        <w:t xml:space="preserve">rain. </w:t>
      </w:r>
      <w:r w:rsidR="00B30316">
        <w:rPr>
          <w:color w:val="000000" w:themeColor="text1"/>
        </w:rPr>
        <w:tab/>
      </w:r>
      <w:r w:rsidR="00777EDC">
        <w:rPr>
          <w:color w:val="000000" w:themeColor="text1"/>
        </w:rPr>
        <w:tab/>
      </w:r>
      <w:r w:rsidR="00777EDC">
        <w:rPr>
          <w:color w:val="000000" w:themeColor="text1"/>
        </w:rPr>
        <w:tab/>
      </w:r>
      <w:r w:rsidR="008B505C">
        <w:rPr>
          <w:color w:val="000000" w:themeColor="text1"/>
        </w:rPr>
        <w:tab/>
      </w:r>
      <w:r w:rsidR="00777EDC">
        <w:rPr>
          <w:color w:val="000000" w:themeColor="text1"/>
        </w:rPr>
        <w:t>[epistemic judgement]</w:t>
      </w:r>
    </w:p>
    <w:p w14:paraId="7FB4F188" w14:textId="77777777" w:rsidR="00033F77" w:rsidRDefault="00033F77" w:rsidP="00FF4664">
      <w:pPr>
        <w:spacing w:line="360" w:lineRule="auto"/>
        <w:ind w:firstLine="720"/>
        <w:rPr>
          <w:color w:val="000000" w:themeColor="text1"/>
        </w:rPr>
      </w:pPr>
    </w:p>
    <w:p w14:paraId="0ECA9D92" w14:textId="64D770DA" w:rsidR="006A4FF1" w:rsidRDefault="009F5487" w:rsidP="00ED5D15">
      <w:pPr>
        <w:spacing w:line="360" w:lineRule="auto"/>
        <w:rPr>
          <w:color w:val="000000" w:themeColor="text1"/>
        </w:rPr>
      </w:pPr>
      <w:r>
        <w:rPr>
          <w:color w:val="000000" w:themeColor="text1"/>
        </w:rPr>
        <w:t>The second category pertains to t</w:t>
      </w:r>
      <w:r w:rsidR="00700E5A">
        <w:rPr>
          <w:color w:val="000000" w:themeColor="text1"/>
        </w:rPr>
        <w:t xml:space="preserve">he distinction between a maximal and restricted viewing frame </w:t>
      </w:r>
      <w:r w:rsidR="00C673F8">
        <w:rPr>
          <w:color w:val="000000" w:themeColor="text1"/>
        </w:rPr>
        <w:t xml:space="preserve">that a speaker imposes </w:t>
      </w:r>
      <w:r w:rsidR="00700E5A">
        <w:rPr>
          <w:color w:val="000000" w:themeColor="text1"/>
        </w:rPr>
        <w:t>on a given scene</w:t>
      </w:r>
      <w:r w:rsidR="00BF6D60">
        <w:rPr>
          <w:color w:val="000000" w:themeColor="text1"/>
        </w:rPr>
        <w:t>. Choosing a maximal or restricted viewing frame</w:t>
      </w:r>
      <w:r w:rsidR="0019642C">
        <w:rPr>
          <w:color w:val="000000" w:themeColor="text1"/>
        </w:rPr>
        <w:t xml:space="preserve"> </w:t>
      </w:r>
      <w:r w:rsidR="00F02515">
        <w:rPr>
          <w:color w:val="000000" w:themeColor="text1"/>
        </w:rPr>
        <w:t>corresponds to the absence or presence of aspectual markers</w:t>
      </w:r>
      <w:r w:rsidR="005D5379">
        <w:rPr>
          <w:color w:val="000000" w:themeColor="text1"/>
        </w:rPr>
        <w:t xml:space="preserve"> at the grammatical level</w:t>
      </w:r>
      <w:r w:rsidR="003E4A28">
        <w:rPr>
          <w:rStyle w:val="FootnoteReference"/>
          <w:color w:val="000000" w:themeColor="text1"/>
        </w:rPr>
        <w:footnoteReference w:id="3"/>
      </w:r>
      <w:r w:rsidR="005D5379">
        <w:rPr>
          <w:color w:val="000000" w:themeColor="text1"/>
        </w:rPr>
        <w:t xml:space="preserve">. </w:t>
      </w:r>
      <w:r w:rsidR="00AE7CB7" w:rsidRPr="00AE7CB7">
        <w:rPr>
          <w:color w:val="000000" w:themeColor="text1"/>
        </w:rPr>
        <w:t>While the presence of tense is ob</w:t>
      </w:r>
      <w:r w:rsidR="00AE7CB7">
        <w:rPr>
          <w:color w:val="000000" w:themeColor="text1"/>
        </w:rPr>
        <w:t>ligatory in a finite clause, marking for</w:t>
      </w:r>
      <w:r w:rsidR="00AE7CB7" w:rsidRPr="00AE7CB7">
        <w:rPr>
          <w:color w:val="000000" w:themeColor="text1"/>
        </w:rPr>
        <w:t xml:space="preserve"> </w:t>
      </w:r>
      <w:r w:rsidR="00AE7CB7">
        <w:rPr>
          <w:color w:val="000000" w:themeColor="text1"/>
        </w:rPr>
        <w:t>grammatical aspect</w:t>
      </w:r>
      <w:r w:rsidR="00AE7CB7" w:rsidRPr="00AE7CB7">
        <w:rPr>
          <w:color w:val="000000" w:themeColor="text1"/>
        </w:rPr>
        <w:t xml:space="preserve"> </w:t>
      </w:r>
      <w:r w:rsidR="00AE7CB7">
        <w:rPr>
          <w:color w:val="000000" w:themeColor="text1"/>
        </w:rPr>
        <w:t xml:space="preserve">is </w:t>
      </w:r>
      <w:r w:rsidR="00AE7CB7">
        <w:rPr>
          <w:color w:val="000000" w:themeColor="text1"/>
        </w:rPr>
        <w:lastRenderedPageBreak/>
        <w:t xml:space="preserve">optional. </w:t>
      </w:r>
      <w:r w:rsidR="00AF56D1">
        <w:rPr>
          <w:color w:val="000000" w:themeColor="text1"/>
        </w:rPr>
        <w:t xml:space="preserve">The </w:t>
      </w:r>
      <w:r w:rsidR="00AE7CB7">
        <w:rPr>
          <w:color w:val="000000" w:themeColor="text1"/>
        </w:rPr>
        <w:t>progressive construction</w:t>
      </w:r>
      <w:r w:rsidR="00AE7CB7" w:rsidRPr="00AE7CB7">
        <w:rPr>
          <w:color w:val="000000" w:themeColor="text1"/>
        </w:rPr>
        <w:t xml:space="preserve"> </w:t>
      </w:r>
      <w:r w:rsidR="00CC20EC">
        <w:rPr>
          <w:color w:val="000000" w:themeColor="text1"/>
        </w:rPr>
        <w:t>does not specify the relationship between the ground and the profiled process</w:t>
      </w:r>
      <w:r w:rsidR="00AF56D1">
        <w:rPr>
          <w:color w:val="000000" w:themeColor="text1"/>
        </w:rPr>
        <w:t>,</w:t>
      </w:r>
      <w:r w:rsidR="00CC20EC">
        <w:rPr>
          <w:color w:val="000000" w:themeColor="text1"/>
        </w:rPr>
        <w:t xml:space="preserve"> but rather allows the speaker to impose a particular view on the scene</w:t>
      </w:r>
      <w:r w:rsidR="00342453">
        <w:rPr>
          <w:color w:val="000000" w:themeColor="text1"/>
        </w:rPr>
        <w:t>, either maximal or restricted</w:t>
      </w:r>
      <w:r w:rsidR="0061373E">
        <w:rPr>
          <w:color w:val="000000" w:themeColor="text1"/>
        </w:rPr>
        <w:t xml:space="preserve">. </w:t>
      </w:r>
      <w:r w:rsidR="00E44539">
        <w:rPr>
          <w:color w:val="000000" w:themeColor="text1"/>
        </w:rPr>
        <w:t xml:space="preserve">In other words, </w:t>
      </w:r>
      <w:r w:rsidR="0036568C">
        <w:rPr>
          <w:color w:val="000000" w:themeColor="text1"/>
        </w:rPr>
        <w:t xml:space="preserve">the progressive </w:t>
      </w:r>
      <w:r w:rsidR="00BF6D60">
        <w:rPr>
          <w:color w:val="000000" w:themeColor="text1"/>
        </w:rPr>
        <w:t>has no temporal dimension</w:t>
      </w:r>
      <w:r w:rsidR="0036568C">
        <w:rPr>
          <w:color w:val="000000" w:themeColor="text1"/>
        </w:rPr>
        <w:t>;</w:t>
      </w:r>
      <w:r w:rsidR="00E44539" w:rsidRPr="00E44539">
        <w:rPr>
          <w:color w:val="000000" w:themeColor="text1"/>
        </w:rPr>
        <w:t xml:space="preserve"> rather </w:t>
      </w:r>
      <w:r w:rsidR="0036568C">
        <w:rPr>
          <w:color w:val="000000" w:themeColor="text1"/>
        </w:rPr>
        <w:t xml:space="preserve">it </w:t>
      </w:r>
      <w:r w:rsidR="00E44539" w:rsidRPr="00E44539">
        <w:rPr>
          <w:color w:val="000000" w:themeColor="text1"/>
        </w:rPr>
        <w:t xml:space="preserve">serves a modifying function in the sense that it defines the process profiled by the </w:t>
      </w:r>
      <w:r w:rsidR="0036568C">
        <w:rPr>
          <w:color w:val="000000" w:themeColor="text1"/>
        </w:rPr>
        <w:t xml:space="preserve">main </w:t>
      </w:r>
      <w:r w:rsidR="00E44539" w:rsidRPr="00E44539">
        <w:rPr>
          <w:color w:val="000000" w:themeColor="text1"/>
        </w:rPr>
        <w:t>verb more precisely</w:t>
      </w:r>
      <w:r w:rsidR="00B32DB0">
        <w:rPr>
          <w:color w:val="000000" w:themeColor="text1"/>
        </w:rPr>
        <w:t xml:space="preserve"> (Langacker, 1991, p. 197)</w:t>
      </w:r>
      <w:r w:rsidR="00DD0D23">
        <w:rPr>
          <w:color w:val="000000" w:themeColor="text1"/>
        </w:rPr>
        <w:t xml:space="preserve">. This is also an example of the profile/base distinction: the progressive in English profiles an inherent </w:t>
      </w:r>
      <w:r w:rsidR="006F479E">
        <w:rPr>
          <w:color w:val="000000" w:themeColor="text1"/>
        </w:rPr>
        <w:t>component</w:t>
      </w:r>
      <w:r w:rsidR="00DD0D23">
        <w:rPr>
          <w:color w:val="000000" w:themeColor="text1"/>
        </w:rPr>
        <w:t xml:space="preserve"> of the process/event, while backgrounding the beginning and end point. </w:t>
      </w:r>
    </w:p>
    <w:p w14:paraId="479F5C12" w14:textId="1544E324" w:rsidR="00B04763" w:rsidRDefault="00CC20EC" w:rsidP="006A4FF1">
      <w:pPr>
        <w:spacing w:line="360" w:lineRule="auto"/>
        <w:ind w:firstLine="720"/>
        <w:rPr>
          <w:color w:val="000000" w:themeColor="text1"/>
        </w:rPr>
      </w:pPr>
      <w:r>
        <w:rPr>
          <w:color w:val="000000" w:themeColor="text1"/>
        </w:rPr>
        <w:t>Th</w:t>
      </w:r>
      <w:r w:rsidR="0061373E">
        <w:rPr>
          <w:color w:val="000000" w:themeColor="text1"/>
        </w:rPr>
        <w:t xml:space="preserve">e type of </w:t>
      </w:r>
      <w:r>
        <w:rPr>
          <w:color w:val="000000" w:themeColor="text1"/>
        </w:rPr>
        <w:t xml:space="preserve">viewing arrangement </w:t>
      </w:r>
      <w:r w:rsidR="0061373E">
        <w:rPr>
          <w:color w:val="000000" w:themeColor="text1"/>
        </w:rPr>
        <w:t>chosen to construe a scene is often a matter of the speaker’s general and contextual knowledge as well as his visual experience.</w:t>
      </w:r>
      <w:r w:rsidR="000725C6" w:rsidRPr="000725C6">
        <w:t xml:space="preserve"> </w:t>
      </w:r>
      <w:r w:rsidR="007910C8">
        <w:rPr>
          <w:color w:val="000000" w:themeColor="text1"/>
        </w:rPr>
        <w:t>T</w:t>
      </w:r>
      <w:r w:rsidR="000725C6" w:rsidRPr="000725C6">
        <w:rPr>
          <w:color w:val="000000" w:themeColor="text1"/>
        </w:rPr>
        <w:t>he aspectual properties of various kinds of processes can be explained in terms of bounding (i.e., whether or not a profiled relationship is construed as inherently bounded in its temporal extension) and in terms of heterogeneity (i.e., whether or not the segments of a profiled relationship are construed as involving a change through time).</w:t>
      </w:r>
      <w:r w:rsidR="0061373E">
        <w:rPr>
          <w:color w:val="000000" w:themeColor="text1"/>
        </w:rPr>
        <w:t xml:space="preserve"> </w:t>
      </w:r>
      <w:r w:rsidR="00B74C2E">
        <w:rPr>
          <w:color w:val="000000" w:themeColor="text1"/>
        </w:rPr>
        <w:t>In the abs</w:t>
      </w:r>
      <w:r w:rsidR="00A83879">
        <w:rPr>
          <w:color w:val="000000" w:themeColor="text1"/>
        </w:rPr>
        <w:t>ence of an aspectual marker, a</w:t>
      </w:r>
      <w:r w:rsidR="00B74C2E">
        <w:rPr>
          <w:color w:val="000000" w:themeColor="text1"/>
        </w:rPr>
        <w:t xml:space="preserve"> verb designates</w:t>
      </w:r>
      <w:r w:rsidR="005D5379" w:rsidRPr="005D5379">
        <w:rPr>
          <w:color w:val="000000" w:themeColor="text1"/>
        </w:rPr>
        <w:t xml:space="preserve"> a bounded even</w:t>
      </w:r>
      <w:r w:rsidR="00A83879">
        <w:rPr>
          <w:color w:val="000000" w:themeColor="text1"/>
        </w:rPr>
        <w:t xml:space="preserve">t that </w:t>
      </w:r>
      <w:r w:rsidR="005D5379" w:rsidRPr="005D5379">
        <w:rPr>
          <w:color w:val="000000" w:themeColor="text1"/>
        </w:rPr>
        <w:t>“appears ‘onstage’ within the temporal s</w:t>
      </w:r>
      <w:r w:rsidR="00A83879">
        <w:rPr>
          <w:color w:val="000000" w:themeColor="text1"/>
        </w:rPr>
        <w:t xml:space="preserve">cope” (Langacker, 2008a, p. 65). In this viewing arrangement, </w:t>
      </w:r>
      <w:r w:rsidR="005D5379" w:rsidRPr="005D5379">
        <w:rPr>
          <w:color w:val="000000" w:themeColor="text1"/>
        </w:rPr>
        <w:t>the immediate scope accounts for a time span sufficient for the event, including its initial and end state. A pr</w:t>
      </w:r>
      <w:r w:rsidR="00AA66C1">
        <w:rPr>
          <w:color w:val="000000" w:themeColor="text1"/>
        </w:rPr>
        <w:t xml:space="preserve">esent-progressive construction, </w:t>
      </w:r>
      <w:r w:rsidR="005D5379" w:rsidRPr="005D5379">
        <w:rPr>
          <w:color w:val="000000" w:themeColor="text1"/>
        </w:rPr>
        <w:t xml:space="preserve">on the other hand, imposes a restricted scope on the verb and profiles only a series of components of the bounded process, thereby backgrounding its initial and </w:t>
      </w:r>
      <w:r w:rsidR="00341E01">
        <w:rPr>
          <w:color w:val="000000" w:themeColor="text1"/>
        </w:rPr>
        <w:t>final boundaries (</w:t>
      </w:r>
      <w:proofErr w:type="spellStart"/>
      <w:r w:rsidR="00341E01">
        <w:rPr>
          <w:color w:val="000000" w:themeColor="text1"/>
        </w:rPr>
        <w:t>Brisard</w:t>
      </w:r>
      <w:proofErr w:type="spellEnd"/>
      <w:r w:rsidR="00341E01">
        <w:rPr>
          <w:color w:val="000000" w:themeColor="text1"/>
        </w:rPr>
        <w:t>, 2013</w:t>
      </w:r>
      <w:r w:rsidR="00E93C6C">
        <w:rPr>
          <w:color w:val="000000" w:themeColor="text1"/>
        </w:rPr>
        <w:t xml:space="preserve">; Langacker, 2008; </w:t>
      </w:r>
      <w:proofErr w:type="spellStart"/>
      <w:r w:rsidR="00E93C6C">
        <w:rPr>
          <w:color w:val="000000" w:themeColor="text1"/>
        </w:rPr>
        <w:t>Radden</w:t>
      </w:r>
      <w:proofErr w:type="spellEnd"/>
      <w:r w:rsidR="00E93C6C">
        <w:rPr>
          <w:color w:val="000000" w:themeColor="text1"/>
        </w:rPr>
        <w:t xml:space="preserve"> and Dirven, 2007</w:t>
      </w:r>
      <w:r w:rsidR="005D5379" w:rsidRPr="005D5379">
        <w:rPr>
          <w:color w:val="000000" w:themeColor="text1"/>
        </w:rPr>
        <w:t>).</w:t>
      </w:r>
      <w:r w:rsidR="00341E01">
        <w:rPr>
          <w:color w:val="000000" w:themeColor="text1"/>
        </w:rPr>
        <w:t xml:space="preserve"> </w:t>
      </w:r>
    </w:p>
    <w:p w14:paraId="1C93B4D4" w14:textId="77777777" w:rsidR="004C1A53" w:rsidRDefault="004C1A53" w:rsidP="00F27169">
      <w:pPr>
        <w:spacing w:line="360" w:lineRule="auto"/>
        <w:rPr>
          <w:color w:val="000000" w:themeColor="text1"/>
        </w:rPr>
      </w:pPr>
    </w:p>
    <w:p w14:paraId="68529677" w14:textId="6BE5B090" w:rsidR="004C1A53" w:rsidRDefault="004C1A53" w:rsidP="004C1A53">
      <w:pPr>
        <w:spacing w:line="360" w:lineRule="auto"/>
        <w:rPr>
          <w:color w:val="000000" w:themeColor="text1"/>
        </w:rPr>
      </w:pPr>
      <w:r>
        <w:rPr>
          <w:color w:val="000000" w:themeColor="text1"/>
        </w:rPr>
        <w:t>(3)</w:t>
      </w:r>
      <w:r>
        <w:rPr>
          <w:color w:val="000000" w:themeColor="text1"/>
        </w:rPr>
        <w:tab/>
        <w:t xml:space="preserve">Ann cuddled the baby.  </w:t>
      </w:r>
      <w:r>
        <w:rPr>
          <w:color w:val="000000" w:themeColor="text1"/>
        </w:rPr>
        <w:tab/>
      </w:r>
      <w:r>
        <w:rPr>
          <w:color w:val="000000" w:themeColor="text1"/>
        </w:rPr>
        <w:tab/>
        <w:t>[maximal viewing frame]</w:t>
      </w:r>
    </w:p>
    <w:p w14:paraId="43634161" w14:textId="30184E7F" w:rsidR="004C1A53" w:rsidRDefault="004C1A53" w:rsidP="004C1A53">
      <w:pPr>
        <w:spacing w:line="360" w:lineRule="auto"/>
        <w:rPr>
          <w:color w:val="000000" w:themeColor="text1"/>
        </w:rPr>
      </w:pPr>
      <w:r>
        <w:rPr>
          <w:color w:val="000000" w:themeColor="text1"/>
        </w:rPr>
        <w:t>(4)</w:t>
      </w:r>
      <w:r>
        <w:rPr>
          <w:color w:val="000000" w:themeColor="text1"/>
        </w:rPr>
        <w:tab/>
        <w:t xml:space="preserve">Ann was cuddling the baby. </w:t>
      </w:r>
      <w:r>
        <w:rPr>
          <w:color w:val="000000" w:themeColor="text1"/>
        </w:rPr>
        <w:tab/>
      </w:r>
      <w:r>
        <w:rPr>
          <w:color w:val="000000" w:themeColor="text1"/>
        </w:rPr>
        <w:tab/>
        <w:t>[restricted viewing frame]</w:t>
      </w:r>
    </w:p>
    <w:p w14:paraId="604F1701" w14:textId="77777777" w:rsidR="00C41B88" w:rsidRDefault="00C41B88" w:rsidP="004C1A53">
      <w:pPr>
        <w:spacing w:line="360" w:lineRule="auto"/>
        <w:rPr>
          <w:color w:val="000000" w:themeColor="text1"/>
        </w:rPr>
      </w:pPr>
    </w:p>
    <w:p w14:paraId="4B9EDF7B" w14:textId="008DD9B9" w:rsidR="008C333E" w:rsidRDefault="00591DA4" w:rsidP="00655982">
      <w:pPr>
        <w:spacing w:line="360" w:lineRule="auto"/>
        <w:rPr>
          <w:color w:val="000000" w:themeColor="text1"/>
        </w:rPr>
      </w:pPr>
      <w:r>
        <w:rPr>
          <w:color w:val="000000" w:themeColor="text1"/>
        </w:rPr>
        <w:t xml:space="preserve">In example (3), </w:t>
      </w:r>
      <w:r w:rsidR="000065EF">
        <w:rPr>
          <w:color w:val="000000" w:themeColor="text1"/>
        </w:rPr>
        <w:t xml:space="preserve">the choice of the non-progressive aspect gives rise to </w:t>
      </w:r>
      <w:r>
        <w:rPr>
          <w:color w:val="000000" w:themeColor="text1"/>
        </w:rPr>
        <w:t>the speaker</w:t>
      </w:r>
      <w:r w:rsidR="000065EF">
        <w:rPr>
          <w:color w:val="000000" w:themeColor="text1"/>
        </w:rPr>
        <w:t>’s</w:t>
      </w:r>
      <w:r>
        <w:rPr>
          <w:color w:val="000000" w:themeColor="text1"/>
        </w:rPr>
        <w:t xml:space="preserve"> maximal viewing frame </w:t>
      </w:r>
      <w:r w:rsidR="000065EF">
        <w:rPr>
          <w:color w:val="000000" w:themeColor="text1"/>
        </w:rPr>
        <w:t>with which the scene is construed</w:t>
      </w:r>
      <w:r>
        <w:rPr>
          <w:color w:val="000000" w:themeColor="text1"/>
        </w:rPr>
        <w:t xml:space="preserve">. </w:t>
      </w:r>
      <w:r w:rsidR="0061291D">
        <w:rPr>
          <w:color w:val="000000" w:themeColor="text1"/>
        </w:rPr>
        <w:t>The event is bounded, with</w:t>
      </w:r>
      <w:r w:rsidR="000065EF">
        <w:rPr>
          <w:color w:val="000000" w:themeColor="text1"/>
        </w:rPr>
        <w:t xml:space="preserve"> clearly defined</w:t>
      </w:r>
      <w:r w:rsidR="00396DCA">
        <w:rPr>
          <w:color w:val="000000" w:themeColor="text1"/>
        </w:rPr>
        <w:t xml:space="preserve"> initial and final boundaries</w:t>
      </w:r>
      <w:r w:rsidR="000065EF">
        <w:rPr>
          <w:color w:val="000000" w:themeColor="text1"/>
        </w:rPr>
        <w:t xml:space="preserve">, and comprises a series of </w:t>
      </w:r>
      <w:r w:rsidR="008C333E">
        <w:rPr>
          <w:color w:val="000000" w:themeColor="text1"/>
        </w:rPr>
        <w:t xml:space="preserve">non-identical </w:t>
      </w:r>
      <w:r w:rsidR="000065EF">
        <w:rPr>
          <w:color w:val="000000" w:themeColor="text1"/>
        </w:rPr>
        <w:t>sub-events</w:t>
      </w:r>
      <w:r w:rsidR="00A23668">
        <w:rPr>
          <w:color w:val="000000" w:themeColor="text1"/>
        </w:rPr>
        <w:t xml:space="preserve">. </w:t>
      </w:r>
      <w:r w:rsidR="00FC2C29">
        <w:rPr>
          <w:color w:val="000000" w:themeColor="text1"/>
        </w:rPr>
        <w:t>As a result, t</w:t>
      </w:r>
      <w:r w:rsidR="00E65545">
        <w:rPr>
          <w:color w:val="000000" w:themeColor="text1"/>
        </w:rPr>
        <w:t>he situation &lt;</w:t>
      </w:r>
      <w:r w:rsidR="00FC2C29">
        <w:rPr>
          <w:color w:val="000000" w:themeColor="text1"/>
        </w:rPr>
        <w:t>CUDDLE THE BABY</w:t>
      </w:r>
      <w:r w:rsidR="00342453">
        <w:rPr>
          <w:color w:val="000000" w:themeColor="text1"/>
        </w:rPr>
        <w:t>&gt; in (3) is</w:t>
      </w:r>
      <w:r w:rsidR="00E65545">
        <w:rPr>
          <w:color w:val="000000" w:themeColor="text1"/>
        </w:rPr>
        <w:t xml:space="preserve"> viewed in its entirety. If the</w:t>
      </w:r>
      <w:r w:rsidR="00A23668">
        <w:rPr>
          <w:color w:val="000000" w:themeColor="text1"/>
        </w:rPr>
        <w:t xml:space="preserve"> speaker imposes a restricted</w:t>
      </w:r>
      <w:r w:rsidR="00342453">
        <w:rPr>
          <w:color w:val="000000" w:themeColor="text1"/>
        </w:rPr>
        <w:t xml:space="preserve"> viewing frame, such as in (4),</w:t>
      </w:r>
      <w:r w:rsidR="005512DA">
        <w:rPr>
          <w:color w:val="000000" w:themeColor="text1"/>
        </w:rPr>
        <w:t xml:space="preserve"> a close-up view on the unfolding of the event</w:t>
      </w:r>
      <w:r w:rsidR="00342453">
        <w:rPr>
          <w:color w:val="000000" w:themeColor="text1"/>
        </w:rPr>
        <w:t xml:space="preserve"> is offered</w:t>
      </w:r>
      <w:r w:rsidR="005512DA">
        <w:rPr>
          <w:color w:val="000000" w:themeColor="text1"/>
        </w:rPr>
        <w:t xml:space="preserve">. </w:t>
      </w:r>
      <w:r w:rsidR="00DA20A5">
        <w:rPr>
          <w:color w:val="000000" w:themeColor="text1"/>
        </w:rPr>
        <w:t>Here</w:t>
      </w:r>
      <w:r w:rsidR="00D51B04">
        <w:rPr>
          <w:color w:val="000000" w:themeColor="text1"/>
        </w:rPr>
        <w:t xml:space="preserve">, the progressive in (4) zooms in on the event </w:t>
      </w:r>
      <w:r w:rsidR="00E65545">
        <w:rPr>
          <w:color w:val="000000" w:themeColor="text1"/>
        </w:rPr>
        <w:t>&lt;</w:t>
      </w:r>
      <w:r w:rsidR="00FC2C29">
        <w:rPr>
          <w:color w:val="000000" w:themeColor="text1"/>
        </w:rPr>
        <w:t>CUDDLE THE BABY</w:t>
      </w:r>
      <w:r w:rsidR="00E65545">
        <w:rPr>
          <w:color w:val="000000" w:themeColor="text1"/>
        </w:rPr>
        <w:t>&gt;</w:t>
      </w:r>
      <w:r w:rsidR="00D51B04">
        <w:rPr>
          <w:color w:val="000000" w:themeColor="text1"/>
        </w:rPr>
        <w:t xml:space="preserve"> and relegates the initial and final component to the background of attention, while</w:t>
      </w:r>
      <w:r w:rsidR="00C07B0C">
        <w:rPr>
          <w:color w:val="000000" w:themeColor="text1"/>
        </w:rPr>
        <w:t xml:space="preserve"> attending to only a fragment of the entire process that is now construed as being homogeneous. </w:t>
      </w:r>
      <w:r w:rsidR="00E65545">
        <w:rPr>
          <w:color w:val="000000" w:themeColor="text1"/>
        </w:rPr>
        <w:t xml:space="preserve">Whereas the situation in (3) is seen as complete, the situation in (4) is </w:t>
      </w:r>
      <w:r w:rsidR="00E65545" w:rsidRPr="00DA20A5">
        <w:rPr>
          <w:color w:val="000000" w:themeColor="text1"/>
        </w:rPr>
        <w:t xml:space="preserve">construed as being </w:t>
      </w:r>
      <w:r w:rsidR="00D0237B" w:rsidRPr="00DA20A5">
        <w:rPr>
          <w:color w:val="000000" w:themeColor="text1"/>
        </w:rPr>
        <w:t xml:space="preserve">ongoing and is susceptible to change. </w:t>
      </w:r>
      <w:r w:rsidR="00442C47" w:rsidRPr="00DA20A5">
        <w:rPr>
          <w:color w:val="000000" w:themeColor="text1"/>
        </w:rPr>
        <w:t xml:space="preserve">One could also suggest that in order to impose an imperfective </w:t>
      </w:r>
      <w:r w:rsidR="00442C47" w:rsidRPr="00DA20A5">
        <w:rPr>
          <w:color w:val="000000" w:themeColor="text1"/>
        </w:rPr>
        <w:lastRenderedPageBreak/>
        <w:t xml:space="preserve">interpretation of the event the speaker must </w:t>
      </w:r>
      <w:r w:rsidR="00F26741" w:rsidRPr="00DA20A5">
        <w:rPr>
          <w:color w:val="000000" w:themeColor="text1"/>
        </w:rPr>
        <w:t xml:space="preserve">adopt </w:t>
      </w:r>
      <w:r w:rsidR="00187B7A" w:rsidRPr="00DA20A5">
        <w:rPr>
          <w:color w:val="000000" w:themeColor="text1"/>
        </w:rPr>
        <w:t xml:space="preserve">a proximal perspective, while a </w:t>
      </w:r>
      <w:r w:rsidR="00DA20A5" w:rsidRPr="00DA20A5">
        <w:rPr>
          <w:color w:val="000000" w:themeColor="text1"/>
        </w:rPr>
        <w:t>perfective interpretation requires a m</w:t>
      </w:r>
      <w:r w:rsidR="00DA20A5">
        <w:rPr>
          <w:color w:val="000000" w:themeColor="text1"/>
        </w:rPr>
        <w:t>aximal perspective on the event (</w:t>
      </w:r>
      <w:proofErr w:type="spellStart"/>
      <w:r w:rsidR="00DA20A5">
        <w:rPr>
          <w:color w:val="000000" w:themeColor="text1"/>
        </w:rPr>
        <w:t>Dro</w:t>
      </w:r>
      <w:r w:rsidR="00DA20A5" w:rsidRPr="00DA20A5">
        <w:rPr>
          <w:color w:val="000000" w:themeColor="text1"/>
        </w:rPr>
        <w:t>ź</w:t>
      </w:r>
      <w:r w:rsidR="00DA20A5">
        <w:rPr>
          <w:color w:val="000000" w:themeColor="text1"/>
        </w:rPr>
        <w:t>d</w:t>
      </w:r>
      <w:r w:rsidR="00DA20A5" w:rsidRPr="00DA20A5">
        <w:rPr>
          <w:color w:val="000000" w:themeColor="text1"/>
        </w:rPr>
        <w:t>ź</w:t>
      </w:r>
      <w:proofErr w:type="spellEnd"/>
      <w:r w:rsidR="00DA20A5">
        <w:rPr>
          <w:color w:val="000000" w:themeColor="text1"/>
        </w:rPr>
        <w:t xml:space="preserve">, 2018). </w:t>
      </w:r>
    </w:p>
    <w:p w14:paraId="6532A9C2" w14:textId="5F57B02D" w:rsidR="008E1993" w:rsidRDefault="00D10232" w:rsidP="006F423B">
      <w:pPr>
        <w:spacing w:line="360" w:lineRule="auto"/>
        <w:ind w:firstLine="720"/>
        <w:rPr>
          <w:color w:val="000000" w:themeColor="text1"/>
        </w:rPr>
      </w:pPr>
      <w:r>
        <w:rPr>
          <w:color w:val="000000" w:themeColor="text1"/>
        </w:rPr>
        <w:t xml:space="preserve">Inherent aspectual properties of a situation interact with grammatical aspect in the sense that the type of </w:t>
      </w:r>
      <w:r w:rsidR="00E6342A">
        <w:rPr>
          <w:color w:val="000000" w:themeColor="text1"/>
        </w:rPr>
        <w:t>the</w:t>
      </w:r>
      <w:r>
        <w:rPr>
          <w:color w:val="000000" w:themeColor="text1"/>
        </w:rPr>
        <w:t xml:space="preserve"> situation, whether it indicates a change of state through time or endures through time with little or no change within and beyond the immediate scope, </w:t>
      </w:r>
      <w:r w:rsidR="00F26741">
        <w:rPr>
          <w:color w:val="000000" w:themeColor="text1"/>
        </w:rPr>
        <w:t>and</w:t>
      </w:r>
      <w:r>
        <w:rPr>
          <w:color w:val="000000" w:themeColor="text1"/>
        </w:rPr>
        <w:t xml:space="preserve"> the speaker’s perspective, </w:t>
      </w:r>
      <w:r w:rsidR="00F26741">
        <w:rPr>
          <w:color w:val="000000" w:themeColor="text1"/>
        </w:rPr>
        <w:t xml:space="preserve">which is either </w:t>
      </w:r>
      <w:r>
        <w:rPr>
          <w:color w:val="000000" w:themeColor="text1"/>
        </w:rPr>
        <w:t>proximal or distant,</w:t>
      </w:r>
      <w:r w:rsidR="00F26741">
        <w:rPr>
          <w:color w:val="000000" w:themeColor="text1"/>
        </w:rPr>
        <w:t xml:space="preserve"> render various form of viewing arrangements at the conceptual level. </w:t>
      </w:r>
    </w:p>
    <w:p w14:paraId="25A03F67" w14:textId="77777777" w:rsidR="006F423B" w:rsidRDefault="006F423B" w:rsidP="006F423B">
      <w:pPr>
        <w:spacing w:line="360" w:lineRule="auto"/>
        <w:ind w:firstLine="720"/>
        <w:rPr>
          <w:color w:val="000000" w:themeColor="text1"/>
        </w:rPr>
      </w:pPr>
    </w:p>
    <w:p w14:paraId="63A7702F" w14:textId="0B41FDDA" w:rsidR="008E1993" w:rsidRDefault="008E1993" w:rsidP="008E1993">
      <w:pPr>
        <w:spacing w:line="360" w:lineRule="auto"/>
        <w:rPr>
          <w:color w:val="000000" w:themeColor="text1"/>
        </w:rPr>
      </w:pPr>
      <w:r>
        <w:rPr>
          <w:color w:val="000000" w:themeColor="text1"/>
        </w:rPr>
        <w:t>(5)</w:t>
      </w:r>
      <w:r>
        <w:rPr>
          <w:color w:val="000000" w:themeColor="text1"/>
        </w:rPr>
        <w:tab/>
        <w:t xml:space="preserve">He hates her. </w:t>
      </w:r>
      <w:r w:rsidR="001D322A">
        <w:rPr>
          <w:color w:val="000000" w:themeColor="text1"/>
        </w:rPr>
        <w:tab/>
      </w:r>
      <w:r w:rsidR="006F423B">
        <w:rPr>
          <w:color w:val="000000" w:themeColor="text1"/>
        </w:rPr>
        <w:tab/>
      </w:r>
      <w:r w:rsidR="006F423B">
        <w:rPr>
          <w:color w:val="000000" w:themeColor="text1"/>
        </w:rPr>
        <w:tab/>
      </w:r>
      <w:r w:rsidR="006F423B">
        <w:rPr>
          <w:color w:val="000000" w:themeColor="text1"/>
        </w:rPr>
        <w:tab/>
      </w:r>
      <w:r w:rsidR="001D322A">
        <w:rPr>
          <w:color w:val="000000" w:themeColor="text1"/>
        </w:rPr>
        <w:t>[maximal viewing frame]</w:t>
      </w:r>
    </w:p>
    <w:p w14:paraId="140F2C7D" w14:textId="4DBFD959" w:rsidR="00797AE9" w:rsidRDefault="00797AE9" w:rsidP="008E1993">
      <w:pPr>
        <w:spacing w:line="360" w:lineRule="auto"/>
        <w:rPr>
          <w:color w:val="000000" w:themeColor="text1"/>
        </w:rPr>
      </w:pPr>
      <w:r>
        <w:rPr>
          <w:color w:val="000000" w:themeColor="text1"/>
        </w:rPr>
        <w:t>(6)</w:t>
      </w:r>
      <w:r>
        <w:rPr>
          <w:color w:val="000000" w:themeColor="text1"/>
        </w:rPr>
        <w:tab/>
        <w:t>He is hating her.</w:t>
      </w:r>
      <w:r>
        <w:rPr>
          <w:color w:val="000000" w:themeColor="text1"/>
        </w:rPr>
        <w:tab/>
      </w:r>
      <w:r>
        <w:rPr>
          <w:color w:val="000000" w:themeColor="text1"/>
        </w:rPr>
        <w:tab/>
      </w:r>
      <w:r>
        <w:rPr>
          <w:color w:val="000000" w:themeColor="text1"/>
        </w:rPr>
        <w:tab/>
        <w:t>[restricted viewing frame]</w:t>
      </w:r>
    </w:p>
    <w:p w14:paraId="3B7C3FF5" w14:textId="7FCFE56F" w:rsidR="001D322A" w:rsidRDefault="006F423B" w:rsidP="008E1993">
      <w:pPr>
        <w:spacing w:line="360" w:lineRule="auto"/>
        <w:rPr>
          <w:color w:val="000000" w:themeColor="text1"/>
        </w:rPr>
      </w:pPr>
      <w:r>
        <w:rPr>
          <w:color w:val="000000" w:themeColor="text1"/>
        </w:rPr>
        <w:tab/>
      </w:r>
    </w:p>
    <w:p w14:paraId="450F94A0" w14:textId="2CC1F56C" w:rsidR="001D322A" w:rsidRDefault="00887B43" w:rsidP="008E1993">
      <w:pPr>
        <w:spacing w:line="360" w:lineRule="auto"/>
        <w:rPr>
          <w:color w:val="000000" w:themeColor="text1"/>
        </w:rPr>
      </w:pPr>
      <w:r>
        <w:rPr>
          <w:color w:val="000000" w:themeColor="text1"/>
        </w:rPr>
        <w:t xml:space="preserve">In (5), </w:t>
      </w:r>
      <w:r w:rsidR="00631573">
        <w:rPr>
          <w:color w:val="000000" w:themeColor="text1"/>
        </w:rPr>
        <w:t xml:space="preserve">we observe that </w:t>
      </w:r>
      <w:r w:rsidR="00F64635">
        <w:rPr>
          <w:color w:val="000000" w:themeColor="text1"/>
        </w:rPr>
        <w:t xml:space="preserve">internally unbounded </w:t>
      </w:r>
      <w:r w:rsidR="00631573">
        <w:rPr>
          <w:color w:val="000000" w:themeColor="text1"/>
        </w:rPr>
        <w:t>situations</w:t>
      </w:r>
      <w:r w:rsidR="00797AE9">
        <w:rPr>
          <w:color w:val="000000" w:themeColor="text1"/>
        </w:rPr>
        <w:t>, involving a lexically stative verb,</w:t>
      </w:r>
      <w:r w:rsidR="00631573">
        <w:rPr>
          <w:color w:val="000000" w:themeColor="text1"/>
        </w:rPr>
        <w:t xml:space="preserve"> endure through time withou</w:t>
      </w:r>
      <w:r w:rsidR="00F526B9">
        <w:rPr>
          <w:color w:val="000000" w:themeColor="text1"/>
        </w:rPr>
        <w:t>t any specified starting or end</w:t>
      </w:r>
      <w:r w:rsidR="00721969">
        <w:rPr>
          <w:color w:val="000000" w:themeColor="text1"/>
        </w:rPr>
        <w:t xml:space="preserve"> </w:t>
      </w:r>
      <w:r w:rsidR="00797AE9">
        <w:rPr>
          <w:color w:val="000000" w:themeColor="text1"/>
        </w:rPr>
        <w:t xml:space="preserve">point. </w:t>
      </w:r>
      <w:r w:rsidR="00F526B9">
        <w:rPr>
          <w:color w:val="000000" w:themeColor="text1"/>
        </w:rPr>
        <w:t xml:space="preserve">Prototypically, these </w:t>
      </w:r>
      <w:r w:rsidR="004E0FCF">
        <w:rPr>
          <w:color w:val="000000" w:themeColor="text1"/>
        </w:rPr>
        <w:t>type of situations</w:t>
      </w:r>
      <w:r w:rsidR="00F526B9">
        <w:rPr>
          <w:color w:val="000000" w:themeColor="text1"/>
        </w:rPr>
        <w:t xml:space="preserve"> are construed as homogeneous, i.e., nothing changes or happens within or beyond the immediate s</w:t>
      </w:r>
      <w:r w:rsidR="00E10403">
        <w:rPr>
          <w:color w:val="000000" w:themeColor="text1"/>
        </w:rPr>
        <w:t xml:space="preserve">cope. These types of situations are also construed with a </w:t>
      </w:r>
      <w:r w:rsidR="009737A1">
        <w:rPr>
          <w:color w:val="000000" w:themeColor="text1"/>
        </w:rPr>
        <w:t>maximal viewing frame</w:t>
      </w:r>
      <w:r w:rsidR="00797AE9">
        <w:rPr>
          <w:color w:val="000000" w:themeColor="text1"/>
        </w:rPr>
        <w:t>. The speaker’s shift in perspective and subjective construal of the situation can change the</w:t>
      </w:r>
      <w:r w:rsidR="00056152">
        <w:rPr>
          <w:color w:val="000000" w:themeColor="text1"/>
        </w:rPr>
        <w:t xml:space="preserve"> prototypical semantic categorization and the</w:t>
      </w:r>
      <w:r w:rsidR="00797AE9">
        <w:rPr>
          <w:color w:val="000000" w:themeColor="text1"/>
        </w:rPr>
        <w:t xml:space="preserve"> non-dynamic nature of the scene, as </w:t>
      </w:r>
      <w:r w:rsidR="00E10403">
        <w:rPr>
          <w:color w:val="000000" w:themeColor="text1"/>
        </w:rPr>
        <w:t>exemplified</w:t>
      </w:r>
      <w:r w:rsidR="00797AE9">
        <w:rPr>
          <w:color w:val="000000" w:themeColor="text1"/>
        </w:rPr>
        <w:t xml:space="preserve"> in (6). </w:t>
      </w:r>
      <w:r w:rsidR="00056152">
        <w:rPr>
          <w:color w:val="000000" w:themeColor="text1"/>
        </w:rPr>
        <w:t>Here,</w:t>
      </w:r>
      <w:r w:rsidR="00797AE9">
        <w:rPr>
          <w:color w:val="000000" w:themeColor="text1"/>
        </w:rPr>
        <w:t xml:space="preserve"> </w:t>
      </w:r>
      <w:r w:rsidR="00056152">
        <w:rPr>
          <w:color w:val="000000" w:themeColor="text1"/>
        </w:rPr>
        <w:t>the progressive presupposes a perspectival shift from a state predicati</w:t>
      </w:r>
      <w:r w:rsidR="004454EC">
        <w:rPr>
          <w:color w:val="000000" w:themeColor="text1"/>
        </w:rPr>
        <w:t xml:space="preserve">on to a dynamic predication and imposes implicit boundaries within the maximal scope. Our contextual knowledge </w:t>
      </w:r>
      <w:r w:rsidR="002866E4">
        <w:rPr>
          <w:color w:val="000000" w:themeColor="text1"/>
        </w:rPr>
        <w:t>and the restricted viewing frame enable</w:t>
      </w:r>
      <w:r w:rsidR="004454EC">
        <w:rPr>
          <w:color w:val="000000" w:themeColor="text1"/>
        </w:rPr>
        <w:t xml:space="preserve"> us to conceive the situation in (6) </w:t>
      </w:r>
      <w:r w:rsidR="00FB3B9D">
        <w:rPr>
          <w:color w:val="000000" w:themeColor="text1"/>
        </w:rPr>
        <w:t xml:space="preserve">as dynamic and </w:t>
      </w:r>
      <w:r w:rsidR="00F85CE8">
        <w:rPr>
          <w:color w:val="000000" w:themeColor="text1"/>
        </w:rPr>
        <w:t>temporary</w:t>
      </w:r>
      <w:r w:rsidR="00E10403">
        <w:rPr>
          <w:color w:val="000000" w:themeColor="text1"/>
        </w:rPr>
        <w:t>. The</w:t>
      </w:r>
      <w:r w:rsidR="00FB3B9D">
        <w:rPr>
          <w:color w:val="000000" w:themeColor="text1"/>
        </w:rPr>
        <w:t xml:space="preserve"> endpoint </w:t>
      </w:r>
      <w:r w:rsidR="00E10403">
        <w:rPr>
          <w:color w:val="000000" w:themeColor="text1"/>
        </w:rPr>
        <w:t xml:space="preserve">of the event is left implicit and has </w:t>
      </w:r>
      <w:r w:rsidR="00FB3B9D">
        <w:rPr>
          <w:color w:val="000000" w:themeColor="text1"/>
        </w:rPr>
        <w:t xml:space="preserve">background prominence. </w:t>
      </w:r>
    </w:p>
    <w:p w14:paraId="4E2DC8DB" w14:textId="5840B5A8" w:rsidR="00693949" w:rsidRDefault="00721969" w:rsidP="00D0413D">
      <w:pPr>
        <w:spacing w:line="360" w:lineRule="auto"/>
        <w:ind w:firstLine="720"/>
        <w:rPr>
          <w:color w:val="000000" w:themeColor="text1"/>
        </w:rPr>
      </w:pPr>
      <w:r>
        <w:rPr>
          <w:color w:val="000000" w:themeColor="text1"/>
        </w:rPr>
        <w:t>Next, the speaker’s viewing direction</w:t>
      </w:r>
      <w:r w:rsidR="00A424D2">
        <w:rPr>
          <w:color w:val="000000" w:themeColor="text1"/>
        </w:rPr>
        <w:t xml:space="preserve"> and its effect on encoding </w:t>
      </w:r>
      <w:r w:rsidR="004348AC">
        <w:rPr>
          <w:color w:val="000000" w:themeColor="text1"/>
        </w:rPr>
        <w:t>temporal functions is discussed</w:t>
      </w:r>
      <w:r>
        <w:rPr>
          <w:color w:val="000000" w:themeColor="text1"/>
        </w:rPr>
        <w:t xml:space="preserve">. </w:t>
      </w:r>
      <w:r w:rsidR="00467D88">
        <w:rPr>
          <w:color w:val="000000" w:themeColor="text1"/>
        </w:rPr>
        <w:t xml:space="preserve">The </w:t>
      </w:r>
      <w:r w:rsidR="006E5166">
        <w:rPr>
          <w:color w:val="000000" w:themeColor="text1"/>
        </w:rPr>
        <w:t>grou</w:t>
      </w:r>
      <w:r w:rsidR="00BC6BD9">
        <w:rPr>
          <w:color w:val="000000" w:themeColor="text1"/>
        </w:rPr>
        <w:t xml:space="preserve">nd, the space for apprehending the conceptual content, </w:t>
      </w:r>
      <w:r w:rsidR="00467D88">
        <w:rPr>
          <w:color w:val="000000" w:themeColor="text1"/>
        </w:rPr>
        <w:t>serves the funct</w:t>
      </w:r>
      <w:r w:rsidR="00083D1F">
        <w:rPr>
          <w:color w:val="000000" w:themeColor="text1"/>
        </w:rPr>
        <w:t xml:space="preserve">ion of anchoring </w:t>
      </w:r>
      <w:r w:rsidR="00467D88">
        <w:rPr>
          <w:color w:val="000000" w:themeColor="text1"/>
        </w:rPr>
        <w:t>the occurrence of an event in time</w:t>
      </w:r>
      <w:r w:rsidR="00AD67ED">
        <w:rPr>
          <w:color w:val="000000" w:themeColor="text1"/>
        </w:rPr>
        <w:t xml:space="preserve"> relative to time of speaking</w:t>
      </w:r>
      <w:r w:rsidR="00071F21">
        <w:rPr>
          <w:color w:val="000000" w:themeColor="text1"/>
        </w:rPr>
        <w:t xml:space="preserve"> (“now”)</w:t>
      </w:r>
      <w:r w:rsidR="00AD67ED">
        <w:rPr>
          <w:color w:val="000000" w:themeColor="text1"/>
        </w:rPr>
        <w:t xml:space="preserve">. </w:t>
      </w:r>
      <w:r w:rsidR="00071F21" w:rsidRPr="00AD67ED">
        <w:rPr>
          <w:color w:val="000000" w:themeColor="text1"/>
        </w:rPr>
        <w:t>In certain viewing arrangements, the speaker is able to accommodate an anchor time, a temporal relevance time</w:t>
      </w:r>
      <w:r w:rsidR="00D0413D">
        <w:rPr>
          <w:color w:val="000000" w:themeColor="text1"/>
        </w:rPr>
        <w:t>,</w:t>
      </w:r>
      <w:r w:rsidR="00340B74">
        <w:rPr>
          <w:color w:val="000000" w:themeColor="text1"/>
        </w:rPr>
        <w:t xml:space="preserve"> </w:t>
      </w:r>
      <w:r w:rsidR="00340B74" w:rsidRPr="00340B74">
        <w:rPr>
          <w:color w:val="000000" w:themeColor="text1"/>
        </w:rPr>
        <w:t>to direct the hearer’s attention to a relevant time span that is not the time at which the event occurred</w:t>
      </w:r>
      <w:r w:rsidR="00071F21">
        <w:rPr>
          <w:color w:val="000000" w:themeColor="text1"/>
        </w:rPr>
        <w:t xml:space="preserve">. </w:t>
      </w:r>
      <w:r w:rsidR="00D83C58" w:rsidRPr="00D65B12">
        <w:rPr>
          <w:color w:val="000000" w:themeColor="text1"/>
        </w:rPr>
        <w:t xml:space="preserve">Normally, the temporal reference point </w:t>
      </w:r>
      <w:r w:rsidR="00125573" w:rsidRPr="00D65B12">
        <w:rPr>
          <w:color w:val="000000" w:themeColor="text1"/>
        </w:rPr>
        <w:t>is part of the</w:t>
      </w:r>
      <w:r w:rsidR="00D83C58" w:rsidRPr="00D65B12">
        <w:rPr>
          <w:color w:val="000000" w:themeColor="text1"/>
        </w:rPr>
        <w:t xml:space="preserve"> ground</w:t>
      </w:r>
      <w:r w:rsidR="00125573" w:rsidRPr="00D65B12">
        <w:rPr>
          <w:color w:val="000000" w:themeColor="text1"/>
        </w:rPr>
        <w:t xml:space="preserve">, but, depending on </w:t>
      </w:r>
      <w:r w:rsidR="00D83C58" w:rsidRPr="00D65B12">
        <w:rPr>
          <w:color w:val="000000" w:themeColor="text1"/>
        </w:rPr>
        <w:t>different construal</w:t>
      </w:r>
      <w:r w:rsidR="00125573" w:rsidRPr="00D65B12">
        <w:rPr>
          <w:color w:val="000000" w:themeColor="text1"/>
        </w:rPr>
        <w:t>s</w:t>
      </w:r>
      <w:r w:rsidR="00D83C58" w:rsidRPr="00D65B12">
        <w:rPr>
          <w:color w:val="000000" w:themeColor="text1"/>
        </w:rPr>
        <w:t xml:space="preserve"> </w:t>
      </w:r>
      <w:r w:rsidR="00125573">
        <w:rPr>
          <w:color w:val="000000" w:themeColor="text1"/>
        </w:rPr>
        <w:t xml:space="preserve">with which a situation is viewed, </w:t>
      </w:r>
      <w:r w:rsidR="00BE3F63">
        <w:rPr>
          <w:color w:val="000000" w:themeColor="text1"/>
        </w:rPr>
        <w:t>the speaker can shift his viewpoint to the past or future and</w:t>
      </w:r>
      <w:r w:rsidR="009078FF" w:rsidRPr="00AD67ED">
        <w:rPr>
          <w:color w:val="000000" w:themeColor="text1"/>
        </w:rPr>
        <w:t xml:space="preserve"> </w:t>
      </w:r>
      <w:r w:rsidR="00BE3F63">
        <w:rPr>
          <w:color w:val="000000" w:themeColor="text1"/>
        </w:rPr>
        <w:t>access</w:t>
      </w:r>
      <w:r w:rsidR="009078FF" w:rsidRPr="00AD67ED">
        <w:rPr>
          <w:color w:val="000000" w:themeColor="text1"/>
        </w:rPr>
        <w:t xml:space="preserve"> the event in question</w:t>
      </w:r>
      <w:r w:rsidR="00BE3F63">
        <w:rPr>
          <w:color w:val="000000" w:themeColor="text1"/>
        </w:rPr>
        <w:t xml:space="preserve"> through this additional space</w:t>
      </w:r>
      <w:r w:rsidR="00D644D4">
        <w:rPr>
          <w:color w:val="000000" w:themeColor="text1"/>
        </w:rPr>
        <w:t xml:space="preserve"> (</w:t>
      </w:r>
      <w:proofErr w:type="spellStart"/>
      <w:r w:rsidR="00D644D4">
        <w:rPr>
          <w:color w:val="000000" w:themeColor="text1"/>
        </w:rPr>
        <w:t>Zagona</w:t>
      </w:r>
      <w:proofErr w:type="spellEnd"/>
      <w:r w:rsidR="00D644D4">
        <w:rPr>
          <w:color w:val="000000" w:themeColor="text1"/>
        </w:rPr>
        <w:t>, 2007)</w:t>
      </w:r>
      <w:r w:rsidR="00BE3F63">
        <w:rPr>
          <w:color w:val="000000" w:themeColor="text1"/>
        </w:rPr>
        <w:t xml:space="preserve">. </w:t>
      </w:r>
      <w:r w:rsidR="0006425B">
        <w:rPr>
          <w:color w:val="000000" w:themeColor="text1"/>
        </w:rPr>
        <w:t>The notions of</w:t>
      </w:r>
      <w:r w:rsidR="00693949">
        <w:rPr>
          <w:color w:val="000000" w:themeColor="text1"/>
        </w:rPr>
        <w:t xml:space="preserve"> speech time, event time and reference time are illustrated in the examples given below: </w:t>
      </w:r>
    </w:p>
    <w:p w14:paraId="428C131F" w14:textId="77777777" w:rsidR="00AD6988" w:rsidRDefault="00AD6988" w:rsidP="00D0413D">
      <w:pPr>
        <w:spacing w:line="360" w:lineRule="auto"/>
        <w:ind w:firstLine="720"/>
        <w:rPr>
          <w:color w:val="000000" w:themeColor="text1"/>
        </w:rPr>
      </w:pPr>
    </w:p>
    <w:p w14:paraId="140AECED" w14:textId="1C63DC92" w:rsidR="000F6490" w:rsidRDefault="002B6139" w:rsidP="00693949">
      <w:pPr>
        <w:spacing w:line="360" w:lineRule="auto"/>
        <w:rPr>
          <w:color w:val="000000" w:themeColor="text1"/>
        </w:rPr>
      </w:pPr>
      <w:r>
        <w:rPr>
          <w:color w:val="000000" w:themeColor="text1"/>
        </w:rPr>
        <w:t>(7)</w:t>
      </w:r>
      <w:r w:rsidR="006E5166">
        <w:rPr>
          <w:color w:val="000000" w:themeColor="text1"/>
        </w:rPr>
        <w:tab/>
      </w:r>
      <w:r w:rsidR="001E1A5D">
        <w:rPr>
          <w:color w:val="000000" w:themeColor="text1"/>
        </w:rPr>
        <w:t xml:space="preserve">When I got to the station, the train had already left. </w:t>
      </w:r>
    </w:p>
    <w:p w14:paraId="39CBA222" w14:textId="2A4263ED" w:rsidR="002B6139" w:rsidRDefault="002B6139" w:rsidP="008E1993">
      <w:pPr>
        <w:spacing w:line="360" w:lineRule="auto"/>
        <w:rPr>
          <w:color w:val="000000" w:themeColor="text1"/>
        </w:rPr>
      </w:pPr>
      <w:r>
        <w:rPr>
          <w:color w:val="000000" w:themeColor="text1"/>
        </w:rPr>
        <w:lastRenderedPageBreak/>
        <w:t>(8)</w:t>
      </w:r>
      <w:r w:rsidR="001E1A5D">
        <w:rPr>
          <w:color w:val="000000" w:themeColor="text1"/>
        </w:rPr>
        <w:tab/>
      </w:r>
      <w:r w:rsidR="003B5D8A">
        <w:rPr>
          <w:color w:val="000000" w:themeColor="text1"/>
        </w:rPr>
        <w:t>Harry has accepted</w:t>
      </w:r>
      <w:r w:rsidR="00894618">
        <w:rPr>
          <w:color w:val="000000" w:themeColor="text1"/>
        </w:rPr>
        <w:t xml:space="preserve"> the job</w:t>
      </w:r>
      <w:r w:rsidR="003B5D8A">
        <w:rPr>
          <w:color w:val="000000" w:themeColor="text1"/>
        </w:rPr>
        <w:t>.</w:t>
      </w:r>
    </w:p>
    <w:p w14:paraId="1F3C33D8" w14:textId="441C6455" w:rsidR="002B6139" w:rsidRDefault="002B6139" w:rsidP="008E1993">
      <w:pPr>
        <w:spacing w:line="360" w:lineRule="auto"/>
        <w:rPr>
          <w:color w:val="000000" w:themeColor="text1"/>
        </w:rPr>
      </w:pPr>
      <w:r>
        <w:rPr>
          <w:color w:val="000000" w:themeColor="text1"/>
        </w:rPr>
        <w:t>(9)</w:t>
      </w:r>
      <w:r w:rsidR="00783E2F">
        <w:rPr>
          <w:color w:val="000000" w:themeColor="text1"/>
        </w:rPr>
        <w:tab/>
      </w:r>
      <w:r w:rsidR="003B5D8A">
        <w:rPr>
          <w:color w:val="000000" w:themeColor="text1"/>
        </w:rPr>
        <w:t>I’ll be home</w:t>
      </w:r>
      <w:r w:rsidR="00D0413D">
        <w:rPr>
          <w:color w:val="000000" w:themeColor="text1"/>
        </w:rPr>
        <w:t xml:space="preserve"> </w:t>
      </w:r>
      <w:r w:rsidR="00587C69">
        <w:rPr>
          <w:color w:val="000000" w:themeColor="text1"/>
        </w:rPr>
        <w:t>tomorrow night</w:t>
      </w:r>
      <w:r w:rsidR="00D0413D">
        <w:rPr>
          <w:color w:val="000000" w:themeColor="text1"/>
        </w:rPr>
        <w:t xml:space="preserve">. </w:t>
      </w:r>
      <w:r w:rsidR="003B5D8A">
        <w:rPr>
          <w:color w:val="000000" w:themeColor="text1"/>
        </w:rPr>
        <w:t xml:space="preserve"> </w:t>
      </w:r>
    </w:p>
    <w:p w14:paraId="6F68185E" w14:textId="77777777" w:rsidR="00AD702E" w:rsidRDefault="00AD702E" w:rsidP="00BA0966">
      <w:pPr>
        <w:spacing w:line="360" w:lineRule="auto"/>
        <w:ind w:firstLine="720"/>
        <w:rPr>
          <w:color w:val="000000" w:themeColor="text1"/>
        </w:rPr>
      </w:pPr>
    </w:p>
    <w:p w14:paraId="085595FF" w14:textId="0A27811C" w:rsidR="00D0413D" w:rsidRPr="00173845" w:rsidRDefault="00D0413D" w:rsidP="00655982">
      <w:pPr>
        <w:spacing w:line="360" w:lineRule="auto"/>
        <w:rPr>
          <w:color w:val="000000" w:themeColor="text1"/>
        </w:rPr>
      </w:pPr>
      <w:r>
        <w:rPr>
          <w:color w:val="000000" w:themeColor="text1"/>
        </w:rPr>
        <w:t>In all three examples, the speaker</w:t>
      </w:r>
      <w:r w:rsidR="008F6D13">
        <w:rPr>
          <w:color w:val="000000" w:themeColor="text1"/>
        </w:rPr>
        <w:t xml:space="preserve"> is located in the ground, and the speech time corresponds to </w:t>
      </w:r>
      <w:r w:rsidR="008F6D13" w:rsidRPr="008F6D13">
        <w:rPr>
          <w:i/>
          <w:color w:val="000000" w:themeColor="text1"/>
        </w:rPr>
        <w:t>now</w:t>
      </w:r>
      <w:r w:rsidR="008F6D13">
        <w:rPr>
          <w:color w:val="000000" w:themeColor="text1"/>
        </w:rPr>
        <w:t xml:space="preserve">. </w:t>
      </w:r>
      <w:r w:rsidR="00181E20">
        <w:rPr>
          <w:color w:val="000000" w:themeColor="text1"/>
        </w:rPr>
        <w:t>Event time, t</w:t>
      </w:r>
      <w:r w:rsidR="008F6D13">
        <w:rPr>
          <w:color w:val="000000" w:themeColor="text1"/>
        </w:rPr>
        <w:t>he time at which a situation is instantiated</w:t>
      </w:r>
      <w:r w:rsidR="00B1186B">
        <w:rPr>
          <w:color w:val="000000" w:themeColor="text1"/>
        </w:rPr>
        <w:t xml:space="preserve"> </w:t>
      </w:r>
      <w:r w:rsidR="008F6D13">
        <w:rPr>
          <w:color w:val="000000" w:themeColor="text1"/>
        </w:rPr>
        <w:t>varies</w:t>
      </w:r>
      <w:r w:rsidR="00B971D4">
        <w:rPr>
          <w:color w:val="000000" w:themeColor="text1"/>
        </w:rPr>
        <w:t xml:space="preserve"> in the examples</w:t>
      </w:r>
      <w:r w:rsidR="00446907">
        <w:rPr>
          <w:color w:val="000000" w:themeColor="text1"/>
        </w:rPr>
        <w:t>:</w:t>
      </w:r>
      <w:r w:rsidR="008F6D13">
        <w:rPr>
          <w:color w:val="000000" w:themeColor="text1"/>
        </w:rPr>
        <w:t xml:space="preserve"> in (7)</w:t>
      </w:r>
      <w:r w:rsidR="00446907">
        <w:rPr>
          <w:color w:val="000000" w:themeColor="text1"/>
        </w:rPr>
        <w:t xml:space="preserve"> </w:t>
      </w:r>
      <w:r w:rsidR="001015B9">
        <w:rPr>
          <w:color w:val="000000" w:themeColor="text1"/>
        </w:rPr>
        <w:t xml:space="preserve">and (8) </w:t>
      </w:r>
      <w:r w:rsidR="008F6D13">
        <w:rPr>
          <w:color w:val="000000" w:themeColor="text1"/>
        </w:rPr>
        <w:t xml:space="preserve">the speaker opens up a past space for the </w:t>
      </w:r>
      <w:r w:rsidR="00446907">
        <w:rPr>
          <w:color w:val="000000" w:themeColor="text1"/>
        </w:rPr>
        <w:t>event</w:t>
      </w:r>
      <w:r w:rsidR="0001117B">
        <w:rPr>
          <w:color w:val="000000" w:themeColor="text1"/>
        </w:rPr>
        <w:t>s</w:t>
      </w:r>
      <w:r w:rsidR="00446907">
        <w:rPr>
          <w:color w:val="000000" w:themeColor="text1"/>
        </w:rPr>
        <w:t xml:space="preserve"> while in (9) the focus of the speaker is on a time span lying ahead in the future</w:t>
      </w:r>
      <w:r w:rsidR="003748B5">
        <w:rPr>
          <w:color w:val="000000" w:themeColor="text1"/>
        </w:rPr>
        <w:t>. T</w:t>
      </w:r>
      <w:r w:rsidR="009C5410">
        <w:rPr>
          <w:color w:val="000000" w:themeColor="text1"/>
        </w:rPr>
        <w:t>he speaker’s own viewpoint</w:t>
      </w:r>
      <w:r w:rsidR="0001117B">
        <w:rPr>
          <w:color w:val="000000" w:themeColor="text1"/>
        </w:rPr>
        <w:t xml:space="preserve">, the temporal </w:t>
      </w:r>
      <w:r w:rsidR="003748B5">
        <w:rPr>
          <w:color w:val="000000" w:themeColor="text1"/>
        </w:rPr>
        <w:t>reference point</w:t>
      </w:r>
      <w:r w:rsidR="0001117B">
        <w:rPr>
          <w:color w:val="000000" w:themeColor="text1"/>
        </w:rPr>
        <w:t xml:space="preserve">, </w:t>
      </w:r>
      <w:r w:rsidR="003748B5">
        <w:rPr>
          <w:color w:val="000000" w:themeColor="text1"/>
        </w:rPr>
        <w:t xml:space="preserve">allows to direct </w:t>
      </w:r>
      <w:r w:rsidR="00936FE7">
        <w:rPr>
          <w:color w:val="000000" w:themeColor="text1"/>
        </w:rPr>
        <w:t>the</w:t>
      </w:r>
      <w:r w:rsidR="003748B5">
        <w:rPr>
          <w:color w:val="000000" w:themeColor="text1"/>
        </w:rPr>
        <w:t xml:space="preserve"> focus of attention to an additional time span</w:t>
      </w:r>
      <w:r w:rsidR="00936FE7">
        <w:rPr>
          <w:color w:val="000000" w:themeColor="text1"/>
        </w:rPr>
        <w:t>, e</w:t>
      </w:r>
      <w:r w:rsidR="00C244FE">
        <w:rPr>
          <w:color w:val="000000" w:themeColor="text1"/>
        </w:rPr>
        <w:t xml:space="preserve">ither prior or posterior to </w:t>
      </w:r>
      <w:r w:rsidR="00936FE7">
        <w:rPr>
          <w:color w:val="000000" w:themeColor="text1"/>
        </w:rPr>
        <w:t>event</w:t>
      </w:r>
      <w:r w:rsidR="00C244FE">
        <w:rPr>
          <w:color w:val="000000" w:themeColor="text1"/>
        </w:rPr>
        <w:t xml:space="preserve"> time</w:t>
      </w:r>
      <w:r w:rsidR="003748B5">
        <w:rPr>
          <w:color w:val="000000" w:themeColor="text1"/>
        </w:rPr>
        <w:t xml:space="preserve">. </w:t>
      </w:r>
      <w:r w:rsidR="003748B5" w:rsidRPr="00C244FE">
        <w:rPr>
          <w:color w:val="000000" w:themeColor="text1"/>
        </w:rPr>
        <w:t xml:space="preserve">In </w:t>
      </w:r>
      <w:r w:rsidR="002363BB" w:rsidRPr="00C244FE">
        <w:rPr>
          <w:color w:val="000000" w:themeColor="text1"/>
        </w:rPr>
        <w:t xml:space="preserve">the second part of the sentence in </w:t>
      </w:r>
      <w:r w:rsidR="003748B5" w:rsidRPr="00C244FE">
        <w:rPr>
          <w:color w:val="000000" w:themeColor="text1"/>
        </w:rPr>
        <w:t xml:space="preserve">(7), </w:t>
      </w:r>
      <w:r w:rsidR="00C244FE" w:rsidRPr="00C244FE">
        <w:rPr>
          <w:i/>
          <w:color w:val="000000" w:themeColor="text1"/>
        </w:rPr>
        <w:t>the train had already left</w:t>
      </w:r>
      <w:r w:rsidR="00C244FE">
        <w:rPr>
          <w:color w:val="000000" w:themeColor="text1"/>
        </w:rPr>
        <w:t xml:space="preserve">, </w:t>
      </w:r>
      <w:r w:rsidR="003748B5" w:rsidRPr="00C244FE">
        <w:rPr>
          <w:color w:val="000000" w:themeColor="text1"/>
        </w:rPr>
        <w:t>the speaker opens up a space anterior to the past event</w:t>
      </w:r>
      <w:r w:rsidR="002363BB" w:rsidRPr="00C244FE">
        <w:rPr>
          <w:color w:val="000000" w:themeColor="text1"/>
        </w:rPr>
        <w:t xml:space="preserve">, thus </w:t>
      </w:r>
      <w:r w:rsidR="00D1608B" w:rsidRPr="00C244FE">
        <w:rPr>
          <w:color w:val="000000" w:themeColor="text1"/>
        </w:rPr>
        <w:t>reporting the situation of the train leaving from</w:t>
      </w:r>
      <w:r w:rsidR="002363BB" w:rsidRPr="00C244FE">
        <w:rPr>
          <w:color w:val="000000" w:themeColor="text1"/>
        </w:rPr>
        <w:t xml:space="preserve"> </w:t>
      </w:r>
      <w:r w:rsidR="00B5515F" w:rsidRPr="00C244FE">
        <w:rPr>
          <w:color w:val="000000" w:themeColor="text1"/>
        </w:rPr>
        <w:t xml:space="preserve">the </w:t>
      </w:r>
      <w:r w:rsidR="00D1608B" w:rsidRPr="00C244FE">
        <w:rPr>
          <w:color w:val="000000" w:themeColor="text1"/>
        </w:rPr>
        <w:t>viewpoint of the</w:t>
      </w:r>
      <w:r w:rsidR="002363BB" w:rsidRPr="00C244FE">
        <w:rPr>
          <w:color w:val="000000" w:themeColor="text1"/>
        </w:rPr>
        <w:t xml:space="preserve"> past event</w:t>
      </w:r>
      <w:r w:rsidR="009764C8">
        <w:rPr>
          <w:color w:val="000000" w:themeColor="text1"/>
        </w:rPr>
        <w:t xml:space="preserve"> (</w:t>
      </w:r>
      <w:r w:rsidR="00B5515F" w:rsidRPr="00C244FE">
        <w:rPr>
          <w:color w:val="000000" w:themeColor="text1"/>
        </w:rPr>
        <w:t>getting to the station</w:t>
      </w:r>
      <w:r w:rsidR="009764C8">
        <w:rPr>
          <w:color w:val="000000" w:themeColor="text1"/>
        </w:rPr>
        <w:t>)</w:t>
      </w:r>
      <w:r w:rsidR="00996B03" w:rsidRPr="00C244FE">
        <w:rPr>
          <w:color w:val="000000" w:themeColor="text1"/>
        </w:rPr>
        <w:t xml:space="preserve"> an</w:t>
      </w:r>
      <w:r w:rsidR="00587C69" w:rsidRPr="00C244FE">
        <w:rPr>
          <w:color w:val="000000" w:themeColor="text1"/>
        </w:rPr>
        <w:t>d</w:t>
      </w:r>
      <w:r w:rsidR="00996B03" w:rsidRPr="00C244FE">
        <w:rPr>
          <w:color w:val="000000" w:themeColor="text1"/>
        </w:rPr>
        <w:t xml:space="preserve"> not from the </w:t>
      </w:r>
      <w:r w:rsidR="00587C69" w:rsidRPr="00C244FE">
        <w:rPr>
          <w:color w:val="000000" w:themeColor="text1"/>
        </w:rPr>
        <w:t>present moment</w:t>
      </w:r>
      <w:r w:rsidR="00996B03" w:rsidRPr="00C244FE">
        <w:rPr>
          <w:color w:val="000000" w:themeColor="text1"/>
        </w:rPr>
        <w:t xml:space="preserve">. </w:t>
      </w:r>
      <w:r w:rsidR="00587C69" w:rsidRPr="00C244FE">
        <w:rPr>
          <w:color w:val="000000" w:themeColor="text1"/>
        </w:rPr>
        <w:t xml:space="preserve">In (8), the speaker’s viewpoint </w:t>
      </w:r>
      <w:r w:rsidR="00802D10">
        <w:rPr>
          <w:color w:val="000000" w:themeColor="text1"/>
        </w:rPr>
        <w:t>coincides with</w:t>
      </w:r>
      <w:r w:rsidR="002F1E4B">
        <w:rPr>
          <w:color w:val="000000" w:themeColor="text1"/>
        </w:rPr>
        <w:t xml:space="preserve"> the present time, as indicated by the </w:t>
      </w:r>
      <w:r w:rsidR="00802D10">
        <w:rPr>
          <w:color w:val="000000" w:themeColor="text1"/>
        </w:rPr>
        <w:t xml:space="preserve">present tense marking of the verb </w:t>
      </w:r>
      <w:r w:rsidR="00802D10" w:rsidRPr="00802D10">
        <w:rPr>
          <w:i/>
          <w:color w:val="000000" w:themeColor="text1"/>
        </w:rPr>
        <w:t>have</w:t>
      </w:r>
      <w:r w:rsidR="00C244FE">
        <w:rPr>
          <w:color w:val="000000" w:themeColor="text1"/>
        </w:rPr>
        <w:t>. T</w:t>
      </w:r>
      <w:r w:rsidR="00587C69" w:rsidRPr="00587C69">
        <w:rPr>
          <w:color w:val="000000" w:themeColor="text1"/>
        </w:rPr>
        <w:t xml:space="preserve">he focus lies on the present time of the past </w:t>
      </w:r>
      <w:r w:rsidR="00C244FE">
        <w:rPr>
          <w:color w:val="000000" w:themeColor="text1"/>
        </w:rPr>
        <w:t xml:space="preserve">event, which </w:t>
      </w:r>
      <w:r w:rsidR="0032180B">
        <w:rPr>
          <w:color w:val="000000" w:themeColor="text1"/>
        </w:rPr>
        <w:t xml:space="preserve">is often </w:t>
      </w:r>
      <w:r w:rsidR="00587C69" w:rsidRPr="00587C69">
        <w:rPr>
          <w:color w:val="000000" w:themeColor="text1"/>
        </w:rPr>
        <w:t>referred to as current relevance</w:t>
      </w:r>
      <w:r w:rsidR="00587C69">
        <w:rPr>
          <w:color w:val="000000" w:themeColor="text1"/>
        </w:rPr>
        <w:t xml:space="preserve">, or, as </w:t>
      </w:r>
      <w:proofErr w:type="spellStart"/>
      <w:r w:rsidR="00587C69">
        <w:rPr>
          <w:color w:val="000000" w:themeColor="text1"/>
        </w:rPr>
        <w:t>Brisard</w:t>
      </w:r>
      <w:proofErr w:type="spellEnd"/>
      <w:r w:rsidR="00587C69">
        <w:rPr>
          <w:color w:val="000000" w:themeColor="text1"/>
        </w:rPr>
        <w:t xml:space="preserve"> (2013, p. 232)</w:t>
      </w:r>
      <w:r w:rsidR="00587C69" w:rsidRPr="00587C69">
        <w:rPr>
          <w:color w:val="000000" w:themeColor="text1"/>
        </w:rPr>
        <w:t xml:space="preserve"> </w:t>
      </w:r>
      <w:r w:rsidR="009764C8">
        <w:rPr>
          <w:color w:val="000000" w:themeColor="text1"/>
        </w:rPr>
        <w:t>states</w:t>
      </w:r>
      <w:r w:rsidR="00587C69" w:rsidRPr="00587C69">
        <w:rPr>
          <w:color w:val="000000" w:themeColor="text1"/>
        </w:rPr>
        <w:t>, on the ‘</w:t>
      </w:r>
      <w:proofErr w:type="spellStart"/>
      <w:r w:rsidR="00587C69" w:rsidRPr="00587C69">
        <w:rPr>
          <w:color w:val="000000" w:themeColor="text1"/>
        </w:rPr>
        <w:t>presentness</w:t>
      </w:r>
      <w:proofErr w:type="spellEnd"/>
      <w:r w:rsidR="00587C69" w:rsidRPr="00587C69">
        <w:rPr>
          <w:color w:val="000000" w:themeColor="text1"/>
        </w:rPr>
        <w:t>’ of the resultant state</w:t>
      </w:r>
      <w:r w:rsidR="00894618">
        <w:rPr>
          <w:color w:val="000000" w:themeColor="text1"/>
        </w:rPr>
        <w:t xml:space="preserve"> (Harry accepting the job). </w:t>
      </w:r>
      <w:r w:rsidR="00334D5F">
        <w:rPr>
          <w:color w:val="000000" w:themeColor="text1"/>
        </w:rPr>
        <w:t xml:space="preserve">Lastly, </w:t>
      </w:r>
      <w:r w:rsidR="00696397">
        <w:rPr>
          <w:color w:val="000000" w:themeColor="text1"/>
        </w:rPr>
        <w:t>t</w:t>
      </w:r>
      <w:r w:rsidR="00334D5F" w:rsidRPr="00334D5F">
        <w:rPr>
          <w:color w:val="000000" w:themeColor="text1"/>
        </w:rPr>
        <w:t xml:space="preserve">he </w:t>
      </w:r>
      <w:r w:rsidR="005A48DA">
        <w:rPr>
          <w:color w:val="000000" w:themeColor="text1"/>
        </w:rPr>
        <w:t>event time</w:t>
      </w:r>
      <w:r w:rsidR="00334D5F" w:rsidRPr="00334D5F">
        <w:rPr>
          <w:color w:val="000000" w:themeColor="text1"/>
        </w:rPr>
        <w:t xml:space="preserve"> for a proposition such as </w:t>
      </w:r>
      <w:r w:rsidR="00487328">
        <w:rPr>
          <w:color w:val="000000" w:themeColor="text1"/>
        </w:rPr>
        <w:t xml:space="preserve">in (9) lies in </w:t>
      </w:r>
      <w:r w:rsidR="002E5B6F">
        <w:rPr>
          <w:color w:val="000000" w:themeColor="text1"/>
        </w:rPr>
        <w:t xml:space="preserve">future time, </w:t>
      </w:r>
      <w:r w:rsidR="002E5B6F" w:rsidRPr="002E5B6F">
        <w:rPr>
          <w:i/>
          <w:color w:val="000000" w:themeColor="text1"/>
        </w:rPr>
        <w:t>tomorrow night</w:t>
      </w:r>
      <w:r w:rsidR="00AE5516">
        <w:rPr>
          <w:color w:val="000000" w:themeColor="text1"/>
        </w:rPr>
        <w:t xml:space="preserve">. The speaker reports the future event from the present time, </w:t>
      </w:r>
      <w:r w:rsidR="003B44D3">
        <w:rPr>
          <w:color w:val="000000" w:themeColor="text1"/>
        </w:rPr>
        <w:t xml:space="preserve">the ground space, </w:t>
      </w:r>
      <w:r w:rsidR="0001245C">
        <w:rPr>
          <w:color w:val="000000" w:themeColor="text1"/>
        </w:rPr>
        <w:t>as indicated by the</w:t>
      </w:r>
      <w:r w:rsidR="005642D7">
        <w:rPr>
          <w:color w:val="000000" w:themeColor="text1"/>
        </w:rPr>
        <w:t xml:space="preserve"> time adverb </w:t>
      </w:r>
      <w:r w:rsidR="005642D7" w:rsidRPr="005642D7">
        <w:rPr>
          <w:i/>
          <w:color w:val="000000" w:themeColor="text1"/>
        </w:rPr>
        <w:t>tomorrow</w:t>
      </w:r>
      <w:r w:rsidR="005642D7">
        <w:rPr>
          <w:color w:val="000000" w:themeColor="text1"/>
        </w:rPr>
        <w:t>, and the focus is fut</w:t>
      </w:r>
      <w:r w:rsidR="009764C8">
        <w:rPr>
          <w:color w:val="000000" w:themeColor="text1"/>
        </w:rPr>
        <w:t>ure time at which the event</w:t>
      </w:r>
      <w:r w:rsidR="005642D7">
        <w:rPr>
          <w:color w:val="000000" w:themeColor="text1"/>
        </w:rPr>
        <w:t xml:space="preserve"> take</w:t>
      </w:r>
      <w:r w:rsidR="009764C8">
        <w:rPr>
          <w:color w:val="000000" w:themeColor="text1"/>
        </w:rPr>
        <w:t>s</w:t>
      </w:r>
      <w:r w:rsidR="005642D7">
        <w:rPr>
          <w:color w:val="000000" w:themeColor="text1"/>
        </w:rPr>
        <w:t xml:space="preserve"> place. </w:t>
      </w:r>
    </w:p>
    <w:p w14:paraId="7826323C" w14:textId="0B6DB17F" w:rsidR="00337607" w:rsidRPr="00074D84" w:rsidRDefault="002941A9" w:rsidP="00BA0966">
      <w:pPr>
        <w:spacing w:line="360" w:lineRule="auto"/>
        <w:ind w:firstLine="720"/>
        <w:rPr>
          <w:color w:val="000000" w:themeColor="text1"/>
        </w:rPr>
      </w:pPr>
      <w:r>
        <w:rPr>
          <w:color w:val="000000" w:themeColor="text1"/>
        </w:rPr>
        <w:t xml:space="preserve">The </w:t>
      </w:r>
      <w:r w:rsidR="00337607">
        <w:rPr>
          <w:color w:val="000000" w:themeColor="text1"/>
        </w:rPr>
        <w:t>notion of subjecti</w:t>
      </w:r>
      <w:r w:rsidR="003C1CE6">
        <w:rPr>
          <w:color w:val="000000" w:themeColor="text1"/>
        </w:rPr>
        <w:t>vity</w:t>
      </w:r>
      <w:r w:rsidR="00337607">
        <w:rPr>
          <w:color w:val="000000" w:themeColor="text1"/>
        </w:rPr>
        <w:t xml:space="preserve"> pertains to the distinction between subjective and objective construal and the role of the speaker in the </w:t>
      </w:r>
      <w:r w:rsidR="00D122AC">
        <w:rPr>
          <w:color w:val="000000" w:themeColor="text1"/>
        </w:rPr>
        <w:t>overall viewing arrangement</w:t>
      </w:r>
      <w:r w:rsidR="00337607">
        <w:rPr>
          <w:color w:val="000000" w:themeColor="text1"/>
        </w:rPr>
        <w:t xml:space="preserve">. More precisely, </w:t>
      </w:r>
      <w:r w:rsidR="003C1CE6">
        <w:rPr>
          <w:color w:val="000000" w:themeColor="text1"/>
        </w:rPr>
        <w:t xml:space="preserve">subjectivity </w:t>
      </w:r>
      <w:r w:rsidR="00337607">
        <w:rPr>
          <w:color w:val="000000" w:themeColor="text1"/>
        </w:rPr>
        <w:t xml:space="preserve">describes a shift in the speaker’s vantage point from a relatively objective construal of an entity to a more subjective one (Langacker, 2000, p. 297). </w:t>
      </w:r>
      <w:r w:rsidR="002A2865">
        <w:rPr>
          <w:color w:val="000000" w:themeColor="text1"/>
        </w:rPr>
        <w:t>The sentence</w:t>
      </w:r>
      <w:r w:rsidR="00885433">
        <w:rPr>
          <w:color w:val="000000" w:themeColor="text1"/>
        </w:rPr>
        <w:t xml:space="preserve"> displayed below illustrate</w:t>
      </w:r>
      <w:r w:rsidR="00E60DAF">
        <w:rPr>
          <w:color w:val="000000" w:themeColor="text1"/>
        </w:rPr>
        <w:t>s</w:t>
      </w:r>
      <w:r w:rsidR="00885433">
        <w:rPr>
          <w:color w:val="000000" w:themeColor="text1"/>
        </w:rPr>
        <w:t xml:space="preserve"> </w:t>
      </w:r>
      <w:r w:rsidR="002A2865">
        <w:rPr>
          <w:color w:val="000000" w:themeColor="text1"/>
        </w:rPr>
        <w:t xml:space="preserve">an </w:t>
      </w:r>
      <w:r w:rsidR="00885433">
        <w:rPr>
          <w:color w:val="000000" w:themeColor="text1"/>
        </w:rPr>
        <w:t>examp</w:t>
      </w:r>
      <w:r w:rsidR="002A2865">
        <w:rPr>
          <w:color w:val="000000" w:themeColor="text1"/>
        </w:rPr>
        <w:t>le</w:t>
      </w:r>
      <w:r w:rsidR="006565C2">
        <w:rPr>
          <w:color w:val="000000" w:themeColor="text1"/>
        </w:rPr>
        <w:t xml:space="preserve"> of more subjective variations of tense and aspect</w:t>
      </w:r>
      <w:r w:rsidR="002A2865">
        <w:rPr>
          <w:color w:val="000000" w:themeColor="text1"/>
        </w:rPr>
        <w:t xml:space="preserve">. </w:t>
      </w:r>
    </w:p>
    <w:p w14:paraId="4F1E73F5" w14:textId="77777777" w:rsidR="00584FEB" w:rsidRDefault="00584FEB" w:rsidP="00584FEB">
      <w:pPr>
        <w:spacing w:line="360" w:lineRule="auto"/>
        <w:rPr>
          <w:color w:val="000000" w:themeColor="text1"/>
        </w:rPr>
      </w:pPr>
    </w:p>
    <w:p w14:paraId="46F09784" w14:textId="77777777" w:rsidR="00E63EA2" w:rsidRDefault="00584FEB" w:rsidP="00E63EA2">
      <w:pPr>
        <w:spacing w:line="360" w:lineRule="auto"/>
        <w:rPr>
          <w:color w:val="000000" w:themeColor="text1"/>
        </w:rPr>
      </w:pPr>
      <w:r>
        <w:rPr>
          <w:color w:val="000000" w:themeColor="text1"/>
        </w:rPr>
        <w:t>(10)</w:t>
      </w:r>
      <w:r>
        <w:rPr>
          <w:color w:val="000000" w:themeColor="text1"/>
        </w:rPr>
        <w:tab/>
        <w:t xml:space="preserve">He’s liking her more and more. </w:t>
      </w:r>
      <w:r w:rsidR="00E6388A">
        <w:rPr>
          <w:color w:val="000000" w:themeColor="text1"/>
        </w:rPr>
        <w:tab/>
        <w:t>[subjective construal]</w:t>
      </w:r>
    </w:p>
    <w:p w14:paraId="52B80A36" w14:textId="77777777" w:rsidR="00655982" w:rsidRDefault="00655982" w:rsidP="00E63EA2">
      <w:pPr>
        <w:spacing w:line="360" w:lineRule="auto"/>
        <w:rPr>
          <w:color w:val="000000" w:themeColor="text1"/>
        </w:rPr>
      </w:pPr>
    </w:p>
    <w:p w14:paraId="2613AC4B" w14:textId="44BC057A" w:rsidR="00F0207F" w:rsidRDefault="00074D84" w:rsidP="00E63EA2">
      <w:pPr>
        <w:spacing w:line="360" w:lineRule="auto"/>
        <w:rPr>
          <w:color w:val="000000" w:themeColor="text1"/>
        </w:rPr>
      </w:pPr>
      <w:r w:rsidRPr="00074D84">
        <w:rPr>
          <w:color w:val="000000" w:themeColor="text1"/>
        </w:rPr>
        <w:t xml:space="preserve">The instance of the present progressive in example </w:t>
      </w:r>
      <w:r>
        <w:rPr>
          <w:color w:val="000000" w:themeColor="text1"/>
        </w:rPr>
        <w:t>(10)</w:t>
      </w:r>
      <w:r w:rsidR="002A2865">
        <w:rPr>
          <w:color w:val="000000" w:themeColor="text1"/>
        </w:rPr>
        <w:t xml:space="preserve"> is used to indicate intensification. It does so by imposing</w:t>
      </w:r>
      <w:r w:rsidRPr="00074D84">
        <w:rPr>
          <w:color w:val="000000" w:themeColor="text1"/>
        </w:rPr>
        <w:t xml:space="preserve"> a much more dynamic construal upon the verb </w:t>
      </w:r>
      <w:r w:rsidRPr="00074D84">
        <w:rPr>
          <w:i/>
          <w:color w:val="000000" w:themeColor="text1"/>
        </w:rPr>
        <w:t>like</w:t>
      </w:r>
      <w:r w:rsidRPr="00074D84">
        <w:rPr>
          <w:color w:val="000000" w:themeColor="text1"/>
        </w:rPr>
        <w:t xml:space="preserve"> than does its prototypic</w:t>
      </w:r>
      <w:r w:rsidR="00465545">
        <w:rPr>
          <w:color w:val="000000" w:themeColor="text1"/>
        </w:rPr>
        <w:t>al semantic categoriz</w:t>
      </w:r>
      <w:r w:rsidR="002A2865">
        <w:rPr>
          <w:color w:val="000000" w:themeColor="text1"/>
        </w:rPr>
        <w:t>ation as a</w:t>
      </w:r>
      <w:r w:rsidRPr="00074D84">
        <w:rPr>
          <w:color w:val="000000" w:themeColor="text1"/>
        </w:rPr>
        <w:t xml:space="preserve"> </w:t>
      </w:r>
      <w:r w:rsidR="002A2865">
        <w:rPr>
          <w:color w:val="000000" w:themeColor="text1"/>
        </w:rPr>
        <w:t>stative verb</w:t>
      </w:r>
      <w:r w:rsidRPr="00074D84">
        <w:rPr>
          <w:color w:val="000000" w:themeColor="text1"/>
        </w:rPr>
        <w:t>. Here, the progressive presupposes a perspectival shift from a state predication</w:t>
      </w:r>
      <w:r w:rsidR="00F71C25">
        <w:rPr>
          <w:color w:val="000000" w:themeColor="text1"/>
        </w:rPr>
        <w:t xml:space="preserve"> (</w:t>
      </w:r>
      <w:r w:rsidR="00F71C25" w:rsidRPr="00E60DAF">
        <w:rPr>
          <w:i/>
          <w:color w:val="000000" w:themeColor="text1"/>
        </w:rPr>
        <w:t>h</w:t>
      </w:r>
      <w:r w:rsidR="00233F00" w:rsidRPr="00E60DAF">
        <w:rPr>
          <w:i/>
          <w:color w:val="000000" w:themeColor="text1"/>
        </w:rPr>
        <w:t>e</w:t>
      </w:r>
      <w:r w:rsidR="00736725" w:rsidRPr="00E60DAF">
        <w:rPr>
          <w:i/>
          <w:color w:val="000000" w:themeColor="text1"/>
        </w:rPr>
        <w:t xml:space="preserve"> like</w:t>
      </w:r>
      <w:r w:rsidR="00233F00" w:rsidRPr="00E60DAF">
        <w:rPr>
          <w:i/>
          <w:color w:val="000000" w:themeColor="text1"/>
        </w:rPr>
        <w:t>s</w:t>
      </w:r>
      <w:r w:rsidR="00736725" w:rsidRPr="00E60DAF">
        <w:rPr>
          <w:i/>
          <w:color w:val="000000" w:themeColor="text1"/>
        </w:rPr>
        <w:t xml:space="preserve"> her</w:t>
      </w:r>
      <w:r w:rsidR="00736725">
        <w:rPr>
          <w:color w:val="000000" w:themeColor="text1"/>
        </w:rPr>
        <w:t>)</w:t>
      </w:r>
      <w:r w:rsidRPr="00074D84">
        <w:rPr>
          <w:color w:val="000000" w:themeColor="text1"/>
        </w:rPr>
        <w:t xml:space="preserve"> to an event predication. The situation of </w:t>
      </w:r>
      <w:r w:rsidRPr="00074D84">
        <w:rPr>
          <w:i/>
          <w:color w:val="000000" w:themeColor="text1"/>
        </w:rPr>
        <w:t>liking her more and more</w:t>
      </w:r>
      <w:r w:rsidR="00251D86">
        <w:rPr>
          <w:color w:val="000000" w:themeColor="text1"/>
        </w:rPr>
        <w:t xml:space="preserve"> </w:t>
      </w:r>
      <w:r w:rsidR="00F61665">
        <w:rPr>
          <w:color w:val="000000" w:themeColor="text1"/>
        </w:rPr>
        <w:t>constitutes a subjective, non-temporal</w:t>
      </w:r>
      <w:r w:rsidR="005056D7">
        <w:rPr>
          <w:color w:val="000000" w:themeColor="text1"/>
        </w:rPr>
        <w:t xml:space="preserve"> construal, whereby </w:t>
      </w:r>
      <w:r w:rsidRPr="00074D84">
        <w:rPr>
          <w:color w:val="000000" w:themeColor="text1"/>
        </w:rPr>
        <w:t xml:space="preserve">the </w:t>
      </w:r>
      <w:r w:rsidR="005056D7">
        <w:rPr>
          <w:color w:val="000000" w:themeColor="text1"/>
        </w:rPr>
        <w:t>passivized situation</w:t>
      </w:r>
      <w:r w:rsidRPr="00074D84">
        <w:rPr>
          <w:color w:val="000000" w:themeColor="text1"/>
        </w:rPr>
        <w:t xml:space="preserve"> is perceived as bounded and </w:t>
      </w:r>
      <w:r w:rsidR="00324891">
        <w:rPr>
          <w:color w:val="000000" w:themeColor="text1"/>
        </w:rPr>
        <w:t xml:space="preserve">dynamic. </w:t>
      </w:r>
      <w:r w:rsidR="0006425B">
        <w:rPr>
          <w:color w:val="000000" w:themeColor="text1"/>
        </w:rPr>
        <w:t>Furthermore</w:t>
      </w:r>
      <w:r w:rsidR="00E60DAF">
        <w:rPr>
          <w:color w:val="000000" w:themeColor="text1"/>
        </w:rPr>
        <w:t>, t</w:t>
      </w:r>
      <w:r w:rsidR="00005A16">
        <w:rPr>
          <w:color w:val="000000" w:themeColor="text1"/>
        </w:rPr>
        <w:t>he</w:t>
      </w:r>
      <w:r w:rsidR="004B2A29">
        <w:rPr>
          <w:color w:val="000000" w:themeColor="text1"/>
        </w:rPr>
        <w:t xml:space="preserve"> example constitutes </w:t>
      </w:r>
      <w:r w:rsidR="00233F00">
        <w:rPr>
          <w:color w:val="000000" w:themeColor="text1"/>
        </w:rPr>
        <w:t xml:space="preserve">a shift in construal of vantage point in the sense that the speaker views the situation of </w:t>
      </w:r>
      <w:r w:rsidR="00233F00" w:rsidRPr="00233F00">
        <w:rPr>
          <w:i/>
          <w:color w:val="000000" w:themeColor="text1"/>
        </w:rPr>
        <w:t>liking her</w:t>
      </w:r>
      <w:r w:rsidR="00233F00">
        <w:rPr>
          <w:color w:val="000000" w:themeColor="text1"/>
        </w:rPr>
        <w:t xml:space="preserve"> </w:t>
      </w:r>
      <w:r w:rsidR="008F6ADA">
        <w:rPr>
          <w:color w:val="000000" w:themeColor="text1"/>
        </w:rPr>
        <w:t>subjectively, i.e.</w:t>
      </w:r>
      <w:r w:rsidR="00465545">
        <w:rPr>
          <w:color w:val="000000" w:themeColor="text1"/>
        </w:rPr>
        <w:t>,</w:t>
      </w:r>
      <w:r w:rsidR="008F6ADA">
        <w:rPr>
          <w:color w:val="000000" w:themeColor="text1"/>
        </w:rPr>
        <w:t xml:space="preserve"> the speaker’s </w:t>
      </w:r>
      <w:r w:rsidR="0006425B">
        <w:rPr>
          <w:color w:val="000000" w:themeColor="text1"/>
        </w:rPr>
        <w:t>positive attitude</w:t>
      </w:r>
      <w:r w:rsidR="008F6ADA">
        <w:rPr>
          <w:color w:val="000000" w:themeColor="text1"/>
        </w:rPr>
        <w:t xml:space="preserve"> is represented in </w:t>
      </w:r>
      <w:r w:rsidR="00303B47">
        <w:rPr>
          <w:color w:val="000000" w:themeColor="text1"/>
        </w:rPr>
        <w:t xml:space="preserve">the </w:t>
      </w:r>
      <w:r w:rsidR="00303B47">
        <w:rPr>
          <w:color w:val="000000" w:themeColor="text1"/>
        </w:rPr>
        <w:lastRenderedPageBreak/>
        <w:t>sentence</w:t>
      </w:r>
      <w:r w:rsidR="008F6ADA">
        <w:rPr>
          <w:color w:val="000000" w:themeColor="text1"/>
        </w:rPr>
        <w:t>.</w:t>
      </w:r>
      <w:r w:rsidR="00324891">
        <w:rPr>
          <w:color w:val="000000" w:themeColor="text1"/>
        </w:rPr>
        <w:t xml:space="preserve"> Other usage types in the non-temporal, subjective category of the English progressive</w:t>
      </w:r>
      <w:r w:rsidR="00560816">
        <w:rPr>
          <w:color w:val="000000" w:themeColor="text1"/>
        </w:rPr>
        <w:t xml:space="preserve"> include surprise and </w:t>
      </w:r>
      <w:r w:rsidR="001160B8">
        <w:rPr>
          <w:color w:val="000000" w:themeColor="text1"/>
        </w:rPr>
        <w:t>tentativeness</w:t>
      </w:r>
      <w:r w:rsidR="009F52D4">
        <w:rPr>
          <w:color w:val="000000" w:themeColor="text1"/>
        </w:rPr>
        <w:t xml:space="preserve"> (De</w:t>
      </w:r>
      <w:r w:rsidR="002E5D0A">
        <w:rPr>
          <w:color w:val="000000" w:themeColor="text1"/>
        </w:rPr>
        <w:t xml:space="preserve"> W</w:t>
      </w:r>
      <w:r w:rsidR="009F52D4">
        <w:rPr>
          <w:color w:val="000000" w:themeColor="text1"/>
        </w:rPr>
        <w:t xml:space="preserve">it &amp; </w:t>
      </w:r>
      <w:proofErr w:type="spellStart"/>
      <w:r w:rsidR="009F52D4">
        <w:rPr>
          <w:color w:val="000000" w:themeColor="text1"/>
        </w:rPr>
        <w:t>Brisard</w:t>
      </w:r>
      <w:proofErr w:type="spellEnd"/>
      <w:r w:rsidR="009F52D4">
        <w:rPr>
          <w:color w:val="000000" w:themeColor="text1"/>
        </w:rPr>
        <w:t>, 2014)</w:t>
      </w:r>
      <w:r w:rsidR="001160B8">
        <w:rPr>
          <w:color w:val="000000" w:themeColor="text1"/>
        </w:rPr>
        <w:t xml:space="preserve">. </w:t>
      </w:r>
      <w:r w:rsidR="00324891">
        <w:rPr>
          <w:color w:val="000000" w:themeColor="text1"/>
        </w:rPr>
        <w:t xml:space="preserve"> </w:t>
      </w:r>
      <w:r w:rsidR="008F6ADA">
        <w:rPr>
          <w:color w:val="000000" w:themeColor="text1"/>
        </w:rPr>
        <w:t xml:space="preserve"> </w:t>
      </w:r>
    </w:p>
    <w:p w14:paraId="4F68D8C0" w14:textId="5864029A" w:rsidR="001E1F0F" w:rsidRDefault="001E1F0F" w:rsidP="001E1F0F">
      <w:pPr>
        <w:spacing w:line="360" w:lineRule="auto"/>
        <w:ind w:firstLine="720"/>
        <w:rPr>
          <w:color w:val="000000" w:themeColor="text1"/>
        </w:rPr>
      </w:pPr>
      <w:r>
        <w:rPr>
          <w:color w:val="000000" w:themeColor="text1"/>
        </w:rPr>
        <w:t xml:space="preserve">As mentioned </w:t>
      </w:r>
      <w:r w:rsidR="002F2C89">
        <w:rPr>
          <w:color w:val="000000" w:themeColor="text1"/>
        </w:rPr>
        <w:t>earlier</w:t>
      </w:r>
      <w:r>
        <w:rPr>
          <w:color w:val="000000" w:themeColor="text1"/>
        </w:rPr>
        <w:t xml:space="preserve">, every linguistic expression stimulates a representational image in which some features are seen more prominent than others. This image has to do with how the speaker structures and organises the environment and situations around him, regardless of what the objective nature of that scene looks like in reality. As to the temporality of a situation, there are two ways of construing a scene: we can either examine it like a photograph or watch it like a motion picture (Langacker, 1987, p. 145). </w:t>
      </w:r>
      <w:r w:rsidRPr="00902F2E">
        <w:rPr>
          <w:color w:val="000000" w:themeColor="text1"/>
        </w:rPr>
        <w:t>Our mental capacity to track a relationship through ti</w:t>
      </w:r>
      <w:r>
        <w:rPr>
          <w:color w:val="000000" w:themeColor="text1"/>
        </w:rPr>
        <w:t xml:space="preserve">me is known as mental scanning. </w:t>
      </w:r>
      <w:r w:rsidRPr="00902F2E">
        <w:rPr>
          <w:color w:val="000000" w:themeColor="text1"/>
        </w:rPr>
        <w:t xml:space="preserve">Via sequential scanning, </w:t>
      </w:r>
      <w:r>
        <w:rPr>
          <w:color w:val="000000" w:themeColor="text1"/>
        </w:rPr>
        <w:t>analog</w:t>
      </w:r>
      <w:r w:rsidR="00F85CE8">
        <w:rPr>
          <w:color w:val="000000" w:themeColor="text1"/>
        </w:rPr>
        <w:t>ou</w:t>
      </w:r>
      <w:r>
        <w:rPr>
          <w:color w:val="000000" w:themeColor="text1"/>
        </w:rPr>
        <w:t xml:space="preserve">s to examining a photograph, </w:t>
      </w:r>
      <w:r w:rsidRPr="00902F2E">
        <w:rPr>
          <w:color w:val="000000" w:themeColor="text1"/>
        </w:rPr>
        <w:t xml:space="preserve">a speaker tracks each configuration of a relationship from one moment to the next, as in </w:t>
      </w:r>
      <w:r w:rsidRPr="009B7FF5">
        <w:rPr>
          <w:i/>
          <w:color w:val="000000" w:themeColor="text1"/>
        </w:rPr>
        <w:t>I walked to the shop</w:t>
      </w:r>
      <w:r>
        <w:rPr>
          <w:color w:val="000000" w:themeColor="text1"/>
        </w:rPr>
        <w:t xml:space="preserve"> and </w:t>
      </w:r>
      <w:r w:rsidRPr="00EC5384">
        <w:rPr>
          <w:i/>
          <w:color w:val="000000" w:themeColor="text1"/>
        </w:rPr>
        <w:t>He fell</w:t>
      </w:r>
      <w:r>
        <w:rPr>
          <w:color w:val="000000" w:themeColor="text1"/>
        </w:rPr>
        <w:t>.</w:t>
      </w:r>
      <w:r w:rsidRPr="00902F2E">
        <w:rPr>
          <w:color w:val="000000" w:themeColor="text1"/>
        </w:rPr>
        <w:t xml:space="preserve"> </w:t>
      </w:r>
      <w:r>
        <w:rPr>
          <w:color w:val="000000" w:themeColor="text1"/>
        </w:rPr>
        <w:t xml:space="preserve">The speaker’s ability to track and assess each individual stage of the entire scene is thus also referred to as as real-time viewing experience. </w:t>
      </w:r>
      <w:r w:rsidRPr="00902F2E">
        <w:rPr>
          <w:color w:val="000000" w:themeColor="text1"/>
        </w:rPr>
        <w:t>Via s</w:t>
      </w:r>
      <w:r>
        <w:rPr>
          <w:color w:val="000000" w:themeColor="text1"/>
        </w:rPr>
        <w:t xml:space="preserve">ummary scanning, on the other hand, </w:t>
      </w:r>
      <w:r w:rsidRPr="00902F2E">
        <w:rPr>
          <w:color w:val="000000" w:themeColor="text1"/>
        </w:rPr>
        <w:t xml:space="preserve">the configurations of a relationship are scanned as a single, overall conception, as in </w:t>
      </w:r>
      <w:r w:rsidRPr="009B7FF5">
        <w:rPr>
          <w:i/>
          <w:color w:val="000000" w:themeColor="text1"/>
        </w:rPr>
        <w:t>I am walking to the shop</w:t>
      </w:r>
      <w:r>
        <w:rPr>
          <w:color w:val="000000" w:themeColor="text1"/>
        </w:rPr>
        <w:t xml:space="preserve"> and </w:t>
      </w:r>
      <w:r w:rsidRPr="00EC5384">
        <w:rPr>
          <w:i/>
          <w:color w:val="000000" w:themeColor="text1"/>
        </w:rPr>
        <w:t>He took a fall</w:t>
      </w:r>
      <w:r>
        <w:rPr>
          <w:color w:val="000000" w:themeColor="text1"/>
        </w:rPr>
        <w:t xml:space="preserve">. The reading here is cumulative in nature, just like when assessing a still photograph, and the speaker construes the individual facets of the entire scene as a single complex arrangement that are simultaneously available. </w:t>
      </w:r>
    </w:p>
    <w:p w14:paraId="3094C042" w14:textId="77777777" w:rsidR="00397C52" w:rsidRDefault="00397C52" w:rsidP="009B7FF5">
      <w:pPr>
        <w:spacing w:line="360" w:lineRule="auto"/>
        <w:ind w:firstLine="720"/>
        <w:rPr>
          <w:color w:val="000000" w:themeColor="text1"/>
        </w:rPr>
      </w:pPr>
    </w:p>
    <w:p w14:paraId="55A06071" w14:textId="1768FF7B" w:rsidR="00397C52" w:rsidRDefault="00397C52" w:rsidP="00D90CF0">
      <w:pPr>
        <w:tabs>
          <w:tab w:val="left" w:pos="0"/>
          <w:tab w:val="left" w:pos="720"/>
        </w:tabs>
        <w:spacing w:line="360" w:lineRule="auto"/>
        <w:rPr>
          <w:color w:val="000000" w:themeColor="text1"/>
        </w:rPr>
      </w:pPr>
      <w:r>
        <w:rPr>
          <w:color w:val="000000" w:themeColor="text1"/>
        </w:rPr>
        <w:t>(11)</w:t>
      </w:r>
      <w:r>
        <w:rPr>
          <w:color w:val="000000" w:themeColor="text1"/>
        </w:rPr>
        <w:tab/>
        <w:t xml:space="preserve">I </w:t>
      </w:r>
      <w:r w:rsidR="00EC5384">
        <w:rPr>
          <w:color w:val="000000" w:themeColor="text1"/>
        </w:rPr>
        <w:t>walked</w:t>
      </w:r>
      <w:r>
        <w:rPr>
          <w:color w:val="000000" w:themeColor="text1"/>
        </w:rPr>
        <w:t xml:space="preserve"> to the shop. </w:t>
      </w:r>
      <w:r w:rsidR="009D1237">
        <w:rPr>
          <w:color w:val="000000" w:themeColor="text1"/>
        </w:rPr>
        <w:tab/>
      </w:r>
      <w:r w:rsidR="009D1237">
        <w:rPr>
          <w:color w:val="000000" w:themeColor="text1"/>
        </w:rPr>
        <w:tab/>
      </w:r>
      <w:r w:rsidR="009D1237">
        <w:rPr>
          <w:color w:val="000000" w:themeColor="text1"/>
        </w:rPr>
        <w:tab/>
        <w:t>[</w:t>
      </w:r>
      <w:r w:rsidR="00465545">
        <w:rPr>
          <w:color w:val="000000" w:themeColor="text1"/>
        </w:rPr>
        <w:t>sequential</w:t>
      </w:r>
      <w:r w:rsidR="009D1237">
        <w:rPr>
          <w:color w:val="000000" w:themeColor="text1"/>
        </w:rPr>
        <w:t xml:space="preserve"> scanning]</w:t>
      </w:r>
    </w:p>
    <w:p w14:paraId="44FDB823" w14:textId="3C01BD7B" w:rsidR="00EC5384" w:rsidRDefault="00EC5384" w:rsidP="00397C52">
      <w:pPr>
        <w:tabs>
          <w:tab w:val="left" w:pos="0"/>
        </w:tabs>
        <w:spacing w:line="360" w:lineRule="auto"/>
        <w:rPr>
          <w:color w:val="000000" w:themeColor="text1"/>
        </w:rPr>
      </w:pPr>
      <w:r>
        <w:rPr>
          <w:color w:val="000000" w:themeColor="text1"/>
        </w:rPr>
        <w:t>(12)</w:t>
      </w:r>
      <w:r>
        <w:rPr>
          <w:color w:val="000000" w:themeColor="text1"/>
        </w:rPr>
        <w:tab/>
        <w:t>He fell.</w:t>
      </w:r>
      <w:r w:rsidR="009D1237">
        <w:rPr>
          <w:color w:val="000000" w:themeColor="text1"/>
        </w:rPr>
        <w:tab/>
      </w:r>
      <w:r w:rsidR="00465545">
        <w:rPr>
          <w:color w:val="000000" w:themeColor="text1"/>
        </w:rPr>
        <w:tab/>
      </w:r>
      <w:r w:rsidR="00465545">
        <w:rPr>
          <w:color w:val="000000" w:themeColor="text1"/>
        </w:rPr>
        <w:tab/>
      </w:r>
      <w:r w:rsidR="00465545">
        <w:rPr>
          <w:color w:val="000000" w:themeColor="text1"/>
        </w:rPr>
        <w:tab/>
      </w:r>
      <w:r w:rsidR="00465545">
        <w:rPr>
          <w:color w:val="000000" w:themeColor="text1"/>
        </w:rPr>
        <w:tab/>
        <w:t>[sequential</w:t>
      </w:r>
      <w:r w:rsidR="009D1237">
        <w:rPr>
          <w:color w:val="000000" w:themeColor="text1"/>
        </w:rPr>
        <w:t xml:space="preserve"> scanning]</w:t>
      </w:r>
    </w:p>
    <w:p w14:paraId="04A0BF4C" w14:textId="6C94A4E4" w:rsidR="00397C52" w:rsidRDefault="00EC5384" w:rsidP="00397C52">
      <w:pPr>
        <w:spacing w:line="360" w:lineRule="auto"/>
        <w:rPr>
          <w:color w:val="000000" w:themeColor="text1"/>
        </w:rPr>
      </w:pPr>
      <w:r>
        <w:rPr>
          <w:color w:val="000000" w:themeColor="text1"/>
        </w:rPr>
        <w:t>(13</w:t>
      </w:r>
      <w:r w:rsidR="00397C52">
        <w:rPr>
          <w:color w:val="000000" w:themeColor="text1"/>
        </w:rPr>
        <w:t>)</w:t>
      </w:r>
      <w:r w:rsidR="00397C52">
        <w:rPr>
          <w:color w:val="000000" w:themeColor="text1"/>
        </w:rPr>
        <w:tab/>
        <w:t>I</w:t>
      </w:r>
      <w:r>
        <w:rPr>
          <w:color w:val="000000" w:themeColor="text1"/>
        </w:rPr>
        <w:t xml:space="preserve"> am wal</w:t>
      </w:r>
      <w:r w:rsidR="00543473">
        <w:rPr>
          <w:color w:val="000000" w:themeColor="text1"/>
        </w:rPr>
        <w:t>k</w:t>
      </w:r>
      <w:r>
        <w:rPr>
          <w:color w:val="000000" w:themeColor="text1"/>
        </w:rPr>
        <w:t>ing</w:t>
      </w:r>
      <w:r w:rsidR="00397C52">
        <w:rPr>
          <w:color w:val="000000" w:themeColor="text1"/>
        </w:rPr>
        <w:t xml:space="preserve"> to the shop. </w:t>
      </w:r>
      <w:r w:rsidR="009D1237">
        <w:rPr>
          <w:color w:val="000000" w:themeColor="text1"/>
        </w:rPr>
        <w:tab/>
      </w:r>
      <w:r w:rsidR="009D1237">
        <w:rPr>
          <w:color w:val="000000" w:themeColor="text1"/>
        </w:rPr>
        <w:tab/>
        <w:t>[summary scanning]</w:t>
      </w:r>
    </w:p>
    <w:p w14:paraId="37CD782B" w14:textId="04501D96" w:rsidR="00397C52" w:rsidRDefault="00EC5384" w:rsidP="00D90CF0">
      <w:pPr>
        <w:spacing w:line="360" w:lineRule="auto"/>
        <w:rPr>
          <w:color w:val="000000" w:themeColor="text1"/>
        </w:rPr>
      </w:pPr>
      <w:r>
        <w:rPr>
          <w:color w:val="000000" w:themeColor="text1"/>
        </w:rPr>
        <w:t>(14)</w:t>
      </w:r>
      <w:r>
        <w:rPr>
          <w:color w:val="000000" w:themeColor="text1"/>
        </w:rPr>
        <w:tab/>
        <w:t xml:space="preserve">He took a fall. </w:t>
      </w:r>
      <w:r w:rsidR="009D1237">
        <w:rPr>
          <w:color w:val="000000" w:themeColor="text1"/>
        </w:rPr>
        <w:tab/>
      </w:r>
      <w:r w:rsidR="009D1237">
        <w:rPr>
          <w:color w:val="000000" w:themeColor="text1"/>
        </w:rPr>
        <w:tab/>
      </w:r>
      <w:r w:rsidR="009D1237">
        <w:rPr>
          <w:color w:val="000000" w:themeColor="text1"/>
        </w:rPr>
        <w:tab/>
      </w:r>
      <w:r w:rsidR="009D1237">
        <w:rPr>
          <w:color w:val="000000" w:themeColor="text1"/>
        </w:rPr>
        <w:tab/>
        <w:t>[summary scanning]</w:t>
      </w:r>
    </w:p>
    <w:p w14:paraId="2E6CBC0C" w14:textId="77777777" w:rsidR="00D3767F" w:rsidRDefault="00D3767F" w:rsidP="00280415">
      <w:pPr>
        <w:spacing w:line="360" w:lineRule="auto"/>
        <w:rPr>
          <w:color w:val="000000" w:themeColor="text1"/>
        </w:rPr>
      </w:pPr>
    </w:p>
    <w:p w14:paraId="408A33C8" w14:textId="29E614BA" w:rsidR="00DC58B0" w:rsidRDefault="00703D3E" w:rsidP="00D806AD">
      <w:pPr>
        <w:spacing w:line="360" w:lineRule="auto"/>
        <w:outlineLvl w:val="0"/>
        <w:rPr>
          <w:b/>
          <w:color w:val="000000" w:themeColor="text1"/>
        </w:rPr>
      </w:pPr>
      <w:r>
        <w:rPr>
          <w:b/>
          <w:color w:val="000000" w:themeColor="text1"/>
        </w:rPr>
        <w:t>4</w:t>
      </w:r>
      <w:r w:rsidR="00A727DD" w:rsidRPr="00C3354B">
        <w:rPr>
          <w:b/>
          <w:color w:val="000000" w:themeColor="text1"/>
        </w:rPr>
        <w:t xml:space="preserve"> </w:t>
      </w:r>
      <w:r w:rsidR="00FC4DA7" w:rsidRPr="004C1A1F">
        <w:rPr>
          <w:b/>
          <w:color w:val="000000" w:themeColor="text1"/>
        </w:rPr>
        <w:t>Conceptual Transfer</w:t>
      </w:r>
      <w:r w:rsidR="004611C7">
        <w:rPr>
          <w:b/>
          <w:color w:val="000000" w:themeColor="text1"/>
        </w:rPr>
        <w:t xml:space="preserve"> in SLA</w:t>
      </w:r>
      <w:r w:rsidR="00A727DD" w:rsidRPr="004C1A1F">
        <w:rPr>
          <w:b/>
          <w:color w:val="000000" w:themeColor="text1"/>
        </w:rPr>
        <w:t xml:space="preserve"> </w:t>
      </w:r>
    </w:p>
    <w:p w14:paraId="2A42455D" w14:textId="3DD65646" w:rsidR="00CF4DEA" w:rsidRPr="00CF4DEA" w:rsidRDefault="00CF4DEA" w:rsidP="00CF4DEA">
      <w:pPr>
        <w:spacing w:line="360" w:lineRule="auto"/>
        <w:outlineLvl w:val="0"/>
        <w:rPr>
          <w:rFonts w:ascii="Times" w:hAnsi="Times" w:cs="Times"/>
          <w:b/>
          <w:color w:val="000000" w:themeColor="text1"/>
        </w:rPr>
      </w:pPr>
      <w:r w:rsidRPr="00CF4DEA">
        <w:rPr>
          <w:rFonts w:ascii="Times" w:hAnsi="Times" w:cs="Times"/>
          <w:b/>
          <w:color w:val="000000" w:themeColor="text1"/>
        </w:rPr>
        <w:t xml:space="preserve">4.1 </w:t>
      </w:r>
      <w:r w:rsidR="00297EAD">
        <w:rPr>
          <w:rFonts w:ascii="Times" w:hAnsi="Times" w:cs="Times"/>
          <w:b/>
          <w:color w:val="000000" w:themeColor="text1"/>
        </w:rPr>
        <w:t>O</w:t>
      </w:r>
      <w:r w:rsidRPr="00CF4DEA">
        <w:rPr>
          <w:rFonts w:ascii="Times" w:hAnsi="Times" w:cs="Times"/>
          <w:b/>
          <w:color w:val="000000" w:themeColor="text1"/>
        </w:rPr>
        <w:t xml:space="preserve">verview </w:t>
      </w:r>
    </w:p>
    <w:p w14:paraId="22D5D57D" w14:textId="7279D084" w:rsidR="002B127B" w:rsidRDefault="00EA7D68" w:rsidP="005A52F4">
      <w:pPr>
        <w:spacing w:line="360" w:lineRule="auto"/>
        <w:rPr>
          <w:rFonts w:ascii="Times" w:hAnsi="Times" w:cs="Times"/>
        </w:rPr>
      </w:pPr>
      <w:r>
        <w:rPr>
          <w:color w:val="000000" w:themeColor="text1"/>
        </w:rPr>
        <w:t xml:space="preserve">The term “conceptual transfer” speaks broadly to the </w:t>
      </w:r>
      <w:r>
        <w:t xml:space="preserve">crosslinguistic influence stemming from the way a person attends to, perceives, construes, conceptualizes, interprets, categorizes or recalls experience with the environment (Jarvis, 2011, 2016; Jarvis &amp; </w:t>
      </w:r>
      <w:proofErr w:type="spellStart"/>
      <w:r>
        <w:t>Pavlenko</w:t>
      </w:r>
      <w:proofErr w:type="spellEnd"/>
      <w:r>
        <w:t xml:space="preserve">, 2008; </w:t>
      </w:r>
      <w:proofErr w:type="spellStart"/>
      <w:r>
        <w:t>Odlin</w:t>
      </w:r>
      <w:proofErr w:type="spellEnd"/>
      <w:r>
        <w:t>, 2008, 2010)</w:t>
      </w:r>
      <w:r w:rsidR="000E0B25">
        <w:t xml:space="preserve">, an idea that has been widely discussed in an attempt to investigate </w:t>
      </w:r>
      <w:r w:rsidR="001D0CAF" w:rsidRPr="00EF33BE">
        <w:t xml:space="preserve">cases of </w:t>
      </w:r>
      <w:r w:rsidR="001D0CAF">
        <w:t>L1</w:t>
      </w:r>
      <w:r w:rsidR="001D0CAF" w:rsidRPr="00EF33BE">
        <w:t xml:space="preserve"> influence</w:t>
      </w:r>
      <w:r w:rsidR="001D0CAF">
        <w:t xml:space="preserve"> on L2 </w:t>
      </w:r>
      <w:r w:rsidR="006F00D3">
        <w:t xml:space="preserve">use </w:t>
      </w:r>
      <w:r w:rsidR="001D0CAF">
        <w:t>that</w:t>
      </w:r>
      <w:r w:rsidR="001D0CAF" w:rsidRPr="00EF33BE">
        <w:t xml:space="preserve"> go</w:t>
      </w:r>
      <w:r w:rsidR="001D0CAF">
        <w:t>e</w:t>
      </w:r>
      <w:r w:rsidR="00861DB8">
        <w:t>s</w:t>
      </w:r>
      <w:r w:rsidR="001D0CAF" w:rsidRPr="00EF33BE">
        <w:t xml:space="preserve"> beyond structural and semantic well-formedness</w:t>
      </w:r>
      <w:r w:rsidR="001D0CAF">
        <w:t xml:space="preserve"> and extends to processes and representations at the conceptual level</w:t>
      </w:r>
      <w:r w:rsidR="00AD20C4">
        <w:t xml:space="preserve"> (</w:t>
      </w:r>
      <w:r w:rsidR="00567D23">
        <w:t>Jarvis, 2011</w:t>
      </w:r>
      <w:r w:rsidR="00AD20C4">
        <w:t xml:space="preserve">). </w:t>
      </w:r>
      <w:r w:rsidR="002B127B">
        <w:rPr>
          <w:rFonts w:ascii="Times" w:hAnsi="Times" w:cs="Times"/>
        </w:rPr>
        <w:t>For instance, multilinguals’ choice of referring to spatial relationships largely represents ways of conceptualizing and expressing meaning that are specific to the experiences in their first language</w:t>
      </w:r>
      <w:r w:rsidR="005A52F4">
        <w:rPr>
          <w:rFonts w:ascii="Times" w:hAnsi="Times" w:cs="Times"/>
        </w:rPr>
        <w:t>, as shown in</w:t>
      </w:r>
      <w:r w:rsidR="002B127B">
        <w:rPr>
          <w:rFonts w:ascii="Times" w:hAnsi="Times" w:cs="Times"/>
        </w:rPr>
        <w:t xml:space="preserve"> </w:t>
      </w:r>
      <w:r w:rsidR="005A52F4">
        <w:rPr>
          <w:rFonts w:ascii="Times" w:hAnsi="Times" w:cs="Times"/>
        </w:rPr>
        <w:t>Jarvis</w:t>
      </w:r>
      <w:r w:rsidR="002B127B">
        <w:rPr>
          <w:rFonts w:ascii="Times" w:hAnsi="Times" w:cs="Times"/>
        </w:rPr>
        <w:t xml:space="preserve"> (2016, p. 627)</w:t>
      </w:r>
      <w:r w:rsidR="005A52F4">
        <w:rPr>
          <w:rFonts w:ascii="Times" w:hAnsi="Times" w:cs="Times"/>
        </w:rPr>
        <w:t xml:space="preserve">. In </w:t>
      </w:r>
      <w:r w:rsidR="00DE4695">
        <w:rPr>
          <w:rFonts w:ascii="Times" w:hAnsi="Times" w:cs="Times"/>
        </w:rPr>
        <w:t xml:space="preserve">an earlier study (Jarvis &amp; </w:t>
      </w:r>
      <w:proofErr w:type="spellStart"/>
      <w:r w:rsidR="00DE4695">
        <w:rPr>
          <w:rFonts w:ascii="Times" w:hAnsi="Times" w:cs="Times"/>
        </w:rPr>
        <w:t>Odlin</w:t>
      </w:r>
      <w:proofErr w:type="spellEnd"/>
      <w:r w:rsidR="00DE4695">
        <w:rPr>
          <w:rFonts w:ascii="Times" w:hAnsi="Times" w:cs="Times"/>
        </w:rPr>
        <w:t>, 2000)</w:t>
      </w:r>
      <w:r w:rsidR="005A52F4">
        <w:rPr>
          <w:rFonts w:ascii="Times" w:hAnsi="Times" w:cs="Times"/>
        </w:rPr>
        <w:t>,</w:t>
      </w:r>
      <w:r w:rsidR="002B127B">
        <w:rPr>
          <w:rFonts w:ascii="Times" w:hAnsi="Times" w:cs="Times"/>
        </w:rPr>
        <w:t xml:space="preserve"> </w:t>
      </w:r>
      <w:r w:rsidR="002B127B">
        <w:rPr>
          <w:rFonts w:ascii="Times" w:hAnsi="Times" w:cs="Times"/>
        </w:rPr>
        <w:lastRenderedPageBreak/>
        <w:t xml:space="preserve">transfer effects were visible in Finnish- and Swedish learners of English who showed different conceptual preferences </w:t>
      </w:r>
      <w:r w:rsidR="002B127B" w:rsidRPr="00021916">
        <w:rPr>
          <w:rFonts w:ascii="Times" w:hAnsi="Times" w:cs="Times"/>
        </w:rPr>
        <w:t xml:space="preserve">for using spatial prepositions when describing a scene of two people sitting </w:t>
      </w:r>
      <w:r w:rsidR="002B127B" w:rsidRPr="00F52217">
        <w:rPr>
          <w:rFonts w:ascii="Times" w:hAnsi="Times" w:cs="Times"/>
          <w:i/>
        </w:rPr>
        <w:t>in</w:t>
      </w:r>
      <w:r w:rsidR="002B127B" w:rsidRPr="00021916">
        <w:rPr>
          <w:rFonts w:ascii="Times" w:hAnsi="Times" w:cs="Times"/>
        </w:rPr>
        <w:t xml:space="preserve"> or </w:t>
      </w:r>
      <w:r w:rsidR="002B127B" w:rsidRPr="00F52217">
        <w:rPr>
          <w:rFonts w:ascii="Times" w:hAnsi="Times" w:cs="Times"/>
          <w:i/>
        </w:rPr>
        <w:t>on</w:t>
      </w:r>
      <w:r w:rsidR="002B127B" w:rsidRPr="00021916">
        <w:rPr>
          <w:rFonts w:ascii="Times" w:hAnsi="Times" w:cs="Times"/>
        </w:rPr>
        <w:t xml:space="preserve"> the grass in front of a house. While both prepositions are </w:t>
      </w:r>
      <w:r w:rsidR="002B127B">
        <w:rPr>
          <w:rFonts w:ascii="Times" w:hAnsi="Times" w:cs="Times"/>
        </w:rPr>
        <w:t xml:space="preserve">grammatically </w:t>
      </w:r>
      <w:r w:rsidR="002B127B" w:rsidRPr="00021916">
        <w:rPr>
          <w:rFonts w:ascii="Times" w:hAnsi="Times" w:cs="Times"/>
        </w:rPr>
        <w:t xml:space="preserve">correct, Finnish speakers generally used the preposition </w:t>
      </w:r>
      <w:r w:rsidR="002B127B" w:rsidRPr="00944377">
        <w:rPr>
          <w:rFonts w:ascii="Times" w:hAnsi="Times" w:cs="Times"/>
          <w:i/>
        </w:rPr>
        <w:t>on</w:t>
      </w:r>
      <w:r w:rsidR="002B127B" w:rsidRPr="00021916">
        <w:rPr>
          <w:rFonts w:ascii="Times" w:hAnsi="Times" w:cs="Times"/>
        </w:rPr>
        <w:t xml:space="preserve">, whereas the Swedes preferred the preposition </w:t>
      </w:r>
      <w:r w:rsidR="002B127B" w:rsidRPr="0078116D">
        <w:rPr>
          <w:rFonts w:ascii="Times" w:hAnsi="Times" w:cs="Times"/>
          <w:i/>
        </w:rPr>
        <w:t>in</w:t>
      </w:r>
      <w:r w:rsidR="002B127B" w:rsidRPr="00021916">
        <w:rPr>
          <w:rFonts w:ascii="Times" w:hAnsi="Times" w:cs="Times"/>
        </w:rPr>
        <w:t xml:space="preserve"> when describing the scene. </w:t>
      </w:r>
      <w:r w:rsidR="002B127B">
        <w:rPr>
          <w:rFonts w:ascii="Times" w:hAnsi="Times" w:cs="Times"/>
        </w:rPr>
        <w:t>Jarvis hypothesiz</w:t>
      </w:r>
      <w:r w:rsidR="002B127B" w:rsidRPr="00093DBE">
        <w:rPr>
          <w:rFonts w:ascii="Times" w:hAnsi="Times" w:cs="Times"/>
        </w:rPr>
        <w:t xml:space="preserve">ed that Finns may have considered the Finnish word </w:t>
      </w:r>
      <w:proofErr w:type="spellStart"/>
      <w:r w:rsidR="002B127B" w:rsidRPr="000B0906">
        <w:rPr>
          <w:rFonts w:ascii="Times" w:hAnsi="Times" w:cs="Times"/>
          <w:i/>
        </w:rPr>
        <w:t>nurmikko</w:t>
      </w:r>
      <w:proofErr w:type="spellEnd"/>
      <w:r w:rsidR="002B127B" w:rsidRPr="00093DBE">
        <w:rPr>
          <w:rFonts w:ascii="Times" w:hAnsi="Times" w:cs="Times"/>
        </w:rPr>
        <w:t xml:space="preserve">, which refers to grass in someone’s yard, instead of the word </w:t>
      </w:r>
      <w:proofErr w:type="spellStart"/>
      <w:r w:rsidR="002B127B" w:rsidRPr="000B0906">
        <w:rPr>
          <w:rFonts w:ascii="Times" w:hAnsi="Times" w:cs="Times"/>
          <w:i/>
        </w:rPr>
        <w:t>heinikko</w:t>
      </w:r>
      <w:proofErr w:type="spellEnd"/>
      <w:r w:rsidR="002B127B" w:rsidRPr="00093DBE">
        <w:rPr>
          <w:rFonts w:ascii="Times" w:hAnsi="Times" w:cs="Times"/>
        </w:rPr>
        <w:t xml:space="preserve">, which refers to grass in a field when considering the scene of two people sitting in/on the grass in front of a house. Since the word </w:t>
      </w:r>
      <w:proofErr w:type="spellStart"/>
      <w:r w:rsidR="002B127B" w:rsidRPr="00093DBE">
        <w:rPr>
          <w:rFonts w:ascii="Times" w:hAnsi="Times" w:cs="Times"/>
        </w:rPr>
        <w:t>nurmikko</w:t>
      </w:r>
      <w:proofErr w:type="spellEnd"/>
      <w:r w:rsidR="002B127B" w:rsidRPr="00093DBE">
        <w:rPr>
          <w:rFonts w:ascii="Times" w:hAnsi="Times" w:cs="Times"/>
        </w:rPr>
        <w:t xml:space="preserve"> in Finnish requires the use of the external locative case (</w:t>
      </w:r>
      <w:proofErr w:type="spellStart"/>
      <w:r w:rsidR="002B127B" w:rsidRPr="00093DBE">
        <w:rPr>
          <w:rFonts w:ascii="Times" w:hAnsi="Times" w:cs="Times"/>
        </w:rPr>
        <w:t>nurmikolla</w:t>
      </w:r>
      <w:proofErr w:type="spellEnd"/>
      <w:r w:rsidR="002B127B" w:rsidRPr="00093DBE">
        <w:rPr>
          <w:rFonts w:ascii="Times" w:hAnsi="Times" w:cs="Times"/>
        </w:rPr>
        <w:t xml:space="preserve">, “on the grass”), it may have been possible that Finnish speakers relied on their L1-based experience when describing the scene in their L2. </w:t>
      </w:r>
      <w:r w:rsidR="002B127B">
        <w:rPr>
          <w:rFonts w:ascii="Times" w:hAnsi="Times" w:cs="Times"/>
        </w:rPr>
        <w:t xml:space="preserve">This observation shows that patterns of thinking and ways of organising information are affected by the different conventions for the construal of spatial relation in Finnish and Swedish, respectively. </w:t>
      </w:r>
    </w:p>
    <w:p w14:paraId="13B340B7" w14:textId="7CF57040" w:rsidR="00570B7A" w:rsidRPr="00260548" w:rsidRDefault="00222D4D" w:rsidP="00260548">
      <w:pPr>
        <w:spacing w:line="360" w:lineRule="auto"/>
        <w:ind w:firstLine="720"/>
      </w:pPr>
      <w:r>
        <w:t>Though the idea of conceptual transfer has been sporadically discussed in earlier works (</w:t>
      </w:r>
      <w:r w:rsidRPr="00567D23">
        <w:t xml:space="preserve">Kroll </w:t>
      </w:r>
      <w:r>
        <w:t>&amp;</w:t>
      </w:r>
      <w:r w:rsidRPr="00567D23">
        <w:t xml:space="preserve"> Potter,1984; </w:t>
      </w:r>
      <w:proofErr w:type="spellStart"/>
      <w:r w:rsidRPr="00567D23">
        <w:t>MacWhinney</w:t>
      </w:r>
      <w:proofErr w:type="spellEnd"/>
      <w:r w:rsidRPr="00567D23">
        <w:t>, 1992</w:t>
      </w:r>
      <w:r>
        <w:t xml:space="preserve">), the introduction of the Conceptual Transfer Hypothesis (CTH) by </w:t>
      </w:r>
      <w:r w:rsidR="00DE4695">
        <w:t xml:space="preserve">Jarvis (2007) and </w:t>
      </w:r>
      <w:r>
        <w:t xml:space="preserve">Jarvis </w:t>
      </w:r>
      <w:r w:rsidR="00DE4695">
        <w:t xml:space="preserve">and </w:t>
      </w:r>
      <w:proofErr w:type="spellStart"/>
      <w:r w:rsidR="00DE4695">
        <w:t>Pavlenko</w:t>
      </w:r>
      <w:proofErr w:type="spellEnd"/>
      <w:r w:rsidR="00DE4695">
        <w:t xml:space="preserve"> </w:t>
      </w:r>
      <w:r>
        <w:t>(200</w:t>
      </w:r>
      <w:r w:rsidR="00DE4695">
        <w:t>8</w:t>
      </w:r>
      <w:r>
        <w:t xml:space="preserve">) has produced a revival of interest in theoretical and methodological issues regarding conceptual transfer. </w:t>
      </w:r>
      <w:r w:rsidR="00090D70">
        <w:rPr>
          <w:rFonts w:ascii="Times" w:hAnsi="Times" w:cs="Times"/>
        </w:rPr>
        <w:t xml:space="preserve">In this article, </w:t>
      </w:r>
      <w:r w:rsidR="002B4713">
        <w:rPr>
          <w:rFonts w:ascii="Times" w:hAnsi="Times" w:cs="Times"/>
        </w:rPr>
        <w:t xml:space="preserve">the scope of </w:t>
      </w:r>
      <w:r w:rsidR="00DE4695">
        <w:rPr>
          <w:rFonts w:ascii="Times" w:hAnsi="Times" w:cs="Times"/>
        </w:rPr>
        <w:t>conceptual transfer</w:t>
      </w:r>
      <w:r w:rsidR="00090D70">
        <w:rPr>
          <w:rFonts w:ascii="Times" w:hAnsi="Times" w:cs="Times"/>
        </w:rPr>
        <w:t xml:space="preserve"> </w:t>
      </w:r>
      <w:r w:rsidR="002B4713">
        <w:rPr>
          <w:rFonts w:ascii="Times" w:hAnsi="Times" w:cs="Times"/>
        </w:rPr>
        <w:t>is in line</w:t>
      </w:r>
      <w:r w:rsidR="00090D70">
        <w:rPr>
          <w:rFonts w:ascii="Times" w:hAnsi="Times" w:cs="Times"/>
        </w:rPr>
        <w:t xml:space="preserve"> with Jarvis</w:t>
      </w:r>
      <w:r w:rsidR="002B4713">
        <w:rPr>
          <w:rFonts w:ascii="Times" w:hAnsi="Times" w:cs="Times"/>
        </w:rPr>
        <w:t>’ (201</w:t>
      </w:r>
      <w:r w:rsidR="00CF4DEA">
        <w:rPr>
          <w:rFonts w:ascii="Times" w:hAnsi="Times" w:cs="Times"/>
        </w:rPr>
        <w:t>1</w:t>
      </w:r>
      <w:r w:rsidR="00350706">
        <w:rPr>
          <w:rFonts w:ascii="Times" w:hAnsi="Times" w:cs="Times"/>
        </w:rPr>
        <w:t>, 2016</w:t>
      </w:r>
      <w:r w:rsidR="002B4713">
        <w:rPr>
          <w:rFonts w:ascii="Times" w:hAnsi="Times" w:cs="Times"/>
        </w:rPr>
        <w:t xml:space="preserve">) perspective </w:t>
      </w:r>
      <w:r w:rsidR="00CF4DEA">
        <w:rPr>
          <w:rFonts w:ascii="Times" w:hAnsi="Times" w:cs="Times"/>
        </w:rPr>
        <w:t>on the interplay of thought and language in SLA</w:t>
      </w:r>
      <w:r w:rsidR="002B4713">
        <w:rPr>
          <w:rFonts w:ascii="Times" w:hAnsi="Times" w:cs="Times"/>
        </w:rPr>
        <w:t xml:space="preserve"> </w:t>
      </w:r>
      <w:r w:rsidR="002B4713" w:rsidRPr="00DE4695">
        <w:rPr>
          <w:rFonts w:ascii="Times" w:hAnsi="Times" w:cs="Times"/>
          <w:color w:val="000000" w:themeColor="text1"/>
        </w:rPr>
        <w:t xml:space="preserve">in at least two regards. </w:t>
      </w:r>
      <w:r w:rsidR="00CF4DEA">
        <w:rPr>
          <w:rFonts w:ascii="Times" w:hAnsi="Times" w:cs="Times"/>
        </w:rPr>
        <w:t xml:space="preserve">First, conceptual transfer is understood as an approach to research in which an attempt is made to trace CLI effects in light of theoretical of empirical advances within the CL enterprise (Jarvis, 2011, p. 3). Second, </w:t>
      </w:r>
      <w:r w:rsidR="000A703D">
        <w:rPr>
          <w:rFonts w:ascii="Times" w:hAnsi="Times" w:cs="Times"/>
        </w:rPr>
        <w:t xml:space="preserve">studies </w:t>
      </w:r>
      <w:r w:rsidR="00B4149D">
        <w:rPr>
          <w:rFonts w:ascii="Times" w:hAnsi="Times" w:cs="Times"/>
        </w:rPr>
        <w:t>on cognitive consequences of using more two or more languages</w:t>
      </w:r>
      <w:r>
        <w:rPr>
          <w:rFonts w:ascii="Times" w:hAnsi="Times" w:cs="Times"/>
        </w:rPr>
        <w:t xml:space="preserve"> </w:t>
      </w:r>
      <w:r w:rsidR="00B4149D">
        <w:rPr>
          <w:rFonts w:ascii="Times" w:hAnsi="Times" w:cs="Times"/>
        </w:rPr>
        <w:t xml:space="preserve">should be seen to form a continuum with studies firmly grounded in </w:t>
      </w:r>
      <w:proofErr w:type="spellStart"/>
      <w:r w:rsidR="009B43B6">
        <w:rPr>
          <w:rFonts w:ascii="Times" w:hAnsi="Times" w:cs="Times"/>
        </w:rPr>
        <w:t>Slobin’s</w:t>
      </w:r>
      <w:proofErr w:type="spellEnd"/>
      <w:r w:rsidR="00B4149D">
        <w:rPr>
          <w:rFonts w:ascii="Times" w:hAnsi="Times" w:cs="Times"/>
        </w:rPr>
        <w:t xml:space="preserve"> thinking-for-speaking hypotheses on one end of the continuum and </w:t>
      </w:r>
      <w:r w:rsidR="009B43B6">
        <w:rPr>
          <w:rFonts w:ascii="Times" w:hAnsi="Times" w:cs="Times"/>
        </w:rPr>
        <w:t xml:space="preserve">Whorf’s </w:t>
      </w:r>
      <w:r w:rsidR="00B4149D">
        <w:rPr>
          <w:rFonts w:ascii="Times" w:hAnsi="Times" w:cs="Times"/>
        </w:rPr>
        <w:t xml:space="preserve">linguistic relativity </w:t>
      </w:r>
      <w:r w:rsidR="009B43B6">
        <w:rPr>
          <w:rFonts w:ascii="Times" w:hAnsi="Times" w:cs="Times"/>
        </w:rPr>
        <w:t xml:space="preserve">hypothesis </w:t>
      </w:r>
      <w:r w:rsidR="00B4149D">
        <w:rPr>
          <w:rFonts w:ascii="Times" w:hAnsi="Times" w:cs="Times"/>
        </w:rPr>
        <w:t>on the other (Ewert, 201</w:t>
      </w:r>
      <w:r w:rsidR="0072076C">
        <w:rPr>
          <w:rFonts w:ascii="Times" w:hAnsi="Times" w:cs="Times"/>
        </w:rPr>
        <w:t>6</w:t>
      </w:r>
      <w:r w:rsidR="00B4149D">
        <w:rPr>
          <w:rFonts w:ascii="Times" w:hAnsi="Times" w:cs="Times"/>
        </w:rPr>
        <w:t xml:space="preserve">; Han &amp; </w:t>
      </w:r>
      <w:proofErr w:type="spellStart"/>
      <w:r w:rsidR="00B4149D">
        <w:rPr>
          <w:rFonts w:ascii="Times" w:hAnsi="Times" w:cs="Times"/>
        </w:rPr>
        <w:t>Cadierno</w:t>
      </w:r>
      <w:proofErr w:type="spellEnd"/>
      <w:r w:rsidR="00B4149D">
        <w:rPr>
          <w:rFonts w:ascii="Times" w:hAnsi="Times" w:cs="Times"/>
        </w:rPr>
        <w:t xml:space="preserve"> 2010; Jarvis 2016). </w:t>
      </w:r>
      <w:r w:rsidR="00350706">
        <w:t>A</w:t>
      </w:r>
      <w:r w:rsidR="00350706" w:rsidRPr="00D96CC7">
        <w:t xml:space="preserve">long that continuum, studies dealing with conceptual transfer </w:t>
      </w:r>
      <w:r w:rsidR="00987C0F">
        <w:t>(</w:t>
      </w:r>
      <w:r w:rsidR="0027749A">
        <w:t xml:space="preserve">e.g., </w:t>
      </w:r>
      <w:r w:rsidR="00987C0F">
        <w:t xml:space="preserve">Alonso </w:t>
      </w:r>
      <w:proofErr w:type="spellStart"/>
      <w:r w:rsidR="00987C0F">
        <w:t>Alsono</w:t>
      </w:r>
      <w:proofErr w:type="spellEnd"/>
      <w:r w:rsidR="00987C0F">
        <w:t xml:space="preserve">, </w:t>
      </w:r>
      <w:proofErr w:type="spellStart"/>
      <w:r w:rsidR="00987C0F">
        <w:t>Cadierno</w:t>
      </w:r>
      <w:proofErr w:type="spellEnd"/>
      <w:r w:rsidR="00987C0F">
        <w:t xml:space="preserve"> &amp; Jarvis, 2016;  </w:t>
      </w:r>
      <w:proofErr w:type="spellStart"/>
      <w:r w:rsidR="00987C0F">
        <w:t>Pavlenko</w:t>
      </w:r>
      <w:proofErr w:type="spellEnd"/>
      <w:r w:rsidR="00987C0F">
        <w:t xml:space="preserve"> &amp; Malt 2011</w:t>
      </w:r>
      <w:r w:rsidR="00FA3792">
        <w:t xml:space="preserve">; </w:t>
      </w:r>
      <w:proofErr w:type="spellStart"/>
      <w:r w:rsidR="00FA3792" w:rsidRPr="00FA3792">
        <w:t>Otwinowska</w:t>
      </w:r>
      <w:proofErr w:type="spellEnd"/>
      <w:r w:rsidR="007500D6">
        <w:t>,</w:t>
      </w:r>
      <w:r w:rsidR="00FA3792">
        <w:t xml:space="preserve"> 2016</w:t>
      </w:r>
      <w:r w:rsidR="0027749A">
        <w:t>)</w:t>
      </w:r>
      <w:r w:rsidR="00987C0F">
        <w:t xml:space="preserve"> </w:t>
      </w:r>
      <w:r w:rsidR="00350706" w:rsidRPr="00D96CC7">
        <w:t xml:space="preserve">imply their own general research question and make use of data related to </w:t>
      </w:r>
      <w:r w:rsidR="00260548">
        <w:t xml:space="preserve">verbal responses, thus implying a thinking-for-speaking interpretation of conceptual transfer </w:t>
      </w:r>
      <w:r w:rsidR="00260548">
        <w:rPr>
          <w:rFonts w:ascii="Times" w:hAnsi="Times" w:cs="Times"/>
        </w:rPr>
        <w:t>(</w:t>
      </w:r>
      <w:proofErr w:type="spellStart"/>
      <w:r w:rsidR="00260548">
        <w:rPr>
          <w:rFonts w:ascii="Times" w:hAnsi="Times" w:cs="Times"/>
        </w:rPr>
        <w:t>Bylund</w:t>
      </w:r>
      <w:proofErr w:type="spellEnd"/>
      <w:r w:rsidR="00260548">
        <w:rPr>
          <w:rFonts w:ascii="Times" w:hAnsi="Times" w:cs="Times"/>
        </w:rPr>
        <w:t xml:space="preserve"> &amp; Jarvis, 2011; </w:t>
      </w:r>
      <w:proofErr w:type="spellStart"/>
      <w:r w:rsidR="006B3FB9">
        <w:rPr>
          <w:rFonts w:ascii="Times" w:hAnsi="Times" w:cs="Times"/>
        </w:rPr>
        <w:t>Cadierno</w:t>
      </w:r>
      <w:proofErr w:type="spellEnd"/>
      <w:r w:rsidR="006B3FB9">
        <w:rPr>
          <w:rFonts w:ascii="Times" w:hAnsi="Times" w:cs="Times"/>
        </w:rPr>
        <w:t xml:space="preserve">, 2008; </w:t>
      </w:r>
      <w:proofErr w:type="spellStart"/>
      <w:r w:rsidR="00260548">
        <w:rPr>
          <w:rFonts w:ascii="Times" w:hAnsi="Times" w:cs="Times"/>
        </w:rPr>
        <w:t>Ekiert</w:t>
      </w:r>
      <w:proofErr w:type="spellEnd"/>
      <w:r w:rsidR="008E1B5F">
        <w:rPr>
          <w:rFonts w:ascii="Times" w:hAnsi="Times" w:cs="Times"/>
        </w:rPr>
        <w:t xml:space="preserve"> &amp; Han, </w:t>
      </w:r>
      <w:r w:rsidR="00260548" w:rsidRPr="008E1B5F">
        <w:rPr>
          <w:rFonts w:ascii="Times" w:hAnsi="Times" w:cs="Times"/>
          <w:color w:val="000000" w:themeColor="text1"/>
        </w:rPr>
        <w:t>201</w:t>
      </w:r>
      <w:r w:rsidR="008E1B5F" w:rsidRPr="008E1B5F">
        <w:rPr>
          <w:rFonts w:ascii="Times" w:hAnsi="Times" w:cs="Times"/>
          <w:color w:val="000000" w:themeColor="text1"/>
        </w:rPr>
        <w:t>6</w:t>
      </w:r>
      <w:r w:rsidR="00260548">
        <w:rPr>
          <w:rFonts w:ascii="Times" w:hAnsi="Times" w:cs="Times"/>
        </w:rPr>
        <w:t xml:space="preserve">; Vanek &amp; Hendriks, 2015; von </w:t>
      </w:r>
      <w:proofErr w:type="spellStart"/>
      <w:r w:rsidR="00260548">
        <w:rPr>
          <w:rFonts w:ascii="Times" w:hAnsi="Times" w:cs="Times"/>
        </w:rPr>
        <w:t>Stutterheim</w:t>
      </w:r>
      <w:proofErr w:type="spellEnd"/>
      <w:r w:rsidR="00260548">
        <w:rPr>
          <w:rFonts w:ascii="Times" w:hAnsi="Times" w:cs="Times"/>
        </w:rPr>
        <w:t xml:space="preserve"> &amp; </w:t>
      </w:r>
      <w:r w:rsidR="00653020">
        <w:rPr>
          <w:rFonts w:ascii="Times" w:hAnsi="Times" w:cs="Times"/>
        </w:rPr>
        <w:t>Lampert</w:t>
      </w:r>
      <w:r w:rsidR="00260548">
        <w:rPr>
          <w:rFonts w:ascii="Times" w:hAnsi="Times" w:cs="Times"/>
        </w:rPr>
        <w:t>, 200</w:t>
      </w:r>
      <w:r w:rsidR="00653020">
        <w:rPr>
          <w:rFonts w:ascii="Times" w:hAnsi="Times" w:cs="Times"/>
        </w:rPr>
        <w:t>5</w:t>
      </w:r>
      <w:r w:rsidR="00260548">
        <w:rPr>
          <w:rFonts w:ascii="Times" w:hAnsi="Times" w:cs="Times"/>
        </w:rPr>
        <w:t xml:space="preserve">; von </w:t>
      </w:r>
      <w:proofErr w:type="spellStart"/>
      <w:r w:rsidR="00260548">
        <w:rPr>
          <w:rFonts w:ascii="Times" w:hAnsi="Times" w:cs="Times"/>
        </w:rPr>
        <w:t>Stutterheim</w:t>
      </w:r>
      <w:proofErr w:type="spellEnd"/>
      <w:r w:rsidR="00260548">
        <w:rPr>
          <w:rFonts w:ascii="Times" w:hAnsi="Times" w:cs="Times"/>
        </w:rPr>
        <w:t xml:space="preserve"> &amp; </w:t>
      </w:r>
      <w:proofErr w:type="spellStart"/>
      <w:r w:rsidR="00260548">
        <w:rPr>
          <w:rFonts w:ascii="Times" w:hAnsi="Times" w:cs="Times"/>
        </w:rPr>
        <w:t>Nüse</w:t>
      </w:r>
      <w:proofErr w:type="spellEnd"/>
      <w:r w:rsidR="00260548">
        <w:rPr>
          <w:rFonts w:ascii="Times" w:hAnsi="Times" w:cs="Times"/>
        </w:rPr>
        <w:t xml:space="preserve">, 2003), </w:t>
      </w:r>
      <w:r w:rsidR="00EC3CC6">
        <w:t xml:space="preserve">speech-accompanying </w:t>
      </w:r>
      <w:r w:rsidR="00580E84">
        <w:t>gestures</w:t>
      </w:r>
      <w:r w:rsidR="003408CF">
        <w:t xml:space="preserve"> (</w:t>
      </w:r>
      <w:r w:rsidR="003408CF" w:rsidRPr="003408CF">
        <w:t xml:space="preserve">Brown &amp; </w:t>
      </w:r>
      <w:proofErr w:type="spellStart"/>
      <w:r w:rsidR="003408CF" w:rsidRPr="003408CF">
        <w:t>Gullberg</w:t>
      </w:r>
      <w:proofErr w:type="spellEnd"/>
      <w:r w:rsidR="003408CF" w:rsidRPr="003408CF">
        <w:t xml:space="preserve">, 2008; </w:t>
      </w:r>
      <w:proofErr w:type="spellStart"/>
      <w:r w:rsidR="003408CF" w:rsidRPr="003408CF">
        <w:t>Negueruela</w:t>
      </w:r>
      <w:proofErr w:type="spellEnd"/>
      <w:r w:rsidR="003408CF" w:rsidRPr="003408CF">
        <w:t xml:space="preserve"> et al., 2004; </w:t>
      </w:r>
      <w:proofErr w:type="spellStart"/>
      <w:r w:rsidR="003408CF" w:rsidRPr="003408CF">
        <w:t>Stam</w:t>
      </w:r>
      <w:proofErr w:type="spellEnd"/>
      <w:r w:rsidR="003408CF" w:rsidRPr="003408CF">
        <w:t>, 2010</w:t>
      </w:r>
      <w:r w:rsidR="003408CF">
        <w:t>),</w:t>
      </w:r>
      <w:r w:rsidR="00350706" w:rsidRPr="00D96CC7">
        <w:t xml:space="preserve"> data related to </w:t>
      </w:r>
      <w:r w:rsidR="00260548">
        <w:t>linguistic relativity effects</w:t>
      </w:r>
      <w:r w:rsidR="00350706" w:rsidRPr="00D96CC7">
        <w:t xml:space="preserve"> measure</w:t>
      </w:r>
      <w:r w:rsidR="00350706">
        <w:t>d</w:t>
      </w:r>
      <w:r w:rsidR="00350706" w:rsidRPr="00D96CC7">
        <w:t xml:space="preserve"> in form of nonverbal behaviour</w:t>
      </w:r>
      <w:r w:rsidR="003408CF">
        <w:t xml:space="preserve"> (</w:t>
      </w:r>
      <w:r w:rsidR="00260548">
        <w:rPr>
          <w:rFonts w:ascii="Times" w:hAnsi="Times" w:cs="Times"/>
        </w:rPr>
        <w:t xml:space="preserve">Athanasopoulos, 2006; Athanasopoulos, </w:t>
      </w:r>
      <w:proofErr w:type="spellStart"/>
      <w:r w:rsidR="00260548">
        <w:rPr>
          <w:rFonts w:ascii="Times" w:hAnsi="Times" w:cs="Times"/>
        </w:rPr>
        <w:t>Bylund</w:t>
      </w:r>
      <w:proofErr w:type="spellEnd"/>
      <w:r w:rsidR="00260548">
        <w:rPr>
          <w:rFonts w:ascii="Times" w:hAnsi="Times" w:cs="Times"/>
        </w:rPr>
        <w:t>, Montero-</w:t>
      </w:r>
      <w:proofErr w:type="spellStart"/>
      <w:r w:rsidR="00260548">
        <w:rPr>
          <w:rFonts w:ascii="Times" w:hAnsi="Times" w:cs="Times"/>
        </w:rPr>
        <w:t>Melis</w:t>
      </w:r>
      <w:proofErr w:type="spellEnd"/>
      <w:r w:rsidR="00260548">
        <w:rPr>
          <w:rFonts w:ascii="Times" w:hAnsi="Times" w:cs="Times"/>
        </w:rPr>
        <w:t xml:space="preserve">, Damjanovic, </w:t>
      </w:r>
      <w:proofErr w:type="spellStart"/>
      <w:r w:rsidR="00260548">
        <w:rPr>
          <w:rFonts w:ascii="Times" w:hAnsi="Times" w:cs="Times"/>
        </w:rPr>
        <w:t>Schartner</w:t>
      </w:r>
      <w:proofErr w:type="spellEnd"/>
      <w:r w:rsidR="00260548">
        <w:rPr>
          <w:rFonts w:ascii="Times" w:hAnsi="Times" w:cs="Times"/>
        </w:rPr>
        <w:t xml:space="preserve">, </w:t>
      </w:r>
      <w:r w:rsidR="00260548">
        <w:rPr>
          <w:rFonts w:ascii="Times" w:hAnsi="Times" w:cs="Times"/>
        </w:rPr>
        <w:lastRenderedPageBreak/>
        <w:t>Kibbe, Riches &amp; Thierry, 2015</w:t>
      </w:r>
      <w:r w:rsidR="003E692B">
        <w:rPr>
          <w:rFonts w:ascii="Times" w:hAnsi="Times" w:cs="Times"/>
        </w:rPr>
        <w:t xml:space="preserve">; </w:t>
      </w:r>
      <w:bookmarkStart w:id="0" w:name="_GoBack"/>
      <w:bookmarkEnd w:id="0"/>
      <w:r w:rsidR="00260548">
        <w:rPr>
          <w:rFonts w:ascii="Times" w:hAnsi="Times" w:cs="Times"/>
        </w:rPr>
        <w:t xml:space="preserve">Lucy, 2016; </w:t>
      </w:r>
      <w:proofErr w:type="spellStart"/>
      <w:r w:rsidR="00260548" w:rsidRPr="003408CF">
        <w:t>Papafragou</w:t>
      </w:r>
      <w:proofErr w:type="spellEnd"/>
      <w:r w:rsidR="00260548" w:rsidRPr="003408CF">
        <w:t xml:space="preserve">, Massey, &amp; </w:t>
      </w:r>
      <w:proofErr w:type="spellStart"/>
      <w:r w:rsidR="00260548" w:rsidRPr="003408CF">
        <w:t>Gleitman</w:t>
      </w:r>
      <w:proofErr w:type="spellEnd"/>
      <w:r w:rsidR="00260548" w:rsidRPr="003408CF">
        <w:t xml:space="preserve">, 2002; </w:t>
      </w:r>
      <w:proofErr w:type="spellStart"/>
      <w:r w:rsidR="00260548" w:rsidRPr="003408CF">
        <w:t>Papafragou</w:t>
      </w:r>
      <w:proofErr w:type="spellEnd"/>
      <w:r w:rsidR="00260548" w:rsidRPr="003408CF">
        <w:t xml:space="preserve"> &amp; </w:t>
      </w:r>
      <w:proofErr w:type="spellStart"/>
      <w:r w:rsidR="00260548" w:rsidRPr="003408CF">
        <w:t>Selimis</w:t>
      </w:r>
      <w:proofErr w:type="spellEnd"/>
      <w:r w:rsidR="00260548" w:rsidRPr="003408CF">
        <w:t>, 2010</w:t>
      </w:r>
      <w:r w:rsidR="00260548">
        <w:t xml:space="preserve">; </w:t>
      </w:r>
      <w:proofErr w:type="spellStart"/>
      <w:r w:rsidR="00260548">
        <w:rPr>
          <w:rFonts w:ascii="Times" w:hAnsi="Times" w:cs="Times"/>
        </w:rPr>
        <w:t>Pavlenko</w:t>
      </w:r>
      <w:proofErr w:type="spellEnd"/>
      <w:r w:rsidR="00260548">
        <w:rPr>
          <w:rFonts w:ascii="Times" w:hAnsi="Times" w:cs="Times"/>
        </w:rPr>
        <w:t>, 2011; Vanek, 201</w:t>
      </w:r>
      <w:r w:rsidR="002E5D0A">
        <w:rPr>
          <w:rFonts w:ascii="Times" w:hAnsi="Times" w:cs="Times"/>
        </w:rPr>
        <w:t>6</w:t>
      </w:r>
      <w:r w:rsidR="00260548">
        <w:rPr>
          <w:rFonts w:ascii="Times" w:hAnsi="Times" w:cs="Times"/>
        </w:rPr>
        <w:t xml:space="preserve">, 2019; Vanek &amp; </w:t>
      </w:r>
      <w:proofErr w:type="spellStart"/>
      <w:r w:rsidR="00260548">
        <w:rPr>
          <w:rFonts w:ascii="Times" w:hAnsi="Times" w:cs="Times"/>
        </w:rPr>
        <w:t>Selinker</w:t>
      </w:r>
      <w:proofErr w:type="spellEnd"/>
      <w:r w:rsidR="00260548">
        <w:rPr>
          <w:rFonts w:ascii="Times" w:hAnsi="Times" w:cs="Times"/>
        </w:rPr>
        <w:t xml:space="preserve">, 2017; for an overview of linguistic relativity in SLA see </w:t>
      </w:r>
      <w:proofErr w:type="spellStart"/>
      <w:r w:rsidR="00260548">
        <w:rPr>
          <w:rFonts w:ascii="Times" w:hAnsi="Times" w:cs="Times"/>
        </w:rPr>
        <w:t>Bylund</w:t>
      </w:r>
      <w:proofErr w:type="spellEnd"/>
      <w:r w:rsidR="00260548">
        <w:rPr>
          <w:rFonts w:ascii="Times" w:hAnsi="Times" w:cs="Times"/>
        </w:rPr>
        <w:t xml:space="preserve"> &amp; Athanasopoulos 2014</w:t>
      </w:r>
      <w:r w:rsidR="003408CF">
        <w:t xml:space="preserve">) </w:t>
      </w:r>
      <w:r w:rsidR="00350706" w:rsidRPr="00D96CC7">
        <w:t>or a combination of both</w:t>
      </w:r>
      <w:r w:rsidR="00B84817">
        <w:t xml:space="preserve"> </w:t>
      </w:r>
      <w:r w:rsidR="00CF3DB0">
        <w:t xml:space="preserve">verbal and non-verbal data </w:t>
      </w:r>
      <w:r w:rsidR="00B84817">
        <w:t xml:space="preserve">(Park, 2019; </w:t>
      </w:r>
      <w:proofErr w:type="spellStart"/>
      <w:r w:rsidR="00B84817">
        <w:t>Pavlenko</w:t>
      </w:r>
      <w:proofErr w:type="spellEnd"/>
      <w:r w:rsidR="00B84817">
        <w:t>, 1999)</w:t>
      </w:r>
      <w:r w:rsidR="006B3082">
        <w:t>.</w:t>
      </w:r>
    </w:p>
    <w:p w14:paraId="17657FD5" w14:textId="1003B7F3" w:rsidR="00594EB3" w:rsidRPr="00594EB3" w:rsidRDefault="00B4149D" w:rsidP="00570B7A">
      <w:pPr>
        <w:spacing w:line="360" w:lineRule="auto"/>
        <w:ind w:firstLine="720"/>
        <w:rPr>
          <w:color w:val="000000" w:themeColor="text1"/>
        </w:rPr>
      </w:pPr>
      <w:r>
        <w:t xml:space="preserve">It is important to note that each of the theoretical perspectives, thinking-for-speaking, linguistic relativity and cognitive linguistics, deal with </w:t>
      </w:r>
      <w:r w:rsidR="00E40251">
        <w:t>different theoretical and methodological constructs</w:t>
      </w:r>
      <w:r w:rsidR="001F096F">
        <w:t xml:space="preserve"> </w:t>
      </w:r>
      <w:r w:rsidR="0027749A">
        <w:t xml:space="preserve">when investigating transfer effects in multilinguals </w:t>
      </w:r>
      <w:r w:rsidR="001F096F">
        <w:t>(see Ewert, 201</w:t>
      </w:r>
      <w:r w:rsidR="0072076C">
        <w:t>6</w:t>
      </w:r>
      <w:r w:rsidR="001F096F">
        <w:t xml:space="preserve">). </w:t>
      </w:r>
      <w:r w:rsidR="00F538DD">
        <w:t>It has been claimed that, f</w:t>
      </w:r>
      <w:r w:rsidR="00CA2371">
        <w:t xml:space="preserve">or example, viable evidence for relativistic effects in crosslinguistic influence research is </w:t>
      </w:r>
      <w:r w:rsidR="00570B7A">
        <w:t>best found in</w:t>
      </w:r>
      <w:r w:rsidR="00CA2371">
        <w:t xml:space="preserve"> </w:t>
      </w:r>
      <w:r w:rsidR="00570B7A">
        <w:t>nonverbal data</w:t>
      </w:r>
      <w:r w:rsidR="00CA2371" w:rsidRPr="00CA2371">
        <w:t xml:space="preserve"> (</w:t>
      </w:r>
      <w:proofErr w:type="spellStart"/>
      <w:r w:rsidR="00F538DD">
        <w:t>Bylund</w:t>
      </w:r>
      <w:proofErr w:type="spellEnd"/>
      <w:r w:rsidR="00F538DD">
        <w:t xml:space="preserve"> &amp; Athanasopoulos, 2014; </w:t>
      </w:r>
      <w:proofErr w:type="spellStart"/>
      <w:r w:rsidR="00F538DD">
        <w:t>Odlin</w:t>
      </w:r>
      <w:proofErr w:type="spellEnd"/>
      <w:r w:rsidR="00F538DD">
        <w:t>, 2008, 2010)</w:t>
      </w:r>
      <w:r w:rsidR="00570B7A">
        <w:t>, while thinking-for-speaking effects in second language use are</w:t>
      </w:r>
      <w:r w:rsidR="0030309F">
        <w:t xml:space="preserve"> best</w:t>
      </w:r>
      <w:r w:rsidR="00570B7A">
        <w:t xml:space="preserve"> investigated through the use of verbal data (</w:t>
      </w:r>
      <w:r w:rsidR="00F538DD">
        <w:t xml:space="preserve">Jarvis, 2007, 2016). </w:t>
      </w:r>
      <w:r w:rsidR="00632111">
        <w:t>Th</w:t>
      </w:r>
      <w:r w:rsidR="00570B7A">
        <w:t>e</w:t>
      </w:r>
      <w:r w:rsidR="00632111">
        <w:t xml:space="preserve"> definition</w:t>
      </w:r>
      <w:r w:rsidR="00570B7A">
        <w:t xml:space="preserve"> of conceptual transfer given above</w:t>
      </w:r>
      <w:r w:rsidR="00632111">
        <w:t xml:space="preserve"> also presumes that</w:t>
      </w:r>
      <w:r w:rsidR="00EC6103">
        <w:t xml:space="preserve">, in contrast to </w:t>
      </w:r>
      <w:proofErr w:type="spellStart"/>
      <w:r w:rsidR="00EC6103">
        <w:t>Odlin</w:t>
      </w:r>
      <w:proofErr w:type="spellEnd"/>
      <w:r w:rsidR="00EC6103">
        <w:t xml:space="preserve"> (2005, 2008, 2010), who has stated that conceptual transfer is “crosslinguistic influence involving relativistic effects” (2008, p. 3</w:t>
      </w:r>
      <w:r w:rsidR="00594EB3">
        <w:t>06</w:t>
      </w:r>
      <w:r w:rsidR="00EC6103">
        <w:t>)</w:t>
      </w:r>
      <w:r w:rsidR="00596981">
        <w:t>,</w:t>
      </w:r>
      <w:r w:rsidR="00594EB3">
        <w:t xml:space="preserve"> </w:t>
      </w:r>
      <w:r w:rsidR="00594EB3">
        <w:rPr>
          <w:color w:val="000000" w:themeColor="text1"/>
        </w:rPr>
        <w:t xml:space="preserve">the </w:t>
      </w:r>
      <w:r w:rsidR="009B43B6">
        <w:rPr>
          <w:color w:val="000000" w:themeColor="text1"/>
        </w:rPr>
        <w:t>scope</w:t>
      </w:r>
      <w:r w:rsidR="00594EB3">
        <w:rPr>
          <w:color w:val="000000" w:themeColor="text1"/>
        </w:rPr>
        <w:t xml:space="preserve"> of conceptual transfer </w:t>
      </w:r>
      <w:r w:rsidR="009B43B6">
        <w:rPr>
          <w:color w:val="000000" w:themeColor="text1"/>
        </w:rPr>
        <w:t xml:space="preserve">studies </w:t>
      </w:r>
      <w:r w:rsidR="00465D7B">
        <w:rPr>
          <w:color w:val="000000" w:themeColor="text1"/>
        </w:rPr>
        <w:t xml:space="preserve">extends to the </w:t>
      </w:r>
      <w:r w:rsidR="009B43B6">
        <w:rPr>
          <w:color w:val="000000" w:themeColor="text1"/>
        </w:rPr>
        <w:t xml:space="preserve">investigation of effects of thinking-for-speaking </w:t>
      </w:r>
      <w:r w:rsidR="00465D7B">
        <w:rPr>
          <w:color w:val="000000" w:themeColor="text1"/>
        </w:rPr>
        <w:t xml:space="preserve">and crosslinguistic influence at the conceptual level.  </w:t>
      </w:r>
    </w:p>
    <w:p w14:paraId="1A991A70" w14:textId="1012A33A" w:rsidR="00FD4677" w:rsidRDefault="00596981" w:rsidP="00570B7A">
      <w:pPr>
        <w:spacing w:line="360" w:lineRule="auto"/>
        <w:ind w:firstLine="720"/>
      </w:pPr>
      <w:r>
        <w:t xml:space="preserve"> </w:t>
      </w:r>
      <w:r w:rsidR="0041098C">
        <w:t xml:space="preserve">The results of </w:t>
      </w:r>
      <w:r w:rsidR="0041098C" w:rsidRPr="0041098C">
        <w:rPr>
          <w:color w:val="000000" w:themeColor="text1"/>
        </w:rPr>
        <w:t xml:space="preserve">studies approaching conceptual transfer through cognitive linguistics </w:t>
      </w:r>
      <w:r w:rsidR="0041098C">
        <w:t>can thus inform us about</w:t>
      </w:r>
      <w:r w:rsidR="00872D15">
        <w:t xml:space="preserve"> either the transfer of mental representations (linguistic relativity) or the transfer of </w:t>
      </w:r>
      <w:r w:rsidR="00FA3792">
        <w:t>mental processes that are activated during the formulation of linguistic expression (thinking for speaking)</w:t>
      </w:r>
      <w:r w:rsidR="00A11C3B">
        <w:t xml:space="preserve">. </w:t>
      </w:r>
      <w:r w:rsidR="00FA3792">
        <w:t xml:space="preserve">This distinction is important as it pertains to </w:t>
      </w:r>
      <w:r w:rsidR="00253DF0">
        <w:t>what is effected by CLI: concepts or conceptualizations</w:t>
      </w:r>
      <w:r w:rsidR="0072076C">
        <w:t xml:space="preserve"> (Ewert, 2016, p. </w:t>
      </w:r>
      <w:r w:rsidR="0022746D">
        <w:t>384</w:t>
      </w:r>
      <w:r w:rsidR="002F204B">
        <w:t>; Jarvis, 2007, p. 50ff</w:t>
      </w:r>
      <w:r w:rsidR="00D301BE">
        <w:t>, 2011, p. 3ff</w:t>
      </w:r>
      <w:r w:rsidR="0022746D">
        <w:t>).</w:t>
      </w:r>
      <w:r w:rsidR="002F204B">
        <w:t xml:space="preserve"> </w:t>
      </w:r>
      <w:r w:rsidR="009A2B0E">
        <w:t xml:space="preserve">In </w:t>
      </w:r>
      <w:r w:rsidR="00E96047">
        <w:t xml:space="preserve">2.1, the idea of conceptualization in the CL framework was discussed. </w:t>
      </w:r>
      <w:r w:rsidR="000C79C0">
        <w:t>In contrast, a</w:t>
      </w:r>
      <w:r w:rsidR="009A2B0E">
        <w:t xml:space="preserve"> concept</w:t>
      </w:r>
      <w:r w:rsidR="000C79C0">
        <w:t xml:space="preserve"> </w:t>
      </w:r>
      <w:r w:rsidR="00E96047">
        <w:t>in CL</w:t>
      </w:r>
      <w:r w:rsidR="009A2B0E">
        <w:t xml:space="preserve"> is </w:t>
      </w:r>
      <w:r w:rsidR="00441045">
        <w:t xml:space="preserve">a relatively stable cognitive entity representing the perceptual experience with the environment </w:t>
      </w:r>
      <w:r w:rsidR="00CD5790">
        <w:t xml:space="preserve">and the prerequisite for semantic structure </w:t>
      </w:r>
      <w:r w:rsidR="00441045">
        <w:t>(</w:t>
      </w:r>
      <w:proofErr w:type="spellStart"/>
      <w:r w:rsidR="00441045">
        <w:t>Barsalou</w:t>
      </w:r>
      <w:proofErr w:type="spellEnd"/>
      <w:r w:rsidR="00441045">
        <w:t>, 20</w:t>
      </w:r>
      <w:r w:rsidR="003934A8">
        <w:t>17</w:t>
      </w:r>
      <w:r w:rsidR="00441045">
        <w:t>; Evans, 20</w:t>
      </w:r>
      <w:r w:rsidR="00A57839">
        <w:t>11</w:t>
      </w:r>
      <w:r w:rsidR="00441045">
        <w:t xml:space="preserve">; </w:t>
      </w:r>
      <w:r w:rsidR="00611CA7">
        <w:t xml:space="preserve">Johnson, </w:t>
      </w:r>
      <w:r w:rsidR="007A3981" w:rsidRPr="007A3981">
        <w:rPr>
          <w:color w:val="000000" w:themeColor="text1"/>
        </w:rPr>
        <w:t>1987</w:t>
      </w:r>
      <w:r w:rsidR="00441045">
        <w:t xml:space="preserve">). Concepts </w:t>
      </w:r>
      <w:r w:rsidR="007F0355">
        <w:t>consist of images schemas</w:t>
      </w:r>
      <w:r w:rsidR="007A3981">
        <w:t xml:space="preserve"> (Lakoff &amp; Johnson, 1980)</w:t>
      </w:r>
      <w:r w:rsidR="00611CA7">
        <w:t>, derived from embodied experience,</w:t>
      </w:r>
      <w:r w:rsidR="00C733D4">
        <w:t xml:space="preserve"> and </w:t>
      </w:r>
      <w:r w:rsidR="00DC78DA">
        <w:t xml:space="preserve">is linked to the </w:t>
      </w:r>
      <w:r w:rsidR="00C733D4">
        <w:t xml:space="preserve">meaning </w:t>
      </w:r>
      <w:r w:rsidR="00DC78DA">
        <w:t>associated with a particular linguistic symbol (Evans &amp; Green, 2006, p. 7), whereby the image that ‘pops up’ corresponds to a conventional meaning of an entity.</w:t>
      </w:r>
      <w:r w:rsidR="002F0D12">
        <w:t xml:space="preserve"> Concepts are structured in the conceptual system </w:t>
      </w:r>
      <w:r w:rsidR="008B1A56">
        <w:t>in which embodied experience is organized into schematic categories, such as the attentional system or the force-dynamics system (</w:t>
      </w:r>
      <w:proofErr w:type="spellStart"/>
      <w:r w:rsidR="008B1A56">
        <w:t>Talmy</w:t>
      </w:r>
      <w:proofErr w:type="spellEnd"/>
      <w:r w:rsidR="008B1A56">
        <w:t xml:space="preserve">, 2000). Crucially, while concepts are rather relatively stable representations, they are modified and reshaped by recurrent experiences over time. </w:t>
      </w:r>
      <w:r w:rsidR="00D376EE">
        <w:t>Studies seeking for concept transfer are closely associated with a linguistic-relativity interpretation of conceptual transfer effects in SLA</w:t>
      </w:r>
      <w:r w:rsidR="003B2258">
        <w:t xml:space="preserve"> and often include nonverbal data collection tools (</w:t>
      </w:r>
      <w:r w:rsidR="00FD53FB">
        <w:t xml:space="preserve">e.g., </w:t>
      </w:r>
      <w:r w:rsidR="003B2258" w:rsidRPr="003B2258">
        <w:t xml:space="preserve">Athanasopoulos, Damjanovic, </w:t>
      </w:r>
      <w:proofErr w:type="spellStart"/>
      <w:r w:rsidR="003B2258" w:rsidRPr="003B2258">
        <w:t>Krajciova</w:t>
      </w:r>
      <w:proofErr w:type="spellEnd"/>
      <w:r w:rsidR="003B2258" w:rsidRPr="003B2258">
        <w:t xml:space="preserve"> and Sasaki</w:t>
      </w:r>
      <w:r w:rsidR="003B2258">
        <w:t xml:space="preserve">, 2011; Malt &amp; </w:t>
      </w:r>
      <w:proofErr w:type="spellStart"/>
      <w:r w:rsidR="003B2258">
        <w:lastRenderedPageBreak/>
        <w:t>Sloman</w:t>
      </w:r>
      <w:proofErr w:type="spellEnd"/>
      <w:r w:rsidR="003B2258">
        <w:t xml:space="preserve">, 2003) while conceptualization transfer studies look into the language-specific </w:t>
      </w:r>
      <w:r w:rsidR="00FE32FC">
        <w:t>patterns of information organization</w:t>
      </w:r>
      <w:r w:rsidR="00FD53FB">
        <w:t xml:space="preserve"> in SLA</w:t>
      </w:r>
      <w:r w:rsidR="003B2258">
        <w:t xml:space="preserve"> (</w:t>
      </w:r>
      <w:r w:rsidR="00FD53FB">
        <w:t>e.g.</w:t>
      </w:r>
      <w:r w:rsidR="000245F6">
        <w:t xml:space="preserve">, </w:t>
      </w:r>
      <w:r w:rsidR="003B2258">
        <w:t xml:space="preserve">Brown &amp; </w:t>
      </w:r>
      <w:proofErr w:type="spellStart"/>
      <w:r w:rsidR="003B2258">
        <w:t>Gullberg</w:t>
      </w:r>
      <w:proofErr w:type="spellEnd"/>
      <w:r w:rsidR="003B2258">
        <w:t xml:space="preserve">, 2011; </w:t>
      </w:r>
      <w:proofErr w:type="spellStart"/>
      <w:r w:rsidR="003B2258">
        <w:t>Flecken</w:t>
      </w:r>
      <w:proofErr w:type="spellEnd"/>
      <w:r w:rsidR="003B2258">
        <w:t xml:space="preserve"> 2011</w:t>
      </w:r>
      <w:r w:rsidR="00FD53FB">
        <w:t xml:space="preserve">; Hohenstein, Eisenberg &amp; </w:t>
      </w:r>
      <w:proofErr w:type="spellStart"/>
      <w:r w:rsidR="00FD53FB">
        <w:t>Naigles</w:t>
      </w:r>
      <w:proofErr w:type="spellEnd"/>
      <w:r w:rsidR="00FD53FB">
        <w:t xml:space="preserve">, 2006; von </w:t>
      </w:r>
      <w:proofErr w:type="spellStart"/>
      <w:r w:rsidR="00FD53FB">
        <w:t>Stutterheim</w:t>
      </w:r>
      <w:proofErr w:type="spellEnd"/>
      <w:r w:rsidR="00FD53FB">
        <w:t xml:space="preserve">, </w:t>
      </w:r>
      <w:proofErr w:type="spellStart"/>
      <w:r w:rsidR="00FD53FB">
        <w:t>Andermann</w:t>
      </w:r>
      <w:proofErr w:type="spellEnd"/>
      <w:r w:rsidR="00FD53FB">
        <w:t xml:space="preserve">, Carroll, </w:t>
      </w:r>
      <w:proofErr w:type="spellStart"/>
      <w:r w:rsidR="00FD53FB">
        <w:t>Flecken</w:t>
      </w:r>
      <w:proofErr w:type="spellEnd"/>
      <w:r w:rsidR="00FD53FB">
        <w:t xml:space="preserve"> &amp; </w:t>
      </w:r>
      <w:proofErr w:type="spellStart"/>
      <w:r w:rsidR="00FD53FB">
        <w:t>Schmiedtová</w:t>
      </w:r>
      <w:proofErr w:type="spellEnd"/>
      <w:r w:rsidR="00FD53FB">
        <w:t>, 201</w:t>
      </w:r>
      <w:r w:rsidR="008B166E">
        <w:t>2</w:t>
      </w:r>
      <w:r w:rsidR="003B2258">
        <w:t xml:space="preserve">). </w:t>
      </w:r>
    </w:p>
    <w:p w14:paraId="4AFA1414" w14:textId="77777777" w:rsidR="00841EFD" w:rsidRDefault="00841EFD" w:rsidP="00D806AD">
      <w:pPr>
        <w:spacing w:line="360" w:lineRule="auto"/>
        <w:outlineLvl w:val="0"/>
        <w:rPr>
          <w:color w:val="FF0000"/>
        </w:rPr>
      </w:pPr>
    </w:p>
    <w:p w14:paraId="5D1B56AA" w14:textId="0AC98C29" w:rsidR="0045590F" w:rsidRDefault="00C42DE0" w:rsidP="00D806AD">
      <w:pPr>
        <w:spacing w:line="360" w:lineRule="auto"/>
        <w:outlineLvl w:val="0"/>
        <w:rPr>
          <w:rFonts w:ascii="Times" w:hAnsi="Times" w:cs="Times"/>
          <w:b/>
        </w:rPr>
      </w:pPr>
      <w:r>
        <w:rPr>
          <w:rFonts w:ascii="Times" w:hAnsi="Times" w:cs="Times"/>
          <w:b/>
        </w:rPr>
        <w:t>4</w:t>
      </w:r>
      <w:r w:rsidR="00F001AE">
        <w:rPr>
          <w:rFonts w:ascii="Times" w:hAnsi="Times" w:cs="Times"/>
          <w:b/>
        </w:rPr>
        <w:t>.</w:t>
      </w:r>
      <w:r w:rsidR="00104D86">
        <w:rPr>
          <w:rFonts w:ascii="Times" w:hAnsi="Times" w:cs="Times"/>
          <w:b/>
        </w:rPr>
        <w:t>2</w:t>
      </w:r>
      <w:r w:rsidR="00863CFD" w:rsidRPr="008A5B10">
        <w:rPr>
          <w:rFonts w:ascii="Times" w:hAnsi="Times" w:cs="Times"/>
          <w:b/>
        </w:rPr>
        <w:t xml:space="preserve"> </w:t>
      </w:r>
      <w:r w:rsidR="00104D86">
        <w:rPr>
          <w:rFonts w:ascii="Times" w:hAnsi="Times" w:cs="Times"/>
          <w:b/>
        </w:rPr>
        <w:t>Concept</w:t>
      </w:r>
      <w:r w:rsidR="003704FF">
        <w:rPr>
          <w:rFonts w:ascii="Times" w:hAnsi="Times" w:cs="Times"/>
          <w:b/>
        </w:rPr>
        <w:t xml:space="preserve">ual </w:t>
      </w:r>
      <w:r w:rsidR="00104D86">
        <w:rPr>
          <w:rFonts w:ascii="Times" w:hAnsi="Times" w:cs="Times"/>
          <w:b/>
        </w:rPr>
        <w:t>Transfer</w:t>
      </w:r>
      <w:r w:rsidR="003704FF">
        <w:rPr>
          <w:rFonts w:ascii="Times" w:hAnsi="Times" w:cs="Times"/>
          <w:b/>
        </w:rPr>
        <w:t xml:space="preserve"> Effects</w:t>
      </w:r>
      <w:r w:rsidR="00B76AE0">
        <w:rPr>
          <w:rFonts w:ascii="Times" w:hAnsi="Times" w:cs="Times"/>
          <w:b/>
        </w:rPr>
        <w:t xml:space="preserve"> in Event Construal</w:t>
      </w:r>
      <w:r w:rsidR="00104D86">
        <w:rPr>
          <w:b/>
        </w:rPr>
        <w:t xml:space="preserve">: </w:t>
      </w:r>
      <w:r w:rsidR="00AB0B88">
        <w:rPr>
          <w:rFonts w:ascii="Times" w:hAnsi="Times" w:cs="Times"/>
          <w:b/>
        </w:rPr>
        <w:t>Previous Studies</w:t>
      </w:r>
    </w:p>
    <w:p w14:paraId="1F99F6EC" w14:textId="4C55896C" w:rsidR="00640F9F" w:rsidRDefault="00B253A0" w:rsidP="00B253A0">
      <w:pPr>
        <w:spacing w:line="360" w:lineRule="auto"/>
      </w:pPr>
      <w:r>
        <w:t xml:space="preserve">Research on </w:t>
      </w:r>
      <w:r w:rsidR="003B21C1">
        <w:t>CLI effects</w:t>
      </w:r>
      <w:r>
        <w:t xml:space="preserve"> in </w:t>
      </w:r>
      <w:r w:rsidR="00862FCC">
        <w:t xml:space="preserve">event </w:t>
      </w:r>
      <w:r>
        <w:t>conceptualization has accumulated substantially over the past ten years</w:t>
      </w:r>
      <w:r w:rsidR="0048057B">
        <w:t xml:space="preserve"> (Brown &amp; </w:t>
      </w:r>
      <w:proofErr w:type="spellStart"/>
      <w:r w:rsidR="0048057B">
        <w:t>Gullberg</w:t>
      </w:r>
      <w:proofErr w:type="spellEnd"/>
      <w:r w:rsidR="0048057B">
        <w:t>, 2011; Cheung, Matthews, &amp; Tsang, 2011</w:t>
      </w:r>
      <w:r w:rsidR="00CB114C">
        <w:t xml:space="preserve">; </w:t>
      </w:r>
      <w:proofErr w:type="spellStart"/>
      <w:r w:rsidR="005820CA" w:rsidRPr="00D534FA">
        <w:t>Daller</w:t>
      </w:r>
      <w:proofErr w:type="spellEnd"/>
      <w:r w:rsidR="00793B19">
        <w:t xml:space="preserve">, </w:t>
      </w:r>
      <w:proofErr w:type="spellStart"/>
      <w:r w:rsidR="005820CA" w:rsidRPr="00D534FA">
        <w:t>Treffers-Daller</w:t>
      </w:r>
      <w:proofErr w:type="spellEnd"/>
      <w:r w:rsidR="005820CA" w:rsidRPr="00D534FA">
        <w:t>, &amp; Furm</w:t>
      </w:r>
      <w:r w:rsidR="005820CA">
        <w:t xml:space="preserve">an, </w:t>
      </w:r>
      <w:r w:rsidR="005820CA" w:rsidRPr="00D534FA">
        <w:t>2011</w:t>
      </w:r>
      <w:r w:rsidR="00793B19">
        <w:t xml:space="preserve">; </w:t>
      </w:r>
      <w:r w:rsidR="00CB114C">
        <w:t xml:space="preserve">De Angelis &amp; </w:t>
      </w:r>
      <w:proofErr w:type="spellStart"/>
      <w:r w:rsidR="00CB114C">
        <w:t>Dewaele</w:t>
      </w:r>
      <w:proofErr w:type="spellEnd"/>
      <w:r w:rsidR="00CB114C">
        <w:t>, 2011</w:t>
      </w:r>
      <w:r w:rsidR="00793B19">
        <w:t>;</w:t>
      </w:r>
      <w:r w:rsidR="005B6256">
        <w:t xml:space="preserve"> </w:t>
      </w:r>
      <w:proofErr w:type="spellStart"/>
      <w:r w:rsidR="00A7167B">
        <w:t>Leclercq</w:t>
      </w:r>
      <w:proofErr w:type="spellEnd"/>
      <w:r w:rsidR="00A7167B">
        <w:t xml:space="preserve"> &amp; Edmonds, 2017; </w:t>
      </w:r>
      <w:r w:rsidR="005B6256">
        <w:t xml:space="preserve">McManus, 2015; Majid et al. 2008; </w:t>
      </w:r>
      <w:proofErr w:type="spellStart"/>
      <w:r w:rsidR="005B6256">
        <w:t>Pavlenko</w:t>
      </w:r>
      <w:proofErr w:type="spellEnd"/>
      <w:r w:rsidR="005B6256">
        <w:t xml:space="preserve"> &amp; </w:t>
      </w:r>
      <w:proofErr w:type="spellStart"/>
      <w:r w:rsidR="005B6256">
        <w:t>Driagana</w:t>
      </w:r>
      <w:proofErr w:type="spellEnd"/>
      <w:r w:rsidR="005B6256">
        <w:t>, 2008</w:t>
      </w:r>
      <w:r w:rsidR="00A7167B">
        <w:t xml:space="preserve">; </w:t>
      </w:r>
      <w:proofErr w:type="spellStart"/>
      <w:r w:rsidR="00A7167B">
        <w:t>Saddour</w:t>
      </w:r>
      <w:proofErr w:type="spellEnd"/>
      <w:r w:rsidR="00A7167B">
        <w:t xml:space="preserve">, 2017; </w:t>
      </w:r>
      <w:proofErr w:type="spellStart"/>
      <w:r w:rsidR="00715472">
        <w:t>Schmiedtová</w:t>
      </w:r>
      <w:proofErr w:type="spellEnd"/>
      <w:r w:rsidR="00715472">
        <w:t xml:space="preserve"> 2011, 2013; </w:t>
      </w:r>
      <w:r w:rsidR="00A7167B">
        <w:t xml:space="preserve">Vanek &amp; </w:t>
      </w:r>
      <w:proofErr w:type="spellStart"/>
      <w:r w:rsidR="00A7167B">
        <w:t>Selinker</w:t>
      </w:r>
      <w:proofErr w:type="spellEnd"/>
      <w:r w:rsidR="00A7167B">
        <w:t xml:space="preserve"> 2017</w:t>
      </w:r>
      <w:r w:rsidR="0048057B">
        <w:t>)</w:t>
      </w:r>
      <w:r>
        <w:t xml:space="preserve">. These empirical accounts include work </w:t>
      </w:r>
      <w:r w:rsidRPr="00E337C0">
        <w:t xml:space="preserve">on </w:t>
      </w:r>
      <w:r>
        <w:t>multilinguals</w:t>
      </w:r>
      <w:r w:rsidR="00F85CE8">
        <w:t>’</w:t>
      </w:r>
      <w:r w:rsidRPr="00E337C0">
        <w:t xml:space="preserve"> </w:t>
      </w:r>
      <w:r w:rsidR="00F85CE8" w:rsidRPr="00E337C0">
        <w:t>differences in</w:t>
      </w:r>
      <w:r w:rsidR="00F85CE8">
        <w:t xml:space="preserve"> conceptualization patterns of g</w:t>
      </w:r>
      <w:r w:rsidR="00F85CE8" w:rsidRPr="00E337C0">
        <w:t xml:space="preserve">rammatical aspect </w:t>
      </w:r>
      <w:r w:rsidRPr="00E337C0">
        <w:t>(</w:t>
      </w:r>
      <w:proofErr w:type="spellStart"/>
      <w:r w:rsidR="00A7167B">
        <w:t>Andreou</w:t>
      </w:r>
      <w:proofErr w:type="spellEnd"/>
      <w:r w:rsidR="00A7167B">
        <w:t xml:space="preserve"> &amp; </w:t>
      </w:r>
      <w:proofErr w:type="spellStart"/>
      <w:r w:rsidR="00A7167B">
        <w:t>Tsimpli</w:t>
      </w:r>
      <w:proofErr w:type="spellEnd"/>
      <w:r w:rsidR="00A7167B">
        <w:t xml:space="preserve">, 2017; </w:t>
      </w:r>
      <w:proofErr w:type="spellStart"/>
      <w:r w:rsidRPr="00E337C0">
        <w:t>Bylund</w:t>
      </w:r>
      <w:proofErr w:type="spellEnd"/>
      <w:r w:rsidRPr="00E337C0">
        <w:t xml:space="preserve"> &amp; Jarvis, 2011</w:t>
      </w:r>
      <w:r>
        <w:t xml:space="preserve">; </w:t>
      </w:r>
      <w:r w:rsidR="004D1443">
        <w:t xml:space="preserve">Chin, 2008; </w:t>
      </w:r>
      <w:proofErr w:type="spellStart"/>
      <w:r>
        <w:t>Flecken</w:t>
      </w:r>
      <w:proofErr w:type="spellEnd"/>
      <w:r>
        <w:t xml:space="preserve"> 2011</w:t>
      </w:r>
      <w:r w:rsidR="0048057B">
        <w:t>;</w:t>
      </w:r>
      <w:r w:rsidR="004D1443">
        <w:t xml:space="preserve"> </w:t>
      </w:r>
      <w:proofErr w:type="spellStart"/>
      <w:r w:rsidR="004D1443" w:rsidRPr="00EC1DD7">
        <w:t>Flecken</w:t>
      </w:r>
      <w:proofErr w:type="spellEnd"/>
      <w:r w:rsidR="004D1443" w:rsidRPr="00EC1DD7">
        <w:t xml:space="preserve">, </w:t>
      </w:r>
      <w:r w:rsidR="004D1443">
        <w:t>Carroll, Weimar, &amp; v</w:t>
      </w:r>
      <w:r w:rsidR="004D1443" w:rsidRPr="00EC1DD7">
        <w:t xml:space="preserve">on </w:t>
      </w:r>
      <w:proofErr w:type="spellStart"/>
      <w:r w:rsidR="004D1443" w:rsidRPr="00EC1DD7">
        <w:t>Stutterheim</w:t>
      </w:r>
      <w:proofErr w:type="spellEnd"/>
      <w:r w:rsidR="004D1443">
        <w:t>, 201</w:t>
      </w:r>
      <w:r w:rsidR="001F116A">
        <w:t>5;</w:t>
      </w:r>
      <w:r w:rsidR="004D1443">
        <w:t xml:space="preserve"> </w:t>
      </w:r>
      <w:r w:rsidR="00A7167B">
        <w:t>Vanek, 2019; Vanek &amp; Hendriks, 2015</w:t>
      </w:r>
      <w:r>
        <w:t>), processes and states (</w:t>
      </w:r>
      <w:proofErr w:type="spellStart"/>
      <w:r>
        <w:rPr>
          <w:rFonts w:eastAsia="Times New Roman"/>
          <w:color w:val="000000" w:themeColor="text1"/>
        </w:rPr>
        <w:t>Krajinovic</w:t>
      </w:r>
      <w:proofErr w:type="spellEnd"/>
      <w:r>
        <w:rPr>
          <w:rFonts w:eastAsia="Times New Roman"/>
          <w:color w:val="000000" w:themeColor="text1"/>
        </w:rPr>
        <w:t xml:space="preserve"> &amp; </w:t>
      </w:r>
      <w:proofErr w:type="spellStart"/>
      <w:r>
        <w:rPr>
          <w:rFonts w:eastAsia="Times New Roman"/>
          <w:color w:val="000000" w:themeColor="text1"/>
        </w:rPr>
        <w:t>Pevec</w:t>
      </w:r>
      <w:proofErr w:type="spellEnd"/>
      <w:r>
        <w:rPr>
          <w:rFonts w:eastAsia="Times New Roman"/>
          <w:color w:val="000000" w:themeColor="text1"/>
        </w:rPr>
        <w:t xml:space="preserve">, </w:t>
      </w:r>
      <w:r w:rsidRPr="00FC3254">
        <w:rPr>
          <w:rFonts w:eastAsia="Times New Roman"/>
          <w:color w:val="000000" w:themeColor="text1"/>
        </w:rPr>
        <w:t>2015)</w:t>
      </w:r>
      <w:r>
        <w:t xml:space="preserve"> as well as how multilinguals</w:t>
      </w:r>
      <w:r w:rsidRPr="00E337C0">
        <w:t xml:space="preserve"> refer to endpoints in event-time structures (</w:t>
      </w:r>
      <w:proofErr w:type="spellStart"/>
      <w:r w:rsidRPr="00E337C0">
        <w:t>Bylund</w:t>
      </w:r>
      <w:proofErr w:type="spellEnd"/>
      <w:r w:rsidRPr="00E337C0">
        <w:t xml:space="preserve"> &amp; Jarvis, 2011; von </w:t>
      </w:r>
      <w:proofErr w:type="spellStart"/>
      <w:r w:rsidRPr="00E337C0">
        <w:t>Stutterheim</w:t>
      </w:r>
      <w:proofErr w:type="spellEnd"/>
      <w:r w:rsidRPr="00E337C0">
        <w:t>, 2003).</w:t>
      </w:r>
      <w:r>
        <w:t xml:space="preserve"> Their work </w:t>
      </w:r>
      <w:r w:rsidRPr="00F203A9">
        <w:t>has shown that differences in the conceptual represe</w:t>
      </w:r>
      <w:r>
        <w:t>ntational system may result in speaker</w:t>
      </w:r>
      <w:r w:rsidRPr="00F203A9">
        <w:t>’s failure to create appropriate links between types of events and the corresponding grammaticised and lexicalised concepts in the target language</w:t>
      </w:r>
      <w:r>
        <w:t xml:space="preserve"> or</w:t>
      </w:r>
      <w:r w:rsidRPr="00F203A9">
        <w:t xml:space="preserve"> to distinguish between </w:t>
      </w:r>
      <w:r>
        <w:t>two related but distinct tense categories</w:t>
      </w:r>
      <w:r w:rsidR="00FC29CC">
        <w:rPr>
          <w:rStyle w:val="FootnoteReference"/>
        </w:rPr>
        <w:footnoteReference w:id="4"/>
      </w:r>
      <w:r w:rsidR="00EA0C26">
        <w:t xml:space="preserve">. </w:t>
      </w:r>
    </w:p>
    <w:p w14:paraId="54831E78" w14:textId="07CE747D" w:rsidR="00D423D4" w:rsidRDefault="00B6374E" w:rsidP="00D423D4">
      <w:pPr>
        <w:spacing w:line="360" w:lineRule="auto"/>
        <w:ind w:firstLine="720"/>
        <w:rPr>
          <w:color w:val="000000" w:themeColor="text1"/>
        </w:rPr>
      </w:pPr>
      <w:r w:rsidRPr="00BE4FCA">
        <w:rPr>
          <w:color w:val="000000" w:themeColor="text1"/>
        </w:rPr>
        <w:t xml:space="preserve">Regarding the application of CL and CG in conceptual transfer studies, it appears that </w:t>
      </w:r>
      <w:r w:rsidR="0075569E" w:rsidRPr="00BE4FCA">
        <w:rPr>
          <w:color w:val="000000" w:themeColor="text1"/>
        </w:rPr>
        <w:t>previous research</w:t>
      </w:r>
      <w:r w:rsidRPr="00BE4FCA">
        <w:rPr>
          <w:color w:val="000000" w:themeColor="text1"/>
        </w:rPr>
        <w:t xml:space="preserve"> has focused primarily on the effect of typological differences of L2 speaker’s conceptualization and expression of spatial relations</w:t>
      </w:r>
      <w:r w:rsidR="00034763" w:rsidRPr="00BE4FCA">
        <w:rPr>
          <w:color w:val="000000" w:themeColor="text1"/>
        </w:rPr>
        <w:t xml:space="preserve">, thus employing </w:t>
      </w:r>
      <w:proofErr w:type="spellStart"/>
      <w:r w:rsidR="00034763" w:rsidRPr="00BE4FCA">
        <w:rPr>
          <w:color w:val="000000" w:themeColor="text1"/>
        </w:rPr>
        <w:t>Talmy’s</w:t>
      </w:r>
      <w:proofErr w:type="spellEnd"/>
      <w:r w:rsidR="00034763" w:rsidRPr="00BE4FCA">
        <w:rPr>
          <w:color w:val="000000" w:themeColor="text1"/>
        </w:rPr>
        <w:t xml:space="preserve"> typological framework </w:t>
      </w:r>
      <w:r w:rsidR="00854318" w:rsidRPr="00BE4FCA">
        <w:rPr>
          <w:color w:val="000000" w:themeColor="text1"/>
        </w:rPr>
        <w:t>in</w:t>
      </w:r>
      <w:r w:rsidR="00034763" w:rsidRPr="00BE4FCA">
        <w:rPr>
          <w:color w:val="000000" w:themeColor="text1"/>
        </w:rPr>
        <w:t xml:space="preserve"> the context of crosslinguistic influence in SLA (overview in </w:t>
      </w:r>
      <w:proofErr w:type="spellStart"/>
      <w:r w:rsidR="00034763" w:rsidRPr="00BE4FCA">
        <w:rPr>
          <w:color w:val="000000" w:themeColor="text1"/>
        </w:rPr>
        <w:t>Cadierno</w:t>
      </w:r>
      <w:proofErr w:type="spellEnd"/>
      <w:r w:rsidR="00D225A5">
        <w:rPr>
          <w:color w:val="000000" w:themeColor="text1"/>
        </w:rPr>
        <w:t xml:space="preserve"> &amp; Lund,</w:t>
      </w:r>
      <w:r w:rsidR="00034763" w:rsidRPr="00BE4FCA">
        <w:rPr>
          <w:color w:val="000000" w:themeColor="text1"/>
        </w:rPr>
        <w:t xml:space="preserve"> 2004). </w:t>
      </w:r>
      <w:r w:rsidR="007A75EC" w:rsidRPr="00BE4FCA">
        <w:rPr>
          <w:color w:val="000000" w:themeColor="text1"/>
        </w:rPr>
        <w:t xml:space="preserve">The potential of the cognitive perspective on grammar, however, </w:t>
      </w:r>
      <w:r w:rsidR="00BE4FCA" w:rsidRPr="00BE4FCA">
        <w:rPr>
          <w:color w:val="000000" w:themeColor="text1"/>
        </w:rPr>
        <w:t xml:space="preserve">and its applicability to crosslinguistic and SLA research has not been </w:t>
      </w:r>
      <w:r w:rsidR="00936FFE">
        <w:rPr>
          <w:color w:val="000000" w:themeColor="text1"/>
        </w:rPr>
        <w:t xml:space="preserve">fully </w:t>
      </w:r>
      <w:r w:rsidR="00BE4FCA" w:rsidRPr="00BE4FCA">
        <w:rPr>
          <w:color w:val="000000" w:themeColor="text1"/>
        </w:rPr>
        <w:t>realized. While some studies (Austen, 2016</w:t>
      </w:r>
      <w:r w:rsidR="0082557A">
        <w:rPr>
          <w:color w:val="000000" w:themeColor="text1"/>
        </w:rPr>
        <w:t>, 2017</w:t>
      </w:r>
      <w:r w:rsidR="00BE4FCA" w:rsidRPr="00BE4FCA">
        <w:rPr>
          <w:color w:val="000000" w:themeColor="text1"/>
        </w:rPr>
        <w:t xml:space="preserve">; </w:t>
      </w:r>
      <w:proofErr w:type="spellStart"/>
      <w:r w:rsidR="00BE4FCA" w:rsidRPr="00BE4FCA">
        <w:rPr>
          <w:color w:val="000000" w:themeColor="text1"/>
        </w:rPr>
        <w:t>Bylund</w:t>
      </w:r>
      <w:proofErr w:type="spellEnd"/>
      <w:r w:rsidR="00BE4FCA" w:rsidRPr="00BE4FCA">
        <w:rPr>
          <w:color w:val="000000" w:themeColor="text1"/>
        </w:rPr>
        <w:t xml:space="preserve"> &amp; Jarvis 2011;</w:t>
      </w:r>
      <w:r w:rsidR="00F46EAC">
        <w:rPr>
          <w:color w:val="000000" w:themeColor="text1"/>
        </w:rPr>
        <w:t xml:space="preserve"> </w:t>
      </w:r>
      <w:r w:rsidR="004821F6">
        <w:rPr>
          <w:color w:val="000000" w:themeColor="text1"/>
        </w:rPr>
        <w:t xml:space="preserve">Holmes, 2009; </w:t>
      </w:r>
      <w:proofErr w:type="spellStart"/>
      <w:r w:rsidR="00BE4FCA" w:rsidRPr="00BE4FCA">
        <w:rPr>
          <w:color w:val="000000" w:themeColor="text1"/>
        </w:rPr>
        <w:t>Krajnović</w:t>
      </w:r>
      <w:proofErr w:type="spellEnd"/>
      <w:r w:rsidR="00BE4FCA" w:rsidRPr="00BE4FCA">
        <w:rPr>
          <w:color w:val="000000" w:themeColor="text1"/>
        </w:rPr>
        <w:t xml:space="preserve"> &amp; </w:t>
      </w:r>
      <w:proofErr w:type="spellStart"/>
      <w:r w:rsidR="00BE4FCA" w:rsidRPr="00BE4FCA">
        <w:rPr>
          <w:color w:val="000000" w:themeColor="text1"/>
        </w:rPr>
        <w:t>Pevec</w:t>
      </w:r>
      <w:proofErr w:type="spellEnd"/>
      <w:r w:rsidR="00BE4FCA" w:rsidRPr="00BE4FCA">
        <w:rPr>
          <w:color w:val="000000" w:themeColor="text1"/>
        </w:rPr>
        <w:t>, 2015) deal with the potential of CG-inspired description</w:t>
      </w:r>
      <w:r w:rsidR="00F438EA">
        <w:rPr>
          <w:color w:val="000000" w:themeColor="text1"/>
        </w:rPr>
        <w:t>s</w:t>
      </w:r>
      <w:r w:rsidR="00BE4FCA" w:rsidRPr="00BE4FCA">
        <w:rPr>
          <w:color w:val="000000" w:themeColor="text1"/>
        </w:rPr>
        <w:t xml:space="preserve"> in</w:t>
      </w:r>
      <w:r w:rsidR="00F438EA">
        <w:rPr>
          <w:color w:val="000000" w:themeColor="text1"/>
        </w:rPr>
        <w:t xml:space="preserve"> </w:t>
      </w:r>
      <w:r w:rsidR="004F188D">
        <w:rPr>
          <w:color w:val="000000" w:themeColor="text1"/>
        </w:rPr>
        <w:t>investigating the</w:t>
      </w:r>
      <w:r w:rsidR="00F438EA">
        <w:rPr>
          <w:color w:val="000000" w:themeColor="text1"/>
        </w:rPr>
        <w:t xml:space="preserve"> relationship of grammatical tense/aspect and event construal </w:t>
      </w:r>
      <w:r w:rsidR="004F188D">
        <w:rPr>
          <w:color w:val="000000" w:themeColor="text1"/>
        </w:rPr>
        <w:t>in SLA</w:t>
      </w:r>
      <w:r w:rsidR="00F438EA">
        <w:rPr>
          <w:color w:val="000000" w:themeColor="text1"/>
        </w:rPr>
        <w:t xml:space="preserve">, other works </w:t>
      </w:r>
      <w:r w:rsidR="004F188D">
        <w:rPr>
          <w:color w:val="000000" w:themeColor="text1"/>
        </w:rPr>
        <w:t xml:space="preserve">on event conceptualization (see references above) </w:t>
      </w:r>
      <w:r w:rsidR="00F438EA">
        <w:rPr>
          <w:color w:val="000000" w:themeColor="text1"/>
        </w:rPr>
        <w:t xml:space="preserve">have not explicitly made use of the CG framework to examine how </w:t>
      </w:r>
      <w:r w:rsidR="00F438EA">
        <w:rPr>
          <w:color w:val="000000" w:themeColor="text1"/>
        </w:rPr>
        <w:lastRenderedPageBreak/>
        <w:t xml:space="preserve">language-specific conceptual distinction and patterns of information organization </w:t>
      </w:r>
      <w:r w:rsidR="00D423D4">
        <w:rPr>
          <w:color w:val="000000" w:themeColor="text1"/>
        </w:rPr>
        <w:t>affect L2 use</w:t>
      </w:r>
      <w:r w:rsidR="00D423D4">
        <w:rPr>
          <w:rStyle w:val="FootnoteReference"/>
          <w:color w:val="000000" w:themeColor="text1"/>
        </w:rPr>
        <w:footnoteReference w:id="5"/>
      </w:r>
      <w:r w:rsidR="00D423D4">
        <w:rPr>
          <w:color w:val="000000" w:themeColor="text1"/>
        </w:rPr>
        <w:t xml:space="preserve">. </w:t>
      </w:r>
    </w:p>
    <w:p w14:paraId="62FB134A" w14:textId="5E6F91AC" w:rsidR="001F4F2E" w:rsidRDefault="001F4F2E" w:rsidP="001F4F2E">
      <w:pPr>
        <w:tabs>
          <w:tab w:val="left" w:pos="567"/>
        </w:tabs>
        <w:spacing w:line="360" w:lineRule="auto"/>
        <w:rPr>
          <w:rFonts w:eastAsia="Times New Roman"/>
          <w:color w:val="000000" w:themeColor="text1"/>
        </w:rPr>
      </w:pPr>
      <w:r>
        <w:rPr>
          <w:rFonts w:eastAsia="Times New Roman"/>
          <w:color w:val="000000" w:themeColor="text1"/>
        </w:rPr>
        <w:tab/>
      </w:r>
      <w:r w:rsidR="00364E9C">
        <w:rPr>
          <w:rFonts w:eastAsia="Times New Roman"/>
          <w:color w:val="000000" w:themeColor="text1"/>
        </w:rPr>
        <w:t xml:space="preserve">For example, </w:t>
      </w:r>
      <w:proofErr w:type="spellStart"/>
      <w:r w:rsidR="00A7167B" w:rsidRPr="00A7167B">
        <w:rPr>
          <w:rFonts w:eastAsia="Times New Roman"/>
          <w:color w:val="000000" w:themeColor="text1"/>
        </w:rPr>
        <w:t>Bylund</w:t>
      </w:r>
      <w:proofErr w:type="spellEnd"/>
      <w:r w:rsidR="00A7167B" w:rsidRPr="00A7167B">
        <w:rPr>
          <w:rFonts w:eastAsia="Times New Roman"/>
          <w:color w:val="000000" w:themeColor="text1"/>
        </w:rPr>
        <w:t xml:space="preserve"> and Jarvis (2011)</w:t>
      </w:r>
      <w:r>
        <w:rPr>
          <w:rFonts w:eastAsia="Times New Roman"/>
          <w:color w:val="000000" w:themeColor="text1"/>
        </w:rPr>
        <w:t xml:space="preserve"> studied </w:t>
      </w:r>
      <w:r w:rsidRPr="00A7167B">
        <w:rPr>
          <w:rFonts w:eastAsia="Times New Roman"/>
          <w:color w:val="000000" w:themeColor="text1"/>
        </w:rPr>
        <w:t>whether typological differences regarding grammatical aspect would influence L1 Spanish–L2 Swedish bilinguals’ sensitivity to tense and aspect use, particularly to their reference to motion endpoints</w:t>
      </w:r>
      <w:r>
        <w:rPr>
          <w:rFonts w:eastAsia="Times New Roman"/>
          <w:color w:val="000000" w:themeColor="text1"/>
        </w:rPr>
        <w:t>. They utilized CG principles to test the bilinguals’ choice of</w:t>
      </w:r>
      <w:r w:rsidRPr="00CB332A">
        <w:rPr>
          <w:rFonts w:eastAsia="Times New Roman"/>
          <w:color w:val="000000" w:themeColor="text1"/>
        </w:rPr>
        <w:t xml:space="preserve"> </w:t>
      </w:r>
      <w:r>
        <w:rPr>
          <w:rFonts w:eastAsia="Times New Roman"/>
          <w:color w:val="000000" w:themeColor="text1"/>
        </w:rPr>
        <w:t xml:space="preserve">the progressive and non-progressive, a distinction made in terms of the profile/base alignment and perspective. </w:t>
      </w:r>
      <w:r w:rsidR="00104B08">
        <w:rPr>
          <w:rFonts w:eastAsia="Times New Roman"/>
          <w:color w:val="000000" w:themeColor="text1"/>
        </w:rPr>
        <w:t>The results</w:t>
      </w:r>
      <w:r w:rsidRPr="001F4F2E">
        <w:rPr>
          <w:rFonts w:eastAsia="Times New Roman"/>
          <w:color w:val="000000" w:themeColor="text1"/>
        </w:rPr>
        <w:t xml:space="preserve"> revealed the influence of L2 Swedish on the bilinguals’ preference to mention the endpoint: while Spanish-Swedish bilinguals attended to the boundedness of the event, the Spanish monolinguals were more prone to emphasise the course of the action. Different factors that influence the pattern of endpoint coding and use of tense, such as overall proficiency and the age of onset of L2 acquisition, were taken into consideration. </w:t>
      </w:r>
      <w:proofErr w:type="spellStart"/>
      <w:r w:rsidRPr="001F4F2E">
        <w:rPr>
          <w:rFonts w:eastAsia="Times New Roman"/>
          <w:color w:val="000000" w:themeColor="text1"/>
        </w:rPr>
        <w:t>Bylund</w:t>
      </w:r>
      <w:proofErr w:type="spellEnd"/>
      <w:r w:rsidRPr="001F4F2E">
        <w:rPr>
          <w:rFonts w:eastAsia="Times New Roman"/>
          <w:color w:val="000000" w:themeColor="text1"/>
        </w:rPr>
        <w:t xml:space="preserve"> and Jarvis found that particularly those bilinguals who came into contact with Swedish before their Spanish construal event patterns were entrenched preferred to mention the endpoint rather than the ongoingness of an event. </w:t>
      </w:r>
      <w:r>
        <w:rPr>
          <w:rFonts w:eastAsia="Times New Roman"/>
          <w:color w:val="000000" w:themeColor="text1"/>
        </w:rPr>
        <w:t>They</w:t>
      </w:r>
      <w:r w:rsidRPr="001F4F2E">
        <w:rPr>
          <w:rFonts w:eastAsia="Times New Roman"/>
          <w:color w:val="000000" w:themeColor="text1"/>
        </w:rPr>
        <w:t xml:space="preserve"> interpret these results as showing L2 conceptual influence on L1. </w:t>
      </w:r>
      <w:r>
        <w:rPr>
          <w:rFonts w:eastAsia="Times New Roman"/>
          <w:color w:val="000000" w:themeColor="text1"/>
        </w:rPr>
        <w:t>CG</w:t>
      </w:r>
      <w:r w:rsidRPr="001F4F2E">
        <w:rPr>
          <w:rFonts w:eastAsia="Times New Roman"/>
          <w:color w:val="000000" w:themeColor="text1"/>
        </w:rPr>
        <w:t xml:space="preserve"> holds that the frequent use of any construction (and construal pattern) makes the process of its generalisation and acquisition easier. </w:t>
      </w:r>
      <w:r>
        <w:rPr>
          <w:rFonts w:eastAsia="Times New Roman"/>
          <w:color w:val="000000" w:themeColor="text1"/>
        </w:rPr>
        <w:t>C</w:t>
      </w:r>
      <w:r w:rsidRPr="001F4F2E">
        <w:rPr>
          <w:rFonts w:eastAsia="Times New Roman"/>
          <w:color w:val="000000" w:themeColor="text1"/>
        </w:rPr>
        <w:t>ertain grammatical constructions are more accessible to speakers because they have become entrenched through repeated activation</w:t>
      </w:r>
      <w:r>
        <w:rPr>
          <w:rFonts w:eastAsia="Times New Roman"/>
          <w:color w:val="000000" w:themeColor="text1"/>
        </w:rPr>
        <w:t xml:space="preserve"> (Langacker</w:t>
      </w:r>
      <w:r w:rsidRPr="00607356">
        <w:rPr>
          <w:rFonts w:eastAsia="Times New Roman"/>
          <w:color w:val="000000" w:themeColor="text1"/>
        </w:rPr>
        <w:t xml:space="preserve">, </w:t>
      </w:r>
      <w:r w:rsidR="00607356" w:rsidRPr="00607356">
        <w:rPr>
          <w:rFonts w:eastAsia="Times New Roman"/>
          <w:color w:val="000000" w:themeColor="text1"/>
        </w:rPr>
        <w:t>2017</w:t>
      </w:r>
      <w:r w:rsidRPr="00607356">
        <w:rPr>
          <w:rFonts w:eastAsia="Times New Roman"/>
          <w:color w:val="000000" w:themeColor="text1"/>
        </w:rPr>
        <w:t xml:space="preserve">; </w:t>
      </w:r>
      <w:proofErr w:type="spellStart"/>
      <w:r w:rsidRPr="00607356">
        <w:rPr>
          <w:rFonts w:eastAsia="Times New Roman"/>
          <w:color w:val="000000" w:themeColor="text1"/>
        </w:rPr>
        <w:t>MacWhinney</w:t>
      </w:r>
      <w:proofErr w:type="spellEnd"/>
      <w:r w:rsidRPr="00607356">
        <w:rPr>
          <w:rFonts w:eastAsia="Times New Roman"/>
          <w:color w:val="000000" w:themeColor="text1"/>
        </w:rPr>
        <w:t xml:space="preserve"> </w:t>
      </w:r>
      <w:r w:rsidR="00607356" w:rsidRPr="00607356">
        <w:rPr>
          <w:rFonts w:eastAsia="Times New Roman"/>
          <w:color w:val="000000" w:themeColor="text1"/>
        </w:rPr>
        <w:t>2017</w:t>
      </w:r>
      <w:r w:rsidRPr="00607356">
        <w:rPr>
          <w:rFonts w:eastAsia="Times New Roman"/>
          <w:color w:val="000000" w:themeColor="text1"/>
        </w:rPr>
        <w:t xml:space="preserve">). </w:t>
      </w:r>
      <w:r w:rsidRPr="001F4F2E">
        <w:rPr>
          <w:rFonts w:eastAsia="Times New Roman"/>
          <w:color w:val="000000" w:themeColor="text1"/>
        </w:rPr>
        <w:t xml:space="preserve">These frequently-occurring patterns take a more salient role in the speaker’s conceptual and linguistic repertoire, which is precisely what </w:t>
      </w:r>
      <w:r w:rsidR="002044B3">
        <w:rPr>
          <w:rFonts w:eastAsia="Times New Roman"/>
          <w:color w:val="000000" w:themeColor="text1"/>
        </w:rPr>
        <w:t>was found in their</w:t>
      </w:r>
      <w:r w:rsidRPr="001F4F2E">
        <w:rPr>
          <w:rFonts w:eastAsia="Times New Roman"/>
          <w:color w:val="000000" w:themeColor="text1"/>
        </w:rPr>
        <w:t xml:space="preserve"> study. </w:t>
      </w:r>
    </w:p>
    <w:p w14:paraId="6B9177DC" w14:textId="72D3C731" w:rsidR="009F7FE3" w:rsidRDefault="002716C4" w:rsidP="005C0C36">
      <w:pPr>
        <w:spacing w:line="360" w:lineRule="auto"/>
        <w:ind w:firstLine="720"/>
      </w:pPr>
      <w:r>
        <w:t>Another intriguing study</w:t>
      </w:r>
      <w:r w:rsidR="0071493C">
        <w:t xml:space="preserve"> on the application of CG in conceptual transfer research</w:t>
      </w:r>
      <w:r w:rsidR="00AC534C">
        <w:t xml:space="preserve"> comes from </w:t>
      </w:r>
      <w:proofErr w:type="spellStart"/>
      <w:r w:rsidR="0027616A" w:rsidRPr="000369E8">
        <w:rPr>
          <w:color w:val="000000" w:themeColor="text1"/>
        </w:rPr>
        <w:t>Krajnović</w:t>
      </w:r>
      <w:proofErr w:type="spellEnd"/>
      <w:r w:rsidR="0027616A">
        <w:t xml:space="preserve"> &amp;</w:t>
      </w:r>
      <w:r w:rsidR="00AC534C">
        <w:t xml:space="preserve"> </w:t>
      </w:r>
      <w:proofErr w:type="spellStart"/>
      <w:r w:rsidR="00AC534C">
        <w:t>Pevec</w:t>
      </w:r>
      <w:proofErr w:type="spellEnd"/>
      <w:r w:rsidR="00AC534C">
        <w:t xml:space="preserve"> </w:t>
      </w:r>
      <w:r w:rsidR="002044B3">
        <w:t xml:space="preserve">(2015) </w:t>
      </w:r>
      <w:r w:rsidR="00AC534C">
        <w:t xml:space="preserve">who </w:t>
      </w:r>
      <w:r w:rsidR="005C0C36">
        <w:t>showed</w:t>
      </w:r>
      <w:r w:rsidR="00AC534C">
        <w:t xml:space="preserve"> </w:t>
      </w:r>
      <w:r w:rsidR="005C0C36">
        <w:t>that</w:t>
      </w:r>
      <w:r w:rsidR="00AC534C">
        <w:t xml:space="preserve"> </w:t>
      </w:r>
      <w:r w:rsidR="005C0C36">
        <w:t xml:space="preserve">functional and formal errors made by Croatian </w:t>
      </w:r>
      <w:r w:rsidR="00AC534C">
        <w:t>learners</w:t>
      </w:r>
      <w:r w:rsidR="005C0C36">
        <w:t xml:space="preserve"> of English</w:t>
      </w:r>
      <w:r w:rsidR="00AC534C">
        <w:t xml:space="preserve"> when using</w:t>
      </w:r>
      <w:r w:rsidR="003118CF">
        <w:t xml:space="preserve"> the present progressive and present simple</w:t>
      </w:r>
      <w:r w:rsidR="00AC534C">
        <w:t xml:space="preserve"> construction were a result of </w:t>
      </w:r>
      <w:r w:rsidR="0071493C">
        <w:t>entrenched L1 construal patterns</w:t>
      </w:r>
      <w:r w:rsidR="00AC534C">
        <w:t xml:space="preserve">. </w:t>
      </w:r>
      <w:r w:rsidR="005C0C36">
        <w:t>Specifically, they</w:t>
      </w:r>
      <w:r w:rsidR="00463633">
        <w:t xml:space="preserve"> </w:t>
      </w:r>
      <w:r w:rsidR="003118CF">
        <w:t>were likely to use</w:t>
      </w:r>
      <w:r w:rsidR="00463633" w:rsidRPr="00463633">
        <w:t xml:space="preserve"> </w:t>
      </w:r>
      <w:r w:rsidR="003118CF">
        <w:t xml:space="preserve">the </w:t>
      </w:r>
      <w:r w:rsidR="00D62826">
        <w:t>present progressive</w:t>
      </w:r>
      <w:r w:rsidR="00463633" w:rsidRPr="00463633">
        <w:t xml:space="preserve"> </w:t>
      </w:r>
      <w:r w:rsidR="00642035">
        <w:t xml:space="preserve">form </w:t>
      </w:r>
      <w:r w:rsidR="00463633" w:rsidRPr="00463633">
        <w:t xml:space="preserve">with </w:t>
      </w:r>
      <w:r w:rsidR="00D62826">
        <w:t>“</w:t>
      </w:r>
      <w:r w:rsidR="00463633" w:rsidRPr="00463633">
        <w:t>ambivalent, non-prototypical constructions</w:t>
      </w:r>
      <w:r w:rsidR="00D62826">
        <w:t xml:space="preserve">” (p. </w:t>
      </w:r>
      <w:r w:rsidR="00FD7B61" w:rsidRPr="00FD7B61">
        <w:rPr>
          <w:color w:val="000000" w:themeColor="text1"/>
        </w:rPr>
        <w:t>105</w:t>
      </w:r>
      <w:r w:rsidR="00642035">
        <w:t xml:space="preserve">) to encode events </w:t>
      </w:r>
      <w:r w:rsidR="009A0C6B">
        <w:t xml:space="preserve">that are </w:t>
      </w:r>
      <w:r w:rsidR="00642035">
        <w:t>viewed with a maximal viewing frame</w:t>
      </w:r>
      <w:r w:rsidR="00657AB0">
        <w:t xml:space="preserve"> and</w:t>
      </w:r>
      <w:r w:rsidR="009A0C6B">
        <w:t xml:space="preserve"> usually expressed with the simple present form</w:t>
      </w:r>
      <w:r w:rsidR="00642035">
        <w:t xml:space="preserve">. </w:t>
      </w:r>
      <w:r w:rsidR="00973D25">
        <w:t>They</w:t>
      </w:r>
      <w:r w:rsidR="005C0C36" w:rsidRPr="005C0C36">
        <w:t xml:space="preserve"> argued that conceptual transfer effects in learner’s oral performance can be attributed to the differences in how processes and states are expressed in Croatian and English. When Croatian learners conceptualised a state or stable situation through time, they used the progressive to describe the situation because they created a link </w:t>
      </w:r>
      <w:r w:rsidR="005C0C36" w:rsidRPr="005C0C36">
        <w:lastRenderedPageBreak/>
        <w:t xml:space="preserve">between the progressive construction in English and the imperfect aspect of verbs in Croatian. As </w:t>
      </w:r>
      <w:proofErr w:type="spellStart"/>
      <w:r w:rsidR="005C0C36" w:rsidRPr="005C0C36">
        <w:t>Krajinovic</w:t>
      </w:r>
      <w:proofErr w:type="spellEnd"/>
      <w:r w:rsidR="005C0C36" w:rsidRPr="005C0C36">
        <w:t xml:space="preserve"> and </w:t>
      </w:r>
      <w:proofErr w:type="spellStart"/>
      <w:r w:rsidR="005C0C36" w:rsidRPr="005C0C36">
        <w:t>Pevec</w:t>
      </w:r>
      <w:proofErr w:type="spellEnd"/>
      <w:r w:rsidR="005C0C36" w:rsidRPr="005C0C36">
        <w:t xml:space="preserve"> </w:t>
      </w:r>
      <w:r w:rsidR="005C0C36">
        <w:t>stated</w:t>
      </w:r>
      <w:r w:rsidR="005C0C36" w:rsidRPr="005C0C36">
        <w:t>, “[w]</w:t>
      </w:r>
      <w:proofErr w:type="spellStart"/>
      <w:r w:rsidR="005C0C36" w:rsidRPr="005C0C36">
        <w:t>hile</w:t>
      </w:r>
      <w:proofErr w:type="spellEnd"/>
      <w:r w:rsidR="005C0C36" w:rsidRPr="005C0C36">
        <w:t xml:space="preserve"> learning English constructions that conceptualize, i.e. that express the present, primary school learners mostly made errors in using English PC with ambivalent, non-prototypical constructions whose telic or atelic meaning is constructed according to the situation” (p. 105). </w:t>
      </w:r>
    </w:p>
    <w:p w14:paraId="369FE048" w14:textId="77777777" w:rsidR="00130672" w:rsidRDefault="00130672" w:rsidP="00D806AD">
      <w:pPr>
        <w:tabs>
          <w:tab w:val="left" w:pos="5145"/>
        </w:tabs>
        <w:spacing w:line="360" w:lineRule="auto"/>
        <w:outlineLvl w:val="0"/>
      </w:pPr>
    </w:p>
    <w:p w14:paraId="08AC0166" w14:textId="3F66F6A8" w:rsidR="00A727DD" w:rsidRDefault="00CA3A82" w:rsidP="00D806AD">
      <w:pPr>
        <w:tabs>
          <w:tab w:val="left" w:pos="5145"/>
        </w:tabs>
        <w:spacing w:line="360" w:lineRule="auto"/>
        <w:outlineLvl w:val="0"/>
        <w:rPr>
          <w:b/>
          <w:color w:val="000000" w:themeColor="text1"/>
        </w:rPr>
      </w:pPr>
      <w:r>
        <w:rPr>
          <w:b/>
          <w:color w:val="000000" w:themeColor="text1"/>
        </w:rPr>
        <w:t>5</w:t>
      </w:r>
      <w:r w:rsidR="00A727DD" w:rsidRPr="00C3354B">
        <w:rPr>
          <w:b/>
          <w:color w:val="000000" w:themeColor="text1"/>
        </w:rPr>
        <w:t xml:space="preserve"> </w:t>
      </w:r>
      <w:r w:rsidR="00373CDC">
        <w:rPr>
          <w:b/>
          <w:color w:val="000000" w:themeColor="text1"/>
        </w:rPr>
        <w:t>Conceptual Transfer</w:t>
      </w:r>
      <w:r w:rsidR="00207701">
        <w:rPr>
          <w:b/>
          <w:color w:val="000000" w:themeColor="text1"/>
        </w:rPr>
        <w:t xml:space="preserve"> among Finnish and German Learners of English</w:t>
      </w:r>
      <w:r w:rsidR="0018626F">
        <w:rPr>
          <w:rStyle w:val="FootnoteReference"/>
          <w:color w:val="000000" w:themeColor="text1"/>
        </w:rPr>
        <w:footnoteReference w:id="6"/>
      </w:r>
      <w:r w:rsidR="00207701">
        <w:rPr>
          <w:b/>
          <w:color w:val="000000" w:themeColor="text1"/>
        </w:rPr>
        <w:t xml:space="preserve"> </w:t>
      </w:r>
      <w:r w:rsidR="00A223AB" w:rsidRPr="00C3354B">
        <w:rPr>
          <w:b/>
          <w:color w:val="000000" w:themeColor="text1"/>
        </w:rPr>
        <w:t xml:space="preserve"> </w:t>
      </w:r>
    </w:p>
    <w:p w14:paraId="73C25F6D" w14:textId="47197C12" w:rsidR="008B3702" w:rsidRDefault="004C0AFD" w:rsidP="00DC333D">
      <w:pPr>
        <w:tabs>
          <w:tab w:val="left" w:pos="720"/>
        </w:tabs>
        <w:spacing w:line="360" w:lineRule="auto"/>
        <w:rPr>
          <w:rFonts w:eastAsia="Calibri"/>
        </w:rPr>
      </w:pPr>
      <w:r>
        <w:rPr>
          <w:color w:val="000000" w:themeColor="text1"/>
        </w:rPr>
        <w:t xml:space="preserve">In this research project, it is attempted to examine whether </w:t>
      </w:r>
      <w:r w:rsidR="00EC3CC6">
        <w:rPr>
          <w:color w:val="000000" w:themeColor="text1"/>
        </w:rPr>
        <w:t xml:space="preserve">learners’ </w:t>
      </w:r>
      <w:r>
        <w:rPr>
          <w:color w:val="000000" w:themeColor="text1"/>
        </w:rPr>
        <w:t xml:space="preserve">errors with respect to the expression of temporality using tense and aspect structures in L2 English originate from the </w:t>
      </w:r>
      <w:r w:rsidR="002E0AF5">
        <w:rPr>
          <w:color w:val="000000" w:themeColor="text1"/>
        </w:rPr>
        <w:t>different patterns of construal in event conceptualization</w:t>
      </w:r>
      <w:r>
        <w:rPr>
          <w:color w:val="000000" w:themeColor="text1"/>
        </w:rPr>
        <w:t xml:space="preserve"> in the </w:t>
      </w:r>
      <w:r w:rsidR="00EC3CC6">
        <w:rPr>
          <w:color w:val="000000" w:themeColor="text1"/>
        </w:rPr>
        <w:t>their</w:t>
      </w:r>
      <w:r>
        <w:rPr>
          <w:color w:val="000000" w:themeColor="text1"/>
        </w:rPr>
        <w:t xml:space="preserve"> L1, Finnish and German, respectively.</w:t>
      </w:r>
      <w:r w:rsidR="007218E3">
        <w:rPr>
          <w:color w:val="000000" w:themeColor="text1"/>
        </w:rPr>
        <w:t xml:space="preserve"> In other words, </w:t>
      </w:r>
      <w:r w:rsidR="009C6623">
        <w:rPr>
          <w:color w:val="000000" w:themeColor="text1"/>
        </w:rPr>
        <w:t xml:space="preserve">the question </w:t>
      </w:r>
      <w:r w:rsidR="00987935">
        <w:rPr>
          <w:color w:val="000000" w:themeColor="text1"/>
        </w:rPr>
        <w:t>address</w:t>
      </w:r>
      <w:r w:rsidR="004A1D8D">
        <w:rPr>
          <w:color w:val="000000" w:themeColor="text1"/>
        </w:rPr>
        <w:t>ed</w:t>
      </w:r>
      <w:r w:rsidR="00987935">
        <w:rPr>
          <w:color w:val="000000" w:themeColor="text1"/>
        </w:rPr>
        <w:t xml:space="preserve"> in this project is</w:t>
      </w:r>
      <w:r w:rsidR="006F4E8F">
        <w:rPr>
          <w:color w:val="000000" w:themeColor="text1"/>
        </w:rPr>
        <w:t>: D</w:t>
      </w:r>
      <w:r w:rsidR="007218E3">
        <w:rPr>
          <w:color w:val="000000" w:themeColor="text1"/>
        </w:rPr>
        <w:t xml:space="preserve">o learners from two different language backgrounds construe </w:t>
      </w:r>
      <w:r w:rsidR="009C6623">
        <w:rPr>
          <w:color w:val="000000" w:themeColor="text1"/>
        </w:rPr>
        <w:t xml:space="preserve">the same conceptual content in different ways? </w:t>
      </w:r>
      <w:r w:rsidR="004A1D8D">
        <w:rPr>
          <w:color w:val="000000" w:themeColor="text1"/>
        </w:rPr>
        <w:t>In this respect</w:t>
      </w:r>
      <w:r w:rsidR="003E5D5C">
        <w:rPr>
          <w:color w:val="000000" w:themeColor="text1"/>
        </w:rPr>
        <w:t xml:space="preserve">, </w:t>
      </w:r>
      <w:r w:rsidR="003E5D5C">
        <w:rPr>
          <w:rFonts w:eastAsia="Calibri"/>
        </w:rPr>
        <w:t>th</w:t>
      </w:r>
      <w:r w:rsidR="004A1D8D">
        <w:rPr>
          <w:rFonts w:eastAsia="Calibri"/>
        </w:rPr>
        <w:t>e</w:t>
      </w:r>
      <w:r w:rsidR="003E5D5C">
        <w:rPr>
          <w:rFonts w:eastAsia="Calibri"/>
        </w:rPr>
        <w:t xml:space="preserve"> project</w:t>
      </w:r>
      <w:r w:rsidR="003E5D5C" w:rsidRPr="001F6846">
        <w:rPr>
          <w:rFonts w:eastAsia="Calibri"/>
        </w:rPr>
        <w:t xml:space="preserve"> investigate</w:t>
      </w:r>
      <w:r w:rsidR="004A1D8D">
        <w:rPr>
          <w:rFonts w:eastAsia="Calibri"/>
        </w:rPr>
        <w:t>s</w:t>
      </w:r>
      <w:r w:rsidR="003E5D5C" w:rsidRPr="001F6846">
        <w:rPr>
          <w:rFonts w:eastAsia="Calibri"/>
        </w:rPr>
        <w:t xml:space="preserve"> and compare</w:t>
      </w:r>
      <w:r w:rsidR="004A1D8D">
        <w:rPr>
          <w:rFonts w:eastAsia="Calibri"/>
        </w:rPr>
        <w:t>s</w:t>
      </w:r>
      <w:r w:rsidR="003E5D5C" w:rsidRPr="001F6846">
        <w:rPr>
          <w:rFonts w:eastAsia="Calibri"/>
        </w:rPr>
        <w:t xml:space="preserve"> </w:t>
      </w:r>
      <w:r w:rsidR="008B3702">
        <w:rPr>
          <w:rFonts w:eastAsia="Calibri"/>
        </w:rPr>
        <w:t>construal patterns of temporal relationships, as presented in section 3,</w:t>
      </w:r>
      <w:r w:rsidR="003E5D5C">
        <w:rPr>
          <w:rFonts w:eastAsia="Calibri"/>
        </w:rPr>
        <w:t xml:space="preserve"> employed by</w:t>
      </w:r>
      <w:r w:rsidR="003E5D5C" w:rsidRPr="004E4FC4">
        <w:rPr>
          <w:rFonts w:eastAsia="Calibri"/>
        </w:rPr>
        <w:t xml:space="preserve"> </w:t>
      </w:r>
      <w:r w:rsidR="003E5D5C">
        <w:rPr>
          <w:rFonts w:eastAsia="Calibri"/>
        </w:rPr>
        <w:t xml:space="preserve">L2 learners and native speakers </w:t>
      </w:r>
      <w:r w:rsidR="008B3702">
        <w:rPr>
          <w:rFonts w:eastAsia="Calibri"/>
        </w:rPr>
        <w:t>to ascertain whether the differing tendencies for expressing temporality can be attributed to conceptual transfer</w:t>
      </w:r>
      <w:r w:rsidR="003E5D5C" w:rsidRPr="001F6846">
        <w:rPr>
          <w:rFonts w:eastAsia="Calibri"/>
        </w:rPr>
        <w:t>.</w:t>
      </w:r>
      <w:r w:rsidR="008B3702">
        <w:rPr>
          <w:rFonts w:eastAsia="Calibri"/>
        </w:rPr>
        <w:t xml:space="preserve"> </w:t>
      </w:r>
    </w:p>
    <w:p w14:paraId="6F388E73" w14:textId="3A8D3552" w:rsidR="002F001F" w:rsidRDefault="00F61C5E" w:rsidP="00DC333D">
      <w:pPr>
        <w:tabs>
          <w:tab w:val="left" w:pos="720"/>
        </w:tabs>
        <w:spacing w:line="360" w:lineRule="auto"/>
        <w:rPr>
          <w:color w:val="000000" w:themeColor="text1"/>
        </w:rPr>
      </w:pPr>
      <w:r>
        <w:rPr>
          <w:rFonts w:eastAsia="Calibri"/>
        </w:rPr>
        <w:tab/>
      </w:r>
      <w:r w:rsidR="00EC3CC6" w:rsidRPr="008F11C7">
        <w:rPr>
          <w:rFonts w:eastAsia="Calibri"/>
          <w:color w:val="000000" w:themeColor="text1"/>
        </w:rPr>
        <w:t xml:space="preserve">In line with Jarvis’ </w:t>
      </w:r>
      <w:r w:rsidR="008F11C7" w:rsidRPr="008F11C7">
        <w:rPr>
          <w:rFonts w:eastAsia="Calibri"/>
          <w:color w:val="000000" w:themeColor="text1"/>
        </w:rPr>
        <w:t xml:space="preserve">(2016, 2017) </w:t>
      </w:r>
      <w:r w:rsidR="00EC3CC6" w:rsidRPr="008F11C7">
        <w:rPr>
          <w:rFonts w:eastAsia="Calibri"/>
          <w:color w:val="000000" w:themeColor="text1"/>
        </w:rPr>
        <w:t xml:space="preserve">methodological </w:t>
      </w:r>
      <w:r w:rsidR="00B81F0C" w:rsidRPr="008F11C7">
        <w:rPr>
          <w:rFonts w:eastAsia="Calibri"/>
          <w:color w:val="000000" w:themeColor="text1"/>
        </w:rPr>
        <w:t xml:space="preserve">framework of </w:t>
      </w:r>
      <w:r w:rsidR="008F11C7" w:rsidRPr="008F11C7">
        <w:rPr>
          <w:rFonts w:eastAsia="Calibri"/>
          <w:color w:val="000000" w:themeColor="text1"/>
        </w:rPr>
        <w:t>studying conceptual transfer</w:t>
      </w:r>
      <w:r w:rsidR="00EC3CC6" w:rsidRPr="008F11C7">
        <w:rPr>
          <w:rFonts w:eastAsia="Calibri"/>
          <w:color w:val="000000" w:themeColor="text1"/>
        </w:rPr>
        <w:t>,</w:t>
      </w:r>
      <w:r w:rsidR="008F11C7" w:rsidRPr="008F11C7">
        <w:rPr>
          <w:rFonts w:eastAsia="Calibri"/>
          <w:color w:val="000000" w:themeColor="text1"/>
        </w:rPr>
        <w:t xml:space="preserve"> this work </w:t>
      </w:r>
      <w:r w:rsidR="0087762B" w:rsidRPr="008F11C7">
        <w:rPr>
          <w:rFonts w:eastAsia="Calibri"/>
          <w:color w:val="000000" w:themeColor="text1"/>
        </w:rPr>
        <w:t>compar</w:t>
      </w:r>
      <w:r w:rsidR="002F001F" w:rsidRPr="008F11C7">
        <w:rPr>
          <w:rFonts w:eastAsia="Calibri"/>
          <w:color w:val="000000" w:themeColor="text1"/>
        </w:rPr>
        <w:t>e</w:t>
      </w:r>
      <w:r w:rsidR="00EC3CC6" w:rsidRPr="008F11C7">
        <w:rPr>
          <w:rFonts w:eastAsia="Calibri"/>
          <w:color w:val="000000" w:themeColor="text1"/>
        </w:rPr>
        <w:t>s</w:t>
      </w:r>
      <w:r w:rsidR="002F001F" w:rsidRPr="008F11C7">
        <w:rPr>
          <w:rFonts w:eastAsia="Calibri"/>
          <w:color w:val="000000" w:themeColor="text1"/>
        </w:rPr>
        <w:t xml:space="preserve"> the written language </w:t>
      </w:r>
      <w:r w:rsidR="002F001F" w:rsidRPr="008F11C7">
        <w:rPr>
          <w:color w:val="000000" w:themeColor="text1"/>
          <w:lang w:val="en-US"/>
        </w:rPr>
        <w:t>produced by English native speakers in the use of the tense and aspect structures</w:t>
      </w:r>
      <w:r w:rsidR="0087762B" w:rsidRPr="008F11C7">
        <w:rPr>
          <w:color w:val="000000" w:themeColor="text1"/>
          <w:lang w:val="en-US"/>
        </w:rPr>
        <w:t xml:space="preserve"> with</w:t>
      </w:r>
      <w:r w:rsidR="002F001F" w:rsidRPr="008F11C7">
        <w:rPr>
          <w:color w:val="000000" w:themeColor="text1"/>
          <w:lang w:val="en-US"/>
        </w:rPr>
        <w:t xml:space="preserve"> the results produced by Finnish </w:t>
      </w:r>
      <w:r w:rsidR="0087762B" w:rsidRPr="008F11C7">
        <w:rPr>
          <w:color w:val="000000" w:themeColor="text1"/>
          <w:lang w:val="en-US"/>
        </w:rPr>
        <w:t>learner</w:t>
      </w:r>
      <w:r w:rsidR="002F001F" w:rsidRPr="008F11C7">
        <w:rPr>
          <w:color w:val="000000" w:themeColor="text1"/>
          <w:lang w:val="en-US"/>
        </w:rPr>
        <w:t>s and German learners</w:t>
      </w:r>
      <w:r w:rsidR="0087762B" w:rsidRPr="008F11C7">
        <w:rPr>
          <w:color w:val="000000" w:themeColor="text1"/>
          <w:lang w:val="en-US"/>
        </w:rPr>
        <w:t xml:space="preserve"> of English</w:t>
      </w:r>
      <w:r w:rsidR="008F11C7" w:rsidRPr="008F11C7">
        <w:rPr>
          <w:color w:val="000000" w:themeColor="text1"/>
          <w:lang w:val="en-US"/>
        </w:rPr>
        <w:t>; this will be done to see whether the learners’ choices and preferences in L2 English reflect the patterns of temporal construal in their L1s</w:t>
      </w:r>
      <w:r w:rsidR="00130672">
        <w:rPr>
          <w:color w:val="000000" w:themeColor="text1"/>
          <w:lang w:val="en-US"/>
        </w:rPr>
        <w:t>.</w:t>
      </w:r>
      <w:r w:rsidR="008F11C7" w:rsidRPr="008F11C7">
        <w:rPr>
          <w:color w:val="000000" w:themeColor="text1"/>
          <w:lang w:val="en-US"/>
        </w:rPr>
        <w:t xml:space="preserve"> </w:t>
      </w:r>
      <w:r w:rsidR="002F001F" w:rsidRPr="008F11C7">
        <w:rPr>
          <w:color w:val="000000" w:themeColor="text1"/>
          <w:lang w:val="en-US"/>
        </w:rPr>
        <w:t xml:space="preserve">It </w:t>
      </w:r>
      <w:r w:rsidR="008F11C7" w:rsidRPr="008F11C7">
        <w:rPr>
          <w:color w:val="000000" w:themeColor="text1"/>
          <w:lang w:val="en-US"/>
        </w:rPr>
        <w:t>also</w:t>
      </w:r>
      <w:r w:rsidR="002F001F" w:rsidRPr="008F11C7">
        <w:rPr>
          <w:color w:val="000000" w:themeColor="text1"/>
          <w:lang w:val="en-US"/>
        </w:rPr>
        <w:t xml:space="preserve"> discuss </w:t>
      </w:r>
      <w:r w:rsidR="0087762B" w:rsidRPr="008F11C7">
        <w:rPr>
          <w:color w:val="000000" w:themeColor="text1"/>
          <w:lang w:val="en-US"/>
        </w:rPr>
        <w:t xml:space="preserve">more closely </w:t>
      </w:r>
      <w:r w:rsidR="002F001F" w:rsidRPr="008F11C7">
        <w:rPr>
          <w:color w:val="000000" w:themeColor="text1"/>
          <w:lang w:val="en-US"/>
        </w:rPr>
        <w:t>the results</w:t>
      </w:r>
      <w:r w:rsidR="00D0024B" w:rsidRPr="008F11C7">
        <w:rPr>
          <w:color w:val="000000" w:themeColor="text1"/>
          <w:lang w:val="en-US"/>
        </w:rPr>
        <w:t xml:space="preserve"> of two control groups, </w:t>
      </w:r>
      <w:r w:rsidR="002F001F" w:rsidRPr="008F11C7">
        <w:rPr>
          <w:color w:val="000000" w:themeColor="text1"/>
          <w:lang w:val="en-US"/>
        </w:rPr>
        <w:t xml:space="preserve">Finnish L1 </w:t>
      </w:r>
      <w:r w:rsidR="00D0024B" w:rsidRPr="008F11C7">
        <w:rPr>
          <w:color w:val="000000" w:themeColor="text1"/>
          <w:lang w:val="en-US"/>
        </w:rPr>
        <w:t xml:space="preserve">and </w:t>
      </w:r>
      <w:r w:rsidR="002F001F" w:rsidRPr="008F11C7">
        <w:rPr>
          <w:color w:val="000000" w:themeColor="text1"/>
          <w:lang w:val="en-US"/>
        </w:rPr>
        <w:t>German L1 speakers</w:t>
      </w:r>
      <w:r w:rsidR="00D0024B" w:rsidRPr="008F11C7">
        <w:rPr>
          <w:color w:val="000000" w:themeColor="text1"/>
          <w:lang w:val="en-US"/>
        </w:rPr>
        <w:t>,</w:t>
      </w:r>
      <w:r w:rsidR="002F001F" w:rsidRPr="008F11C7">
        <w:rPr>
          <w:color w:val="000000" w:themeColor="text1"/>
          <w:lang w:val="en-US"/>
        </w:rPr>
        <w:t xml:space="preserve"> and the </w:t>
      </w:r>
      <w:r w:rsidR="008F11C7" w:rsidRPr="008F11C7">
        <w:rPr>
          <w:color w:val="000000" w:themeColor="text1"/>
          <w:lang w:val="en-US"/>
        </w:rPr>
        <w:t xml:space="preserve">between-group </w:t>
      </w:r>
      <w:r w:rsidR="002F001F" w:rsidRPr="008F11C7">
        <w:rPr>
          <w:color w:val="000000" w:themeColor="text1"/>
          <w:lang w:val="en-US"/>
        </w:rPr>
        <w:t xml:space="preserve">differences found </w:t>
      </w:r>
      <w:r w:rsidR="00130672">
        <w:rPr>
          <w:color w:val="000000" w:themeColor="text1"/>
          <w:lang w:val="en-US"/>
        </w:rPr>
        <w:t>in</w:t>
      </w:r>
      <w:r w:rsidR="002F001F" w:rsidRPr="008F11C7">
        <w:rPr>
          <w:color w:val="000000" w:themeColor="text1"/>
          <w:lang w:val="en-US"/>
        </w:rPr>
        <w:t xml:space="preserve"> construal patterns</w:t>
      </w:r>
      <w:r w:rsidR="002F001F" w:rsidRPr="007C4A2D">
        <w:rPr>
          <w:color w:val="000000" w:themeColor="text1"/>
          <w:lang w:val="en-US"/>
        </w:rPr>
        <w:t xml:space="preserve"> in </w:t>
      </w:r>
      <w:r w:rsidR="008F11C7" w:rsidRPr="007C4A2D">
        <w:rPr>
          <w:color w:val="000000" w:themeColor="text1"/>
          <w:lang w:val="en-US"/>
        </w:rPr>
        <w:t>the</w:t>
      </w:r>
      <w:r w:rsidR="002F001F" w:rsidRPr="007C4A2D">
        <w:rPr>
          <w:color w:val="000000" w:themeColor="text1"/>
          <w:lang w:val="en-US"/>
        </w:rPr>
        <w:t xml:space="preserve"> expression of temporality. </w:t>
      </w:r>
      <w:r w:rsidR="007C4A2D" w:rsidRPr="007C4A2D">
        <w:rPr>
          <w:rFonts w:eastAsia="Calibri"/>
          <w:color w:val="000000" w:themeColor="text1"/>
        </w:rPr>
        <w:t xml:space="preserve">This research uses corpus data to model the L2 properties of written constructions containing tense and aspect forms in two varieties of learner English. The </w:t>
      </w:r>
      <w:r w:rsidR="007C4A2D" w:rsidRPr="007C4A2D">
        <w:rPr>
          <w:color w:val="000000" w:themeColor="text1"/>
        </w:rPr>
        <w:t xml:space="preserve">data comes from the </w:t>
      </w:r>
      <w:r w:rsidR="007C4A2D" w:rsidRPr="007C4A2D">
        <w:rPr>
          <w:i/>
          <w:color w:val="000000" w:themeColor="text1"/>
        </w:rPr>
        <w:t xml:space="preserve">International Corpus of Learner English </w:t>
      </w:r>
      <w:r w:rsidR="007C4A2D" w:rsidRPr="007C4A2D">
        <w:rPr>
          <w:color w:val="000000" w:themeColor="text1"/>
        </w:rPr>
        <w:t xml:space="preserve">(ICLE), a corpus of argumentative essays on various topics composed by advanced learners of English from different L1 backgrounds. </w:t>
      </w:r>
      <w:r w:rsidR="007C4A2D" w:rsidRPr="007C4A2D">
        <w:rPr>
          <w:rFonts w:eastAsia="Calibri"/>
          <w:color w:val="000000" w:themeColor="text1"/>
        </w:rPr>
        <w:t xml:space="preserve">The two learner corpora included in the present work are comparable as they all consist of essays of around 500 words on the same topics. </w:t>
      </w:r>
      <w:r w:rsidR="00601D4D">
        <w:rPr>
          <w:rFonts w:eastAsia="Calibri"/>
          <w:color w:val="000000" w:themeColor="text1"/>
        </w:rPr>
        <w:t xml:space="preserve">The analysis involves several stages: </w:t>
      </w:r>
      <w:r w:rsidR="00601D4D" w:rsidRPr="00601D4D">
        <w:rPr>
          <w:rFonts w:eastAsia="Calibri"/>
          <w:color w:val="000000" w:themeColor="text1"/>
        </w:rPr>
        <w:t xml:space="preserve">First, instances of tense/aspect structures (present tense forms, past tense forms, </w:t>
      </w:r>
      <w:r w:rsidR="00601D4D" w:rsidRPr="00601D4D">
        <w:rPr>
          <w:rFonts w:eastAsia="Calibri"/>
          <w:color w:val="000000" w:themeColor="text1"/>
        </w:rPr>
        <w:lastRenderedPageBreak/>
        <w:t xml:space="preserve">progressive forms) </w:t>
      </w:r>
      <w:r w:rsidR="00D26E04">
        <w:rPr>
          <w:rFonts w:eastAsia="Calibri"/>
          <w:color w:val="000000" w:themeColor="text1"/>
        </w:rPr>
        <w:t>are</w:t>
      </w:r>
      <w:r w:rsidR="00601D4D" w:rsidRPr="00601D4D">
        <w:rPr>
          <w:rFonts w:eastAsia="Calibri"/>
          <w:color w:val="000000" w:themeColor="text1"/>
        </w:rPr>
        <w:t xml:space="preserve"> extracted from the corpus data </w:t>
      </w:r>
      <w:r w:rsidR="00601D4D">
        <w:rPr>
          <w:rFonts w:eastAsia="Calibri"/>
          <w:color w:val="000000" w:themeColor="text1"/>
        </w:rPr>
        <w:t xml:space="preserve">using </w:t>
      </w:r>
      <w:proofErr w:type="spellStart"/>
      <w:r w:rsidR="00601D4D" w:rsidRPr="00601D4D">
        <w:rPr>
          <w:rFonts w:eastAsia="Calibri"/>
          <w:color w:val="000000" w:themeColor="text1"/>
        </w:rPr>
        <w:t>WordSmith</w:t>
      </w:r>
      <w:proofErr w:type="spellEnd"/>
      <w:r w:rsidR="00601D4D" w:rsidRPr="00601D4D">
        <w:rPr>
          <w:rFonts w:eastAsia="Calibri"/>
          <w:color w:val="000000" w:themeColor="text1"/>
        </w:rPr>
        <w:t xml:space="preserve"> Tools. Preliminary selection of the tense/aspect structures to be included in the study is done by identifying deviant or atypical tense/aspect forms that most often occur in the </w:t>
      </w:r>
      <w:r w:rsidR="00601D4D">
        <w:rPr>
          <w:rFonts w:eastAsia="Calibri"/>
          <w:color w:val="000000" w:themeColor="text1"/>
        </w:rPr>
        <w:t xml:space="preserve">German and Finnish component if ICLE. </w:t>
      </w:r>
      <w:r w:rsidR="00601D4D" w:rsidRPr="00601D4D">
        <w:rPr>
          <w:rFonts w:eastAsia="Calibri"/>
          <w:color w:val="000000" w:themeColor="text1"/>
        </w:rPr>
        <w:t>These forms are then subjected to closer analysis</w:t>
      </w:r>
      <w:r w:rsidR="00601D4D">
        <w:rPr>
          <w:rFonts w:eastAsia="Calibri"/>
          <w:color w:val="000000" w:themeColor="text1"/>
        </w:rPr>
        <w:t xml:space="preserve">, which </w:t>
      </w:r>
      <w:r w:rsidR="00601D4D" w:rsidRPr="00601D4D">
        <w:rPr>
          <w:rFonts w:eastAsia="Calibri"/>
          <w:color w:val="000000" w:themeColor="text1"/>
        </w:rPr>
        <w:t>follows the classification scheme</w:t>
      </w:r>
      <w:r w:rsidR="00601D4D">
        <w:rPr>
          <w:rFonts w:eastAsia="Calibri"/>
          <w:color w:val="000000" w:themeColor="text1"/>
        </w:rPr>
        <w:t xml:space="preserve"> for </w:t>
      </w:r>
      <w:r w:rsidR="00601D4D" w:rsidRPr="00601D4D">
        <w:rPr>
          <w:rFonts w:eastAsia="Calibri"/>
          <w:color w:val="000000" w:themeColor="text1"/>
        </w:rPr>
        <w:t xml:space="preserve">construal patters relevant for expressing temporality presented in Table 1. </w:t>
      </w:r>
      <w:r w:rsidR="00601D4D">
        <w:rPr>
          <w:rFonts w:eastAsia="Calibri"/>
          <w:color w:val="000000" w:themeColor="text1"/>
        </w:rPr>
        <w:t>Thus</w:t>
      </w:r>
      <w:r w:rsidR="00601D4D" w:rsidRPr="00601D4D">
        <w:rPr>
          <w:rFonts w:eastAsia="Calibri"/>
          <w:color w:val="000000" w:themeColor="text1"/>
        </w:rPr>
        <w:t xml:space="preserve">, </w:t>
      </w:r>
      <w:r w:rsidR="00601D4D" w:rsidRPr="00601D4D">
        <w:rPr>
          <w:color w:val="000000" w:themeColor="text1"/>
        </w:rPr>
        <w:t xml:space="preserve">this examination </w:t>
      </w:r>
      <w:r w:rsidR="00D26E04">
        <w:rPr>
          <w:color w:val="000000" w:themeColor="text1"/>
        </w:rPr>
        <w:t>bears</w:t>
      </w:r>
      <w:r w:rsidR="00601D4D" w:rsidRPr="00601D4D">
        <w:rPr>
          <w:color w:val="000000" w:themeColor="text1"/>
        </w:rPr>
        <w:t xml:space="preserve"> testimony to those structures that reveal underlying conceptual</w:t>
      </w:r>
      <w:r w:rsidR="00D26E04">
        <w:rPr>
          <w:color w:val="000000" w:themeColor="text1"/>
        </w:rPr>
        <w:t xml:space="preserve"> </w:t>
      </w:r>
      <w:r w:rsidR="00601D4D" w:rsidRPr="00601D4D">
        <w:rPr>
          <w:color w:val="000000" w:themeColor="text1"/>
        </w:rPr>
        <w:t>differences between the two learner groups in their use of tense and aspect.</w:t>
      </w:r>
    </w:p>
    <w:p w14:paraId="42240C7F" w14:textId="6EC21B1D" w:rsidR="007079C1" w:rsidRPr="00F15FD0" w:rsidRDefault="007079C1" w:rsidP="007079C1">
      <w:pPr>
        <w:tabs>
          <w:tab w:val="left" w:pos="720"/>
        </w:tabs>
        <w:spacing w:line="360" w:lineRule="auto"/>
        <w:rPr>
          <w:color w:val="FF0000"/>
        </w:rPr>
      </w:pPr>
      <w:r>
        <w:rPr>
          <w:color w:val="000000" w:themeColor="text1"/>
          <w:lang w:val="en-US"/>
        </w:rPr>
        <w:tab/>
      </w:r>
      <w:r w:rsidRPr="00815667">
        <w:rPr>
          <w:color w:val="000000" w:themeColor="text1"/>
        </w:rPr>
        <w:t xml:space="preserve">Example (15), identified in the German component of ICLE, illustrates the erroneous use of the present perfect or the non-use of the simple past in the required context. Here, the learner’s failure to differentiate between the simple past and present perfect points to difficulty to recognise past-tense and present-tense contexts combined with time adverbials (category: temporal reference point, see </w:t>
      </w:r>
      <w:r w:rsidRPr="009841CF">
        <w:rPr>
          <w:color w:val="000000" w:themeColor="text1"/>
        </w:rPr>
        <w:t>Table 1). This may originate from</w:t>
      </w:r>
      <w:r w:rsidR="006E515D" w:rsidRPr="009841CF">
        <w:rPr>
          <w:color w:val="000000" w:themeColor="text1"/>
        </w:rPr>
        <w:t xml:space="preserve"> </w:t>
      </w:r>
      <w:r w:rsidRPr="009841CF">
        <w:rPr>
          <w:color w:val="000000" w:themeColor="text1"/>
        </w:rPr>
        <w:t xml:space="preserve">the learner’s previous </w:t>
      </w:r>
      <w:r w:rsidR="00815667" w:rsidRPr="009841CF">
        <w:rPr>
          <w:color w:val="000000" w:themeColor="text1"/>
        </w:rPr>
        <w:t xml:space="preserve">(conceptual) </w:t>
      </w:r>
      <w:r w:rsidRPr="009841CF">
        <w:rPr>
          <w:color w:val="000000" w:themeColor="text1"/>
        </w:rPr>
        <w:t>experience</w:t>
      </w:r>
      <w:r w:rsidR="006E515D" w:rsidRPr="009841CF">
        <w:rPr>
          <w:color w:val="000000" w:themeColor="text1"/>
        </w:rPr>
        <w:t xml:space="preserve">. </w:t>
      </w:r>
      <w:r w:rsidR="006E515D" w:rsidRPr="007C5B1A">
        <w:rPr>
          <w:color w:val="000000" w:themeColor="text1"/>
        </w:rPr>
        <w:t xml:space="preserve">In spoken interactions, German L1 speakers tend to use the present perfect construction to refer to the definite past, known as </w:t>
      </w:r>
      <w:proofErr w:type="spellStart"/>
      <w:r w:rsidR="006E515D" w:rsidRPr="007C5B1A">
        <w:rPr>
          <w:i/>
          <w:color w:val="000000" w:themeColor="text1"/>
        </w:rPr>
        <w:t>Präteritumsschwund</w:t>
      </w:r>
      <w:proofErr w:type="spellEnd"/>
      <w:r w:rsidR="006E515D" w:rsidRPr="007C5B1A">
        <w:rPr>
          <w:color w:val="000000" w:themeColor="text1"/>
        </w:rPr>
        <w:t xml:space="preserve"> (Fischer, 2016).</w:t>
      </w:r>
      <w:r w:rsidR="006E515D">
        <w:rPr>
          <w:color w:val="000000" w:themeColor="text1"/>
        </w:rPr>
        <w:t xml:space="preserve"> This shift may lead to a behaviour where</w:t>
      </w:r>
      <w:r w:rsidR="006E515D" w:rsidRPr="006E515D">
        <w:rPr>
          <w:color w:val="000000" w:themeColor="text1"/>
        </w:rPr>
        <w:t xml:space="preserve"> German speakers</w:t>
      </w:r>
      <w:r w:rsidRPr="006E515D">
        <w:rPr>
          <w:color w:val="000000" w:themeColor="text1"/>
        </w:rPr>
        <w:t xml:space="preserve"> </w:t>
      </w:r>
      <w:r w:rsidR="006E515D" w:rsidRPr="006E515D">
        <w:rPr>
          <w:color w:val="000000" w:themeColor="text1"/>
        </w:rPr>
        <w:t>construe</w:t>
      </w:r>
      <w:r w:rsidRPr="006E515D">
        <w:rPr>
          <w:color w:val="000000" w:themeColor="text1"/>
        </w:rPr>
        <w:t xml:space="preserve"> event</w:t>
      </w:r>
      <w:r w:rsidR="006E515D" w:rsidRPr="006E515D">
        <w:rPr>
          <w:color w:val="000000" w:themeColor="text1"/>
        </w:rPr>
        <w:t>s in the definite past</w:t>
      </w:r>
      <w:r w:rsidRPr="006E515D">
        <w:rPr>
          <w:color w:val="000000" w:themeColor="text1"/>
        </w:rPr>
        <w:t xml:space="preserve"> from a viewpoint located in the present and not from the past (as indicated by the time adverbial </w:t>
      </w:r>
      <w:r w:rsidRPr="006E515D">
        <w:rPr>
          <w:i/>
          <w:color w:val="000000" w:themeColor="text1"/>
        </w:rPr>
        <w:t>yesterday</w:t>
      </w:r>
      <w:r w:rsidRPr="006E515D">
        <w:rPr>
          <w:color w:val="000000" w:themeColor="text1"/>
        </w:rPr>
        <w:t xml:space="preserve">) (cf. </w:t>
      </w:r>
      <w:proofErr w:type="spellStart"/>
      <w:r w:rsidRPr="006E515D">
        <w:rPr>
          <w:color w:val="000000" w:themeColor="text1"/>
        </w:rPr>
        <w:t>Rogatcheva</w:t>
      </w:r>
      <w:proofErr w:type="spellEnd"/>
      <w:r w:rsidRPr="006E515D">
        <w:rPr>
          <w:color w:val="000000" w:themeColor="text1"/>
        </w:rPr>
        <w:t xml:space="preserve">, 2012). </w:t>
      </w:r>
      <w:r w:rsidRPr="007C5B1A">
        <w:rPr>
          <w:color w:val="000000" w:themeColor="text1"/>
        </w:rPr>
        <w:t xml:space="preserve">It could be hypothesized that German speakers learn to conceptualize events that happened in the definite past and come to an end from a present-tense viewpoint. If this is true, it means that German speakers and English speakers rely on different conceptual preferences when </w:t>
      </w:r>
      <w:r w:rsidR="006E515D">
        <w:rPr>
          <w:color w:val="000000" w:themeColor="text1"/>
        </w:rPr>
        <w:t>deciding whether to use a simple past or present perfect</w:t>
      </w:r>
      <w:r w:rsidR="0054357A">
        <w:rPr>
          <w:color w:val="000000" w:themeColor="text1"/>
        </w:rPr>
        <w:t xml:space="preserve">. This behaviour may carry over to their L2 use, as reflected in the differences in the conceptual meanings they express. </w:t>
      </w:r>
    </w:p>
    <w:p w14:paraId="7C0043E4" w14:textId="77777777" w:rsidR="007079C1" w:rsidRPr="00E47469" w:rsidRDefault="007079C1" w:rsidP="007079C1">
      <w:pPr>
        <w:tabs>
          <w:tab w:val="left" w:pos="720"/>
        </w:tabs>
        <w:spacing w:line="360" w:lineRule="auto"/>
        <w:ind w:left="720" w:hanging="720"/>
        <w:rPr>
          <w:color w:val="000000" w:themeColor="text1"/>
        </w:rPr>
      </w:pPr>
      <w:r w:rsidRPr="00E47469">
        <w:rPr>
          <w:color w:val="000000" w:themeColor="text1"/>
        </w:rPr>
        <w:t>(15)</w:t>
      </w:r>
      <w:r w:rsidRPr="00E47469">
        <w:rPr>
          <w:color w:val="000000" w:themeColor="text1"/>
        </w:rPr>
        <w:tab/>
      </w:r>
      <w:r w:rsidRPr="00E47469">
        <w:rPr>
          <w:i/>
          <w:color w:val="000000" w:themeColor="text1"/>
        </w:rPr>
        <w:t xml:space="preserve">Have you been </w:t>
      </w:r>
      <w:r w:rsidRPr="00E47469">
        <w:rPr>
          <w:color w:val="000000" w:themeColor="text1"/>
        </w:rPr>
        <w:t>yesterday on the report on the growth of the rubbish-mountains? (ICLE-GE-AUG-0033.1)</w:t>
      </w:r>
    </w:p>
    <w:p w14:paraId="0707759B" w14:textId="77777777" w:rsidR="007079C1" w:rsidRPr="00F15FD0" w:rsidRDefault="007079C1" w:rsidP="007079C1">
      <w:pPr>
        <w:tabs>
          <w:tab w:val="left" w:pos="720"/>
        </w:tabs>
        <w:spacing w:line="360" w:lineRule="auto"/>
        <w:ind w:left="720"/>
        <w:rPr>
          <w:color w:val="FF0000"/>
        </w:rPr>
      </w:pPr>
    </w:p>
    <w:p w14:paraId="1A15E782" w14:textId="4F3790C8" w:rsidR="007079C1" w:rsidRPr="005F41E2" w:rsidRDefault="004805A9" w:rsidP="00DC333D">
      <w:pPr>
        <w:tabs>
          <w:tab w:val="left" w:pos="720"/>
        </w:tabs>
        <w:spacing w:line="360" w:lineRule="auto"/>
        <w:rPr>
          <w:color w:val="000000" w:themeColor="text1"/>
        </w:rPr>
      </w:pPr>
      <w:r w:rsidRPr="005F41E2">
        <w:rPr>
          <w:color w:val="000000" w:themeColor="text1"/>
        </w:rPr>
        <w:t xml:space="preserve">A word of caution is in order. While learner corpora </w:t>
      </w:r>
      <w:r w:rsidR="005F41E2" w:rsidRPr="005F41E2">
        <w:rPr>
          <w:color w:val="000000" w:themeColor="text1"/>
        </w:rPr>
        <w:t xml:space="preserve">are a useful tool in particularly native language identification (Jarvis, 2017, p. 22), the questions of whether they are a valuable domain for investigating conceptual transfer has been raised (this, again, pertains to the distinction of nonverbal and verbal data in conceptual transfer studies). </w:t>
      </w:r>
      <w:r w:rsidR="003E365B">
        <w:rPr>
          <w:color w:val="000000" w:themeColor="text1"/>
        </w:rPr>
        <w:t>As Jarvis (ibid.) points out, the usefulness of corpora in this area of CLI research depends greatly on the nature of the corpus, especially with regard to the topical selection of the essays. In the German and Finnish component of ICLE, numerous essays on the same topic can be found, thus ensuring that the context across essays are similar and comparisons of learners’ expression of conceptual meanings can be made.</w:t>
      </w:r>
      <w:r w:rsidR="00F04023">
        <w:rPr>
          <w:color w:val="000000" w:themeColor="text1"/>
        </w:rPr>
        <w:t xml:space="preserve"> However, supplementing verbal data with </w:t>
      </w:r>
      <w:r w:rsidR="00F04023">
        <w:rPr>
          <w:color w:val="000000" w:themeColor="text1"/>
        </w:rPr>
        <w:lastRenderedPageBreak/>
        <w:t xml:space="preserve">non-verbal responses to tap into the effects of language on cognitive patterns (and perhaps </w:t>
      </w:r>
      <w:r w:rsidR="00D00705">
        <w:rPr>
          <w:color w:val="000000" w:themeColor="text1"/>
        </w:rPr>
        <w:t xml:space="preserve">on concepts) represents another methodological possibility for determining conceptual transfer. </w:t>
      </w:r>
    </w:p>
    <w:p w14:paraId="3C222E3D" w14:textId="04485822" w:rsidR="009D3DC4" w:rsidRPr="00A90BC0" w:rsidRDefault="009D3DC4" w:rsidP="00A90BC0">
      <w:pPr>
        <w:tabs>
          <w:tab w:val="left" w:pos="720"/>
        </w:tabs>
        <w:spacing w:line="360" w:lineRule="auto"/>
        <w:rPr>
          <w:color w:val="FF0000"/>
        </w:rPr>
      </w:pPr>
    </w:p>
    <w:p w14:paraId="5227D125" w14:textId="5E2917E0" w:rsidR="00A223AB" w:rsidRPr="00C3354B" w:rsidRDefault="00A16C3A" w:rsidP="00D806AD">
      <w:pPr>
        <w:spacing w:line="360" w:lineRule="auto"/>
        <w:outlineLvl w:val="0"/>
        <w:rPr>
          <w:b/>
          <w:color w:val="000000" w:themeColor="text1"/>
        </w:rPr>
      </w:pPr>
      <w:r>
        <w:rPr>
          <w:b/>
          <w:color w:val="000000" w:themeColor="text1"/>
        </w:rPr>
        <w:t>6</w:t>
      </w:r>
      <w:r w:rsidR="00A223AB" w:rsidRPr="00C3354B">
        <w:rPr>
          <w:b/>
          <w:color w:val="000000" w:themeColor="text1"/>
        </w:rPr>
        <w:t xml:space="preserve"> Conclusion </w:t>
      </w:r>
    </w:p>
    <w:p w14:paraId="3ACFE3B6" w14:textId="6B1E95BA" w:rsidR="00C93A3A" w:rsidRPr="002F2D74" w:rsidRDefault="00EA0C9A" w:rsidP="00C93A3A">
      <w:pPr>
        <w:tabs>
          <w:tab w:val="left" w:pos="720"/>
        </w:tabs>
        <w:spacing w:line="360" w:lineRule="auto"/>
        <w:rPr>
          <w:color w:val="000000" w:themeColor="text1"/>
        </w:rPr>
      </w:pPr>
      <w:r w:rsidRPr="00EA0C9A">
        <w:rPr>
          <w:color w:val="000000" w:themeColor="text1"/>
        </w:rPr>
        <w:t xml:space="preserve">The overall aim of this </w:t>
      </w:r>
      <w:r>
        <w:rPr>
          <w:color w:val="000000" w:themeColor="text1"/>
        </w:rPr>
        <w:t xml:space="preserve">article </w:t>
      </w:r>
      <w:r w:rsidRPr="00EA0C9A">
        <w:rPr>
          <w:color w:val="000000" w:themeColor="text1"/>
        </w:rPr>
        <w:t xml:space="preserve">has been to show how cognitive </w:t>
      </w:r>
      <w:r>
        <w:rPr>
          <w:color w:val="000000" w:themeColor="text1"/>
        </w:rPr>
        <w:t>grammar</w:t>
      </w:r>
      <w:r w:rsidRPr="00EA0C9A">
        <w:rPr>
          <w:color w:val="000000" w:themeColor="text1"/>
        </w:rPr>
        <w:t xml:space="preserve"> can constitute a promising linguistic paradigm for the study of SLA and particularly for the investigation of how learners</w:t>
      </w:r>
      <w:r>
        <w:rPr>
          <w:color w:val="000000" w:themeColor="text1"/>
        </w:rPr>
        <w:t xml:space="preserve">’ entrenched L1 construal patterns may carry over to their </w:t>
      </w:r>
      <w:r w:rsidRPr="00EA0C9A">
        <w:rPr>
          <w:color w:val="000000" w:themeColor="text1"/>
        </w:rPr>
        <w:t xml:space="preserve">L2. With respect to the contributions in general, it has been argued that </w:t>
      </w:r>
      <w:r w:rsidR="00DC577D">
        <w:rPr>
          <w:color w:val="000000" w:themeColor="text1"/>
        </w:rPr>
        <w:t>cognitive grammar</w:t>
      </w:r>
      <w:r w:rsidRPr="00EA0C9A">
        <w:rPr>
          <w:color w:val="000000" w:themeColor="text1"/>
        </w:rPr>
        <w:t xml:space="preserve"> is a particularly promising </w:t>
      </w:r>
      <w:r w:rsidR="00DC577D">
        <w:rPr>
          <w:color w:val="000000" w:themeColor="text1"/>
        </w:rPr>
        <w:t>theoretical framework</w:t>
      </w:r>
      <w:r w:rsidRPr="00EA0C9A">
        <w:rPr>
          <w:color w:val="000000" w:themeColor="text1"/>
        </w:rPr>
        <w:t xml:space="preserve"> for the examination of </w:t>
      </w:r>
      <w:r w:rsidR="00933F1C">
        <w:rPr>
          <w:color w:val="000000" w:themeColor="text1"/>
        </w:rPr>
        <w:t>event conceptualization</w:t>
      </w:r>
      <w:r w:rsidRPr="00EA0C9A">
        <w:rPr>
          <w:color w:val="000000" w:themeColor="text1"/>
        </w:rPr>
        <w:t xml:space="preserve"> given its view of language structure as </w:t>
      </w:r>
      <w:r w:rsidR="00D16214">
        <w:rPr>
          <w:color w:val="000000" w:themeColor="text1"/>
        </w:rPr>
        <w:t xml:space="preserve">a vast </w:t>
      </w:r>
      <w:r w:rsidRPr="00EA0C9A">
        <w:rPr>
          <w:color w:val="000000" w:themeColor="text1"/>
        </w:rPr>
        <w:t xml:space="preserve">symbolic </w:t>
      </w:r>
      <w:r w:rsidR="00D16214">
        <w:rPr>
          <w:color w:val="000000" w:themeColor="text1"/>
        </w:rPr>
        <w:t>network in which lexical and grammatical elements</w:t>
      </w:r>
      <w:r w:rsidRPr="00EA0C9A">
        <w:rPr>
          <w:color w:val="000000" w:themeColor="text1"/>
        </w:rPr>
        <w:t xml:space="preserve"> </w:t>
      </w:r>
      <w:r w:rsidR="00D16214">
        <w:rPr>
          <w:color w:val="000000" w:themeColor="text1"/>
        </w:rPr>
        <w:t>convey</w:t>
      </w:r>
      <w:r w:rsidRPr="00EA0C9A">
        <w:rPr>
          <w:color w:val="000000" w:themeColor="text1"/>
        </w:rPr>
        <w:t xml:space="preserve"> meaning. </w:t>
      </w:r>
      <w:r w:rsidR="00467AD5">
        <w:rPr>
          <w:color w:val="000000" w:themeColor="text1"/>
        </w:rPr>
        <w:t>Its</w:t>
      </w:r>
      <w:r w:rsidR="002F2D74">
        <w:rPr>
          <w:color w:val="000000" w:themeColor="text1"/>
        </w:rPr>
        <w:t xml:space="preserve"> view that language structure is characterized in terms of general cognitive processes </w:t>
      </w:r>
      <w:r w:rsidR="00C93A3A" w:rsidRPr="002F2D74">
        <w:rPr>
          <w:color w:val="000000" w:themeColor="text1"/>
        </w:rPr>
        <w:t xml:space="preserve">(e.g., perception, categorization, schematization, metaphor, imagery, </w:t>
      </w:r>
      <w:r w:rsidR="00453DA4">
        <w:rPr>
          <w:color w:val="000000" w:themeColor="text1"/>
        </w:rPr>
        <w:t>attention, memory, to name a few</w:t>
      </w:r>
      <w:r w:rsidR="00C93A3A" w:rsidRPr="002F2D74">
        <w:rPr>
          <w:color w:val="000000" w:themeColor="text1"/>
        </w:rPr>
        <w:t>)</w:t>
      </w:r>
      <w:r w:rsidR="00C93A3A">
        <w:rPr>
          <w:color w:val="000000" w:themeColor="text1"/>
        </w:rPr>
        <w:t xml:space="preserve"> </w:t>
      </w:r>
      <w:r w:rsidR="002F2D74">
        <w:rPr>
          <w:color w:val="000000" w:themeColor="text1"/>
        </w:rPr>
        <w:t xml:space="preserve">and that the semantic value of any expression resides in the </w:t>
      </w:r>
      <w:r w:rsidR="00C93A3A">
        <w:rPr>
          <w:color w:val="000000" w:themeColor="text1"/>
        </w:rPr>
        <w:t xml:space="preserve">form of embodied cognition, makes it especially suited for inquiries examining how linguistic choices are a result of differing construal patterns in L1 and L2 acquisition. </w:t>
      </w:r>
    </w:p>
    <w:p w14:paraId="3115AC92" w14:textId="7A967C5C" w:rsidR="00467AD5" w:rsidRDefault="002F2D74" w:rsidP="002F2D74">
      <w:pPr>
        <w:tabs>
          <w:tab w:val="left" w:pos="720"/>
        </w:tabs>
        <w:spacing w:line="360" w:lineRule="auto"/>
        <w:rPr>
          <w:color w:val="000000" w:themeColor="text1"/>
        </w:rPr>
      </w:pPr>
      <w:r w:rsidRPr="002F2D74">
        <w:rPr>
          <w:color w:val="000000" w:themeColor="text1"/>
        </w:rPr>
        <w:t xml:space="preserve">Furthermore, </w:t>
      </w:r>
      <w:r w:rsidR="00467AD5">
        <w:rPr>
          <w:color w:val="000000" w:themeColor="text1"/>
        </w:rPr>
        <w:t xml:space="preserve">its understanding of how language and cognition interact </w:t>
      </w:r>
      <w:r w:rsidRPr="002F2D74">
        <w:rPr>
          <w:color w:val="000000" w:themeColor="text1"/>
        </w:rPr>
        <w:t xml:space="preserve">allows for the establishment of links between linguistic and cognitive approaches to SLA. </w:t>
      </w:r>
    </w:p>
    <w:p w14:paraId="371A398F" w14:textId="41653CCA" w:rsidR="00467AD5" w:rsidRDefault="00467AD5" w:rsidP="00467AD5">
      <w:pPr>
        <w:tabs>
          <w:tab w:val="left" w:pos="720"/>
        </w:tabs>
        <w:spacing w:line="360" w:lineRule="auto"/>
        <w:rPr>
          <w:color w:val="000000" w:themeColor="text1"/>
        </w:rPr>
      </w:pPr>
      <w:r>
        <w:rPr>
          <w:color w:val="000000" w:themeColor="text1"/>
        </w:rPr>
        <w:tab/>
        <w:t xml:space="preserve">Thus, this article has introduced a framework that represents some of the exciting new developments in CLI research that have enlightened our understanding of the cognitive mechanisms that underlie conceptual transfer patters in multilinguals. </w:t>
      </w:r>
      <w:r w:rsidR="0072352D" w:rsidRPr="00E265BB">
        <w:rPr>
          <w:color w:val="000000" w:themeColor="text1"/>
        </w:rPr>
        <w:t xml:space="preserve">The discussion presented here shows that using a cognitive-oriented framework to </w:t>
      </w:r>
      <w:proofErr w:type="spellStart"/>
      <w:r w:rsidR="0072352D" w:rsidRPr="00E265BB">
        <w:rPr>
          <w:color w:val="000000" w:themeColor="text1"/>
        </w:rPr>
        <w:t>ana</w:t>
      </w:r>
      <w:r w:rsidR="0072352D">
        <w:rPr>
          <w:color w:val="000000" w:themeColor="text1"/>
        </w:rPr>
        <w:t>lyz</w:t>
      </w:r>
      <w:r w:rsidR="0072352D" w:rsidRPr="00E265BB">
        <w:rPr>
          <w:color w:val="000000" w:themeColor="text1"/>
        </w:rPr>
        <w:t>e</w:t>
      </w:r>
      <w:proofErr w:type="spellEnd"/>
      <w:r w:rsidR="0072352D" w:rsidRPr="00E265BB">
        <w:rPr>
          <w:color w:val="000000" w:themeColor="text1"/>
        </w:rPr>
        <w:t xml:space="preserve"> and explain manifestations of conceptual transfer in learners’ L2 use can </w:t>
      </w:r>
      <w:r w:rsidR="0072352D">
        <w:rPr>
          <w:color w:val="000000" w:themeColor="text1"/>
        </w:rPr>
        <w:t>add a new perspective to the question of why CLI effects occur in learners’ expression and interpretation of temporality, and, more generally, the process of language learning and language use in multilinguals. As it was presented, there is</w:t>
      </w:r>
      <w:r w:rsidR="0072352D" w:rsidRPr="00300AD6">
        <w:rPr>
          <w:color w:val="000000" w:themeColor="text1"/>
        </w:rPr>
        <w:t xml:space="preserve"> evidence that s</w:t>
      </w:r>
      <w:r w:rsidR="0072352D">
        <w:rPr>
          <w:color w:val="000000" w:themeColor="text1"/>
        </w:rPr>
        <w:t xml:space="preserve">hows </w:t>
      </w:r>
      <w:r w:rsidR="0072352D" w:rsidRPr="00300AD6">
        <w:rPr>
          <w:color w:val="000000" w:themeColor="text1"/>
        </w:rPr>
        <w:t>how L2 learners draw on conceptualization patterns and concepts entrenched in their L1.</w:t>
      </w:r>
      <w:r w:rsidR="0072352D">
        <w:rPr>
          <w:color w:val="000000" w:themeColor="text1"/>
        </w:rPr>
        <w:t xml:space="preserve"> Only few empirical accounts, however, </w:t>
      </w:r>
      <w:r w:rsidR="00893419">
        <w:rPr>
          <w:color w:val="000000" w:themeColor="text1"/>
        </w:rPr>
        <w:t>explicitly</w:t>
      </w:r>
      <w:r w:rsidR="0072352D">
        <w:rPr>
          <w:color w:val="000000" w:themeColor="text1"/>
        </w:rPr>
        <w:t xml:space="preserve"> </w:t>
      </w:r>
      <w:r w:rsidR="00893419">
        <w:rPr>
          <w:color w:val="000000" w:themeColor="text1"/>
        </w:rPr>
        <w:t>draw on CG-oriented descriptions in order to elucidate</w:t>
      </w:r>
      <w:r w:rsidR="0072352D">
        <w:rPr>
          <w:color w:val="000000" w:themeColor="text1"/>
        </w:rPr>
        <w:t xml:space="preserve"> </w:t>
      </w:r>
      <w:r w:rsidR="00893419" w:rsidRPr="00893419">
        <w:rPr>
          <w:color w:val="000000" w:themeColor="text1"/>
        </w:rPr>
        <w:t xml:space="preserve">conceptual representations </w:t>
      </w:r>
      <w:r w:rsidR="00893419">
        <w:rPr>
          <w:color w:val="000000" w:themeColor="text1"/>
        </w:rPr>
        <w:t>manifested in l</w:t>
      </w:r>
      <w:r w:rsidR="00893419" w:rsidRPr="00893419">
        <w:rPr>
          <w:color w:val="000000" w:themeColor="text1"/>
        </w:rPr>
        <w:t xml:space="preserve">anguage-specific </w:t>
      </w:r>
      <w:r w:rsidR="00893419">
        <w:rPr>
          <w:color w:val="000000" w:themeColor="text1"/>
        </w:rPr>
        <w:t xml:space="preserve">patterns </w:t>
      </w:r>
      <w:r w:rsidR="00893419" w:rsidRPr="00893419">
        <w:rPr>
          <w:color w:val="000000" w:themeColor="text1"/>
        </w:rPr>
        <w:t>of information organization</w:t>
      </w:r>
      <w:r w:rsidR="00893419">
        <w:rPr>
          <w:color w:val="000000" w:themeColor="text1"/>
        </w:rPr>
        <w:t>. It was argued here that the notions of construal</w:t>
      </w:r>
      <w:r w:rsidR="00893419" w:rsidRPr="00893419">
        <w:rPr>
          <w:color w:val="000000" w:themeColor="text1"/>
        </w:rPr>
        <w:t xml:space="preserve"> </w:t>
      </w:r>
      <w:r w:rsidR="00893419">
        <w:rPr>
          <w:color w:val="000000" w:themeColor="text1"/>
        </w:rPr>
        <w:t xml:space="preserve">and meaning construction deserve more attention in the study of conceptual transfer effects, for they allow more comprehensive explanations of cognitive processes relevant for the conceptualization of TIME, both in L1 and L2 acquisition. </w:t>
      </w:r>
      <w:r>
        <w:rPr>
          <w:color w:val="000000" w:themeColor="text1"/>
        </w:rPr>
        <w:t xml:space="preserve">The cognitive patterns relevant for </w:t>
      </w:r>
      <w:r w:rsidR="00A3450E">
        <w:rPr>
          <w:color w:val="000000" w:themeColor="text1"/>
        </w:rPr>
        <w:t>the construal of temporal relationships</w:t>
      </w:r>
      <w:r>
        <w:rPr>
          <w:color w:val="000000" w:themeColor="text1"/>
        </w:rPr>
        <w:t xml:space="preserve"> were discussed and illustrated by numerous examples, all of which highlighted the importance of the speaker’s active role in communication. The empirical part of the study that will be conducted relies on </w:t>
      </w:r>
      <w:r>
        <w:rPr>
          <w:color w:val="000000" w:themeColor="text1"/>
        </w:rPr>
        <w:lastRenderedPageBreak/>
        <w:t xml:space="preserve">comparisons of the encoding of time found in the English performance by two different learner groups, Finnish and German. It is hoped that the results of the study will bear testimony to the advantageous effect of employing CG-inspired tools and explanation for comparison of learner’s L2.  </w:t>
      </w:r>
    </w:p>
    <w:p w14:paraId="7A2DBE3E" w14:textId="47E85539" w:rsidR="00467AD5" w:rsidRDefault="00467AD5" w:rsidP="002F2D74">
      <w:pPr>
        <w:tabs>
          <w:tab w:val="left" w:pos="720"/>
        </w:tabs>
        <w:spacing w:line="360" w:lineRule="auto"/>
        <w:rPr>
          <w:color w:val="000000" w:themeColor="text1"/>
        </w:rPr>
      </w:pPr>
    </w:p>
    <w:p w14:paraId="654F5159" w14:textId="2AC627E2" w:rsidR="00D61C1F" w:rsidRDefault="00467AD5" w:rsidP="002F2D74">
      <w:pPr>
        <w:tabs>
          <w:tab w:val="left" w:pos="720"/>
        </w:tabs>
        <w:spacing w:line="360" w:lineRule="auto"/>
        <w:rPr>
          <w:color w:val="000000" w:themeColor="text1"/>
        </w:rPr>
      </w:pPr>
      <w:r>
        <w:rPr>
          <w:color w:val="000000" w:themeColor="text1"/>
        </w:rPr>
        <w:tab/>
      </w:r>
      <w:r w:rsidR="00D61C1F">
        <w:rPr>
          <w:color w:val="000000" w:themeColor="text1"/>
        </w:rPr>
        <w:t xml:space="preserve"> </w:t>
      </w:r>
    </w:p>
    <w:p w14:paraId="6B8A890D" w14:textId="165B34E7" w:rsidR="00E26C56" w:rsidRDefault="00E26C56" w:rsidP="007101B2">
      <w:pPr>
        <w:tabs>
          <w:tab w:val="left" w:pos="720"/>
        </w:tabs>
        <w:spacing w:line="360" w:lineRule="auto"/>
        <w:rPr>
          <w:color w:val="000000" w:themeColor="text1"/>
        </w:rPr>
      </w:pPr>
      <w:r>
        <w:rPr>
          <w:color w:val="000000" w:themeColor="text1"/>
        </w:rPr>
        <w:tab/>
      </w:r>
      <w:r w:rsidR="005253C1">
        <w:rPr>
          <w:color w:val="000000" w:themeColor="text1"/>
        </w:rPr>
        <w:t xml:space="preserve"> </w:t>
      </w:r>
    </w:p>
    <w:p w14:paraId="5B201BB6" w14:textId="77777777" w:rsidR="008D4920" w:rsidRDefault="008D4920" w:rsidP="008D4920">
      <w:pPr>
        <w:rPr>
          <w:color w:val="000000" w:themeColor="text1"/>
        </w:rPr>
      </w:pPr>
    </w:p>
    <w:p w14:paraId="2E220BA4" w14:textId="77777777" w:rsidR="00B01F71" w:rsidRDefault="00B01F71" w:rsidP="008D4920">
      <w:pPr>
        <w:rPr>
          <w:color w:val="000000" w:themeColor="text1"/>
        </w:rPr>
      </w:pPr>
    </w:p>
    <w:p w14:paraId="6B255FD4" w14:textId="77777777" w:rsidR="00B01F71" w:rsidRDefault="00B01F71" w:rsidP="008D4920">
      <w:pPr>
        <w:rPr>
          <w:color w:val="000000" w:themeColor="text1"/>
        </w:rPr>
      </w:pPr>
    </w:p>
    <w:p w14:paraId="13DA2C46" w14:textId="77777777" w:rsidR="00B01F71" w:rsidRDefault="00B01F71" w:rsidP="008D4920">
      <w:pPr>
        <w:rPr>
          <w:color w:val="000000" w:themeColor="text1"/>
        </w:rPr>
      </w:pPr>
    </w:p>
    <w:p w14:paraId="6F61933E" w14:textId="77777777" w:rsidR="00BC1C54" w:rsidRDefault="00BC1C54" w:rsidP="008D4920">
      <w:pPr>
        <w:rPr>
          <w:color w:val="000000" w:themeColor="text1"/>
        </w:rPr>
      </w:pPr>
    </w:p>
    <w:p w14:paraId="0D5A94E2" w14:textId="77777777" w:rsidR="00BC1C54" w:rsidRDefault="00BC1C54" w:rsidP="008D4920">
      <w:pPr>
        <w:rPr>
          <w:color w:val="000000" w:themeColor="text1"/>
        </w:rPr>
      </w:pPr>
    </w:p>
    <w:p w14:paraId="670E502E" w14:textId="77777777" w:rsidR="00BC1C54" w:rsidRDefault="00BC1C54" w:rsidP="008D4920">
      <w:pPr>
        <w:rPr>
          <w:color w:val="000000" w:themeColor="text1"/>
        </w:rPr>
      </w:pPr>
    </w:p>
    <w:p w14:paraId="2B26E9C0" w14:textId="77777777" w:rsidR="00BC1C54" w:rsidRDefault="00BC1C54" w:rsidP="008D4920">
      <w:pPr>
        <w:rPr>
          <w:color w:val="000000" w:themeColor="text1"/>
        </w:rPr>
      </w:pPr>
    </w:p>
    <w:p w14:paraId="2D391D65" w14:textId="284550B7" w:rsidR="005D63FC" w:rsidRDefault="005D63FC" w:rsidP="008D4920">
      <w:pPr>
        <w:rPr>
          <w:color w:val="000000" w:themeColor="text1"/>
        </w:rPr>
      </w:pPr>
    </w:p>
    <w:p w14:paraId="06364CE2" w14:textId="6C3029C1" w:rsidR="00F32ABF" w:rsidRDefault="00F32ABF" w:rsidP="008D4920">
      <w:pPr>
        <w:rPr>
          <w:color w:val="000000" w:themeColor="text1"/>
        </w:rPr>
      </w:pPr>
    </w:p>
    <w:p w14:paraId="0EBEBF09" w14:textId="46B381BA" w:rsidR="00F32ABF" w:rsidRDefault="00F32ABF" w:rsidP="008D4920">
      <w:pPr>
        <w:rPr>
          <w:color w:val="000000" w:themeColor="text1"/>
        </w:rPr>
      </w:pPr>
    </w:p>
    <w:p w14:paraId="6F84A505" w14:textId="4EBB9299" w:rsidR="00F32ABF" w:rsidRDefault="00F32ABF" w:rsidP="008D4920">
      <w:pPr>
        <w:rPr>
          <w:color w:val="000000" w:themeColor="text1"/>
        </w:rPr>
      </w:pPr>
    </w:p>
    <w:p w14:paraId="0CF3D313" w14:textId="00F52B11" w:rsidR="00F32ABF" w:rsidRDefault="00F32ABF" w:rsidP="008D4920">
      <w:pPr>
        <w:rPr>
          <w:color w:val="000000" w:themeColor="text1"/>
        </w:rPr>
      </w:pPr>
    </w:p>
    <w:p w14:paraId="5881D044" w14:textId="071F972D" w:rsidR="00F32ABF" w:rsidRDefault="00F32ABF" w:rsidP="008D4920">
      <w:pPr>
        <w:rPr>
          <w:color w:val="000000" w:themeColor="text1"/>
        </w:rPr>
      </w:pPr>
    </w:p>
    <w:p w14:paraId="61F74973" w14:textId="66C9B224" w:rsidR="00F32ABF" w:rsidRDefault="00F32ABF" w:rsidP="008D4920">
      <w:pPr>
        <w:rPr>
          <w:color w:val="000000" w:themeColor="text1"/>
        </w:rPr>
      </w:pPr>
    </w:p>
    <w:p w14:paraId="62C40876" w14:textId="15857A9A" w:rsidR="00F32ABF" w:rsidRDefault="00F32ABF" w:rsidP="008D4920">
      <w:pPr>
        <w:rPr>
          <w:color w:val="000000" w:themeColor="text1"/>
        </w:rPr>
      </w:pPr>
    </w:p>
    <w:p w14:paraId="3CBD105B" w14:textId="3C29458E" w:rsidR="00F32ABF" w:rsidRDefault="00F32ABF" w:rsidP="008D4920">
      <w:pPr>
        <w:rPr>
          <w:color w:val="000000" w:themeColor="text1"/>
        </w:rPr>
      </w:pPr>
    </w:p>
    <w:p w14:paraId="165E31E7" w14:textId="36AD322D" w:rsidR="00F32ABF" w:rsidRDefault="00F32ABF" w:rsidP="008D4920">
      <w:pPr>
        <w:rPr>
          <w:color w:val="000000" w:themeColor="text1"/>
        </w:rPr>
      </w:pPr>
    </w:p>
    <w:p w14:paraId="2D6AB839" w14:textId="722A2E4F" w:rsidR="00F32ABF" w:rsidRDefault="00F32ABF" w:rsidP="008D4920">
      <w:pPr>
        <w:rPr>
          <w:color w:val="000000" w:themeColor="text1"/>
        </w:rPr>
      </w:pPr>
    </w:p>
    <w:p w14:paraId="573F711A" w14:textId="37E2DB92" w:rsidR="00F32ABF" w:rsidRDefault="00F32ABF" w:rsidP="008D4920">
      <w:pPr>
        <w:rPr>
          <w:color w:val="000000" w:themeColor="text1"/>
        </w:rPr>
      </w:pPr>
    </w:p>
    <w:p w14:paraId="150E43D0" w14:textId="5F4C38E2" w:rsidR="00F32ABF" w:rsidRDefault="00F32ABF" w:rsidP="008D4920">
      <w:pPr>
        <w:rPr>
          <w:color w:val="000000" w:themeColor="text1"/>
        </w:rPr>
      </w:pPr>
    </w:p>
    <w:p w14:paraId="0A2F2A65" w14:textId="4E7A1492" w:rsidR="00F32ABF" w:rsidRDefault="00F32ABF" w:rsidP="008D4920">
      <w:pPr>
        <w:rPr>
          <w:color w:val="000000" w:themeColor="text1"/>
        </w:rPr>
      </w:pPr>
    </w:p>
    <w:p w14:paraId="3C740180" w14:textId="496A6AE2" w:rsidR="00F32ABF" w:rsidRDefault="00F32ABF" w:rsidP="008D4920">
      <w:pPr>
        <w:rPr>
          <w:color w:val="000000" w:themeColor="text1"/>
        </w:rPr>
      </w:pPr>
    </w:p>
    <w:p w14:paraId="129342B6" w14:textId="3672F518" w:rsidR="00F32ABF" w:rsidRDefault="00F32ABF" w:rsidP="008D4920">
      <w:pPr>
        <w:rPr>
          <w:color w:val="000000" w:themeColor="text1"/>
        </w:rPr>
      </w:pPr>
    </w:p>
    <w:p w14:paraId="73315D4D" w14:textId="47D54D08" w:rsidR="00F32ABF" w:rsidRDefault="00F32ABF" w:rsidP="008D4920">
      <w:pPr>
        <w:rPr>
          <w:color w:val="000000" w:themeColor="text1"/>
        </w:rPr>
      </w:pPr>
    </w:p>
    <w:p w14:paraId="5CF901B3" w14:textId="57C3090B" w:rsidR="00F32ABF" w:rsidRDefault="00F32ABF" w:rsidP="008D4920">
      <w:pPr>
        <w:rPr>
          <w:color w:val="000000" w:themeColor="text1"/>
        </w:rPr>
      </w:pPr>
    </w:p>
    <w:p w14:paraId="703EBCBE" w14:textId="31DBA562" w:rsidR="00F32ABF" w:rsidRDefault="00F32ABF" w:rsidP="008D4920">
      <w:pPr>
        <w:rPr>
          <w:color w:val="000000" w:themeColor="text1"/>
        </w:rPr>
      </w:pPr>
    </w:p>
    <w:p w14:paraId="52646ADB" w14:textId="71642D9F" w:rsidR="00F32ABF" w:rsidRDefault="00F32ABF" w:rsidP="008D4920">
      <w:pPr>
        <w:rPr>
          <w:color w:val="000000" w:themeColor="text1"/>
        </w:rPr>
      </w:pPr>
    </w:p>
    <w:p w14:paraId="2B371357" w14:textId="7AEDBDB4" w:rsidR="00F32ABF" w:rsidRDefault="00F32ABF" w:rsidP="008D4920">
      <w:pPr>
        <w:rPr>
          <w:color w:val="000000" w:themeColor="text1"/>
        </w:rPr>
      </w:pPr>
    </w:p>
    <w:p w14:paraId="0D939F13" w14:textId="734A58F7" w:rsidR="00F32ABF" w:rsidRDefault="00F32ABF" w:rsidP="008D4920">
      <w:pPr>
        <w:rPr>
          <w:color w:val="000000" w:themeColor="text1"/>
        </w:rPr>
      </w:pPr>
    </w:p>
    <w:p w14:paraId="0643FD5C" w14:textId="795B6F30" w:rsidR="00F32ABF" w:rsidRDefault="00F32ABF" w:rsidP="008D4920">
      <w:pPr>
        <w:rPr>
          <w:color w:val="000000" w:themeColor="text1"/>
        </w:rPr>
      </w:pPr>
    </w:p>
    <w:p w14:paraId="43C56A31" w14:textId="0787A70E" w:rsidR="00F32ABF" w:rsidRDefault="00F32ABF" w:rsidP="008D4920">
      <w:pPr>
        <w:rPr>
          <w:color w:val="000000" w:themeColor="text1"/>
        </w:rPr>
      </w:pPr>
    </w:p>
    <w:p w14:paraId="7A2081F9" w14:textId="4C272F02" w:rsidR="00F32ABF" w:rsidRDefault="00F32ABF" w:rsidP="008D4920">
      <w:pPr>
        <w:rPr>
          <w:color w:val="000000" w:themeColor="text1"/>
        </w:rPr>
      </w:pPr>
    </w:p>
    <w:p w14:paraId="16433BD1" w14:textId="2C5A7D78" w:rsidR="00F32ABF" w:rsidRDefault="00F32ABF" w:rsidP="008D4920">
      <w:pPr>
        <w:rPr>
          <w:color w:val="000000" w:themeColor="text1"/>
        </w:rPr>
      </w:pPr>
    </w:p>
    <w:p w14:paraId="268C3571" w14:textId="6BEB0983" w:rsidR="00F32ABF" w:rsidRDefault="00F32ABF" w:rsidP="008D4920">
      <w:pPr>
        <w:rPr>
          <w:color w:val="000000" w:themeColor="text1"/>
        </w:rPr>
      </w:pPr>
    </w:p>
    <w:p w14:paraId="32D8E226" w14:textId="45689383" w:rsidR="00F32ABF" w:rsidRDefault="00F32ABF" w:rsidP="008D4920">
      <w:pPr>
        <w:rPr>
          <w:color w:val="000000" w:themeColor="text1"/>
        </w:rPr>
      </w:pPr>
    </w:p>
    <w:p w14:paraId="57EFDBE9" w14:textId="27D452E3" w:rsidR="00F32ABF" w:rsidRDefault="00F32ABF" w:rsidP="008D4920">
      <w:pPr>
        <w:rPr>
          <w:color w:val="000000" w:themeColor="text1"/>
        </w:rPr>
      </w:pPr>
    </w:p>
    <w:p w14:paraId="177C8EC2" w14:textId="77777777" w:rsidR="00F32ABF" w:rsidRDefault="00F32ABF" w:rsidP="008D4920">
      <w:pPr>
        <w:rPr>
          <w:color w:val="000000" w:themeColor="text1"/>
        </w:rPr>
      </w:pPr>
    </w:p>
    <w:p w14:paraId="03297E7E" w14:textId="77777777" w:rsidR="005D63FC" w:rsidRDefault="005D63FC" w:rsidP="008D4920">
      <w:pPr>
        <w:rPr>
          <w:color w:val="000000" w:themeColor="text1"/>
        </w:rPr>
      </w:pPr>
    </w:p>
    <w:p w14:paraId="69E6503C" w14:textId="77777777" w:rsidR="005D63FC" w:rsidRDefault="005D63FC" w:rsidP="008D4920">
      <w:pPr>
        <w:rPr>
          <w:color w:val="000000" w:themeColor="text1"/>
        </w:rPr>
      </w:pPr>
    </w:p>
    <w:p w14:paraId="72E6D8D0" w14:textId="77777777" w:rsidR="00B01F71" w:rsidRDefault="00B01F71" w:rsidP="00D806AD">
      <w:pPr>
        <w:widowControl w:val="0"/>
        <w:autoSpaceDE w:val="0"/>
        <w:autoSpaceDN w:val="0"/>
        <w:adjustRightInd w:val="0"/>
        <w:spacing w:line="480" w:lineRule="auto"/>
        <w:outlineLvl w:val="0"/>
      </w:pPr>
      <w:r w:rsidRPr="007C1D5F">
        <w:rPr>
          <w:b/>
        </w:rPr>
        <w:lastRenderedPageBreak/>
        <w:t>References</w:t>
      </w:r>
      <w:r>
        <w:t xml:space="preserve"> </w:t>
      </w:r>
    </w:p>
    <w:p w14:paraId="53CA582B" w14:textId="69E79FD4" w:rsidR="00DB0279" w:rsidRDefault="00DB0279" w:rsidP="00B01F71">
      <w:pPr>
        <w:spacing w:line="276" w:lineRule="auto"/>
        <w:ind w:left="720" w:hanging="720"/>
      </w:pPr>
      <w:proofErr w:type="spellStart"/>
      <w:r w:rsidRPr="00DB0279">
        <w:t>Achard</w:t>
      </w:r>
      <w:proofErr w:type="spellEnd"/>
      <w:r w:rsidRPr="00DB0279">
        <w:t xml:space="preserve">, M. </w:t>
      </w:r>
      <w:r>
        <w:t>(</w:t>
      </w:r>
      <w:r w:rsidRPr="00DB0279">
        <w:t>2004</w:t>
      </w:r>
      <w:r>
        <w:t>)</w:t>
      </w:r>
      <w:r w:rsidRPr="00DB0279">
        <w:t xml:space="preserve">. Grammatical instruction in the natural approach: A cognitive grammar view. In </w:t>
      </w:r>
      <w:proofErr w:type="spellStart"/>
      <w:r w:rsidRPr="00DB0279">
        <w:t>Achard</w:t>
      </w:r>
      <w:proofErr w:type="spellEnd"/>
      <w:r>
        <w:t xml:space="preserve">, M., </w:t>
      </w:r>
      <w:r w:rsidR="00882C30">
        <w:t>&amp;</w:t>
      </w:r>
      <w:r w:rsidRPr="00DB0279">
        <w:t xml:space="preserve"> </w:t>
      </w:r>
      <w:proofErr w:type="spellStart"/>
      <w:r w:rsidRPr="00DB0279">
        <w:t>Niemeier</w:t>
      </w:r>
      <w:proofErr w:type="spellEnd"/>
      <w:r w:rsidR="00882C30">
        <w:t>, S.,</w:t>
      </w:r>
      <w:r w:rsidRPr="00DB0279">
        <w:t xml:space="preserve"> </w:t>
      </w:r>
      <w:r w:rsidRPr="00882C30">
        <w:rPr>
          <w:i/>
        </w:rPr>
        <w:t>Cognitive linguistics, second language acquisition, and foreign language teaching</w:t>
      </w:r>
      <w:r w:rsidR="00882C30">
        <w:t xml:space="preserve"> (</w:t>
      </w:r>
      <w:r w:rsidRPr="00DB0279">
        <w:t>165–194</w:t>
      </w:r>
      <w:r w:rsidR="00882C30">
        <w:t>)</w:t>
      </w:r>
      <w:r w:rsidRPr="00DB0279">
        <w:t>. Berlin/New York: Mouton de Gruyter.</w:t>
      </w:r>
    </w:p>
    <w:p w14:paraId="39A851A7" w14:textId="50034B80" w:rsidR="00B01F71" w:rsidRDefault="00B01F71" w:rsidP="00B01F71">
      <w:pPr>
        <w:spacing w:line="276" w:lineRule="auto"/>
        <w:ind w:left="720" w:hanging="720"/>
      </w:pPr>
      <w:r>
        <w:t xml:space="preserve">Alonso </w:t>
      </w:r>
      <w:proofErr w:type="spellStart"/>
      <w:r>
        <w:t>Alonso</w:t>
      </w:r>
      <w:proofErr w:type="spellEnd"/>
      <w:r>
        <w:t xml:space="preserve">, R., </w:t>
      </w:r>
      <w:proofErr w:type="spellStart"/>
      <w:r>
        <w:t>Cadierno</w:t>
      </w:r>
      <w:proofErr w:type="spellEnd"/>
      <w:r>
        <w:t xml:space="preserve">, T., &amp; Jarvis, S. (2016). </w:t>
      </w:r>
      <w:r w:rsidRPr="00153C99">
        <w:t>Crosslinguistic influence in the acquisition of spatial prepositions in English as a foreign language.</w:t>
      </w:r>
      <w:r>
        <w:t xml:space="preserve"> In Alonso Alonso, R: (Ed.), </w:t>
      </w:r>
      <w:r w:rsidRPr="000356F5">
        <w:rPr>
          <w:i/>
        </w:rPr>
        <w:t>Crosslinguistic Influence in Second Language Acquisition</w:t>
      </w:r>
      <w:r>
        <w:t xml:space="preserve"> (pp. 93–120). Bristol: Multilingual Matters.  </w:t>
      </w:r>
    </w:p>
    <w:p w14:paraId="29743E93" w14:textId="75218F2D" w:rsidR="00850733" w:rsidRDefault="00850733" w:rsidP="00850733">
      <w:pPr>
        <w:spacing w:line="276" w:lineRule="auto"/>
        <w:ind w:left="720" w:hanging="720"/>
      </w:pPr>
      <w:proofErr w:type="spellStart"/>
      <w:r>
        <w:t>Andreou</w:t>
      </w:r>
      <w:proofErr w:type="spellEnd"/>
      <w:r>
        <w:t xml:space="preserve">, M. &amp; </w:t>
      </w:r>
      <w:proofErr w:type="spellStart"/>
      <w:r>
        <w:t>Tsimpli</w:t>
      </w:r>
      <w:proofErr w:type="spellEnd"/>
      <w:r>
        <w:t xml:space="preserve">, I. (2017). Aspectual distinctions in the narratives of bilingual children. </w:t>
      </w:r>
      <w:r w:rsidRPr="00850733">
        <w:rPr>
          <w:i/>
        </w:rPr>
        <w:t>International Review of Applied Linguistics in Language Teaching</w:t>
      </w:r>
      <w:r>
        <w:t xml:space="preserve"> </w:t>
      </w:r>
      <w:r w:rsidRPr="00850733">
        <w:rPr>
          <w:i/>
        </w:rPr>
        <w:t>55</w:t>
      </w:r>
      <w:r>
        <w:t>, 3, 305–324.</w:t>
      </w:r>
    </w:p>
    <w:p w14:paraId="0833B0E5" w14:textId="172858AB" w:rsidR="00501213" w:rsidRDefault="00501213" w:rsidP="00B01F71">
      <w:pPr>
        <w:spacing w:line="276" w:lineRule="auto"/>
        <w:ind w:left="720" w:hanging="720"/>
      </w:pPr>
      <w:r w:rsidRPr="00501213">
        <w:t xml:space="preserve">Athanasopoulos, P. (2006). Effects of the grammatical representation of number on cognition in bilinguals. Bilingualism: </w:t>
      </w:r>
      <w:r w:rsidRPr="00501213">
        <w:rPr>
          <w:i/>
        </w:rPr>
        <w:t>Language and Cognition</w:t>
      </w:r>
      <w:r>
        <w:rPr>
          <w:i/>
        </w:rPr>
        <w:t xml:space="preserve"> </w:t>
      </w:r>
      <w:r w:rsidRPr="00501213">
        <w:rPr>
          <w:i/>
        </w:rPr>
        <w:t>9</w:t>
      </w:r>
      <w:r w:rsidRPr="00501213">
        <w:t>, 89– 96.</w:t>
      </w:r>
    </w:p>
    <w:p w14:paraId="01DE490E" w14:textId="5DBAAF32" w:rsidR="000A3088" w:rsidRDefault="000A3088" w:rsidP="00B01F71">
      <w:pPr>
        <w:spacing w:line="276" w:lineRule="auto"/>
        <w:ind w:left="720" w:hanging="720"/>
      </w:pPr>
      <w:r w:rsidRPr="000A3088">
        <w:t>Athanasopoulos,</w:t>
      </w:r>
      <w:r>
        <w:t xml:space="preserve"> P.</w:t>
      </w:r>
      <w:r w:rsidR="00AF0C68">
        <w:t>,</w:t>
      </w:r>
      <w:r w:rsidRPr="000A3088">
        <w:t xml:space="preserve"> </w:t>
      </w:r>
      <w:proofErr w:type="spellStart"/>
      <w:r w:rsidRPr="000A3088">
        <w:t>Bylund</w:t>
      </w:r>
      <w:proofErr w:type="spellEnd"/>
      <w:r w:rsidRPr="000A3088">
        <w:t xml:space="preserve"> E</w:t>
      </w:r>
      <w:r>
        <w:t>.</w:t>
      </w:r>
      <w:r w:rsidRPr="000A3088">
        <w:t>, Montero-</w:t>
      </w:r>
      <w:proofErr w:type="spellStart"/>
      <w:r w:rsidRPr="000A3088">
        <w:t>Melis</w:t>
      </w:r>
      <w:proofErr w:type="spellEnd"/>
      <w:r>
        <w:t>,</w:t>
      </w:r>
      <w:r w:rsidRPr="000A3088">
        <w:t xml:space="preserve"> G</w:t>
      </w:r>
      <w:r>
        <w:t>.</w:t>
      </w:r>
      <w:r w:rsidRPr="000A3088">
        <w:t>, Damjanovic</w:t>
      </w:r>
      <w:r>
        <w:t>,</w:t>
      </w:r>
      <w:r w:rsidRPr="000A3088">
        <w:t xml:space="preserve"> L</w:t>
      </w:r>
      <w:r>
        <w:t>.</w:t>
      </w:r>
      <w:r w:rsidRPr="000A3088">
        <w:t xml:space="preserve">, </w:t>
      </w:r>
      <w:proofErr w:type="spellStart"/>
      <w:r w:rsidRPr="000A3088">
        <w:t>Schartner</w:t>
      </w:r>
      <w:proofErr w:type="spellEnd"/>
      <w:r>
        <w:t>,</w:t>
      </w:r>
      <w:r w:rsidRPr="000A3088">
        <w:t xml:space="preserve"> A</w:t>
      </w:r>
      <w:r>
        <w:t>.</w:t>
      </w:r>
      <w:r w:rsidRPr="000A3088">
        <w:t>, Kibbe</w:t>
      </w:r>
      <w:r>
        <w:t>,</w:t>
      </w:r>
      <w:r w:rsidRPr="000A3088">
        <w:t xml:space="preserve"> </w:t>
      </w:r>
      <w:r>
        <w:t>A.</w:t>
      </w:r>
      <w:r w:rsidRPr="000A3088">
        <w:t>, Riches</w:t>
      </w:r>
      <w:r>
        <w:t>,</w:t>
      </w:r>
      <w:r w:rsidRPr="000A3088">
        <w:t xml:space="preserve"> N</w:t>
      </w:r>
      <w:r>
        <w:t>.</w:t>
      </w:r>
      <w:r w:rsidRPr="000A3088">
        <w:t xml:space="preserve">, </w:t>
      </w:r>
      <w:r>
        <w:t xml:space="preserve">&amp; </w:t>
      </w:r>
      <w:r w:rsidRPr="000A3088">
        <w:t>Thierry</w:t>
      </w:r>
      <w:r>
        <w:t>,</w:t>
      </w:r>
      <w:r w:rsidRPr="000A3088">
        <w:t xml:space="preserve"> G.</w:t>
      </w:r>
      <w:r>
        <w:t xml:space="preserve"> (2015). </w:t>
      </w:r>
      <w:r w:rsidRPr="000A3088">
        <w:t>Two languages, two minds: flexible cognitive processing driven by language of operation.</w:t>
      </w:r>
      <w:r>
        <w:t xml:space="preserve"> Psychology Science </w:t>
      </w:r>
      <w:r w:rsidRPr="000A3088">
        <w:rPr>
          <w:i/>
        </w:rPr>
        <w:t>26</w:t>
      </w:r>
      <w:r w:rsidRPr="000A3088">
        <w:t>(4)</w:t>
      </w:r>
      <w:r>
        <w:t xml:space="preserve">, </w:t>
      </w:r>
      <w:r w:rsidRPr="000A3088">
        <w:t>518</w:t>
      </w:r>
      <w:r>
        <w:t>–5</w:t>
      </w:r>
      <w:r w:rsidRPr="000A3088">
        <w:t>26.</w:t>
      </w:r>
    </w:p>
    <w:p w14:paraId="5DDFE861" w14:textId="1D30880A" w:rsidR="00AF0C68" w:rsidRDefault="00AF0C68" w:rsidP="00B01F71">
      <w:pPr>
        <w:spacing w:line="276" w:lineRule="auto"/>
        <w:ind w:left="720" w:hanging="720"/>
      </w:pPr>
      <w:r w:rsidRPr="00AF0C68">
        <w:t xml:space="preserve">Athanasopoulos, P., Damjanovic, L., </w:t>
      </w:r>
      <w:proofErr w:type="spellStart"/>
      <w:r w:rsidRPr="00AF0C68">
        <w:t>Krajciova</w:t>
      </w:r>
      <w:proofErr w:type="spellEnd"/>
      <w:r w:rsidRPr="00AF0C68">
        <w:t xml:space="preserve">, A., &amp; Sasaki, M. (2011). Representation of colour concepts in bilingual cognition: The case of Japanese blues. </w:t>
      </w:r>
      <w:r w:rsidRPr="00BD7588">
        <w:rPr>
          <w:i/>
        </w:rPr>
        <w:t>Bilingualism:</w:t>
      </w:r>
      <w:r w:rsidRPr="00AF0C68">
        <w:t xml:space="preserve"> </w:t>
      </w:r>
      <w:r w:rsidRPr="00AF0C68">
        <w:rPr>
          <w:i/>
        </w:rPr>
        <w:t>Language and Cognition</w:t>
      </w:r>
      <w:r w:rsidRPr="00AF0C68">
        <w:t xml:space="preserve"> </w:t>
      </w:r>
      <w:r w:rsidRPr="00AF0C68">
        <w:rPr>
          <w:i/>
        </w:rPr>
        <w:t>14</w:t>
      </w:r>
      <w:r w:rsidRPr="00AF0C68">
        <w:t>, 9– 17.</w:t>
      </w:r>
    </w:p>
    <w:p w14:paraId="1DD9D0C4" w14:textId="77777777" w:rsidR="00B01F71" w:rsidRPr="00312F52" w:rsidRDefault="00B01F71" w:rsidP="00B01F71">
      <w:pPr>
        <w:spacing w:line="276" w:lineRule="auto"/>
        <w:ind w:left="720" w:hanging="720"/>
      </w:pPr>
      <w:r>
        <w:t xml:space="preserve">Austen, S. (2016). </w:t>
      </w:r>
      <w:r w:rsidRPr="008317D7">
        <w:rPr>
          <w:i/>
        </w:rPr>
        <w:t>Learner error in second language acquisition: the transfer of form or concept?</w:t>
      </w:r>
      <w:r>
        <w:t xml:space="preserve"> Unpublished PhD Thesis, Cardiff University. </w:t>
      </w:r>
    </w:p>
    <w:p w14:paraId="482A9EC8" w14:textId="4DE401A1" w:rsidR="00B01F71" w:rsidRDefault="00B01F71" w:rsidP="00B01F71">
      <w:pPr>
        <w:spacing w:line="276" w:lineRule="auto"/>
        <w:ind w:left="720" w:hanging="720"/>
      </w:pPr>
      <w:r>
        <w:t xml:space="preserve">Austen, S. </w:t>
      </w:r>
      <w:r w:rsidRPr="004839E5">
        <w:t xml:space="preserve">(2017). Native Language (L1) Transfer in Second Language Learning: From Form to Concept, the Implications. </w:t>
      </w:r>
      <w:proofErr w:type="spellStart"/>
      <w:r w:rsidRPr="004839E5">
        <w:rPr>
          <w:i/>
        </w:rPr>
        <w:t>Xjenza</w:t>
      </w:r>
      <w:proofErr w:type="spellEnd"/>
      <w:r w:rsidRPr="004839E5">
        <w:rPr>
          <w:i/>
        </w:rPr>
        <w:t xml:space="preserve"> Online - Journal of the Malta Chamber of Scientists</w:t>
      </w:r>
      <w:r w:rsidRPr="004839E5">
        <w:t xml:space="preserve">, </w:t>
      </w:r>
      <w:r w:rsidRPr="004839E5">
        <w:rPr>
          <w:i/>
        </w:rPr>
        <w:t>5</w:t>
      </w:r>
      <w:r>
        <w:t>(1),</w:t>
      </w:r>
      <w:r w:rsidRPr="004839E5">
        <w:t xml:space="preserve"> 77–80.</w:t>
      </w:r>
    </w:p>
    <w:p w14:paraId="3F1F64D1" w14:textId="5870299A" w:rsidR="00CF0E25" w:rsidRDefault="00CF0E25" w:rsidP="00B01F71">
      <w:pPr>
        <w:spacing w:line="276" w:lineRule="auto"/>
        <w:ind w:left="720" w:hanging="720"/>
      </w:pPr>
      <w:proofErr w:type="spellStart"/>
      <w:r w:rsidRPr="00CF0E25">
        <w:t>Barsalou</w:t>
      </w:r>
      <w:proofErr w:type="spellEnd"/>
      <w:r w:rsidRPr="00CF0E25">
        <w:t>, L</w:t>
      </w:r>
      <w:r>
        <w:t>.</w:t>
      </w:r>
      <w:r w:rsidRPr="00CF0E25">
        <w:t xml:space="preserve"> (2017). Cognitively plausible theories of concept composition. In Y. Winter &amp; J. A. Hampton (Eds.), </w:t>
      </w:r>
      <w:r w:rsidRPr="00CF0E25">
        <w:rPr>
          <w:i/>
        </w:rPr>
        <w:t>Compositionality and concepts in linguistics and psychology</w:t>
      </w:r>
      <w:r w:rsidRPr="00CF0E25">
        <w:t xml:space="preserve"> (pp. 9-30). London: Springer Publishing.</w:t>
      </w:r>
    </w:p>
    <w:p w14:paraId="20040E75" w14:textId="77777777" w:rsidR="00B01F71" w:rsidRDefault="00B01F71" w:rsidP="00B01F71">
      <w:pPr>
        <w:spacing w:line="276" w:lineRule="auto"/>
        <w:ind w:left="720" w:hanging="720"/>
      </w:pPr>
      <w:r>
        <w:t xml:space="preserve">Bergen, B. (2012). </w:t>
      </w:r>
      <w:r w:rsidRPr="00484C1C">
        <w:rPr>
          <w:i/>
        </w:rPr>
        <w:t>Louder Than Words: The New Science of How the Mind Makes Meaning.</w:t>
      </w:r>
      <w:r>
        <w:t xml:space="preserve"> New York: Basic Books.</w:t>
      </w:r>
    </w:p>
    <w:p w14:paraId="56AB6190" w14:textId="661E6E4C" w:rsidR="00B01F71" w:rsidRDefault="00B01F71" w:rsidP="00B01F71">
      <w:pPr>
        <w:spacing w:line="276" w:lineRule="auto"/>
        <w:ind w:left="720" w:hanging="720"/>
      </w:pPr>
      <w:r>
        <w:t xml:space="preserve">Bergen, B., &amp; Chang, N. (2013). Embodied Construction Grammar. In Hoffmann, T., &amp; </w:t>
      </w:r>
      <w:proofErr w:type="spellStart"/>
      <w:r>
        <w:t>Trousdale</w:t>
      </w:r>
      <w:proofErr w:type="spellEnd"/>
      <w:r>
        <w:t xml:space="preserve">, G. (Eds.), </w:t>
      </w:r>
      <w:r w:rsidRPr="00484C1C">
        <w:rPr>
          <w:i/>
        </w:rPr>
        <w:t>Oxford Handbook of Construction Grammar</w:t>
      </w:r>
      <w:r>
        <w:t xml:space="preserve"> (pp. 168–190). Oxford: Oxford University Press.</w:t>
      </w:r>
    </w:p>
    <w:p w14:paraId="387A52C5" w14:textId="5B39D5FB" w:rsidR="00D83E86" w:rsidRDefault="00D83E86" w:rsidP="00B01F71">
      <w:pPr>
        <w:spacing w:line="276" w:lineRule="auto"/>
        <w:ind w:left="720" w:hanging="720"/>
      </w:pPr>
      <w:proofErr w:type="spellStart"/>
      <w:r w:rsidRPr="00D83E86">
        <w:t>Boogaart</w:t>
      </w:r>
      <w:proofErr w:type="spellEnd"/>
      <w:r w:rsidRPr="00D83E86">
        <w:t xml:space="preserve"> </w:t>
      </w:r>
      <w:r>
        <w:t>R</w:t>
      </w:r>
      <w:r w:rsidRPr="00D83E86">
        <w:t xml:space="preserve">., </w:t>
      </w:r>
      <w:r>
        <w:t>&amp;</w:t>
      </w:r>
      <w:r w:rsidRPr="00D83E86">
        <w:t xml:space="preserve"> Janssen</w:t>
      </w:r>
      <w:r>
        <w:t>, T.</w:t>
      </w:r>
      <w:r w:rsidRPr="00D83E86">
        <w:t xml:space="preserve"> </w:t>
      </w:r>
      <w:r>
        <w:t>(</w:t>
      </w:r>
      <w:r w:rsidRPr="00D83E86">
        <w:t>2007</w:t>
      </w:r>
      <w:r>
        <w:t>)</w:t>
      </w:r>
      <w:r w:rsidRPr="00D83E86">
        <w:t xml:space="preserve">. Tense and aspect. </w:t>
      </w:r>
      <w:r w:rsidRPr="00DA7E37">
        <w:t xml:space="preserve">In </w:t>
      </w:r>
      <w:proofErr w:type="spellStart"/>
      <w:r w:rsidRPr="00DA7E37">
        <w:t>Geeraerts</w:t>
      </w:r>
      <w:proofErr w:type="spellEnd"/>
      <w:r>
        <w:t>. D. (Ed.),</w:t>
      </w:r>
      <w:r w:rsidRPr="00DA7E37">
        <w:t xml:space="preserve"> </w:t>
      </w:r>
      <w:r w:rsidRPr="00DA7E37">
        <w:rPr>
          <w:i/>
        </w:rPr>
        <w:t>The Oxford Handbook of Cognitive Linguistics</w:t>
      </w:r>
      <w:r w:rsidRPr="00D83E86">
        <w:t xml:space="preserve">, </w:t>
      </w:r>
      <w:r>
        <w:t xml:space="preserve">(pp. </w:t>
      </w:r>
      <w:r w:rsidRPr="00D83E86">
        <w:t>803–828</w:t>
      </w:r>
      <w:r>
        <w:t>)</w:t>
      </w:r>
      <w:r w:rsidRPr="00D83E86">
        <w:t>. Oxford: Oxford University Press.</w:t>
      </w:r>
    </w:p>
    <w:p w14:paraId="54D2DD7E" w14:textId="5563CE51" w:rsidR="00EC23B2" w:rsidRDefault="00EC23B2" w:rsidP="00B01F71">
      <w:pPr>
        <w:spacing w:line="276" w:lineRule="auto"/>
        <w:ind w:left="720" w:hanging="720"/>
      </w:pPr>
      <w:proofErr w:type="spellStart"/>
      <w:r w:rsidRPr="00EC23B2">
        <w:t>Brisard</w:t>
      </w:r>
      <w:proofErr w:type="spellEnd"/>
      <w:r w:rsidRPr="00EC23B2">
        <w:t xml:space="preserve">, F. </w:t>
      </w:r>
      <w:r>
        <w:t>(</w:t>
      </w:r>
      <w:r w:rsidRPr="00EC23B2">
        <w:t>2013</w:t>
      </w:r>
      <w:r>
        <w:t>)</w:t>
      </w:r>
      <w:r w:rsidRPr="00EC23B2">
        <w:t xml:space="preserve">. An account of English tense and aspect in Cognitive Grammar. In </w:t>
      </w:r>
      <w:proofErr w:type="spellStart"/>
      <w:r w:rsidRPr="00EC23B2">
        <w:t>Jaszczolt</w:t>
      </w:r>
      <w:proofErr w:type="spellEnd"/>
      <w:r>
        <w:t xml:space="preserve">, K., &amp; </w:t>
      </w:r>
      <w:r w:rsidRPr="00EC23B2">
        <w:t>de Saussure</w:t>
      </w:r>
      <w:r>
        <w:t>, L.</w:t>
      </w:r>
      <w:r w:rsidR="00654A5B">
        <w:t xml:space="preserve"> (Eds.)</w:t>
      </w:r>
      <w:r>
        <w:t>,</w:t>
      </w:r>
      <w:r w:rsidRPr="00EC23B2">
        <w:t xml:space="preserve"> </w:t>
      </w:r>
      <w:r w:rsidRPr="00EC23B2">
        <w:rPr>
          <w:i/>
        </w:rPr>
        <w:t>Time: Language, Cognition, and Reality</w:t>
      </w:r>
      <w:r w:rsidRPr="00EC23B2">
        <w:t xml:space="preserve">, </w:t>
      </w:r>
      <w:r>
        <w:t xml:space="preserve">(pp. </w:t>
      </w:r>
      <w:r w:rsidRPr="00EC23B2">
        <w:t>210–235</w:t>
      </w:r>
      <w:r>
        <w:t>)</w:t>
      </w:r>
      <w:r w:rsidRPr="00EC23B2">
        <w:t xml:space="preserve"> Oxford: Oxford University Press.</w:t>
      </w:r>
    </w:p>
    <w:p w14:paraId="77BD365D" w14:textId="209CC890" w:rsidR="00B01F71" w:rsidRDefault="00B01F71" w:rsidP="00B01F71">
      <w:pPr>
        <w:spacing w:line="276" w:lineRule="auto"/>
        <w:ind w:left="720" w:hanging="720"/>
      </w:pPr>
      <w:r w:rsidRPr="00D635CF">
        <w:t xml:space="preserve">Brown, A., &amp; </w:t>
      </w:r>
      <w:proofErr w:type="spellStart"/>
      <w:r w:rsidRPr="00D635CF">
        <w:t>Gullberg</w:t>
      </w:r>
      <w:proofErr w:type="spellEnd"/>
      <w:r w:rsidRPr="00D635CF">
        <w:t xml:space="preserve">, M. (2011). Bidirectional </w:t>
      </w:r>
      <w:r w:rsidR="00D806AD">
        <w:t>crosslinguistic</w:t>
      </w:r>
      <w:r w:rsidRPr="00D635CF">
        <w:t xml:space="preserve"> influence in event conceptualization? Expressions of Path among Japanese learners of English. </w:t>
      </w:r>
      <w:r w:rsidRPr="00D635CF">
        <w:rPr>
          <w:i/>
        </w:rPr>
        <w:t>Bilingualism: Language and Cognition</w:t>
      </w:r>
      <w:r w:rsidRPr="00D635CF">
        <w:t xml:space="preserve">, </w:t>
      </w:r>
      <w:r w:rsidRPr="00D635CF">
        <w:rPr>
          <w:i/>
        </w:rPr>
        <w:t>14</w:t>
      </w:r>
      <w:r>
        <w:t>(1), 79–</w:t>
      </w:r>
      <w:r w:rsidRPr="00D635CF">
        <w:t>94.</w:t>
      </w:r>
    </w:p>
    <w:p w14:paraId="39C70D89" w14:textId="3EFCEC07" w:rsidR="00271E9D" w:rsidRDefault="00271E9D" w:rsidP="00B01F71">
      <w:pPr>
        <w:spacing w:line="276" w:lineRule="auto"/>
        <w:ind w:left="720" w:hanging="720"/>
      </w:pPr>
      <w:r w:rsidRPr="00271E9D">
        <w:t>Bybee, J</w:t>
      </w:r>
      <w:r>
        <w:t>.</w:t>
      </w:r>
      <w:r w:rsidRPr="00271E9D">
        <w:t xml:space="preserve"> L. </w:t>
      </w:r>
      <w:r>
        <w:t>(</w:t>
      </w:r>
      <w:r w:rsidRPr="00271E9D">
        <w:t>2010</w:t>
      </w:r>
      <w:r>
        <w:t>)</w:t>
      </w:r>
      <w:r w:rsidRPr="00271E9D">
        <w:t xml:space="preserve">. </w:t>
      </w:r>
      <w:r w:rsidRPr="00271E9D">
        <w:rPr>
          <w:i/>
        </w:rPr>
        <w:t>Language, Usage and Cognition</w:t>
      </w:r>
      <w:r w:rsidRPr="00271E9D">
        <w:t>. Cambridge/New York: Cambridge University Press.</w:t>
      </w:r>
    </w:p>
    <w:p w14:paraId="30DB8AEB" w14:textId="18CBB6C8" w:rsidR="00B01F71" w:rsidRDefault="00B01F71" w:rsidP="00B01F71">
      <w:pPr>
        <w:spacing w:line="276" w:lineRule="auto"/>
        <w:ind w:left="720" w:hanging="720"/>
      </w:pPr>
      <w:proofErr w:type="spellStart"/>
      <w:r>
        <w:lastRenderedPageBreak/>
        <w:t>Bylund</w:t>
      </w:r>
      <w:proofErr w:type="spellEnd"/>
      <w:r>
        <w:t xml:space="preserve">, E., &amp; Jarvis, S. (2011). L2 effects on L1 event conceptualization. </w:t>
      </w:r>
      <w:r w:rsidRPr="007E69E3">
        <w:rPr>
          <w:i/>
        </w:rPr>
        <w:t>Bilingualism: Language and Cognition</w:t>
      </w:r>
      <w:r>
        <w:t xml:space="preserve">, </w:t>
      </w:r>
      <w:r w:rsidRPr="007E69E3">
        <w:rPr>
          <w:i/>
        </w:rPr>
        <w:t>14</w:t>
      </w:r>
      <w:r>
        <w:t xml:space="preserve">(1), 47–59. </w:t>
      </w:r>
    </w:p>
    <w:p w14:paraId="5A2FD36C" w14:textId="22CB4C7D" w:rsidR="00FB0298" w:rsidRDefault="00FB0298" w:rsidP="00B01F71">
      <w:pPr>
        <w:spacing w:line="276" w:lineRule="auto"/>
        <w:ind w:left="720" w:hanging="720"/>
      </w:pPr>
      <w:proofErr w:type="spellStart"/>
      <w:r w:rsidRPr="00FB0298">
        <w:t>Bylund</w:t>
      </w:r>
      <w:proofErr w:type="spellEnd"/>
      <w:r w:rsidRPr="00FB0298">
        <w:t>, E</w:t>
      </w:r>
      <w:r>
        <w:t>.,</w:t>
      </w:r>
      <w:r w:rsidRPr="00FB0298">
        <w:t xml:space="preserve"> &amp; Athanasopoulos</w:t>
      </w:r>
      <w:r>
        <w:t>, P</w:t>
      </w:r>
      <w:r w:rsidRPr="00FB0298">
        <w:t xml:space="preserve">. </w:t>
      </w:r>
      <w:r>
        <w:t>(</w:t>
      </w:r>
      <w:r w:rsidRPr="00FB0298">
        <w:t>2014</w:t>
      </w:r>
      <w:r>
        <w:t>)</w:t>
      </w:r>
      <w:r w:rsidRPr="00FB0298">
        <w:t xml:space="preserve">. Linguistic relativity in SLA: Toward a new research program. </w:t>
      </w:r>
      <w:r w:rsidRPr="00FB0298">
        <w:rPr>
          <w:i/>
        </w:rPr>
        <w:t>Language Learning 64</w:t>
      </w:r>
      <w:r>
        <w:t xml:space="preserve">, </w:t>
      </w:r>
      <w:r w:rsidRPr="00FB0298">
        <w:t>4. 952–985.</w:t>
      </w:r>
    </w:p>
    <w:p w14:paraId="623D68F1" w14:textId="54031289" w:rsidR="00937952" w:rsidRDefault="00937952" w:rsidP="00B01F71">
      <w:pPr>
        <w:spacing w:line="276" w:lineRule="auto"/>
        <w:ind w:left="720" w:hanging="720"/>
      </w:pPr>
      <w:proofErr w:type="spellStart"/>
      <w:r w:rsidRPr="00937952">
        <w:t>Cadierno</w:t>
      </w:r>
      <w:proofErr w:type="spellEnd"/>
      <w:r w:rsidRPr="00937952">
        <w:t xml:space="preserve">, T. </w:t>
      </w:r>
      <w:r>
        <w:t>(</w:t>
      </w:r>
      <w:r w:rsidRPr="00937952">
        <w:t>2008</w:t>
      </w:r>
      <w:r>
        <w:t xml:space="preserve">). </w:t>
      </w:r>
      <w:r w:rsidRPr="00937952">
        <w:t xml:space="preserve"> Learning to talk about motion in a foreign language</w:t>
      </w:r>
      <w:r>
        <w:t xml:space="preserve">. In </w:t>
      </w:r>
      <w:r w:rsidRPr="00937952">
        <w:t>Robinson, P. &amp; Ellis, N. C.</w:t>
      </w:r>
      <w:r>
        <w:t xml:space="preserve"> (Eds.), </w:t>
      </w:r>
      <w:r w:rsidRPr="00937952">
        <w:rPr>
          <w:i/>
        </w:rPr>
        <w:t>Handbook of cognitive linguistics and second language acquisition</w:t>
      </w:r>
      <w:r>
        <w:t xml:space="preserve"> (</w:t>
      </w:r>
      <w:r w:rsidRPr="00937952">
        <w:t>p</w:t>
      </w:r>
      <w:r>
        <w:t>p</w:t>
      </w:r>
      <w:r w:rsidRPr="00937952">
        <w:t>. 239</w:t>
      </w:r>
      <w:r>
        <w:t>–</w:t>
      </w:r>
      <w:r w:rsidRPr="00937952">
        <w:t>275</w:t>
      </w:r>
      <w:r>
        <w:t xml:space="preserve">). </w:t>
      </w:r>
      <w:r w:rsidRPr="00937952">
        <w:t>New York / London: Routledge</w:t>
      </w:r>
      <w:r w:rsidR="00D225A5">
        <w:t>.</w:t>
      </w:r>
    </w:p>
    <w:p w14:paraId="14EAEC83" w14:textId="1ABC25E9" w:rsidR="00D225A5" w:rsidRDefault="00D225A5" w:rsidP="00D225A5">
      <w:pPr>
        <w:spacing w:line="276" w:lineRule="auto"/>
        <w:ind w:left="720" w:hanging="720"/>
      </w:pPr>
      <w:proofErr w:type="spellStart"/>
      <w:r>
        <w:t>Cadierno</w:t>
      </w:r>
      <w:proofErr w:type="spellEnd"/>
      <w:r>
        <w:t xml:space="preserve">, T. &amp; Lund, K.. (2004). Cognitive linguistics and second language acquisition: Motion events in a typological framework. In VanPatten, B., Williams, J., </w:t>
      </w:r>
      <w:proofErr w:type="spellStart"/>
      <w:r>
        <w:t>Rott</w:t>
      </w:r>
      <w:proofErr w:type="spellEnd"/>
      <w:r>
        <w:t xml:space="preserve">, S. &amp; Overstreet, M. (Eds.), </w:t>
      </w:r>
      <w:r w:rsidRPr="00D225A5">
        <w:rPr>
          <w:i/>
        </w:rPr>
        <w:t xml:space="preserve">Form-meaning connections in second language acquisition </w:t>
      </w:r>
      <w:r w:rsidRPr="00D225A5">
        <w:t>(p</w:t>
      </w:r>
      <w:r>
        <w:t>p</w:t>
      </w:r>
      <w:r w:rsidRPr="00D225A5">
        <w:t>.</w:t>
      </w:r>
      <w:r>
        <w:t xml:space="preserve"> 139–154). Hillsdale, N.J.: Lawrence Erlbaum. </w:t>
      </w:r>
    </w:p>
    <w:p w14:paraId="314A64DC" w14:textId="53CA13F1" w:rsidR="00CB6CA4" w:rsidRDefault="00CB6CA4" w:rsidP="00B01F71">
      <w:pPr>
        <w:spacing w:line="276" w:lineRule="auto"/>
        <w:ind w:left="720" w:hanging="720"/>
      </w:pPr>
      <w:proofErr w:type="spellStart"/>
      <w:r w:rsidRPr="00CB6CA4">
        <w:t>Casad</w:t>
      </w:r>
      <w:proofErr w:type="spellEnd"/>
      <w:r w:rsidRPr="00CB6CA4">
        <w:t xml:space="preserve">, Eugene H. </w:t>
      </w:r>
      <w:r w:rsidR="00937952">
        <w:t>(</w:t>
      </w:r>
      <w:r w:rsidRPr="00CB6CA4">
        <w:t>1996</w:t>
      </w:r>
      <w:r w:rsidR="00937952">
        <w:t>)</w:t>
      </w:r>
      <w:r w:rsidRPr="00CB6CA4">
        <w:t>. Seeing it in more than one way. In</w:t>
      </w:r>
      <w:r w:rsidR="002A465D">
        <w:t xml:space="preserve"> Taylor, J. R. &amp; </w:t>
      </w:r>
      <w:proofErr w:type="spellStart"/>
      <w:r w:rsidR="002A465D">
        <w:t>MacLaury</w:t>
      </w:r>
      <w:proofErr w:type="spellEnd"/>
      <w:r w:rsidR="002A465D">
        <w:t>, R. E. (</w:t>
      </w:r>
      <w:r w:rsidR="002A465D" w:rsidRPr="00937952">
        <w:t>Eds.)</w:t>
      </w:r>
      <w:r w:rsidRPr="00CB6CA4">
        <w:t xml:space="preserve"> </w:t>
      </w:r>
      <w:r w:rsidRPr="00CB6CA4">
        <w:rPr>
          <w:i/>
        </w:rPr>
        <w:t>Language and the Cognitive Construal of the World [Trends in Linguistics, Studies and Monographs 82]</w:t>
      </w:r>
      <w:r w:rsidRPr="00CB6CA4">
        <w:t xml:space="preserve"> </w:t>
      </w:r>
      <w:r w:rsidR="002A465D">
        <w:t>(pp.</w:t>
      </w:r>
      <w:r w:rsidRPr="00CB6CA4">
        <w:t>23–49</w:t>
      </w:r>
      <w:r w:rsidR="002A465D">
        <w:t>)</w:t>
      </w:r>
      <w:r w:rsidRPr="00CB6CA4">
        <w:t>. Berlin/New York: Mouton de Gruyter.</w:t>
      </w:r>
    </w:p>
    <w:p w14:paraId="716D1A08" w14:textId="77777777" w:rsidR="00B01F71" w:rsidRDefault="00B01F71" w:rsidP="00B01F71">
      <w:pPr>
        <w:spacing w:line="276" w:lineRule="auto"/>
        <w:ind w:left="720" w:hanging="720"/>
      </w:pPr>
      <w:r>
        <w:t xml:space="preserve">Cheung, A., Matthews, S., &amp; Tsang, W. L. (2011). </w:t>
      </w:r>
      <w:r w:rsidRPr="00522084">
        <w:t>Transfer from L3 German to L2 English in the domain of ten</w:t>
      </w:r>
      <w:r>
        <w:t xml:space="preserve">se/aspect. In De Angelis, G., &amp; </w:t>
      </w:r>
      <w:proofErr w:type="spellStart"/>
      <w:r w:rsidRPr="00522084">
        <w:t>Dewaele</w:t>
      </w:r>
      <w:proofErr w:type="spellEnd"/>
      <w:r w:rsidRPr="00522084">
        <w:t>, J</w:t>
      </w:r>
      <w:r>
        <w:t>.-M.</w:t>
      </w:r>
      <w:r w:rsidRPr="00522084">
        <w:t xml:space="preserve"> (Eds.), </w:t>
      </w:r>
      <w:r w:rsidRPr="00522084">
        <w:rPr>
          <w:i/>
        </w:rPr>
        <w:t>New trends in crosslinguistic influence and multilingualism research</w:t>
      </w:r>
      <w:r>
        <w:t xml:space="preserve"> (</w:t>
      </w:r>
      <w:r w:rsidRPr="00522084">
        <w:t>p</w:t>
      </w:r>
      <w:r>
        <w:t>p. 53–</w:t>
      </w:r>
      <w:r w:rsidRPr="00522084">
        <w:t>73</w:t>
      </w:r>
      <w:r>
        <w:t>)</w:t>
      </w:r>
      <w:r w:rsidRPr="00522084">
        <w:t>. Bristol: Multilingual Matters</w:t>
      </w:r>
      <w:r>
        <w:t xml:space="preserve">. </w:t>
      </w:r>
    </w:p>
    <w:p w14:paraId="018C9BBF" w14:textId="01C8DFE9" w:rsidR="00B01F71" w:rsidRDefault="00B01F71" w:rsidP="00B01F71">
      <w:pPr>
        <w:spacing w:line="276" w:lineRule="auto"/>
        <w:ind w:left="720" w:hanging="720"/>
      </w:pPr>
      <w:r>
        <w:t xml:space="preserve">Chin, D. (2008). </w:t>
      </w:r>
      <w:r w:rsidRPr="00D1162D">
        <w:t xml:space="preserve">A </w:t>
      </w:r>
      <w:r w:rsidR="00D806AD">
        <w:t>Crosslinguistic</w:t>
      </w:r>
      <w:r w:rsidRPr="00D1162D">
        <w:t xml:space="preserve"> Investigation on the Acquisition of Spanish Aspect</w:t>
      </w:r>
      <w:r>
        <w:t xml:space="preserve">. In De </w:t>
      </w:r>
      <w:proofErr w:type="spellStart"/>
      <w:r>
        <w:t>Garavito</w:t>
      </w:r>
      <w:proofErr w:type="spellEnd"/>
      <w:r>
        <w:t xml:space="preserve">, J., &amp; Valenzuela, E. (Eds.), </w:t>
      </w:r>
      <w:r w:rsidRPr="00D1162D">
        <w:rPr>
          <w:i/>
        </w:rPr>
        <w:t>Selected Proceedings of the 10th Hispanic Linguistics Symposium</w:t>
      </w:r>
      <w:r>
        <w:t xml:space="preserve"> (pp. 36–</w:t>
      </w:r>
      <w:r w:rsidRPr="00D1162D">
        <w:t>50</w:t>
      </w:r>
      <w:r>
        <w:t>)</w:t>
      </w:r>
      <w:r w:rsidRPr="00D1162D">
        <w:t xml:space="preserve">. Somerville, MA: </w:t>
      </w:r>
      <w:proofErr w:type="spellStart"/>
      <w:r w:rsidRPr="00D1162D">
        <w:t>Cascadilla</w:t>
      </w:r>
      <w:proofErr w:type="spellEnd"/>
      <w:r w:rsidRPr="00D1162D">
        <w:t xml:space="preserve"> Proceedings Project.</w:t>
      </w:r>
    </w:p>
    <w:p w14:paraId="124297E8" w14:textId="38DF548A" w:rsidR="00B23647" w:rsidRPr="00091B02" w:rsidRDefault="00B23647" w:rsidP="00B01F71">
      <w:pPr>
        <w:spacing w:line="276" w:lineRule="auto"/>
        <w:ind w:left="720" w:hanging="720"/>
      </w:pPr>
      <w:r w:rsidRPr="00B23647">
        <w:t xml:space="preserve">Croft, </w:t>
      </w:r>
      <w:r>
        <w:t>W., &amp;</w:t>
      </w:r>
      <w:r w:rsidRPr="00B23647">
        <w:t xml:space="preserve"> Cruse</w:t>
      </w:r>
      <w:r>
        <w:t>,</w:t>
      </w:r>
      <w:r w:rsidRPr="00B23647">
        <w:t xml:space="preserve"> D. </w:t>
      </w:r>
      <w:r>
        <w:t>(</w:t>
      </w:r>
      <w:r w:rsidRPr="00B23647">
        <w:t>2004</w:t>
      </w:r>
      <w:r>
        <w:t>)</w:t>
      </w:r>
      <w:r w:rsidRPr="00B23647">
        <w:t xml:space="preserve">. </w:t>
      </w:r>
      <w:r w:rsidRPr="00B23647">
        <w:rPr>
          <w:i/>
        </w:rPr>
        <w:t>Cognitive Linguistics.</w:t>
      </w:r>
      <w:r w:rsidRPr="00B23647">
        <w:t xml:space="preserve"> Cambridge: Cambridge University Press.</w:t>
      </w:r>
    </w:p>
    <w:p w14:paraId="1951E68F" w14:textId="77777777" w:rsidR="00B01F71" w:rsidRDefault="00B01F71" w:rsidP="00B01F71">
      <w:pPr>
        <w:spacing w:line="276" w:lineRule="auto"/>
        <w:ind w:left="720" w:hanging="720"/>
      </w:pPr>
      <w:proofErr w:type="spellStart"/>
      <w:r w:rsidRPr="00D534FA">
        <w:t>Daller</w:t>
      </w:r>
      <w:proofErr w:type="spellEnd"/>
      <w:r w:rsidRPr="00D534FA">
        <w:t xml:space="preserve">, M.H., </w:t>
      </w:r>
      <w:proofErr w:type="spellStart"/>
      <w:r w:rsidRPr="00D534FA">
        <w:t>Treffers-Daller</w:t>
      </w:r>
      <w:proofErr w:type="spellEnd"/>
      <w:r w:rsidRPr="00D534FA">
        <w:t>, J., &amp; Furm</w:t>
      </w:r>
      <w:r>
        <w:t>an, R. (</w:t>
      </w:r>
      <w:r w:rsidRPr="00D534FA">
        <w:t>2011). Transfer of conceptualisation patterns in bilinguals: the construal of motion events in Turkish and German</w:t>
      </w:r>
      <w:r>
        <w:t xml:space="preserve">. </w:t>
      </w:r>
      <w:r w:rsidRPr="00D534FA">
        <w:rPr>
          <w:i/>
        </w:rPr>
        <w:t>Bilingualism: Language and Cognition</w:t>
      </w:r>
      <w:r>
        <w:t xml:space="preserve">, </w:t>
      </w:r>
      <w:r w:rsidRPr="00D534FA">
        <w:rPr>
          <w:i/>
        </w:rPr>
        <w:t>14</w:t>
      </w:r>
      <w:r>
        <w:t>(1), 95–</w:t>
      </w:r>
      <w:r w:rsidRPr="00D534FA">
        <w:t>119.</w:t>
      </w:r>
    </w:p>
    <w:p w14:paraId="7606B8DD" w14:textId="77777777" w:rsidR="00B01F71" w:rsidRDefault="00B01F71" w:rsidP="00B01F71">
      <w:pPr>
        <w:spacing w:line="276" w:lineRule="auto"/>
        <w:ind w:left="720" w:hanging="720"/>
      </w:pPr>
      <w:r>
        <w:t xml:space="preserve">De Angelis, G., &amp; </w:t>
      </w:r>
      <w:proofErr w:type="spellStart"/>
      <w:r>
        <w:t>Dewaele</w:t>
      </w:r>
      <w:proofErr w:type="spellEnd"/>
      <w:r>
        <w:t xml:space="preserve">, J.-M. (2011).  </w:t>
      </w:r>
      <w:r w:rsidRPr="000356F5">
        <w:rPr>
          <w:i/>
        </w:rPr>
        <w:t>New trends in crosslinguistic influence and multilingualism research</w:t>
      </w:r>
      <w:r>
        <w:t xml:space="preserve">. Bristol: Multilingual Matters. </w:t>
      </w:r>
    </w:p>
    <w:p w14:paraId="16041B7D" w14:textId="787D4EC6" w:rsidR="00BE2A7E" w:rsidRDefault="00BE2A7E" w:rsidP="00B01F71">
      <w:pPr>
        <w:spacing w:line="276" w:lineRule="auto"/>
        <w:ind w:left="720" w:hanging="720"/>
        <w:rPr>
          <w:color w:val="000000" w:themeColor="text1"/>
        </w:rPr>
      </w:pPr>
      <w:r w:rsidRPr="00BE2A7E">
        <w:rPr>
          <w:color w:val="000000" w:themeColor="text1"/>
        </w:rPr>
        <w:t>De Wit A</w:t>
      </w:r>
      <w:r>
        <w:rPr>
          <w:color w:val="000000" w:themeColor="text1"/>
        </w:rPr>
        <w:t>.</w:t>
      </w:r>
      <w:r w:rsidRPr="00BE2A7E">
        <w:rPr>
          <w:color w:val="000000" w:themeColor="text1"/>
        </w:rPr>
        <w:t xml:space="preserve">, </w:t>
      </w:r>
      <w:r>
        <w:rPr>
          <w:color w:val="000000" w:themeColor="text1"/>
        </w:rPr>
        <w:t>&amp;</w:t>
      </w:r>
      <w:r w:rsidRPr="00BE2A7E">
        <w:rPr>
          <w:color w:val="000000" w:themeColor="text1"/>
        </w:rPr>
        <w:t xml:space="preserve"> </w:t>
      </w:r>
      <w:proofErr w:type="spellStart"/>
      <w:r w:rsidRPr="00BE2A7E">
        <w:rPr>
          <w:color w:val="000000" w:themeColor="text1"/>
        </w:rPr>
        <w:t>Brisard</w:t>
      </w:r>
      <w:proofErr w:type="spellEnd"/>
      <w:r>
        <w:rPr>
          <w:color w:val="000000" w:themeColor="text1"/>
        </w:rPr>
        <w:t>, F</w:t>
      </w:r>
      <w:r w:rsidRPr="00BE2A7E">
        <w:rPr>
          <w:color w:val="000000" w:themeColor="text1"/>
        </w:rPr>
        <w:t xml:space="preserve">. </w:t>
      </w:r>
      <w:r>
        <w:rPr>
          <w:color w:val="000000" w:themeColor="text1"/>
        </w:rPr>
        <w:t>(</w:t>
      </w:r>
      <w:r w:rsidRPr="00BE2A7E">
        <w:rPr>
          <w:color w:val="000000" w:themeColor="text1"/>
        </w:rPr>
        <w:t>2014</w:t>
      </w:r>
      <w:r>
        <w:rPr>
          <w:color w:val="000000" w:themeColor="text1"/>
        </w:rPr>
        <w:t>)</w:t>
      </w:r>
      <w:r w:rsidRPr="00BE2A7E">
        <w:rPr>
          <w:color w:val="000000" w:themeColor="text1"/>
        </w:rPr>
        <w:t xml:space="preserve">. A cognitive grammar account of the semantics of the English present progressive. </w:t>
      </w:r>
      <w:r w:rsidRPr="00BE2A7E">
        <w:rPr>
          <w:i/>
          <w:color w:val="000000" w:themeColor="text1"/>
        </w:rPr>
        <w:t>Journal of Linguistics</w:t>
      </w:r>
      <w:r w:rsidRPr="00BE2A7E">
        <w:rPr>
          <w:color w:val="000000" w:themeColor="text1"/>
        </w:rPr>
        <w:t xml:space="preserve"> </w:t>
      </w:r>
      <w:r w:rsidRPr="00BE2A7E">
        <w:rPr>
          <w:i/>
          <w:color w:val="000000" w:themeColor="text1"/>
        </w:rPr>
        <w:t>50</w:t>
      </w:r>
      <w:r w:rsidRPr="00BE2A7E">
        <w:rPr>
          <w:color w:val="000000" w:themeColor="text1"/>
        </w:rPr>
        <w:t xml:space="preserve"> (1)</w:t>
      </w:r>
      <w:r>
        <w:rPr>
          <w:color w:val="000000" w:themeColor="text1"/>
        </w:rPr>
        <w:t xml:space="preserve">, </w:t>
      </w:r>
      <w:r w:rsidRPr="00BE2A7E">
        <w:rPr>
          <w:color w:val="000000" w:themeColor="text1"/>
        </w:rPr>
        <w:t>49–90.</w:t>
      </w:r>
    </w:p>
    <w:p w14:paraId="06F847C1" w14:textId="49955061" w:rsidR="00DA0A58" w:rsidRDefault="00E449A8" w:rsidP="00B01F71">
      <w:pPr>
        <w:spacing w:line="276" w:lineRule="auto"/>
        <w:ind w:left="720" w:hanging="720"/>
        <w:rPr>
          <w:color w:val="000000" w:themeColor="text1"/>
        </w:rPr>
      </w:pPr>
      <w:proofErr w:type="spellStart"/>
      <w:r>
        <w:rPr>
          <w:color w:val="000000" w:themeColor="text1"/>
        </w:rPr>
        <w:t>Dro</w:t>
      </w:r>
      <w:r w:rsidRPr="00DA20A5">
        <w:rPr>
          <w:color w:val="000000" w:themeColor="text1"/>
        </w:rPr>
        <w:t>ź</w:t>
      </w:r>
      <w:r>
        <w:rPr>
          <w:color w:val="000000" w:themeColor="text1"/>
        </w:rPr>
        <w:t>d</w:t>
      </w:r>
      <w:r w:rsidRPr="00DA20A5">
        <w:rPr>
          <w:color w:val="000000" w:themeColor="text1"/>
        </w:rPr>
        <w:t>ź</w:t>
      </w:r>
      <w:proofErr w:type="spellEnd"/>
      <w:r>
        <w:rPr>
          <w:color w:val="000000" w:themeColor="text1"/>
        </w:rPr>
        <w:t xml:space="preserve">, G. (2018). </w:t>
      </w:r>
      <w:r w:rsidR="00D35035" w:rsidRPr="00D35035">
        <w:rPr>
          <w:i/>
          <w:color w:val="000000" w:themeColor="text1"/>
        </w:rPr>
        <w:t>The Cognitive Grammar-based pedagogical grammar – tenses</w:t>
      </w:r>
      <w:r w:rsidR="00D35035">
        <w:rPr>
          <w:color w:val="000000" w:themeColor="text1"/>
        </w:rPr>
        <w:t xml:space="preserve">. </w:t>
      </w:r>
      <w:r w:rsidR="00D35035" w:rsidRPr="00D35035">
        <w:rPr>
          <w:color w:val="000000" w:themeColor="text1"/>
        </w:rPr>
        <w:t>P</w:t>
      </w:r>
      <w:r w:rsidR="00D35035">
        <w:rPr>
          <w:color w:val="000000" w:themeColor="text1"/>
        </w:rPr>
        <w:t>aper</w:t>
      </w:r>
      <w:r w:rsidR="00D35035" w:rsidRPr="00D35035">
        <w:rPr>
          <w:color w:val="000000" w:themeColor="text1"/>
        </w:rPr>
        <w:t xml:space="preserve"> presented at the </w:t>
      </w:r>
      <w:r w:rsidR="00D35035">
        <w:rPr>
          <w:color w:val="000000" w:themeColor="text1"/>
        </w:rPr>
        <w:t>PCLA Conference, Poznan, Poland</w:t>
      </w:r>
      <w:r w:rsidR="00D35035" w:rsidRPr="00D35035">
        <w:rPr>
          <w:color w:val="000000" w:themeColor="text1"/>
        </w:rPr>
        <w:t>.</w:t>
      </w:r>
    </w:p>
    <w:p w14:paraId="00396CCA" w14:textId="78D2C486" w:rsidR="00B511A8" w:rsidRDefault="00B511A8" w:rsidP="00B01F71">
      <w:pPr>
        <w:spacing w:line="276" w:lineRule="auto"/>
        <w:ind w:left="720" w:hanging="720"/>
      </w:pPr>
      <w:r w:rsidRPr="00B511A8">
        <w:t>Ellis, N</w:t>
      </w:r>
      <w:r>
        <w:t>.</w:t>
      </w:r>
      <w:r w:rsidRPr="00B511A8">
        <w:t xml:space="preserve"> C., </w:t>
      </w:r>
      <w:r>
        <w:t>&amp;</w:t>
      </w:r>
      <w:r w:rsidRPr="00B511A8">
        <w:t xml:space="preserve"> </w:t>
      </w:r>
      <w:proofErr w:type="spellStart"/>
      <w:r w:rsidRPr="00B511A8">
        <w:t>Cadierno</w:t>
      </w:r>
      <w:proofErr w:type="spellEnd"/>
      <w:r>
        <w:t>, T. (</w:t>
      </w:r>
      <w:r w:rsidRPr="00B511A8">
        <w:t>2009</w:t>
      </w:r>
      <w:r>
        <w:t>)</w:t>
      </w:r>
      <w:r w:rsidRPr="00B511A8">
        <w:t xml:space="preserve">. Constructing a second language: Introduction to the special section [Special Section]. </w:t>
      </w:r>
      <w:r w:rsidRPr="00B511A8">
        <w:rPr>
          <w:i/>
        </w:rPr>
        <w:t>Annual Review of Cognitive Linguistics: Constructing a Second Language 7</w:t>
      </w:r>
      <w:r>
        <w:t>,</w:t>
      </w:r>
      <w:r w:rsidRPr="00B511A8">
        <w:t xml:space="preserve"> 111–139.</w:t>
      </w:r>
    </w:p>
    <w:p w14:paraId="48CA4835" w14:textId="4074FA1D" w:rsidR="008E1B5F" w:rsidRDefault="008E1B5F" w:rsidP="00B01F71">
      <w:pPr>
        <w:spacing w:line="276" w:lineRule="auto"/>
        <w:ind w:left="720" w:hanging="720"/>
      </w:pPr>
      <w:proofErr w:type="spellStart"/>
      <w:r w:rsidRPr="008E1B5F">
        <w:t>Ekiert</w:t>
      </w:r>
      <w:proofErr w:type="spellEnd"/>
      <w:r w:rsidRPr="008E1B5F">
        <w:t xml:space="preserve">, M., &amp; Han, Z. (2016). L1-Fraught Difficulty: The Case of L2 Acquisition of English Articles by Slavic Speakers. In Alonso </w:t>
      </w:r>
      <w:proofErr w:type="spellStart"/>
      <w:r w:rsidRPr="008E1B5F">
        <w:t>Alonso</w:t>
      </w:r>
      <w:proofErr w:type="spellEnd"/>
      <w:r w:rsidRPr="008E1B5F">
        <w:t xml:space="preserve">, R. (Ed), </w:t>
      </w:r>
      <w:r w:rsidRPr="008E1B5F">
        <w:rPr>
          <w:i/>
        </w:rPr>
        <w:t>Crosslinguistic Influence in Second Language Acquisition</w:t>
      </w:r>
      <w:r w:rsidRPr="008E1B5F">
        <w:t xml:space="preserve"> (pp. 147–172). Bristol: Multilingual Matters.</w:t>
      </w:r>
    </w:p>
    <w:p w14:paraId="79433CAB" w14:textId="5E14AEBC" w:rsidR="00DB0279" w:rsidRPr="008E1B5F" w:rsidRDefault="00DB0279" w:rsidP="008E1B5F">
      <w:pPr>
        <w:spacing w:line="276" w:lineRule="auto"/>
        <w:ind w:left="709" w:hanging="709"/>
      </w:pPr>
      <w:r>
        <w:t xml:space="preserve">Evans, V. (2019). </w:t>
      </w:r>
      <w:r w:rsidRPr="00DB0279">
        <w:rPr>
          <w:i/>
        </w:rPr>
        <w:t xml:space="preserve">Cognitive Linguistics: A Complete Guide. </w:t>
      </w:r>
      <w:r w:rsidR="008E1B5F">
        <w:t xml:space="preserve">Edinburgh: </w:t>
      </w:r>
      <w:r w:rsidR="008E1B5F" w:rsidRPr="00DB0279">
        <w:t>Edinburgh University Press</w:t>
      </w:r>
      <w:r w:rsidR="008E1B5F">
        <w:t>.</w:t>
      </w:r>
    </w:p>
    <w:p w14:paraId="3A92E0AE" w14:textId="6FACF793" w:rsidR="00B01F71" w:rsidRDefault="00B01F71" w:rsidP="00DB0279">
      <w:pPr>
        <w:spacing w:line="276" w:lineRule="auto"/>
        <w:ind w:left="709" w:hanging="709"/>
      </w:pPr>
      <w:r>
        <w:t xml:space="preserve">Evans, V., &amp; Green, M. (2006). </w:t>
      </w:r>
      <w:r w:rsidRPr="00457A27">
        <w:rPr>
          <w:i/>
        </w:rPr>
        <w:t>Cognitive linguistics: An introduction</w:t>
      </w:r>
      <w:r>
        <w:t>. Edinburgh: Edinburgh University Press.</w:t>
      </w:r>
      <w:r w:rsidR="00DB0279">
        <w:t xml:space="preserve"> </w:t>
      </w:r>
    </w:p>
    <w:p w14:paraId="59A2BFE8" w14:textId="5B8ED87B" w:rsidR="00A57839" w:rsidRDefault="00A57839" w:rsidP="00DB0279">
      <w:pPr>
        <w:spacing w:line="276" w:lineRule="auto"/>
        <w:ind w:left="709" w:hanging="709"/>
      </w:pPr>
      <w:r w:rsidRPr="00A57839">
        <w:lastRenderedPageBreak/>
        <w:t xml:space="preserve">Evans, V. </w:t>
      </w:r>
      <w:r>
        <w:t>(</w:t>
      </w:r>
      <w:r w:rsidRPr="00A57839">
        <w:t>2011</w:t>
      </w:r>
      <w:r>
        <w:t>)</w:t>
      </w:r>
      <w:r w:rsidRPr="00A57839">
        <w:t>. Language and Cognition: The View from Cognitive Linguistics. In Cook,</w:t>
      </w:r>
      <w:r>
        <w:t xml:space="preserve"> V., &amp;</w:t>
      </w:r>
      <w:r w:rsidRPr="00A57839">
        <w:t xml:space="preserve"> </w:t>
      </w:r>
      <w:proofErr w:type="spellStart"/>
      <w:r w:rsidRPr="00A57839">
        <w:t>Bassetti</w:t>
      </w:r>
      <w:proofErr w:type="spellEnd"/>
      <w:r>
        <w:t>, B. (Eds.),</w:t>
      </w:r>
      <w:r w:rsidRPr="00A57839">
        <w:t xml:space="preserve"> </w:t>
      </w:r>
      <w:r w:rsidRPr="00A57839">
        <w:rPr>
          <w:i/>
        </w:rPr>
        <w:t>Language and Bilingual Cognition</w:t>
      </w:r>
      <w:r w:rsidRPr="00A57839">
        <w:t xml:space="preserve">, </w:t>
      </w:r>
      <w:r>
        <w:t xml:space="preserve">(pp. </w:t>
      </w:r>
      <w:r w:rsidRPr="00A57839">
        <w:t>69–107</w:t>
      </w:r>
      <w:r>
        <w:t>)</w:t>
      </w:r>
      <w:r w:rsidRPr="00A57839">
        <w:t>. Hove, UK: Psychology Press.</w:t>
      </w:r>
    </w:p>
    <w:p w14:paraId="5C2297C2" w14:textId="5A803B4F" w:rsidR="006B3D39" w:rsidRPr="00BF3109" w:rsidRDefault="006B3D39" w:rsidP="00DB0279">
      <w:pPr>
        <w:spacing w:line="276" w:lineRule="auto"/>
        <w:ind w:left="709" w:hanging="709"/>
        <w:rPr>
          <w:lang w:val="de-DE"/>
        </w:rPr>
      </w:pPr>
      <w:r>
        <w:t xml:space="preserve">Ewert, A. 2016. Space, time and </w:t>
      </w:r>
      <w:r w:rsidR="00CF3590">
        <w:t xml:space="preserve">thinking for language. In Cook, V. (Ed.), </w:t>
      </w:r>
      <w:r w:rsidR="00CF3590" w:rsidRPr="00CF3590">
        <w:rPr>
          <w:i/>
        </w:rPr>
        <w:t>The Cambridge Handbook of Linguistic Multi-Competence</w:t>
      </w:r>
      <w:r w:rsidR="00CF3590">
        <w:t xml:space="preserve"> (pp. 376–402). </w:t>
      </w:r>
      <w:r w:rsidR="00CF3590" w:rsidRPr="00BF3109">
        <w:rPr>
          <w:lang w:val="de-DE"/>
        </w:rPr>
        <w:t xml:space="preserve">Cambridge: Cambridge University Press. </w:t>
      </w:r>
    </w:p>
    <w:p w14:paraId="457FA72A" w14:textId="3F197C61" w:rsidR="00E45377" w:rsidRDefault="00E45377" w:rsidP="00B01F71">
      <w:pPr>
        <w:spacing w:line="276" w:lineRule="auto"/>
        <w:ind w:left="720" w:hanging="720"/>
      </w:pPr>
      <w:r w:rsidRPr="00BF3109">
        <w:rPr>
          <w:lang w:val="de-DE"/>
        </w:rPr>
        <w:t xml:space="preserve">Fischer, H. (2016). </w:t>
      </w:r>
      <w:proofErr w:type="spellStart"/>
      <w:r w:rsidRPr="00157E18">
        <w:rPr>
          <w:i/>
          <w:lang w:val="de-DE"/>
        </w:rPr>
        <w:t>Präteritumsschwund</w:t>
      </w:r>
      <w:proofErr w:type="spellEnd"/>
      <w:r w:rsidRPr="00157E18">
        <w:rPr>
          <w:i/>
          <w:lang w:val="de-DE"/>
        </w:rPr>
        <w:t xml:space="preserve"> im Deutschen</w:t>
      </w:r>
      <w:r w:rsidRPr="00157E18">
        <w:rPr>
          <w:lang w:val="de-DE"/>
        </w:rPr>
        <w:t xml:space="preserve">. </w:t>
      </w:r>
      <w:r w:rsidRPr="00CF3590">
        <w:rPr>
          <w:i/>
          <w:lang w:val="de-DE"/>
        </w:rPr>
        <w:t>Dokumentation und Erklärung eines Veränderungsprozesses</w:t>
      </w:r>
      <w:r w:rsidRPr="00157E18">
        <w:rPr>
          <w:lang w:val="de-DE"/>
        </w:rPr>
        <w:t>.</w:t>
      </w:r>
      <w:r w:rsidR="00FA6652" w:rsidRPr="00157E18">
        <w:rPr>
          <w:lang w:val="de-DE"/>
        </w:rPr>
        <w:t xml:space="preserve"> </w:t>
      </w:r>
      <w:r w:rsidR="00FA6652">
        <w:t xml:space="preserve">Boston: De Gruyter Mouton. </w:t>
      </w:r>
      <w:r>
        <w:t xml:space="preserve"> </w:t>
      </w:r>
    </w:p>
    <w:p w14:paraId="4BAB420D" w14:textId="0C129BDF" w:rsidR="00B01F71" w:rsidRDefault="00B01F71" w:rsidP="00B01F71">
      <w:pPr>
        <w:spacing w:line="276" w:lineRule="auto"/>
        <w:ind w:left="720" w:hanging="720"/>
      </w:pPr>
      <w:proofErr w:type="spellStart"/>
      <w:r>
        <w:t>Flecke</w:t>
      </w:r>
      <w:r w:rsidR="001C0226">
        <w:t>n</w:t>
      </w:r>
      <w:proofErr w:type="spellEnd"/>
      <w:r>
        <w:t xml:space="preserve">, M. (2011). </w:t>
      </w:r>
      <w:r w:rsidRPr="007718D6">
        <w:t xml:space="preserve">Event conceptualization by early Dutch-German bilinguals: Insights from linguistic and eye-tracking data. </w:t>
      </w:r>
      <w:r w:rsidRPr="007718D6">
        <w:rPr>
          <w:i/>
        </w:rPr>
        <w:t>Bilingualism: Language and Cognition</w:t>
      </w:r>
      <w:r w:rsidRPr="007718D6">
        <w:t xml:space="preserve">, </w:t>
      </w:r>
      <w:r w:rsidRPr="007718D6">
        <w:rPr>
          <w:i/>
        </w:rPr>
        <w:t>14</w:t>
      </w:r>
      <w:r>
        <w:t>(1), 61–</w:t>
      </w:r>
      <w:r w:rsidRPr="007718D6">
        <w:t>77.</w:t>
      </w:r>
    </w:p>
    <w:p w14:paraId="0411C105" w14:textId="2DDAFD18" w:rsidR="00B01F71" w:rsidRDefault="00B01F71" w:rsidP="00B01F71">
      <w:pPr>
        <w:spacing w:line="276" w:lineRule="auto"/>
        <w:ind w:left="720" w:hanging="720"/>
      </w:pPr>
      <w:proofErr w:type="spellStart"/>
      <w:r w:rsidRPr="00EC1DD7">
        <w:t>Flecken</w:t>
      </w:r>
      <w:proofErr w:type="spellEnd"/>
      <w:r w:rsidRPr="00EC1DD7">
        <w:t xml:space="preserve">, </w:t>
      </w:r>
      <w:r w:rsidR="00D35035">
        <w:t>M., Carroll, M., Weimar, K., &amp; v</w:t>
      </w:r>
      <w:r w:rsidRPr="00EC1DD7">
        <w:t xml:space="preserve">on </w:t>
      </w:r>
      <w:proofErr w:type="spellStart"/>
      <w:r w:rsidRPr="00EC1DD7">
        <w:t>Stutterheim</w:t>
      </w:r>
      <w:proofErr w:type="spellEnd"/>
      <w:r w:rsidRPr="00EC1DD7">
        <w:t xml:space="preserve">, C. (2015). Driving along the road or heading for the village? Conceptual differences underlying motion event encoding in French, German, and French-German L2 users. </w:t>
      </w:r>
      <w:r w:rsidRPr="00EC1DD7">
        <w:rPr>
          <w:i/>
        </w:rPr>
        <w:t>Modern Language Journal</w:t>
      </w:r>
      <w:r w:rsidRPr="00EC1DD7">
        <w:t xml:space="preserve">, </w:t>
      </w:r>
      <w:r w:rsidRPr="00EC1DD7">
        <w:rPr>
          <w:i/>
        </w:rPr>
        <w:t>99</w:t>
      </w:r>
      <w:r w:rsidRPr="00EC1DD7">
        <w:t>(S1), 1</w:t>
      </w:r>
      <w:r>
        <w:t>00–</w:t>
      </w:r>
      <w:r w:rsidRPr="00EC1DD7">
        <w:t>122</w:t>
      </w:r>
      <w:r>
        <w:t>.</w:t>
      </w:r>
    </w:p>
    <w:p w14:paraId="452C3C17" w14:textId="742DFCF6" w:rsidR="002D0778" w:rsidRDefault="002D0778" w:rsidP="00B01F71">
      <w:pPr>
        <w:spacing w:line="276" w:lineRule="auto"/>
        <w:ind w:left="720" w:hanging="720"/>
      </w:pPr>
      <w:proofErr w:type="spellStart"/>
      <w:r w:rsidRPr="002D0778">
        <w:t>Givón</w:t>
      </w:r>
      <w:proofErr w:type="spellEnd"/>
      <w:r w:rsidRPr="002D0778">
        <w:t xml:space="preserve">, T. </w:t>
      </w:r>
      <w:r>
        <w:t>(</w:t>
      </w:r>
      <w:r w:rsidRPr="002D0778">
        <w:t>1989</w:t>
      </w:r>
      <w:r>
        <w:t>)</w:t>
      </w:r>
      <w:r w:rsidRPr="002D0778">
        <w:t xml:space="preserve">. </w:t>
      </w:r>
      <w:r w:rsidRPr="002D0778">
        <w:rPr>
          <w:i/>
        </w:rPr>
        <w:t>Mind, Code, and Context: Essays in Pragmatics</w:t>
      </w:r>
      <w:r w:rsidRPr="002D0778">
        <w:t>. Hillsdale/</w:t>
      </w:r>
      <w:proofErr w:type="spellStart"/>
      <w:r w:rsidRPr="002D0778">
        <w:t>NewJersey</w:t>
      </w:r>
      <w:proofErr w:type="spellEnd"/>
      <w:r w:rsidRPr="002D0778">
        <w:t>: Lawrence Erlbaum.</w:t>
      </w:r>
    </w:p>
    <w:p w14:paraId="234E5976" w14:textId="31415E40" w:rsidR="009B17CB" w:rsidRPr="00BF3109" w:rsidRDefault="009B17CB" w:rsidP="00B01F71">
      <w:pPr>
        <w:spacing w:line="276" w:lineRule="auto"/>
        <w:ind w:left="720" w:hanging="720"/>
        <w:rPr>
          <w:lang w:val="de-DE"/>
        </w:rPr>
      </w:pPr>
      <w:r w:rsidRPr="009B17CB">
        <w:t xml:space="preserve">Han, Z., &amp; </w:t>
      </w:r>
      <w:proofErr w:type="spellStart"/>
      <w:r w:rsidRPr="009B17CB">
        <w:t>Cadierno</w:t>
      </w:r>
      <w:proofErr w:type="spellEnd"/>
      <w:r w:rsidRPr="009B17CB">
        <w:t xml:space="preserve">, T. (Eds.). (2010). </w:t>
      </w:r>
      <w:r w:rsidRPr="009B17CB">
        <w:rPr>
          <w:i/>
        </w:rPr>
        <w:t xml:space="preserve">Linguistic relativity in SLA: Thinking for speaking. </w:t>
      </w:r>
      <w:proofErr w:type="spellStart"/>
      <w:r w:rsidRPr="00BF3109">
        <w:rPr>
          <w:lang w:val="de-DE"/>
        </w:rPr>
        <w:t>Clevedon</w:t>
      </w:r>
      <w:proofErr w:type="spellEnd"/>
      <w:r w:rsidRPr="00BF3109">
        <w:rPr>
          <w:lang w:val="de-DE"/>
        </w:rPr>
        <w:t xml:space="preserve">, UK: Multilingual </w:t>
      </w:r>
      <w:proofErr w:type="spellStart"/>
      <w:r w:rsidRPr="00BF3109">
        <w:rPr>
          <w:lang w:val="de-DE"/>
        </w:rPr>
        <w:t>Matters</w:t>
      </w:r>
      <w:proofErr w:type="spellEnd"/>
      <w:r w:rsidRPr="00BF3109">
        <w:rPr>
          <w:lang w:val="de-DE"/>
        </w:rPr>
        <w:t>.</w:t>
      </w:r>
    </w:p>
    <w:p w14:paraId="58B8D363" w14:textId="77777777" w:rsidR="00996B39" w:rsidRDefault="00996B39" w:rsidP="00996B39">
      <w:pPr>
        <w:spacing w:line="360" w:lineRule="auto"/>
        <w:ind w:left="720" w:hanging="720"/>
      </w:pPr>
      <w:r w:rsidRPr="00996B39">
        <w:rPr>
          <w:lang w:val="de-DE"/>
        </w:rPr>
        <w:t xml:space="preserve">Hohenstein, J., </w:t>
      </w:r>
      <w:proofErr w:type="spellStart"/>
      <w:r w:rsidRPr="00996B39">
        <w:rPr>
          <w:lang w:val="de-DE"/>
        </w:rPr>
        <w:t>Naigles</w:t>
      </w:r>
      <w:proofErr w:type="spellEnd"/>
      <w:r w:rsidRPr="00996B39">
        <w:rPr>
          <w:lang w:val="de-DE"/>
        </w:rPr>
        <w:t xml:space="preserve">, L. &amp; Eisenberg, A. (2004). </w:t>
      </w:r>
      <w:r>
        <w:t xml:space="preserve">Keeping verb acquisition in motion: A comparison of English and Spanish. In Hall, D. G., &amp; Waxman, S. R. (Eds.), </w:t>
      </w:r>
      <w:r w:rsidRPr="00556175">
        <w:rPr>
          <w:i/>
        </w:rPr>
        <w:t>Weaving a lexicon</w:t>
      </w:r>
      <w:r>
        <w:t xml:space="preserve"> (pp. 569–602). Cambridge, MA: MIT Press. </w:t>
      </w:r>
    </w:p>
    <w:p w14:paraId="493D18F4" w14:textId="1BF0594D" w:rsidR="00B01F71" w:rsidRDefault="00996B39" w:rsidP="00996B39">
      <w:pPr>
        <w:spacing w:line="276" w:lineRule="auto"/>
        <w:ind w:left="720" w:hanging="720"/>
      </w:pPr>
      <w:r>
        <w:t>J</w:t>
      </w:r>
      <w:r w:rsidR="00B01F71">
        <w:t xml:space="preserve">arvis, S. (2007). </w:t>
      </w:r>
      <w:r w:rsidR="00B01F71" w:rsidRPr="005959D9">
        <w:t>Theoretical and Methodological Issues in the Investigatio</w:t>
      </w:r>
      <w:r w:rsidR="00B01F71">
        <w:t xml:space="preserve">n of Conceptual Transfer. </w:t>
      </w:r>
      <w:r w:rsidR="00B01F71" w:rsidRPr="005959D9">
        <w:rPr>
          <w:i/>
        </w:rPr>
        <w:t>VIAL</w:t>
      </w:r>
      <w:r w:rsidR="00B01F71">
        <w:t xml:space="preserve">, </w:t>
      </w:r>
      <w:r w:rsidR="00B01F71" w:rsidRPr="00B04F6E">
        <w:rPr>
          <w:i/>
        </w:rPr>
        <w:t>4</w:t>
      </w:r>
      <w:r w:rsidR="00B01F71">
        <w:t>, 43–</w:t>
      </w:r>
      <w:r w:rsidR="00B01F71" w:rsidRPr="005959D9">
        <w:t>71.</w:t>
      </w:r>
    </w:p>
    <w:p w14:paraId="47F3313E" w14:textId="77777777" w:rsidR="00B01F71" w:rsidRDefault="00B01F71" w:rsidP="00B01F71">
      <w:pPr>
        <w:spacing w:line="276" w:lineRule="auto"/>
        <w:ind w:left="720" w:hanging="720"/>
      </w:pPr>
      <w:r>
        <w:t xml:space="preserve">Jarvis, S. (2011). Conceptual transfer: Crosslinguistic effects in categorization and construal. </w:t>
      </w:r>
      <w:r w:rsidRPr="00666508">
        <w:rPr>
          <w:i/>
        </w:rPr>
        <w:t>Bilingualism: Language and Cognition</w:t>
      </w:r>
      <w:r>
        <w:t xml:space="preserve">, </w:t>
      </w:r>
      <w:r w:rsidRPr="00666508">
        <w:rPr>
          <w:i/>
        </w:rPr>
        <w:t>14</w:t>
      </w:r>
      <w:r>
        <w:t>(1), 1–8.</w:t>
      </w:r>
    </w:p>
    <w:p w14:paraId="5123EAE8" w14:textId="77777777" w:rsidR="00B01F71" w:rsidRDefault="00B01F71" w:rsidP="00B01F71">
      <w:pPr>
        <w:spacing w:line="276" w:lineRule="auto"/>
        <w:ind w:left="720" w:hanging="720"/>
      </w:pPr>
      <w:r>
        <w:t xml:space="preserve">Jarvis, S. (2016). </w:t>
      </w:r>
      <w:r w:rsidRPr="00C938EB">
        <w:t>Clarifying the Scope of Conceptual Transfer</w:t>
      </w:r>
      <w:r>
        <w:t xml:space="preserve">. </w:t>
      </w:r>
      <w:r w:rsidRPr="00860469">
        <w:rPr>
          <w:i/>
        </w:rPr>
        <w:t>Language Learning</w:t>
      </w:r>
      <w:r>
        <w:t xml:space="preserve">, </w:t>
      </w:r>
      <w:r w:rsidRPr="00860469">
        <w:rPr>
          <w:i/>
        </w:rPr>
        <w:t>66</w:t>
      </w:r>
      <w:r>
        <w:t>(3), 608–635.</w:t>
      </w:r>
    </w:p>
    <w:p w14:paraId="69F7B7F2" w14:textId="77777777" w:rsidR="00B01F71" w:rsidRDefault="00B01F71" w:rsidP="00B01F71">
      <w:pPr>
        <w:spacing w:line="276" w:lineRule="auto"/>
        <w:ind w:left="720" w:hanging="720"/>
      </w:pPr>
      <w:r>
        <w:t xml:space="preserve">Jarvis, S., &amp; </w:t>
      </w:r>
      <w:proofErr w:type="spellStart"/>
      <w:r w:rsidRPr="00864AB6">
        <w:t>Odlin</w:t>
      </w:r>
      <w:proofErr w:type="spellEnd"/>
      <w:r w:rsidRPr="00864AB6">
        <w:t xml:space="preserve">, T. (2000). Morphological type, spatial reference, and language transfer. </w:t>
      </w:r>
      <w:r w:rsidRPr="00864AB6">
        <w:rPr>
          <w:i/>
        </w:rPr>
        <w:t>Studies in Second Language Acquisition</w:t>
      </w:r>
      <w:r w:rsidRPr="00864AB6">
        <w:t xml:space="preserve">, </w:t>
      </w:r>
      <w:r w:rsidRPr="00864AB6">
        <w:rPr>
          <w:i/>
        </w:rPr>
        <w:t>22</w:t>
      </w:r>
      <w:r w:rsidRPr="00864AB6">
        <w:t>(4), 535–556</w:t>
      </w:r>
      <w:r>
        <w:t>.</w:t>
      </w:r>
    </w:p>
    <w:p w14:paraId="5F58ADCE" w14:textId="1E3889AF" w:rsidR="00B01F71" w:rsidRDefault="00B01F71" w:rsidP="00B01F71">
      <w:pPr>
        <w:spacing w:line="276" w:lineRule="auto"/>
        <w:ind w:left="720" w:hanging="720"/>
      </w:pPr>
      <w:r>
        <w:t xml:space="preserve">Jarvis, S., &amp; </w:t>
      </w:r>
      <w:proofErr w:type="spellStart"/>
      <w:r>
        <w:t>Pavlenko</w:t>
      </w:r>
      <w:proofErr w:type="spellEnd"/>
      <w:r>
        <w:t xml:space="preserve">, A. (2008). </w:t>
      </w:r>
      <w:r w:rsidRPr="006F24C4">
        <w:rPr>
          <w:i/>
        </w:rPr>
        <w:t>Crosslinguistic influence in language and cognition</w:t>
      </w:r>
      <w:r>
        <w:t xml:space="preserve">. New York: Routledge. </w:t>
      </w:r>
    </w:p>
    <w:p w14:paraId="7A06C754" w14:textId="183808E2" w:rsidR="00F37BF4" w:rsidRDefault="00F37BF4" w:rsidP="00B01F71">
      <w:pPr>
        <w:spacing w:line="276" w:lineRule="auto"/>
        <w:ind w:left="720" w:hanging="720"/>
      </w:pPr>
      <w:r w:rsidRPr="00F37BF4">
        <w:t xml:space="preserve">Johnson, M. (1987). </w:t>
      </w:r>
      <w:r w:rsidRPr="00F37BF4">
        <w:rPr>
          <w:i/>
        </w:rPr>
        <w:t>The body in the mind: The bodily basis of meaning, imagination and reasoning.</w:t>
      </w:r>
      <w:r w:rsidRPr="00F37BF4">
        <w:t xml:space="preserve"> Chicago: University of Chicago Press.</w:t>
      </w:r>
    </w:p>
    <w:p w14:paraId="637434AF" w14:textId="7CE8EA1A" w:rsidR="00B01F71" w:rsidRDefault="00B01F71" w:rsidP="00B01F71">
      <w:pPr>
        <w:spacing w:line="276" w:lineRule="auto"/>
        <w:ind w:left="720" w:hanging="720"/>
      </w:pPr>
      <w:proofErr w:type="spellStart"/>
      <w:r w:rsidRPr="00CA6FC0">
        <w:t>Krajnović</w:t>
      </w:r>
      <w:proofErr w:type="spellEnd"/>
      <w:r>
        <w:t xml:space="preserve">, M. M., &amp; </w:t>
      </w:r>
      <w:proofErr w:type="spellStart"/>
      <w:r>
        <w:t>Pevec</w:t>
      </w:r>
      <w:proofErr w:type="spellEnd"/>
      <w:r>
        <w:t xml:space="preserve">, I. (2015). Present Tense </w:t>
      </w:r>
      <w:proofErr w:type="spellStart"/>
      <w:r>
        <w:t>Devlopment</w:t>
      </w:r>
      <w:proofErr w:type="spellEnd"/>
      <w:r>
        <w:t xml:space="preserve"> in 11- to 13-Year-Old EFL Learners. In </w:t>
      </w:r>
      <w:proofErr w:type="spellStart"/>
      <w:r w:rsidRPr="00CA6FC0">
        <w:t>Djigunović</w:t>
      </w:r>
      <w:proofErr w:type="spellEnd"/>
      <w:r w:rsidRPr="00CA6FC0">
        <w:t xml:space="preserve">, </w:t>
      </w:r>
      <w:r>
        <w:t xml:space="preserve">J. M., &amp; </w:t>
      </w:r>
      <w:proofErr w:type="spellStart"/>
      <w:r w:rsidRPr="00CA6FC0">
        <w:t>Krajnović</w:t>
      </w:r>
      <w:proofErr w:type="spellEnd"/>
      <w:r>
        <w:t xml:space="preserve">, M. M. (Ed.), </w:t>
      </w:r>
      <w:r w:rsidRPr="006C6FC3">
        <w:rPr>
          <w:i/>
        </w:rPr>
        <w:t>Early Learning and Teaching of English: New Dynamics of Primary English</w:t>
      </w:r>
      <w:r>
        <w:t xml:space="preserve"> (pp. 80–109). Bristol: Multilingual Matters. </w:t>
      </w:r>
    </w:p>
    <w:p w14:paraId="11D6334B" w14:textId="45FB33C7" w:rsidR="0016541F" w:rsidRDefault="0016541F" w:rsidP="0016541F">
      <w:pPr>
        <w:spacing w:line="276" w:lineRule="auto"/>
        <w:ind w:left="720" w:hanging="720"/>
      </w:pPr>
      <w:r>
        <w:t xml:space="preserve">Kroll, J. F., &amp; Potter, M. C. (1984). Recognizing words, pictures, and concepts: A comparison of lexical, object, and reality decisions. </w:t>
      </w:r>
      <w:r w:rsidRPr="0016541F">
        <w:rPr>
          <w:i/>
        </w:rPr>
        <w:t xml:space="preserve">Journal of Verbal Learning and Verbal </w:t>
      </w:r>
      <w:proofErr w:type="spellStart"/>
      <w:r w:rsidRPr="0016541F">
        <w:rPr>
          <w:i/>
        </w:rPr>
        <w:t>Behavior</w:t>
      </w:r>
      <w:proofErr w:type="spellEnd"/>
      <w:r>
        <w:t xml:space="preserve"> 23, 39–66.</w:t>
      </w:r>
    </w:p>
    <w:p w14:paraId="51FB9633" w14:textId="63BE2D21" w:rsidR="00BE2A7E" w:rsidRDefault="00BE2A7E" w:rsidP="00BE2A7E">
      <w:pPr>
        <w:spacing w:line="276" w:lineRule="auto"/>
        <w:ind w:left="720" w:hanging="720"/>
      </w:pPr>
      <w:r>
        <w:t xml:space="preserve">Lakoff, G. (1987). </w:t>
      </w:r>
      <w:r w:rsidRPr="00BE2A7E">
        <w:rPr>
          <w:i/>
        </w:rPr>
        <w:t>Women, fire and dangerous things: What categories reveal about the mind.</w:t>
      </w:r>
      <w:r>
        <w:t xml:space="preserve"> Chicago: University of Chicago Press.</w:t>
      </w:r>
    </w:p>
    <w:p w14:paraId="0E69E28E" w14:textId="2606CCDF" w:rsidR="00BE2A7E" w:rsidRDefault="00BE2A7E" w:rsidP="00BE2A7E">
      <w:pPr>
        <w:spacing w:line="276" w:lineRule="auto"/>
        <w:ind w:left="720" w:hanging="720"/>
      </w:pPr>
      <w:r>
        <w:lastRenderedPageBreak/>
        <w:t xml:space="preserve">Lakoff, G. (1990). The invariance hypothesis: Is abstract reason based on image schemas? </w:t>
      </w:r>
      <w:r w:rsidRPr="00BE2A7E">
        <w:rPr>
          <w:i/>
        </w:rPr>
        <w:t>Cognitive Linguistics</w:t>
      </w:r>
      <w:r>
        <w:t xml:space="preserve"> </w:t>
      </w:r>
      <w:r w:rsidRPr="00BE2A7E">
        <w:rPr>
          <w:i/>
        </w:rPr>
        <w:t>1</w:t>
      </w:r>
      <w:r>
        <w:t>, 39–74.</w:t>
      </w:r>
    </w:p>
    <w:p w14:paraId="6DEE3D2F" w14:textId="77B1CF73" w:rsidR="00125ED0" w:rsidRDefault="00125ED0" w:rsidP="00BE2A7E">
      <w:pPr>
        <w:spacing w:line="276" w:lineRule="auto"/>
        <w:ind w:left="720" w:hanging="720"/>
      </w:pPr>
      <w:r w:rsidRPr="00125ED0">
        <w:t>Lakoff, G</w:t>
      </w:r>
      <w:r>
        <w:t>.</w:t>
      </w:r>
      <w:r w:rsidRPr="00125ED0">
        <w:t xml:space="preserve">, </w:t>
      </w:r>
      <w:r>
        <w:t xml:space="preserve">&amp; </w:t>
      </w:r>
      <w:r w:rsidRPr="00125ED0">
        <w:t>Johnson</w:t>
      </w:r>
      <w:r>
        <w:t>, M</w:t>
      </w:r>
      <w:r w:rsidRPr="00125ED0">
        <w:t xml:space="preserve">. </w:t>
      </w:r>
      <w:r>
        <w:t>(</w:t>
      </w:r>
      <w:r w:rsidRPr="00125ED0">
        <w:t>1980</w:t>
      </w:r>
      <w:r>
        <w:t>)</w:t>
      </w:r>
      <w:r w:rsidRPr="00125ED0">
        <w:t xml:space="preserve">. </w:t>
      </w:r>
      <w:r w:rsidRPr="00125ED0">
        <w:rPr>
          <w:i/>
        </w:rPr>
        <w:t>Metaphors We Live By</w:t>
      </w:r>
      <w:r w:rsidRPr="00125ED0">
        <w:t>. Chicago: University of Chicago Press.</w:t>
      </w:r>
    </w:p>
    <w:p w14:paraId="744B11F3" w14:textId="5C585F04" w:rsidR="00B01F71" w:rsidRDefault="00B01F71" w:rsidP="00B01F71">
      <w:pPr>
        <w:spacing w:line="276" w:lineRule="auto"/>
        <w:ind w:left="720" w:hanging="720"/>
      </w:pPr>
      <w:r w:rsidRPr="004E6E5F">
        <w:t xml:space="preserve">Langacker, </w:t>
      </w:r>
      <w:r>
        <w:t>R.</w:t>
      </w:r>
      <w:r w:rsidRPr="004E6E5F">
        <w:t xml:space="preserve"> </w:t>
      </w:r>
      <w:r>
        <w:t>(</w:t>
      </w:r>
      <w:r w:rsidRPr="004E6E5F">
        <w:t>1987</w:t>
      </w:r>
      <w:r>
        <w:t>)</w:t>
      </w:r>
      <w:r w:rsidRPr="004E6E5F">
        <w:t xml:space="preserve">. </w:t>
      </w:r>
      <w:r>
        <w:rPr>
          <w:i/>
        </w:rPr>
        <w:t>Foundations of C</w:t>
      </w:r>
      <w:r w:rsidRPr="004E6E5F">
        <w:rPr>
          <w:i/>
        </w:rPr>
        <w:t>ogni</w:t>
      </w:r>
      <w:r>
        <w:rPr>
          <w:i/>
        </w:rPr>
        <w:t>tive G</w:t>
      </w:r>
      <w:r w:rsidRPr="004E6E5F">
        <w:rPr>
          <w:i/>
        </w:rPr>
        <w:t>rammar</w:t>
      </w:r>
      <w:r w:rsidRPr="004E6E5F">
        <w:t>. Stanford, CA: Stanford University Press.</w:t>
      </w:r>
    </w:p>
    <w:p w14:paraId="4541FF6F" w14:textId="67A143AB" w:rsidR="00660DA3" w:rsidRDefault="00660DA3" w:rsidP="00B01F71">
      <w:pPr>
        <w:spacing w:line="276" w:lineRule="auto"/>
        <w:ind w:left="720" w:hanging="720"/>
      </w:pPr>
      <w:r w:rsidRPr="00660DA3">
        <w:t>Langacker</w:t>
      </w:r>
      <w:r>
        <w:t>,</w:t>
      </w:r>
      <w:r w:rsidRPr="00660DA3">
        <w:t xml:space="preserve"> R.</w:t>
      </w:r>
      <w:r>
        <w:t xml:space="preserve"> (1990). </w:t>
      </w:r>
      <w:r w:rsidRPr="00660DA3">
        <w:t>Subjectification</w:t>
      </w:r>
      <w:r>
        <w:t>.</w:t>
      </w:r>
      <w:r w:rsidRPr="00660DA3">
        <w:t xml:space="preserve"> </w:t>
      </w:r>
      <w:r w:rsidRPr="00660DA3">
        <w:rPr>
          <w:i/>
        </w:rPr>
        <w:t>Cognitive Linguistics</w:t>
      </w:r>
      <w:r>
        <w:t xml:space="preserve"> </w:t>
      </w:r>
      <w:r w:rsidRPr="00660DA3">
        <w:rPr>
          <w:i/>
        </w:rPr>
        <w:t>1</w:t>
      </w:r>
      <w:r>
        <w:t xml:space="preserve">, </w:t>
      </w:r>
      <w:r w:rsidRPr="00660DA3">
        <w:t>5</w:t>
      </w:r>
      <w:r>
        <w:t>–3</w:t>
      </w:r>
      <w:r w:rsidRPr="00660DA3">
        <w:t>8.</w:t>
      </w:r>
    </w:p>
    <w:p w14:paraId="7EFC8C63" w14:textId="3F93B880" w:rsidR="00B01F71" w:rsidRDefault="00B01F71" w:rsidP="00B01F71">
      <w:pPr>
        <w:spacing w:line="276" w:lineRule="auto"/>
        <w:ind w:left="720" w:hanging="720"/>
      </w:pPr>
      <w:r w:rsidRPr="004E6E5F">
        <w:t xml:space="preserve">Langacker, </w:t>
      </w:r>
      <w:r>
        <w:t>R.</w:t>
      </w:r>
      <w:r w:rsidRPr="004E6E5F">
        <w:t xml:space="preserve"> </w:t>
      </w:r>
      <w:r>
        <w:t>(1991)</w:t>
      </w:r>
      <w:r w:rsidRPr="004E6E5F">
        <w:t xml:space="preserve">. </w:t>
      </w:r>
      <w:r>
        <w:rPr>
          <w:i/>
        </w:rPr>
        <w:t>Foundations of C</w:t>
      </w:r>
      <w:r w:rsidRPr="004E6E5F">
        <w:rPr>
          <w:i/>
        </w:rPr>
        <w:t>ogni</w:t>
      </w:r>
      <w:r>
        <w:rPr>
          <w:i/>
        </w:rPr>
        <w:t>tive G</w:t>
      </w:r>
      <w:r w:rsidRPr="004E6E5F">
        <w:rPr>
          <w:i/>
        </w:rPr>
        <w:t>rammar</w:t>
      </w:r>
      <w:r>
        <w:t xml:space="preserve">: </w:t>
      </w:r>
      <w:r w:rsidRPr="00196F78">
        <w:rPr>
          <w:i/>
        </w:rPr>
        <w:t>Vol. 2</w:t>
      </w:r>
      <w:r>
        <w:t>.</w:t>
      </w:r>
      <w:r w:rsidRPr="004E6E5F">
        <w:t xml:space="preserve"> </w:t>
      </w:r>
      <w:r>
        <w:rPr>
          <w:i/>
        </w:rPr>
        <w:t xml:space="preserve">Descriptive Applications. </w:t>
      </w:r>
      <w:r w:rsidRPr="004E6E5F">
        <w:t>Stanford, CA: Stanford University Press.</w:t>
      </w:r>
    </w:p>
    <w:p w14:paraId="2119EA88" w14:textId="40C8F3DD" w:rsidR="00271E9D" w:rsidRDefault="00271E9D" w:rsidP="00B01F71">
      <w:pPr>
        <w:spacing w:line="276" w:lineRule="auto"/>
        <w:ind w:left="720" w:hanging="720"/>
      </w:pPr>
      <w:r w:rsidRPr="00271E9D">
        <w:t>Langacker, R</w:t>
      </w:r>
      <w:r>
        <w:t>. (</w:t>
      </w:r>
      <w:r w:rsidRPr="00271E9D">
        <w:t>1996</w:t>
      </w:r>
      <w:r>
        <w:t>)</w:t>
      </w:r>
      <w:r w:rsidRPr="00271E9D">
        <w:t>. Viewing in Cognition and Grammar. In Davis</w:t>
      </w:r>
      <w:r>
        <w:t>,</w:t>
      </w:r>
      <w:r w:rsidRPr="00271E9D">
        <w:t xml:space="preserve"> P</w:t>
      </w:r>
      <w:r>
        <w:t>.</w:t>
      </w:r>
      <w:r w:rsidRPr="00271E9D">
        <w:t xml:space="preserve"> </w:t>
      </w:r>
      <w:r>
        <w:t xml:space="preserve">(Ed.), </w:t>
      </w:r>
      <w:r w:rsidRPr="00271E9D">
        <w:rPr>
          <w:i/>
        </w:rPr>
        <w:t>Alternative Linguistics: Descriptive and Theoretical Modes</w:t>
      </w:r>
      <w:r>
        <w:t xml:space="preserve"> (pp. </w:t>
      </w:r>
      <w:r w:rsidRPr="00271E9D">
        <w:t>153–212.</w:t>
      </w:r>
      <w:r>
        <w:t>)</w:t>
      </w:r>
      <w:r w:rsidRPr="00271E9D">
        <w:t xml:space="preserve"> Amsterdam/Philadelphia: John </w:t>
      </w:r>
      <w:proofErr w:type="spellStart"/>
      <w:r w:rsidRPr="00271E9D">
        <w:t>Benjamins</w:t>
      </w:r>
      <w:proofErr w:type="spellEnd"/>
      <w:r>
        <w:t xml:space="preserve">. </w:t>
      </w:r>
    </w:p>
    <w:p w14:paraId="78403E39" w14:textId="728F4E0E" w:rsidR="007F1CC3" w:rsidRDefault="007F1CC3" w:rsidP="00B01F71">
      <w:pPr>
        <w:spacing w:line="276" w:lineRule="auto"/>
        <w:ind w:left="720" w:hanging="720"/>
      </w:pPr>
      <w:r w:rsidRPr="007F1CC3">
        <w:t>Langacker, R</w:t>
      </w:r>
      <w:r>
        <w:t>.</w:t>
      </w:r>
      <w:r w:rsidR="00AB6014">
        <w:t xml:space="preserve"> </w:t>
      </w:r>
      <w:r>
        <w:t>(</w:t>
      </w:r>
      <w:r w:rsidRPr="007F1CC3">
        <w:t>1999</w:t>
      </w:r>
      <w:r>
        <w:t>)</w:t>
      </w:r>
      <w:r w:rsidRPr="007F1CC3">
        <w:t xml:space="preserve">. </w:t>
      </w:r>
      <w:r w:rsidRPr="007F1CC3">
        <w:rPr>
          <w:i/>
        </w:rPr>
        <w:t>Grammar and conceptualization</w:t>
      </w:r>
      <w:r w:rsidRPr="007F1CC3">
        <w:t>. Berlin/New York: Mouton de Gruyter.</w:t>
      </w:r>
    </w:p>
    <w:p w14:paraId="7113BE6B" w14:textId="0D66F053" w:rsidR="00654A5B" w:rsidRDefault="00654A5B" w:rsidP="00B01F71">
      <w:pPr>
        <w:spacing w:line="276" w:lineRule="auto"/>
        <w:ind w:left="720" w:hanging="720"/>
      </w:pPr>
      <w:r w:rsidRPr="00654A5B">
        <w:t xml:space="preserve">Langacker, </w:t>
      </w:r>
      <w:r>
        <w:t>R.</w:t>
      </w:r>
      <w:r w:rsidRPr="00654A5B">
        <w:t xml:space="preserve"> </w:t>
      </w:r>
      <w:r>
        <w:t>(</w:t>
      </w:r>
      <w:r w:rsidRPr="00654A5B">
        <w:t>2000</w:t>
      </w:r>
      <w:r>
        <w:t>)</w:t>
      </w:r>
      <w:r w:rsidRPr="00654A5B">
        <w:t>. A dynamic usage-based model.</w:t>
      </w:r>
      <w:r>
        <w:t xml:space="preserve"> </w:t>
      </w:r>
      <w:r w:rsidRPr="00654A5B">
        <w:t>In Barlow</w:t>
      </w:r>
      <w:r>
        <w:t>, M.,</w:t>
      </w:r>
      <w:r w:rsidRPr="00654A5B">
        <w:t xml:space="preserve"> </w:t>
      </w:r>
      <w:r>
        <w:t>&amp;</w:t>
      </w:r>
      <w:r w:rsidRPr="00654A5B">
        <w:t xml:space="preserve"> </w:t>
      </w:r>
      <w:proofErr w:type="spellStart"/>
      <w:r w:rsidRPr="00654A5B">
        <w:t>Kemmer</w:t>
      </w:r>
      <w:proofErr w:type="spellEnd"/>
      <w:r>
        <w:t xml:space="preserve">, S. (Eds.), </w:t>
      </w:r>
      <w:r w:rsidRPr="00654A5B">
        <w:rPr>
          <w:i/>
        </w:rPr>
        <w:t>Usage-based models of language</w:t>
      </w:r>
      <w:r w:rsidRPr="00654A5B">
        <w:t xml:space="preserve">, </w:t>
      </w:r>
      <w:r>
        <w:t xml:space="preserve">(pp. </w:t>
      </w:r>
      <w:r w:rsidRPr="00654A5B">
        <w:t>1–63.</w:t>
      </w:r>
      <w:r>
        <w:t>)</w:t>
      </w:r>
      <w:r w:rsidRPr="00654A5B">
        <w:t xml:space="preserve"> Stanford: CSLI.</w:t>
      </w:r>
    </w:p>
    <w:p w14:paraId="39A2AE92" w14:textId="77777777" w:rsidR="00B01F71" w:rsidRDefault="00B01F71" w:rsidP="00B01F71">
      <w:pPr>
        <w:spacing w:line="276" w:lineRule="auto"/>
        <w:ind w:left="720" w:hanging="720"/>
      </w:pPr>
      <w:r>
        <w:t>Langacker, R</w:t>
      </w:r>
      <w:r w:rsidRPr="008562B7">
        <w:t xml:space="preserve">. </w:t>
      </w:r>
      <w:r>
        <w:t>(</w:t>
      </w:r>
      <w:r w:rsidRPr="008562B7">
        <w:t>2007</w:t>
      </w:r>
      <w:r>
        <w:t>). Cognitive Grammar</w:t>
      </w:r>
      <w:r w:rsidRPr="008562B7">
        <w:t xml:space="preserve">. In </w:t>
      </w:r>
      <w:proofErr w:type="spellStart"/>
      <w:r>
        <w:t>Geeraerts</w:t>
      </w:r>
      <w:proofErr w:type="spellEnd"/>
      <w:r>
        <w:t xml:space="preserve">, D., &amp; </w:t>
      </w:r>
      <w:proofErr w:type="spellStart"/>
      <w:r>
        <w:t>Cuyckens</w:t>
      </w:r>
      <w:proofErr w:type="spellEnd"/>
      <w:r>
        <w:t xml:space="preserve">, D. (Eds.), </w:t>
      </w:r>
      <w:r w:rsidRPr="008562B7">
        <w:rPr>
          <w:i/>
        </w:rPr>
        <w:t>The Oxford Handbook of Cognitive Linguistics</w:t>
      </w:r>
      <w:r>
        <w:rPr>
          <w:i/>
        </w:rPr>
        <w:t xml:space="preserve"> </w:t>
      </w:r>
      <w:r>
        <w:t xml:space="preserve">(pp. </w:t>
      </w:r>
      <w:r w:rsidRPr="008562B7">
        <w:t>421–462</w:t>
      </w:r>
      <w:r>
        <w:t>)</w:t>
      </w:r>
      <w:r w:rsidRPr="008562B7">
        <w:t>. Oxford: Oxford University Press.</w:t>
      </w:r>
    </w:p>
    <w:p w14:paraId="310FF394" w14:textId="4583FFD1" w:rsidR="00B01F71" w:rsidRDefault="00B01F71" w:rsidP="00B01F71">
      <w:pPr>
        <w:spacing w:line="276" w:lineRule="auto"/>
        <w:ind w:left="720" w:hanging="720"/>
      </w:pPr>
      <w:r>
        <w:t>Langacker, R.</w:t>
      </w:r>
      <w:r w:rsidRPr="002E37C9">
        <w:t xml:space="preserve"> </w:t>
      </w:r>
      <w:r>
        <w:t>(2008)</w:t>
      </w:r>
      <w:r w:rsidRPr="002E37C9">
        <w:t xml:space="preserve">. </w:t>
      </w:r>
      <w:r>
        <w:rPr>
          <w:i/>
        </w:rPr>
        <w:t>Cognitive grammar: A Basic I</w:t>
      </w:r>
      <w:r w:rsidRPr="002E37C9">
        <w:rPr>
          <w:i/>
        </w:rPr>
        <w:t>ntroduction</w:t>
      </w:r>
      <w:r w:rsidRPr="002E37C9">
        <w:t>. Oxford: Oxford University Press.</w:t>
      </w:r>
    </w:p>
    <w:p w14:paraId="73F9CFBC" w14:textId="47EA5A2D" w:rsidR="00B23086" w:rsidRPr="00B23086" w:rsidRDefault="00B23086" w:rsidP="00B01F71">
      <w:pPr>
        <w:spacing w:line="276" w:lineRule="auto"/>
        <w:ind w:left="720" w:hanging="720"/>
      </w:pPr>
      <w:r w:rsidRPr="00B23086">
        <w:t xml:space="preserve">Langacker, R. W. (2017). Entrenchment in cognitive grammar. In H.-J. Schmid (Ed.), </w:t>
      </w:r>
      <w:r w:rsidRPr="00B23086">
        <w:rPr>
          <w:i/>
        </w:rPr>
        <w:t>Language and the human lifespan series. Entrenchment and the psychology</w:t>
      </w:r>
      <w:r w:rsidRPr="00B23086">
        <w:t xml:space="preserve"> </w:t>
      </w:r>
      <w:r w:rsidRPr="00B23086">
        <w:rPr>
          <w:i/>
        </w:rPr>
        <w:t xml:space="preserve">of language learning: How we reorganize and adapt linguistic knowledge </w:t>
      </w:r>
      <w:r w:rsidRPr="00B23086">
        <w:t>(p. 39–56). American Psychological Association</w:t>
      </w:r>
      <w:r w:rsidR="00057336">
        <w:t>;</w:t>
      </w:r>
      <w:r w:rsidRPr="00B23086">
        <w:t xml:space="preserve"> De Gruyter Mouton</w:t>
      </w:r>
      <w:r>
        <w:t>.</w:t>
      </w:r>
      <w:r w:rsidRPr="00B23086">
        <w:t xml:space="preserve"> </w:t>
      </w:r>
    </w:p>
    <w:p w14:paraId="2A52B2D2" w14:textId="7AA84794" w:rsidR="00FB227C" w:rsidRDefault="00FB227C" w:rsidP="00FB227C">
      <w:pPr>
        <w:spacing w:line="276" w:lineRule="auto"/>
        <w:ind w:left="720" w:hanging="720"/>
      </w:pPr>
      <w:proofErr w:type="spellStart"/>
      <w:r>
        <w:t>Lecler</w:t>
      </w:r>
      <w:r w:rsidR="00632010">
        <w:t>cq</w:t>
      </w:r>
      <w:proofErr w:type="spellEnd"/>
      <w:r w:rsidR="00632010">
        <w:t xml:space="preserve">, P. &amp; Edmonds, A. (2017). </w:t>
      </w:r>
      <w:r>
        <w:t>How L2 learners of French and English express modality using verbal means: A crosslinguistic and developmental study</w:t>
      </w:r>
      <w:r w:rsidR="00632010">
        <w:t xml:space="preserve">. </w:t>
      </w:r>
      <w:r w:rsidR="00632010" w:rsidRPr="00632010">
        <w:rPr>
          <w:i/>
        </w:rPr>
        <w:t>International Review of Applied Linguistics in Language Teaching</w:t>
      </w:r>
      <w:r w:rsidR="00632010">
        <w:t xml:space="preserve"> </w:t>
      </w:r>
      <w:r w:rsidR="00632010" w:rsidRPr="00632010">
        <w:rPr>
          <w:i/>
        </w:rPr>
        <w:t>55,</w:t>
      </w:r>
      <w:r w:rsidR="00632010" w:rsidRPr="00632010">
        <w:t xml:space="preserve"> 3, 265</w:t>
      </w:r>
      <w:r w:rsidR="00632010">
        <w:t>–</w:t>
      </w:r>
      <w:r w:rsidR="00632010" w:rsidRPr="00632010">
        <w:t>282.</w:t>
      </w:r>
    </w:p>
    <w:p w14:paraId="7BB9325F" w14:textId="44AD7D56" w:rsidR="00363195" w:rsidRDefault="00363195" w:rsidP="00B01F71">
      <w:pPr>
        <w:spacing w:line="276" w:lineRule="auto"/>
        <w:ind w:left="720" w:hanging="720"/>
      </w:pPr>
      <w:r>
        <w:t xml:space="preserve">Lucy, J. (2016). </w:t>
      </w:r>
      <w:r w:rsidRPr="00363195">
        <w:t>Recent Advances in the Study of Linguistic Relativity in Historical Context: A Critical Assessment</w:t>
      </w:r>
      <w:r>
        <w:t xml:space="preserve">. </w:t>
      </w:r>
      <w:r w:rsidRPr="00363195">
        <w:rPr>
          <w:i/>
        </w:rPr>
        <w:t>Language Learning 66</w:t>
      </w:r>
      <w:r>
        <w:t xml:space="preserve">, </w:t>
      </w:r>
      <w:r w:rsidRPr="00363195">
        <w:t>3</w:t>
      </w:r>
      <w:r>
        <w:t xml:space="preserve">, </w:t>
      </w:r>
      <w:r w:rsidRPr="00363195">
        <w:t>487</w:t>
      </w:r>
      <w:r>
        <w:t>–</w:t>
      </w:r>
      <w:r w:rsidRPr="00363195">
        <w:t>515</w:t>
      </w:r>
      <w:r>
        <w:t>.</w:t>
      </w:r>
    </w:p>
    <w:p w14:paraId="4C0034C1" w14:textId="79DEFCBF" w:rsidR="00B01F71" w:rsidRDefault="00B01F71" w:rsidP="00B01F71">
      <w:pPr>
        <w:spacing w:line="276" w:lineRule="auto"/>
        <w:ind w:left="720" w:hanging="720"/>
      </w:pPr>
      <w:r w:rsidRPr="00AA392A">
        <w:t>Majid,</w:t>
      </w:r>
      <w:r>
        <w:t xml:space="preserve"> A.,</w:t>
      </w:r>
      <w:r w:rsidRPr="00AA392A">
        <w:t xml:space="preserve"> </w:t>
      </w:r>
      <w:proofErr w:type="spellStart"/>
      <w:r w:rsidRPr="00AA392A">
        <w:t>Boster</w:t>
      </w:r>
      <w:proofErr w:type="spellEnd"/>
      <w:r w:rsidRPr="00AA392A">
        <w:t xml:space="preserve">, </w:t>
      </w:r>
      <w:r>
        <w:t xml:space="preserve">J. S., </w:t>
      </w:r>
      <w:r w:rsidRPr="00AA392A">
        <w:t>&amp; Bowerman,</w:t>
      </w:r>
      <w:r>
        <w:t xml:space="preserve"> M.</w:t>
      </w:r>
      <w:r w:rsidRPr="00AA392A">
        <w:t xml:space="preserve"> </w:t>
      </w:r>
      <w:r>
        <w:t>(</w:t>
      </w:r>
      <w:r w:rsidRPr="00AA392A">
        <w:t>2008</w:t>
      </w:r>
      <w:r>
        <w:t xml:space="preserve">). </w:t>
      </w:r>
      <w:r w:rsidRPr="00AA392A">
        <w:t xml:space="preserve">The </w:t>
      </w:r>
      <w:r w:rsidR="00D806AD">
        <w:t>crosslinguistic</w:t>
      </w:r>
      <w:r w:rsidRPr="00AA392A">
        <w:t xml:space="preserve"> categorization of everyday events: a study of cutting and breaking.</w:t>
      </w:r>
      <w:r>
        <w:t xml:space="preserve"> </w:t>
      </w:r>
      <w:r w:rsidRPr="00AA392A">
        <w:rPr>
          <w:i/>
        </w:rPr>
        <w:t>Cognition</w:t>
      </w:r>
      <w:r>
        <w:t xml:space="preserve">, </w:t>
      </w:r>
      <w:r w:rsidRPr="00AA392A">
        <w:rPr>
          <w:i/>
        </w:rPr>
        <w:t>109</w:t>
      </w:r>
      <w:r>
        <w:t xml:space="preserve">(2), 235–250. </w:t>
      </w:r>
    </w:p>
    <w:p w14:paraId="4C716B7A" w14:textId="16036570" w:rsidR="00D46209" w:rsidRDefault="00D46209" w:rsidP="00D46209">
      <w:pPr>
        <w:spacing w:line="276" w:lineRule="auto"/>
        <w:ind w:left="720" w:hanging="720"/>
      </w:pPr>
      <w:proofErr w:type="spellStart"/>
      <w:r>
        <w:t>MacWhinney</w:t>
      </w:r>
      <w:proofErr w:type="spellEnd"/>
      <w:r>
        <w:t>, B.</w:t>
      </w:r>
      <w:r w:rsidR="00057336">
        <w:t xml:space="preserve"> </w:t>
      </w:r>
      <w:r>
        <w:t xml:space="preserve">(1992). Transfer and competition in second language learning. In R.J. Harris (Ed.), </w:t>
      </w:r>
      <w:r w:rsidRPr="00D46209">
        <w:rPr>
          <w:i/>
        </w:rPr>
        <w:t>Cognitive processing in bilinguals</w:t>
      </w:r>
      <w:r>
        <w:t>, (pp. 371-390). Amsterdam: North Holland.</w:t>
      </w:r>
    </w:p>
    <w:p w14:paraId="049238CF" w14:textId="152AAF8B" w:rsidR="00057336" w:rsidRPr="00B23086" w:rsidRDefault="00057336" w:rsidP="00057336">
      <w:pPr>
        <w:spacing w:line="276" w:lineRule="auto"/>
        <w:ind w:left="720" w:hanging="720"/>
      </w:pPr>
      <w:proofErr w:type="spellStart"/>
      <w:r w:rsidRPr="00057336">
        <w:t>MacWhinney</w:t>
      </w:r>
      <w:proofErr w:type="spellEnd"/>
      <w:r w:rsidRPr="00057336">
        <w:t xml:space="preserve">, B. (2017). Entrenchment in second-language learning. In H.-J. Schmid (Ed.), </w:t>
      </w:r>
      <w:r w:rsidRPr="00B23086">
        <w:rPr>
          <w:i/>
        </w:rPr>
        <w:t>Language and the human lifespan series. Entrenchment and the psychology</w:t>
      </w:r>
      <w:r w:rsidRPr="00B23086">
        <w:t xml:space="preserve"> </w:t>
      </w:r>
      <w:r w:rsidRPr="00B23086">
        <w:rPr>
          <w:i/>
        </w:rPr>
        <w:t xml:space="preserve">of language learning: How we reorganize and adapt linguistic knowledge </w:t>
      </w:r>
      <w:r>
        <w:t xml:space="preserve">(pp. 343–366). </w:t>
      </w:r>
      <w:r w:rsidRPr="00B23086">
        <w:t>American Psychological Association; De Gruyter Mouton</w:t>
      </w:r>
      <w:r>
        <w:t>.</w:t>
      </w:r>
      <w:r w:rsidRPr="00B23086">
        <w:t xml:space="preserve"> </w:t>
      </w:r>
    </w:p>
    <w:p w14:paraId="71A31134" w14:textId="190A60CB" w:rsidR="00C81703" w:rsidRDefault="00C81703" w:rsidP="00057336">
      <w:pPr>
        <w:spacing w:line="276" w:lineRule="auto"/>
        <w:ind w:left="720" w:hanging="720"/>
      </w:pPr>
      <w:r w:rsidRPr="00C81703">
        <w:t>Malt, B</w:t>
      </w:r>
      <w:r>
        <w:t>.,</w:t>
      </w:r>
      <w:r w:rsidRPr="00C81703">
        <w:t xml:space="preserve"> &amp;</w:t>
      </w:r>
      <w:r>
        <w:t xml:space="preserve"> </w:t>
      </w:r>
      <w:proofErr w:type="spellStart"/>
      <w:r w:rsidRPr="00C81703">
        <w:t>Sloman</w:t>
      </w:r>
      <w:proofErr w:type="spellEnd"/>
      <w:r>
        <w:t>, S</w:t>
      </w:r>
      <w:r w:rsidRPr="00C81703">
        <w:t xml:space="preserve">. </w:t>
      </w:r>
      <w:r>
        <w:t>(</w:t>
      </w:r>
      <w:r w:rsidRPr="00C81703">
        <w:t>2003</w:t>
      </w:r>
      <w:r>
        <w:t>)</w:t>
      </w:r>
      <w:r w:rsidRPr="00C81703">
        <w:t xml:space="preserve">. Linguistic diversity and object naming by non-native speakers of English. </w:t>
      </w:r>
      <w:r w:rsidRPr="00C81703">
        <w:rPr>
          <w:i/>
        </w:rPr>
        <w:t>Bilingualism: Language and Cognition 6</w:t>
      </w:r>
      <w:r>
        <w:t xml:space="preserve">, </w:t>
      </w:r>
      <w:r w:rsidRPr="00C81703">
        <w:t>47–67.</w:t>
      </w:r>
    </w:p>
    <w:p w14:paraId="00E630DF" w14:textId="7D2947F5" w:rsidR="00D46209" w:rsidRDefault="00B01F71" w:rsidP="00D46209">
      <w:pPr>
        <w:spacing w:line="276" w:lineRule="auto"/>
        <w:ind w:left="720" w:hanging="720"/>
      </w:pPr>
      <w:r>
        <w:t xml:space="preserve">McManus, K. (2015). </w:t>
      </w:r>
      <w:r w:rsidRPr="002609AF">
        <w:t>L1/L2 Differences in the Acquisition of Form-Meaning Pairings: A Comparison of English and German Learners of French</w:t>
      </w:r>
      <w:r>
        <w:t xml:space="preserve">. </w:t>
      </w:r>
      <w:r w:rsidRPr="002609AF">
        <w:rPr>
          <w:i/>
        </w:rPr>
        <w:t>The Canadian Modern Language Review</w:t>
      </w:r>
      <w:r>
        <w:t xml:space="preserve">, </w:t>
      </w:r>
      <w:r w:rsidRPr="002609AF">
        <w:rPr>
          <w:i/>
        </w:rPr>
        <w:t>71</w:t>
      </w:r>
      <w:r>
        <w:t xml:space="preserve">(2), 155–181. </w:t>
      </w:r>
    </w:p>
    <w:p w14:paraId="33BA70F9" w14:textId="363B4B41" w:rsidR="00D33B96" w:rsidRDefault="00D33B96" w:rsidP="00D46209">
      <w:pPr>
        <w:spacing w:line="276" w:lineRule="auto"/>
        <w:ind w:left="720" w:hanging="720"/>
      </w:pPr>
      <w:proofErr w:type="spellStart"/>
      <w:r w:rsidRPr="00D33B96">
        <w:lastRenderedPageBreak/>
        <w:t>Michaelis</w:t>
      </w:r>
      <w:proofErr w:type="spellEnd"/>
      <w:r w:rsidRPr="00D33B96">
        <w:t xml:space="preserve">, L. A. </w:t>
      </w:r>
      <w:r>
        <w:t>(</w:t>
      </w:r>
      <w:r w:rsidRPr="00D33B96">
        <w:t>2004</w:t>
      </w:r>
      <w:r>
        <w:t>)</w:t>
      </w:r>
      <w:r w:rsidRPr="00D33B96">
        <w:t xml:space="preserve">. Type Shifting in Construction Grammar: An Integrated Approach to Aspectual Coercion. </w:t>
      </w:r>
      <w:r w:rsidRPr="00D33B96">
        <w:rPr>
          <w:i/>
        </w:rPr>
        <w:t>Cognitive Linguistics 15</w:t>
      </w:r>
      <w:r>
        <w:t xml:space="preserve">, </w:t>
      </w:r>
      <w:r w:rsidRPr="00D33B96">
        <w:t>1–67.</w:t>
      </w:r>
    </w:p>
    <w:p w14:paraId="3AFD62F8" w14:textId="20DBE5B3" w:rsidR="00F30046" w:rsidRPr="002609AF" w:rsidRDefault="00F30046" w:rsidP="00D46209">
      <w:pPr>
        <w:spacing w:line="276" w:lineRule="auto"/>
        <w:ind w:left="720" w:hanging="720"/>
      </w:pPr>
      <w:proofErr w:type="spellStart"/>
      <w:r w:rsidRPr="00BF3109">
        <w:t>Negueruela</w:t>
      </w:r>
      <w:proofErr w:type="spellEnd"/>
      <w:r w:rsidRPr="00BF3109">
        <w:t xml:space="preserve">, E., </w:t>
      </w:r>
      <w:proofErr w:type="spellStart"/>
      <w:r w:rsidRPr="00BF3109">
        <w:t>Lantolf</w:t>
      </w:r>
      <w:proofErr w:type="spellEnd"/>
      <w:r w:rsidRPr="00BF3109">
        <w:t xml:space="preserve">, J. P., Jordan, S. R., &amp; </w:t>
      </w:r>
      <w:proofErr w:type="spellStart"/>
      <w:r w:rsidRPr="00BF3109">
        <w:t>Gelabert</w:t>
      </w:r>
      <w:proofErr w:type="spellEnd"/>
      <w:r w:rsidRPr="00BF3109">
        <w:t xml:space="preserve">, J. (2004). </w:t>
      </w:r>
      <w:r w:rsidRPr="00F30046">
        <w:t xml:space="preserve">The “private function” of gesture in second language speaking activity: A study of motion verbs and gesturing in English and Spanish. </w:t>
      </w:r>
      <w:r w:rsidRPr="00F30046">
        <w:rPr>
          <w:i/>
        </w:rPr>
        <w:t>International Journal of Applied Linguistics</w:t>
      </w:r>
      <w:r>
        <w:t xml:space="preserve"> </w:t>
      </w:r>
      <w:r w:rsidRPr="00F30046">
        <w:rPr>
          <w:i/>
        </w:rPr>
        <w:t>14</w:t>
      </w:r>
      <w:r w:rsidRPr="00F30046">
        <w:t>, 113– 147.</w:t>
      </w:r>
    </w:p>
    <w:p w14:paraId="179C3B79" w14:textId="43F6ACCA" w:rsidR="0099440E" w:rsidRDefault="0099440E" w:rsidP="00B01F71">
      <w:pPr>
        <w:spacing w:line="276" w:lineRule="auto"/>
        <w:ind w:left="720" w:hanging="720"/>
      </w:pPr>
      <w:proofErr w:type="spellStart"/>
      <w:r w:rsidRPr="0099440E">
        <w:t>Niemeier</w:t>
      </w:r>
      <w:proofErr w:type="spellEnd"/>
      <w:r w:rsidRPr="0099440E">
        <w:t xml:space="preserve">, Susanne. 2013. “A Cognitive Grammar perspective on tense and aspect.” In </w:t>
      </w:r>
      <w:r w:rsidRPr="0099440E">
        <w:rPr>
          <w:i/>
        </w:rPr>
        <w:t>Research Design and Methodology in Studies on L2 Tense and Aspect</w:t>
      </w:r>
      <w:r w:rsidRPr="0099440E">
        <w:t xml:space="preserve">, edited by Rafael Salaberry and </w:t>
      </w:r>
      <w:proofErr w:type="spellStart"/>
      <w:r w:rsidRPr="0099440E">
        <w:t>Llorenc</w:t>
      </w:r>
      <w:proofErr w:type="spellEnd"/>
      <w:r w:rsidRPr="0099440E">
        <w:t xml:space="preserve">̧ </w:t>
      </w:r>
      <w:proofErr w:type="spellStart"/>
      <w:r w:rsidRPr="0099440E">
        <w:t>Comajoan</w:t>
      </w:r>
      <w:proofErr w:type="spellEnd"/>
      <w:r w:rsidRPr="0099440E">
        <w:t>, 11–55. Berlin/New York: Mouton de Gruyter.</w:t>
      </w:r>
    </w:p>
    <w:p w14:paraId="694FA842" w14:textId="338BE96A" w:rsidR="00DD6FA8" w:rsidRDefault="00DD6FA8" w:rsidP="00B01F71">
      <w:pPr>
        <w:spacing w:line="276" w:lineRule="auto"/>
        <w:ind w:left="720" w:hanging="720"/>
      </w:pPr>
      <w:proofErr w:type="spellStart"/>
      <w:r w:rsidRPr="00DD6FA8">
        <w:t>Odlin</w:t>
      </w:r>
      <w:proofErr w:type="spellEnd"/>
      <w:r w:rsidRPr="00DD6FA8">
        <w:t xml:space="preserve">, T. </w:t>
      </w:r>
      <w:r>
        <w:t>(</w:t>
      </w:r>
      <w:r w:rsidRPr="00DD6FA8">
        <w:t>2005</w:t>
      </w:r>
      <w:r>
        <w:t>)</w:t>
      </w:r>
      <w:r w:rsidRPr="00DD6FA8">
        <w:t xml:space="preserve">. Crosslinguistic influence and conceptual transfer: What are the concepts? </w:t>
      </w:r>
      <w:r w:rsidRPr="00DD6FA8">
        <w:rPr>
          <w:i/>
        </w:rPr>
        <w:t>Annual Review of Applied Linguistics 25</w:t>
      </w:r>
      <w:r>
        <w:t xml:space="preserve">, </w:t>
      </w:r>
      <w:r w:rsidRPr="00DD6FA8">
        <w:t>3–25.</w:t>
      </w:r>
    </w:p>
    <w:p w14:paraId="6D35627C" w14:textId="79AACD6F" w:rsidR="00AB6014" w:rsidRDefault="00AB6014" w:rsidP="00AB6014">
      <w:pPr>
        <w:spacing w:line="276" w:lineRule="auto"/>
        <w:ind w:left="720" w:hanging="720"/>
      </w:pPr>
      <w:proofErr w:type="spellStart"/>
      <w:r>
        <w:t>Odlin</w:t>
      </w:r>
      <w:proofErr w:type="spellEnd"/>
      <w:r>
        <w:t>, T. (2008). Conceptual transfer and meaning extensions. In Robinson, P. &amp; Ellis, N.</w:t>
      </w:r>
    </w:p>
    <w:p w14:paraId="03ED7F1F" w14:textId="2EC7EA18" w:rsidR="00AB6014" w:rsidRPr="00AB6014" w:rsidRDefault="00AB6014" w:rsidP="00AB6014">
      <w:pPr>
        <w:spacing w:line="276" w:lineRule="auto"/>
        <w:ind w:left="720"/>
        <w:rPr>
          <w:i/>
        </w:rPr>
      </w:pPr>
      <w:r>
        <w:t>C. (</w:t>
      </w:r>
      <w:proofErr w:type="spellStart"/>
      <w:r>
        <w:t>Edss</w:t>
      </w:r>
      <w:proofErr w:type="spellEnd"/>
      <w:r>
        <w:t xml:space="preserve">), </w:t>
      </w:r>
      <w:r w:rsidRPr="00AB6014">
        <w:rPr>
          <w:i/>
        </w:rPr>
        <w:t>Handbook of Cognitive Linguistics and Second Language</w:t>
      </w:r>
    </w:p>
    <w:p w14:paraId="24DE2E5A" w14:textId="495548D6" w:rsidR="00AB6014" w:rsidRDefault="00AB6014" w:rsidP="00AB6014">
      <w:pPr>
        <w:spacing w:line="276" w:lineRule="auto"/>
        <w:ind w:left="720"/>
      </w:pPr>
      <w:r w:rsidRPr="00AB6014">
        <w:rPr>
          <w:i/>
        </w:rPr>
        <w:t>Acquisition</w:t>
      </w:r>
      <w:r>
        <w:rPr>
          <w:i/>
        </w:rPr>
        <w:t xml:space="preserve">, </w:t>
      </w:r>
      <w:r>
        <w:t xml:space="preserve">(pp. 306-340). New York: Routledge. </w:t>
      </w:r>
    </w:p>
    <w:p w14:paraId="67D80B1D" w14:textId="6AF67E2A" w:rsidR="00873FF3" w:rsidRPr="00873FF3" w:rsidRDefault="00873FF3" w:rsidP="00873FF3">
      <w:pPr>
        <w:spacing w:line="276" w:lineRule="auto"/>
        <w:ind w:left="720" w:hanging="720"/>
      </w:pPr>
      <w:proofErr w:type="spellStart"/>
      <w:r w:rsidRPr="00873FF3">
        <w:t>Odlin</w:t>
      </w:r>
      <w:proofErr w:type="spellEnd"/>
      <w:r w:rsidRPr="00873FF3">
        <w:t xml:space="preserve">, T. </w:t>
      </w:r>
      <w:r>
        <w:t>(</w:t>
      </w:r>
      <w:r w:rsidRPr="00873FF3">
        <w:t>2010</w:t>
      </w:r>
      <w:r>
        <w:t>)</w:t>
      </w:r>
      <w:r w:rsidRPr="00873FF3">
        <w:t>. Conclusion: On the interdependence of conceptual transfer and relativity studies. In Han</w:t>
      </w:r>
      <w:r>
        <w:t>, Z.,</w:t>
      </w:r>
      <w:r w:rsidRPr="00873FF3">
        <w:t xml:space="preserve"> &amp; </w:t>
      </w:r>
      <w:proofErr w:type="spellStart"/>
      <w:r w:rsidRPr="00873FF3">
        <w:t>Cadierno</w:t>
      </w:r>
      <w:proofErr w:type="spellEnd"/>
      <w:r>
        <w:t>, T. (E</w:t>
      </w:r>
      <w:r w:rsidRPr="00873FF3">
        <w:t xml:space="preserve">ds.), </w:t>
      </w:r>
      <w:r w:rsidRPr="00873FF3">
        <w:rPr>
          <w:i/>
        </w:rPr>
        <w:t>Linguistic relativity in SLA: Thinking for speaking</w:t>
      </w:r>
      <w:r w:rsidR="00FB0298">
        <w:t>, (</w:t>
      </w:r>
      <w:r w:rsidR="00C62A7F">
        <w:t>pp.183–194).</w:t>
      </w:r>
      <w:r w:rsidRPr="00873FF3">
        <w:t>Bristol: Multilingual Matters.</w:t>
      </w:r>
    </w:p>
    <w:p w14:paraId="7EDB0B7D" w14:textId="7BC0795D" w:rsidR="002B0E57" w:rsidRDefault="002B0E57" w:rsidP="007500D6">
      <w:pPr>
        <w:spacing w:line="276" w:lineRule="auto"/>
        <w:ind w:left="720" w:hanging="720"/>
      </w:pPr>
      <w:proofErr w:type="spellStart"/>
      <w:r w:rsidRPr="002B0E57">
        <w:t>Ot</w:t>
      </w:r>
      <w:r w:rsidR="007500D6">
        <w:t>w</w:t>
      </w:r>
      <w:r w:rsidRPr="002B0E57">
        <w:t>inowska</w:t>
      </w:r>
      <w:proofErr w:type="spellEnd"/>
      <w:r w:rsidRPr="002B0E57">
        <w:t>, A.</w:t>
      </w:r>
      <w:r w:rsidR="007500D6">
        <w:t xml:space="preserve"> (2016). </w:t>
      </w:r>
      <w:r w:rsidR="007500D6" w:rsidRPr="007500D6">
        <w:t>Cognate Vocabulary in Language Acquisition and Use: Attitudes, Awareness</w:t>
      </w:r>
      <w:r w:rsidR="007500D6">
        <w:t xml:space="preserve">, Activation. Bristol: Multilingual Matters. </w:t>
      </w:r>
    </w:p>
    <w:p w14:paraId="21FCEE48" w14:textId="72CB5E01" w:rsidR="006D7547" w:rsidRDefault="006D7547" w:rsidP="007500D6">
      <w:pPr>
        <w:spacing w:line="276" w:lineRule="auto"/>
        <w:ind w:left="720" w:hanging="720"/>
      </w:pPr>
      <w:proofErr w:type="spellStart"/>
      <w:r w:rsidRPr="00BF3109">
        <w:t>Papafragou</w:t>
      </w:r>
      <w:proofErr w:type="spellEnd"/>
      <w:r w:rsidRPr="00BF3109">
        <w:t xml:space="preserve">, A., Massey, C., &amp; </w:t>
      </w:r>
      <w:proofErr w:type="spellStart"/>
      <w:r w:rsidRPr="00BF3109">
        <w:t>Gleitman</w:t>
      </w:r>
      <w:proofErr w:type="spellEnd"/>
      <w:r w:rsidRPr="00BF3109">
        <w:t xml:space="preserve">, L. (2002). </w:t>
      </w:r>
      <w:r w:rsidRPr="006D7547">
        <w:t xml:space="preserve">Shake, rattle, “n” roll: The representation of motion in language and cognition. </w:t>
      </w:r>
      <w:r w:rsidRPr="006D7547">
        <w:rPr>
          <w:i/>
        </w:rPr>
        <w:t>Cognition 84</w:t>
      </w:r>
      <w:r w:rsidRPr="006D7547">
        <w:t>, 189– 219.</w:t>
      </w:r>
    </w:p>
    <w:p w14:paraId="7EE23C4D" w14:textId="69C84954" w:rsidR="00CA3686" w:rsidRDefault="00CA3686" w:rsidP="007500D6">
      <w:pPr>
        <w:spacing w:line="276" w:lineRule="auto"/>
        <w:ind w:left="720" w:hanging="720"/>
      </w:pPr>
      <w:proofErr w:type="spellStart"/>
      <w:r w:rsidRPr="00CA3686">
        <w:t>Papafragou</w:t>
      </w:r>
      <w:proofErr w:type="spellEnd"/>
      <w:r w:rsidRPr="00CA3686">
        <w:t xml:space="preserve">, A., &amp; </w:t>
      </w:r>
      <w:proofErr w:type="spellStart"/>
      <w:r w:rsidRPr="00CA3686">
        <w:t>Selimis</w:t>
      </w:r>
      <w:proofErr w:type="spellEnd"/>
      <w:r w:rsidRPr="00CA3686">
        <w:t>, S. (2010). Event categorisation and language: A cross</w:t>
      </w:r>
      <w:r w:rsidRPr="00CA3686">
        <w:rPr>
          <w:rFonts w:ascii="Cambria Math" w:hAnsi="Cambria Math" w:cs="Cambria Math"/>
        </w:rPr>
        <w:t>‐</w:t>
      </w:r>
      <w:r w:rsidRPr="00CA3686">
        <w:t xml:space="preserve">linguistic study of motion. </w:t>
      </w:r>
      <w:r w:rsidRPr="00CA3686">
        <w:rPr>
          <w:i/>
        </w:rPr>
        <w:t>Language and Cognitive Processes</w:t>
      </w:r>
      <w:r>
        <w:t xml:space="preserve"> </w:t>
      </w:r>
      <w:r w:rsidRPr="00CA3686">
        <w:rPr>
          <w:i/>
        </w:rPr>
        <w:t>25</w:t>
      </w:r>
      <w:r w:rsidRPr="00CA3686">
        <w:t>, 224– 260.</w:t>
      </w:r>
    </w:p>
    <w:p w14:paraId="43B214C0" w14:textId="161D58C8" w:rsidR="00ED32FE" w:rsidRPr="00ED32FE" w:rsidRDefault="00ED32FE" w:rsidP="007500D6">
      <w:pPr>
        <w:spacing w:line="276" w:lineRule="auto"/>
        <w:ind w:left="720" w:hanging="720"/>
      </w:pPr>
      <w:r>
        <w:t xml:space="preserve">Park, H. I., (2019). </w:t>
      </w:r>
      <w:r w:rsidRPr="00ED32FE">
        <w:t>How do Korean–English bilinguals speak and think about motion events? Evidence from verbal and non-verbal tasks</w:t>
      </w:r>
      <w:r>
        <w:t xml:space="preserve">. </w:t>
      </w:r>
      <w:r w:rsidRPr="00ED32FE">
        <w:rPr>
          <w:i/>
        </w:rPr>
        <w:t>Bilingualism: Language and Cognition</w:t>
      </w:r>
      <w:r>
        <w:rPr>
          <w:i/>
        </w:rPr>
        <w:t xml:space="preserve">, </w:t>
      </w:r>
      <w:r>
        <w:t xml:space="preserve">1–17. </w:t>
      </w:r>
    </w:p>
    <w:p w14:paraId="2B80C6AD" w14:textId="5ADE4787" w:rsidR="00B01F71" w:rsidRDefault="00B01F71" w:rsidP="00B01F71">
      <w:pPr>
        <w:spacing w:line="276" w:lineRule="auto"/>
        <w:ind w:left="720" w:hanging="720"/>
      </w:pPr>
      <w:r w:rsidRPr="00BF3109">
        <w:rPr>
          <w:lang w:val="de-DE"/>
        </w:rPr>
        <w:t xml:space="preserve">Park, H. I., &amp; Ziegler, N. (2014). </w:t>
      </w:r>
      <w:r>
        <w:t xml:space="preserve">Cognitive shift in the bilingual mind: Spatial concepts in Korean–English bilinguals. </w:t>
      </w:r>
      <w:r w:rsidRPr="001B10AF">
        <w:rPr>
          <w:i/>
        </w:rPr>
        <w:t>Bilingualism: Language and Cognition</w:t>
      </w:r>
      <w:r>
        <w:t xml:space="preserve">, </w:t>
      </w:r>
      <w:r w:rsidRPr="001B10AF">
        <w:rPr>
          <w:i/>
        </w:rPr>
        <w:t>17</w:t>
      </w:r>
      <w:r>
        <w:t>(2), 410–430.</w:t>
      </w:r>
    </w:p>
    <w:p w14:paraId="1C6ADA0A" w14:textId="17C7F07E" w:rsidR="002E75B8" w:rsidRDefault="002E75B8" w:rsidP="00B01F71">
      <w:pPr>
        <w:spacing w:line="276" w:lineRule="auto"/>
        <w:ind w:left="720" w:hanging="720"/>
      </w:pPr>
      <w:proofErr w:type="spellStart"/>
      <w:r w:rsidRPr="002E75B8">
        <w:t>Pavlenko</w:t>
      </w:r>
      <w:proofErr w:type="spellEnd"/>
      <w:r w:rsidRPr="002E75B8">
        <w:t xml:space="preserve">, A. (1999). New approaches to concepts in bilingual memory. Bilingualism: </w:t>
      </w:r>
      <w:r w:rsidRPr="002E75B8">
        <w:rPr>
          <w:i/>
        </w:rPr>
        <w:t>Language and Cognition</w:t>
      </w:r>
      <w:r w:rsidRPr="002E75B8">
        <w:t xml:space="preserve">, </w:t>
      </w:r>
      <w:r w:rsidRPr="002E75B8">
        <w:rPr>
          <w:i/>
        </w:rPr>
        <w:t>2</w:t>
      </w:r>
      <w:r w:rsidRPr="002E75B8">
        <w:t>, 209– 230.</w:t>
      </w:r>
    </w:p>
    <w:p w14:paraId="065299F1" w14:textId="4C28E712" w:rsidR="00B01F71" w:rsidRDefault="00B01F71" w:rsidP="00B01F71">
      <w:pPr>
        <w:spacing w:line="276" w:lineRule="auto"/>
        <w:ind w:left="720" w:hanging="720"/>
      </w:pPr>
      <w:proofErr w:type="spellStart"/>
      <w:r w:rsidRPr="00522084">
        <w:t>Pavlenko</w:t>
      </w:r>
      <w:proofErr w:type="spellEnd"/>
      <w:r w:rsidRPr="00522084">
        <w:t>, A. (2000)</w:t>
      </w:r>
      <w:r>
        <w:t>.</w:t>
      </w:r>
      <w:r w:rsidRPr="00522084">
        <w:t xml:space="preserve"> Access to linguistic resources: Key variable in second language learning. </w:t>
      </w:r>
      <w:proofErr w:type="spellStart"/>
      <w:r w:rsidRPr="00522084">
        <w:rPr>
          <w:i/>
        </w:rPr>
        <w:t>Estudios</w:t>
      </w:r>
      <w:proofErr w:type="spellEnd"/>
      <w:r w:rsidRPr="00522084">
        <w:rPr>
          <w:i/>
        </w:rPr>
        <w:t xml:space="preserve"> de </w:t>
      </w:r>
      <w:proofErr w:type="spellStart"/>
      <w:r w:rsidRPr="00522084">
        <w:rPr>
          <w:i/>
        </w:rPr>
        <w:t>Sociolinguistica</w:t>
      </w:r>
      <w:proofErr w:type="spellEnd"/>
      <w:r>
        <w:t xml:space="preserve">, </w:t>
      </w:r>
      <w:r w:rsidRPr="00522084">
        <w:rPr>
          <w:i/>
        </w:rPr>
        <w:t>1</w:t>
      </w:r>
      <w:r>
        <w:t>(</w:t>
      </w:r>
      <w:r w:rsidRPr="00522084">
        <w:t>2</w:t>
      </w:r>
      <w:r>
        <w:t>), 85–</w:t>
      </w:r>
      <w:r w:rsidRPr="00522084">
        <w:t>105.</w:t>
      </w:r>
    </w:p>
    <w:p w14:paraId="58358709" w14:textId="68B023FA" w:rsidR="00A52738" w:rsidRDefault="00A52738" w:rsidP="00B01F71">
      <w:pPr>
        <w:spacing w:line="276" w:lineRule="auto"/>
        <w:ind w:left="720" w:hanging="720"/>
      </w:pPr>
      <w:proofErr w:type="spellStart"/>
      <w:r w:rsidRPr="00A52738">
        <w:t>Pavlenko</w:t>
      </w:r>
      <w:proofErr w:type="spellEnd"/>
      <w:r w:rsidRPr="00A52738">
        <w:t xml:space="preserve">, A. (Ed.). (2011). </w:t>
      </w:r>
      <w:r w:rsidRPr="00A52738">
        <w:rPr>
          <w:i/>
        </w:rPr>
        <w:t>Thinking and speaking in two languages</w:t>
      </w:r>
      <w:r w:rsidRPr="00A52738">
        <w:t>. Clevedon, UK: Multilingual Matters.</w:t>
      </w:r>
    </w:p>
    <w:p w14:paraId="51D67D5F" w14:textId="77777777" w:rsidR="00793B19" w:rsidRDefault="00793B19" w:rsidP="00793B19">
      <w:pPr>
        <w:spacing w:line="360" w:lineRule="auto"/>
        <w:ind w:left="720" w:hanging="720"/>
      </w:pPr>
      <w:proofErr w:type="spellStart"/>
      <w:r>
        <w:t>Pavlenko</w:t>
      </w:r>
      <w:proofErr w:type="spellEnd"/>
      <w:r>
        <w:t xml:space="preserve">, A., &amp; </w:t>
      </w:r>
      <w:proofErr w:type="spellStart"/>
      <w:r>
        <w:t>Driagina</w:t>
      </w:r>
      <w:proofErr w:type="spellEnd"/>
      <w:r>
        <w:t xml:space="preserve">, V. (2008). </w:t>
      </w:r>
      <w:r w:rsidRPr="009176BC">
        <w:rPr>
          <w:i/>
        </w:rPr>
        <w:t>Narrative and conceptual proficiency in Russian</w:t>
      </w:r>
      <w:r>
        <w:t xml:space="preserve">. State College, PA: </w:t>
      </w:r>
      <w:proofErr w:type="spellStart"/>
      <w:r>
        <w:t>Center</w:t>
      </w:r>
      <w:proofErr w:type="spellEnd"/>
      <w:r>
        <w:t xml:space="preserve"> for Advanced Language Proficiency Education and Research, The Pennsylvania State University. </w:t>
      </w:r>
    </w:p>
    <w:p w14:paraId="48612508" w14:textId="77777777" w:rsidR="00793B19" w:rsidRDefault="00793B19" w:rsidP="00B01F71">
      <w:pPr>
        <w:spacing w:line="276" w:lineRule="auto"/>
        <w:ind w:left="720" w:hanging="720"/>
      </w:pPr>
    </w:p>
    <w:p w14:paraId="07666AF3" w14:textId="7FDF0D7E" w:rsidR="008E1B5F" w:rsidRDefault="008E1B5F" w:rsidP="008E1B5F">
      <w:pPr>
        <w:spacing w:line="360" w:lineRule="auto"/>
        <w:ind w:left="720" w:hanging="720"/>
      </w:pPr>
      <w:proofErr w:type="spellStart"/>
      <w:r w:rsidRPr="000119B0">
        <w:t>Pavlenko</w:t>
      </w:r>
      <w:proofErr w:type="spellEnd"/>
      <w:r w:rsidRPr="000119B0">
        <w:t>, A.</w:t>
      </w:r>
      <w:r>
        <w:t xml:space="preserve">, &amp; </w:t>
      </w:r>
      <w:r w:rsidRPr="000119B0">
        <w:t>Malt</w:t>
      </w:r>
      <w:r>
        <w:t>, B.</w:t>
      </w:r>
      <w:r w:rsidRPr="000119B0">
        <w:t xml:space="preserve"> (2011)</w:t>
      </w:r>
      <w:r>
        <w:t>.</w:t>
      </w:r>
      <w:r w:rsidRPr="000119B0">
        <w:t xml:space="preserve"> Kitchen Russian: Cross-linguistic differences and first-language object naming by Russian-English bilinguals. </w:t>
      </w:r>
      <w:r w:rsidRPr="000119B0">
        <w:rPr>
          <w:i/>
        </w:rPr>
        <w:t>Bilingualism: Language and Cognition</w:t>
      </w:r>
      <w:r w:rsidRPr="000119B0">
        <w:t xml:space="preserve">, </w:t>
      </w:r>
      <w:r w:rsidRPr="000119B0">
        <w:rPr>
          <w:i/>
        </w:rPr>
        <w:t>14</w:t>
      </w:r>
      <w:r>
        <w:t>(</w:t>
      </w:r>
      <w:r w:rsidRPr="000119B0">
        <w:t>1</w:t>
      </w:r>
      <w:r>
        <w:t>), 19–</w:t>
      </w:r>
      <w:r w:rsidRPr="000119B0">
        <w:t>45.</w:t>
      </w:r>
    </w:p>
    <w:p w14:paraId="2AA4DA0A" w14:textId="77F942A3" w:rsidR="00746807" w:rsidRDefault="00746807" w:rsidP="00B01F71">
      <w:pPr>
        <w:spacing w:line="276" w:lineRule="auto"/>
        <w:ind w:left="720" w:hanging="720"/>
      </w:pPr>
      <w:proofErr w:type="spellStart"/>
      <w:r w:rsidRPr="00746807">
        <w:lastRenderedPageBreak/>
        <w:t>Radden</w:t>
      </w:r>
      <w:proofErr w:type="spellEnd"/>
      <w:r w:rsidRPr="00746807">
        <w:t>, G</w:t>
      </w:r>
      <w:r>
        <w:t>., &amp;</w:t>
      </w:r>
      <w:r w:rsidRPr="00746807">
        <w:t xml:space="preserve"> Dirven</w:t>
      </w:r>
      <w:r>
        <w:t>, R</w:t>
      </w:r>
      <w:r w:rsidRPr="00746807">
        <w:t xml:space="preserve">. </w:t>
      </w:r>
      <w:r>
        <w:t>(</w:t>
      </w:r>
      <w:r w:rsidRPr="00746807">
        <w:t>2007</w:t>
      </w:r>
      <w:r>
        <w:t>)</w:t>
      </w:r>
      <w:r w:rsidRPr="00746807">
        <w:t xml:space="preserve">. </w:t>
      </w:r>
      <w:r w:rsidRPr="00746807">
        <w:rPr>
          <w:i/>
        </w:rPr>
        <w:t>Cognitive English Grammar.</w:t>
      </w:r>
      <w:r w:rsidRPr="00746807">
        <w:t xml:space="preserve"> Amsterdam/Philadelphia: John </w:t>
      </w:r>
      <w:proofErr w:type="spellStart"/>
      <w:r w:rsidRPr="00746807">
        <w:t>Benjamins</w:t>
      </w:r>
      <w:proofErr w:type="spellEnd"/>
      <w:r w:rsidRPr="00746807">
        <w:t>.</w:t>
      </w:r>
    </w:p>
    <w:p w14:paraId="307E7102" w14:textId="34CF39FD" w:rsidR="00DF25BA" w:rsidRPr="00DF25BA" w:rsidRDefault="00DF25BA" w:rsidP="00B01F71">
      <w:pPr>
        <w:spacing w:line="276" w:lineRule="auto"/>
        <w:ind w:left="720" w:hanging="720"/>
      </w:pPr>
      <w:proofErr w:type="spellStart"/>
      <w:r>
        <w:t>Rogatcheva</w:t>
      </w:r>
      <w:proofErr w:type="spellEnd"/>
      <w:r>
        <w:t xml:space="preserve">, S. (2012). </w:t>
      </w:r>
      <w:r w:rsidRPr="00DF25BA">
        <w:t>Perfect problems: A corpus-based comparison of the perfect in Bulgarian and German EFL writing</w:t>
      </w:r>
      <w:r>
        <w:t xml:space="preserve">. In Hoffmann, S., </w:t>
      </w:r>
      <w:proofErr w:type="spellStart"/>
      <w:r>
        <w:t>Rayson</w:t>
      </w:r>
      <w:proofErr w:type="spellEnd"/>
      <w:r>
        <w:t xml:space="preserve">, P. &amp; Leech, G. (Eds.), </w:t>
      </w:r>
      <w:r w:rsidRPr="00DF25BA">
        <w:rPr>
          <w:i/>
        </w:rPr>
        <w:t>English Corpus Linguistics: Looking back, Moving forward</w:t>
      </w:r>
      <w:r>
        <w:t xml:space="preserve"> (pp. 149–163). Amsterdam: Brill. </w:t>
      </w:r>
    </w:p>
    <w:p w14:paraId="40404BA7" w14:textId="3F952FC2" w:rsidR="00B01F71" w:rsidRDefault="00B01F71" w:rsidP="00B01F71">
      <w:pPr>
        <w:spacing w:line="276" w:lineRule="auto"/>
        <w:ind w:left="720" w:hanging="720"/>
      </w:pPr>
      <w:proofErr w:type="spellStart"/>
      <w:r>
        <w:t>Saddour</w:t>
      </w:r>
      <w:proofErr w:type="spellEnd"/>
      <w:r>
        <w:t xml:space="preserve">, I. (2012). </w:t>
      </w:r>
      <w:r w:rsidRPr="00A94BDF">
        <w:t>A comparison of oral productions in French L1, Tunisian Arabic L1, and French L2 by Tunisian learners</w:t>
      </w:r>
      <w:r>
        <w:t xml:space="preserve">. In </w:t>
      </w:r>
      <w:proofErr w:type="spellStart"/>
      <w:r w:rsidRPr="00A94BDF">
        <w:t>Filipović</w:t>
      </w:r>
      <w:proofErr w:type="spellEnd"/>
      <w:r>
        <w:t xml:space="preserve">, L., &amp; </w:t>
      </w:r>
      <w:proofErr w:type="spellStart"/>
      <w:r>
        <w:t>Jaszcolt</w:t>
      </w:r>
      <w:proofErr w:type="spellEnd"/>
      <w:r>
        <w:t xml:space="preserve">, K. M. (Ed.), </w:t>
      </w:r>
      <w:r w:rsidRPr="00A94BDF">
        <w:rPr>
          <w:i/>
        </w:rPr>
        <w:t>Space and Time in Languages and Cultures: Linguistic diversity</w:t>
      </w:r>
      <w:r>
        <w:t xml:space="preserve"> (pp. 325–346). Amsterdam/Philadelphia: John </w:t>
      </w:r>
      <w:proofErr w:type="spellStart"/>
      <w:r>
        <w:t>Benjamins</w:t>
      </w:r>
      <w:proofErr w:type="spellEnd"/>
      <w:r>
        <w:t xml:space="preserve"> Publishing Company.  </w:t>
      </w:r>
    </w:p>
    <w:p w14:paraId="5955F56D" w14:textId="4ED74EC7" w:rsidR="00536E17" w:rsidRPr="00A94BDF" w:rsidRDefault="00536E17" w:rsidP="00B01F71">
      <w:pPr>
        <w:spacing w:line="276" w:lineRule="auto"/>
        <w:ind w:left="720" w:hanging="720"/>
      </w:pPr>
      <w:proofErr w:type="spellStart"/>
      <w:r w:rsidRPr="00536E17">
        <w:t>Saddour</w:t>
      </w:r>
      <w:proofErr w:type="spellEnd"/>
      <w:r w:rsidRPr="00536E17">
        <w:t xml:space="preserve">, I. </w:t>
      </w:r>
      <w:r>
        <w:t>(</w:t>
      </w:r>
      <w:r w:rsidRPr="00536E17">
        <w:t>2017</w:t>
      </w:r>
      <w:r>
        <w:t>)</w:t>
      </w:r>
      <w:r w:rsidRPr="00536E17">
        <w:t xml:space="preserve">. A multimodal approach to investigating temporality expression in L2: What does gesture analysis reveal? </w:t>
      </w:r>
      <w:r w:rsidRPr="00536E17">
        <w:rPr>
          <w:i/>
        </w:rPr>
        <w:t>International Review of Applied Linguistics in Language Teaching</w:t>
      </w:r>
      <w:r>
        <w:t xml:space="preserve">, </w:t>
      </w:r>
      <w:r w:rsidRPr="00536E17">
        <w:t>283–304.</w:t>
      </w:r>
    </w:p>
    <w:p w14:paraId="7DA32E57" w14:textId="77777777" w:rsidR="00B01F71" w:rsidRDefault="00B01F71" w:rsidP="00B01F71">
      <w:pPr>
        <w:spacing w:line="276" w:lineRule="auto"/>
        <w:ind w:left="720" w:hanging="720"/>
      </w:pPr>
      <w:proofErr w:type="spellStart"/>
      <w:r w:rsidRPr="00BB5C71">
        <w:t>Schmiedtová</w:t>
      </w:r>
      <w:proofErr w:type="spellEnd"/>
      <w:r w:rsidRPr="00BB5C71">
        <w:t>, B.</w:t>
      </w:r>
      <w:r>
        <w:t xml:space="preserve"> (2011).</w:t>
      </w:r>
      <w:r w:rsidRPr="00BB5C71">
        <w:t xml:space="preserve"> Do L2 speakers think in the</w:t>
      </w:r>
      <w:r>
        <w:t xml:space="preserve"> L1 when speaking in the L2?</w:t>
      </w:r>
      <w:r w:rsidRPr="00BB5C71">
        <w:t xml:space="preserve"> </w:t>
      </w:r>
      <w:r w:rsidRPr="00BB5C71">
        <w:rPr>
          <w:i/>
        </w:rPr>
        <w:t>International Journal of Applied Linguistics</w:t>
      </w:r>
      <w:r w:rsidRPr="00BB5C71">
        <w:t xml:space="preserve">, </w:t>
      </w:r>
      <w:r w:rsidRPr="00BB5C71">
        <w:rPr>
          <w:i/>
        </w:rPr>
        <w:t>8</w:t>
      </w:r>
      <w:r>
        <w:t>, 97–</w:t>
      </w:r>
      <w:r w:rsidRPr="00BB5C71">
        <w:t>122.</w:t>
      </w:r>
    </w:p>
    <w:p w14:paraId="7835B64A" w14:textId="65057D29" w:rsidR="00B01F71" w:rsidRDefault="00B01F71" w:rsidP="00B01F71">
      <w:pPr>
        <w:spacing w:line="276" w:lineRule="auto"/>
        <w:ind w:left="720" w:hanging="720"/>
      </w:pPr>
      <w:proofErr w:type="spellStart"/>
      <w:r w:rsidRPr="00E164D6">
        <w:t>Schmiedtová</w:t>
      </w:r>
      <w:proofErr w:type="spellEnd"/>
      <w:r w:rsidRPr="00E164D6">
        <w:t xml:space="preserve">, B. </w:t>
      </w:r>
      <w:r>
        <w:t xml:space="preserve">(2013). </w:t>
      </w:r>
      <w:r w:rsidRPr="00E164D6">
        <w:t>Traces of L1-patterns in the event construal of Czech advanced speakers o</w:t>
      </w:r>
      <w:r>
        <w:t xml:space="preserve">f L2-English and L2- German. </w:t>
      </w:r>
      <w:r w:rsidRPr="00E164D6">
        <w:rPr>
          <w:i/>
        </w:rPr>
        <w:t>IRAL</w:t>
      </w:r>
      <w:r>
        <w:t xml:space="preserve">, </w:t>
      </w:r>
      <w:r w:rsidRPr="00E164D6">
        <w:rPr>
          <w:i/>
        </w:rPr>
        <w:t>51</w:t>
      </w:r>
      <w:r>
        <w:t>, 87–</w:t>
      </w:r>
      <w:r w:rsidRPr="00E164D6">
        <w:t>116</w:t>
      </w:r>
      <w:r>
        <w:t xml:space="preserve">. </w:t>
      </w:r>
    </w:p>
    <w:p w14:paraId="1E9F88EE" w14:textId="36DC71AB" w:rsidR="009A6372" w:rsidRDefault="009A6372" w:rsidP="00B01F71">
      <w:pPr>
        <w:spacing w:line="276" w:lineRule="auto"/>
        <w:ind w:left="720" w:hanging="720"/>
      </w:pPr>
      <w:proofErr w:type="spellStart"/>
      <w:r w:rsidRPr="009A6372">
        <w:t>Stam</w:t>
      </w:r>
      <w:proofErr w:type="spellEnd"/>
      <w:r w:rsidRPr="009A6372">
        <w:t xml:space="preserve">, G. (2010). Can a L2 speaker's patterns of thinking for speaking change? In Z. Han &amp; T. </w:t>
      </w:r>
      <w:proofErr w:type="spellStart"/>
      <w:r w:rsidRPr="009A6372">
        <w:t>Cadierno</w:t>
      </w:r>
      <w:proofErr w:type="spellEnd"/>
      <w:r w:rsidRPr="009A6372">
        <w:t xml:space="preserve"> (Eds.), </w:t>
      </w:r>
      <w:r w:rsidRPr="009A6372">
        <w:rPr>
          <w:i/>
        </w:rPr>
        <w:t>Linguistic relativity in SLA: Thinking for speaking</w:t>
      </w:r>
      <w:r w:rsidRPr="009A6372">
        <w:t xml:space="preserve"> (pp. 59– 83). Clevedon, UK: Multilingual Matters.</w:t>
      </w:r>
    </w:p>
    <w:p w14:paraId="018D53EE" w14:textId="77777777" w:rsidR="00BE2A7E" w:rsidRDefault="00BE2A7E" w:rsidP="00BE2A7E">
      <w:pPr>
        <w:spacing w:line="276" w:lineRule="auto"/>
        <w:ind w:left="720" w:hanging="720"/>
      </w:pPr>
      <w:proofErr w:type="spellStart"/>
      <w:r>
        <w:t>Talmy</w:t>
      </w:r>
      <w:proofErr w:type="spellEnd"/>
      <w:r>
        <w:t>, L. (1985). Lexicalization patterns: Semantic structure in lexical forms. In T.</w:t>
      </w:r>
    </w:p>
    <w:p w14:paraId="25D98683" w14:textId="4BD08F9A" w:rsidR="00BE2A7E" w:rsidRDefault="00BE2A7E" w:rsidP="00BE2A7E">
      <w:pPr>
        <w:spacing w:line="276" w:lineRule="auto"/>
        <w:ind w:left="720"/>
      </w:pPr>
      <w:proofErr w:type="spellStart"/>
      <w:r>
        <w:t>Shopen</w:t>
      </w:r>
      <w:proofErr w:type="spellEnd"/>
      <w:r>
        <w:t xml:space="preserve"> (Ed.), </w:t>
      </w:r>
      <w:r w:rsidRPr="00BE2A7E">
        <w:rPr>
          <w:i/>
        </w:rPr>
        <w:t>Language typology and syntactic description: Vol. 3. Grammatical categories and the lexicon</w:t>
      </w:r>
      <w:r>
        <w:t xml:space="preserve"> (pp. 36–149). Cambridge, England: Cambridge University Press.</w:t>
      </w:r>
    </w:p>
    <w:p w14:paraId="250A1A26" w14:textId="77777777" w:rsidR="00BE2A7E" w:rsidRDefault="00BE2A7E" w:rsidP="00BE2A7E">
      <w:pPr>
        <w:spacing w:line="276" w:lineRule="auto"/>
        <w:ind w:left="720" w:hanging="720"/>
      </w:pPr>
      <w:proofErr w:type="spellStart"/>
      <w:r>
        <w:t>Talmy</w:t>
      </w:r>
      <w:proofErr w:type="spellEnd"/>
      <w:r>
        <w:t xml:space="preserve">, L. (1991). Path to realization: A typology of event conflation. </w:t>
      </w:r>
      <w:r w:rsidRPr="00BE2A7E">
        <w:rPr>
          <w:i/>
        </w:rPr>
        <w:t>Proceedings of the 7th annual meeting of the Berkeley Linguistics Society</w:t>
      </w:r>
      <w:r>
        <w:t xml:space="preserve"> (pp. 480–519). Berkeley, CA: Berkeley Linguistic Society.</w:t>
      </w:r>
    </w:p>
    <w:p w14:paraId="1BF91C36" w14:textId="1B21DB5B" w:rsidR="00BE2A7E" w:rsidRPr="000356F5" w:rsidRDefault="00BE2A7E" w:rsidP="00BE2A7E">
      <w:pPr>
        <w:spacing w:line="276" w:lineRule="auto"/>
        <w:ind w:left="720" w:hanging="720"/>
      </w:pPr>
      <w:proofErr w:type="spellStart"/>
      <w:r>
        <w:t>Talmy</w:t>
      </w:r>
      <w:proofErr w:type="spellEnd"/>
      <w:r>
        <w:t xml:space="preserve">, L. (1996). The windowing of attention in language. In M. </w:t>
      </w:r>
      <w:proofErr w:type="spellStart"/>
      <w:r>
        <w:t>Shibatani</w:t>
      </w:r>
      <w:proofErr w:type="spellEnd"/>
      <w:r>
        <w:t xml:space="preserve"> &amp; S.A. (Eds.), </w:t>
      </w:r>
      <w:r w:rsidRPr="00BE2A7E">
        <w:rPr>
          <w:i/>
        </w:rPr>
        <w:t>Grammatical construction: Their form and meaning</w:t>
      </w:r>
      <w:r>
        <w:t xml:space="preserve"> (pp. 235–287). Oxford: </w:t>
      </w:r>
      <w:proofErr w:type="spellStart"/>
      <w:r>
        <w:t>Claredon</w:t>
      </w:r>
      <w:proofErr w:type="spellEnd"/>
      <w:r>
        <w:t>.</w:t>
      </w:r>
    </w:p>
    <w:p w14:paraId="3F9F2A4C" w14:textId="77777777" w:rsidR="00B01F71" w:rsidRDefault="00B01F71" w:rsidP="00B01F71">
      <w:pPr>
        <w:spacing w:line="276" w:lineRule="auto"/>
        <w:ind w:left="720" w:hanging="720"/>
      </w:pPr>
      <w:proofErr w:type="spellStart"/>
      <w:r>
        <w:t>Talmy</w:t>
      </w:r>
      <w:proofErr w:type="spellEnd"/>
      <w:r>
        <w:t>, L. (</w:t>
      </w:r>
      <w:r w:rsidRPr="00146BEF">
        <w:t>2000</w:t>
      </w:r>
      <w:r>
        <w:t>)</w:t>
      </w:r>
      <w:r w:rsidRPr="00146BEF">
        <w:t>. Toward a Cognitive Semantics, vol. 1. Concept Structuring Systems. Cambridge, MA: MIT Press.</w:t>
      </w:r>
    </w:p>
    <w:p w14:paraId="21C4799A" w14:textId="3B789C99" w:rsidR="003F78C0" w:rsidRDefault="003F78C0" w:rsidP="00B01F71">
      <w:pPr>
        <w:spacing w:line="276" w:lineRule="auto"/>
        <w:ind w:left="720" w:hanging="720"/>
      </w:pPr>
      <w:proofErr w:type="spellStart"/>
      <w:r>
        <w:t>Tomasello</w:t>
      </w:r>
      <w:proofErr w:type="spellEnd"/>
      <w:r>
        <w:t>, M</w:t>
      </w:r>
      <w:r w:rsidRPr="003F78C0">
        <w:t xml:space="preserve">. </w:t>
      </w:r>
      <w:r>
        <w:t>(</w:t>
      </w:r>
      <w:r w:rsidRPr="003F78C0">
        <w:t>2003</w:t>
      </w:r>
      <w:r>
        <w:t>)</w:t>
      </w:r>
      <w:r w:rsidRPr="003F78C0">
        <w:t xml:space="preserve">. </w:t>
      </w:r>
      <w:r w:rsidRPr="003F78C0">
        <w:rPr>
          <w:i/>
        </w:rPr>
        <w:t>Constructing a language: A usage-based theory of language acquisition</w:t>
      </w:r>
      <w:r w:rsidRPr="003F78C0">
        <w:t>. Cambridge, MA: Harvard University Press.</w:t>
      </w:r>
    </w:p>
    <w:p w14:paraId="1D1C61F7" w14:textId="6C2214FF" w:rsidR="002E5D0A" w:rsidRDefault="002E5D0A" w:rsidP="002E5D0A">
      <w:pPr>
        <w:spacing w:line="276" w:lineRule="auto"/>
        <w:ind w:left="720" w:hanging="720"/>
      </w:pPr>
      <w:r>
        <w:t xml:space="preserve">Vanek, N. (2016). It starts to explode. </w:t>
      </w:r>
      <w:proofErr w:type="spellStart"/>
      <w:r>
        <w:t>Phasal</w:t>
      </w:r>
      <w:proofErr w:type="spellEnd"/>
      <w:r>
        <w:t xml:space="preserve"> segmentation of contextualised events in L2 English. In Howard, M. &amp; </w:t>
      </w:r>
      <w:proofErr w:type="spellStart"/>
      <w:r>
        <w:t>Leclercq</w:t>
      </w:r>
      <w:proofErr w:type="spellEnd"/>
      <w:r>
        <w:t xml:space="preserve">, P. (Eds.), </w:t>
      </w:r>
      <w:r w:rsidRPr="002E5D0A">
        <w:rPr>
          <w:i/>
        </w:rPr>
        <w:t>Tense-Aspect-Modality in a Second Language: Contemporary perspectives</w:t>
      </w:r>
      <w:r>
        <w:t xml:space="preserve"> (pp. 143–180). Amsterdam: John </w:t>
      </w:r>
      <w:proofErr w:type="spellStart"/>
      <w:r>
        <w:t>Benjamins</w:t>
      </w:r>
      <w:proofErr w:type="spellEnd"/>
      <w:r>
        <w:t>.</w:t>
      </w:r>
    </w:p>
    <w:p w14:paraId="19394162" w14:textId="7346E3BC" w:rsidR="00F066A7" w:rsidRDefault="00F066A7" w:rsidP="00B01F71">
      <w:pPr>
        <w:spacing w:line="276" w:lineRule="auto"/>
        <w:ind w:left="720" w:hanging="720"/>
      </w:pPr>
      <w:r w:rsidRPr="00F066A7">
        <w:t>Vanek,</w:t>
      </w:r>
      <w:r>
        <w:t xml:space="preserve"> N. (2019).</w:t>
      </w:r>
      <w:r w:rsidRPr="00F066A7">
        <w:t xml:space="preserve"> Changing Event Categorization in Second Language Users Through Perceptual Learning</w:t>
      </w:r>
      <w:r w:rsidR="00873FF3">
        <w:t>.</w:t>
      </w:r>
      <w:r w:rsidRPr="00F066A7">
        <w:t xml:space="preserve"> </w:t>
      </w:r>
      <w:r w:rsidRPr="00F066A7">
        <w:rPr>
          <w:i/>
        </w:rPr>
        <w:t>Language Learning</w:t>
      </w:r>
      <w:r w:rsidRPr="00F066A7">
        <w:t>.</w:t>
      </w:r>
    </w:p>
    <w:p w14:paraId="30D3F10D" w14:textId="62A0FAB0" w:rsidR="005B774D" w:rsidRDefault="005B774D" w:rsidP="00DA7E37">
      <w:pPr>
        <w:spacing w:line="276" w:lineRule="auto"/>
        <w:ind w:left="720" w:hanging="720"/>
      </w:pPr>
      <w:r w:rsidRPr="005B774D">
        <w:t>Vanek, N</w:t>
      </w:r>
      <w:r>
        <w:t>.,</w:t>
      </w:r>
      <w:r w:rsidR="00BD0CC1">
        <w:t xml:space="preserve"> </w:t>
      </w:r>
      <w:r w:rsidRPr="005B774D">
        <w:t>&amp; Hendriks</w:t>
      </w:r>
      <w:r>
        <w:t>, H</w:t>
      </w:r>
      <w:r w:rsidRPr="005B774D">
        <w:t xml:space="preserve">. </w:t>
      </w:r>
      <w:r>
        <w:t>(</w:t>
      </w:r>
      <w:r w:rsidRPr="005B774D">
        <w:t>2015</w:t>
      </w:r>
      <w:r>
        <w:t>)</w:t>
      </w:r>
      <w:r w:rsidRPr="005B774D">
        <w:t xml:space="preserve">. Convergence of temporal reference frames in sequential bilinguals: Event structuring unique to second language users. </w:t>
      </w:r>
      <w:r w:rsidRPr="005B774D">
        <w:rPr>
          <w:i/>
        </w:rPr>
        <w:t>Bilingualism: Language and Cognition 18</w:t>
      </w:r>
      <w:r>
        <w:t xml:space="preserve">, </w:t>
      </w:r>
      <w:r w:rsidRPr="005B774D">
        <w:t>753–768.</w:t>
      </w:r>
    </w:p>
    <w:p w14:paraId="54BE1CB6" w14:textId="22441261" w:rsidR="00BD0CC1" w:rsidRPr="00BD0CC1" w:rsidRDefault="00BD0CC1" w:rsidP="00B94282">
      <w:pPr>
        <w:spacing w:line="276" w:lineRule="auto"/>
        <w:ind w:left="720" w:hanging="720"/>
      </w:pPr>
      <w:r w:rsidRPr="00BD0CC1">
        <w:lastRenderedPageBreak/>
        <w:t xml:space="preserve">Vanek, N. &amp; </w:t>
      </w:r>
      <w:proofErr w:type="spellStart"/>
      <w:r w:rsidRPr="00BD0CC1">
        <w:t>Selinker</w:t>
      </w:r>
      <w:proofErr w:type="spellEnd"/>
      <w:r w:rsidRPr="00BD0CC1">
        <w:t xml:space="preserve">, L. (2017). </w:t>
      </w:r>
      <w:r w:rsidR="00B94282" w:rsidRPr="00B94282">
        <w:t>Covariation between temporal interlanguage features and nonverbal event categorisation</w:t>
      </w:r>
      <w:r w:rsidR="00B94282">
        <w:t xml:space="preserve">. </w:t>
      </w:r>
      <w:r w:rsidR="00B94282" w:rsidRPr="000B7A75">
        <w:rPr>
          <w:i/>
        </w:rPr>
        <w:t>International Review of Applied Linguistics in Language Teaching</w:t>
      </w:r>
      <w:r w:rsidR="000B7A75">
        <w:rPr>
          <w:i/>
        </w:rPr>
        <w:t xml:space="preserve"> 55,</w:t>
      </w:r>
      <w:r w:rsidR="000B7A75">
        <w:t xml:space="preserve"> 3,</w:t>
      </w:r>
      <w:r w:rsidR="00B94282">
        <w:t xml:space="preserve"> pp. 1–21.</w:t>
      </w:r>
    </w:p>
    <w:p w14:paraId="55761F5E" w14:textId="1B0F30E8" w:rsidR="00DA7E37" w:rsidRDefault="00DA7E37" w:rsidP="00DA7E37">
      <w:pPr>
        <w:spacing w:line="276" w:lineRule="auto"/>
        <w:ind w:left="720" w:hanging="720"/>
      </w:pPr>
      <w:proofErr w:type="spellStart"/>
      <w:r w:rsidRPr="00BF3109">
        <w:t>Verhagen</w:t>
      </w:r>
      <w:proofErr w:type="spellEnd"/>
      <w:r w:rsidRPr="00BF3109">
        <w:t xml:space="preserve">, A. (2004). </w:t>
      </w:r>
      <w:r w:rsidRPr="00DA7E37">
        <w:t xml:space="preserve">Construal and perspectivization. In </w:t>
      </w:r>
      <w:proofErr w:type="spellStart"/>
      <w:r w:rsidRPr="00DA7E37">
        <w:t>Geeraerts</w:t>
      </w:r>
      <w:proofErr w:type="spellEnd"/>
      <w:r>
        <w:t>. D. (Ed.),</w:t>
      </w:r>
      <w:r w:rsidRPr="00DA7E37">
        <w:t xml:space="preserve"> </w:t>
      </w:r>
      <w:r w:rsidRPr="00DA7E37">
        <w:rPr>
          <w:i/>
        </w:rPr>
        <w:t>The Oxford Handbook of Cognitive Linguistics</w:t>
      </w:r>
      <w:r>
        <w:t xml:space="preserve"> (pp. 48–81).</w:t>
      </w:r>
    </w:p>
    <w:p w14:paraId="5826715C" w14:textId="3A52B660" w:rsidR="00B01F71" w:rsidRPr="00BF3109" w:rsidRDefault="00B01F71" w:rsidP="00B01F71">
      <w:pPr>
        <w:spacing w:line="276" w:lineRule="auto"/>
        <w:ind w:left="720" w:hanging="720"/>
        <w:rPr>
          <w:lang w:val="de-DE"/>
        </w:rPr>
      </w:pPr>
      <w:r>
        <w:t xml:space="preserve">von </w:t>
      </w:r>
      <w:proofErr w:type="spellStart"/>
      <w:r>
        <w:t>Stutterheim</w:t>
      </w:r>
      <w:proofErr w:type="spellEnd"/>
      <w:r>
        <w:t>, C.</w:t>
      </w:r>
      <w:r w:rsidRPr="00052188">
        <w:t xml:space="preserve"> </w:t>
      </w:r>
      <w:r>
        <w:t>(</w:t>
      </w:r>
      <w:r w:rsidRPr="00052188">
        <w:t>2003</w:t>
      </w:r>
      <w:r>
        <w:t>)</w:t>
      </w:r>
      <w:r w:rsidRPr="00052188">
        <w:t xml:space="preserve">. Linguistic structures and information organisation: The case of very advanced learners. </w:t>
      </w:r>
      <w:r w:rsidRPr="00BF3109">
        <w:rPr>
          <w:i/>
          <w:lang w:val="de-DE"/>
        </w:rPr>
        <w:t>EUROSLA</w:t>
      </w:r>
      <w:r w:rsidRPr="00BF3109">
        <w:rPr>
          <w:lang w:val="de-DE"/>
        </w:rPr>
        <w:t xml:space="preserve"> </w:t>
      </w:r>
      <w:proofErr w:type="spellStart"/>
      <w:r w:rsidRPr="00BF3109">
        <w:rPr>
          <w:i/>
          <w:lang w:val="de-DE"/>
        </w:rPr>
        <w:t>Yearbook</w:t>
      </w:r>
      <w:proofErr w:type="spellEnd"/>
      <w:r w:rsidRPr="00BF3109">
        <w:rPr>
          <w:lang w:val="de-DE"/>
        </w:rPr>
        <w:t xml:space="preserve">, </w:t>
      </w:r>
      <w:r w:rsidRPr="00BF3109">
        <w:rPr>
          <w:i/>
          <w:lang w:val="de-DE"/>
        </w:rPr>
        <w:t>3</w:t>
      </w:r>
      <w:r w:rsidRPr="00BF3109">
        <w:rPr>
          <w:lang w:val="de-DE"/>
        </w:rPr>
        <w:t>, 183–206.</w:t>
      </w:r>
    </w:p>
    <w:p w14:paraId="122B5AA4" w14:textId="1DCDBE77" w:rsidR="00C65258" w:rsidRDefault="00C65258" w:rsidP="00B01F71">
      <w:pPr>
        <w:spacing w:line="276" w:lineRule="auto"/>
        <w:ind w:left="720" w:hanging="720"/>
      </w:pPr>
      <w:r w:rsidRPr="00C65258">
        <w:rPr>
          <w:lang w:val="de-DE"/>
        </w:rPr>
        <w:t xml:space="preserve">von </w:t>
      </w:r>
      <w:proofErr w:type="spellStart"/>
      <w:r w:rsidRPr="00C65258">
        <w:rPr>
          <w:lang w:val="de-DE"/>
        </w:rPr>
        <w:t>Stutterheim</w:t>
      </w:r>
      <w:proofErr w:type="spellEnd"/>
      <w:r w:rsidRPr="00C65258">
        <w:rPr>
          <w:lang w:val="de-DE"/>
        </w:rPr>
        <w:t xml:space="preserve">, C., </w:t>
      </w:r>
      <w:proofErr w:type="spellStart"/>
      <w:r w:rsidRPr="00C65258">
        <w:rPr>
          <w:lang w:val="de-DE"/>
        </w:rPr>
        <w:t>Andermann</w:t>
      </w:r>
      <w:proofErr w:type="spellEnd"/>
      <w:r w:rsidRPr="00C65258">
        <w:rPr>
          <w:lang w:val="de-DE"/>
        </w:rPr>
        <w:t xml:space="preserve">, M., Carroll, M., Flecken, M., &amp; </w:t>
      </w:r>
      <w:proofErr w:type="spellStart"/>
      <w:r w:rsidRPr="00C65258">
        <w:rPr>
          <w:lang w:val="de-DE"/>
        </w:rPr>
        <w:t>Schmiedtová</w:t>
      </w:r>
      <w:proofErr w:type="spellEnd"/>
      <w:r w:rsidRPr="00C65258">
        <w:rPr>
          <w:lang w:val="de-DE"/>
        </w:rPr>
        <w:t xml:space="preserve">, B. (2012). </w:t>
      </w:r>
      <w:r w:rsidRPr="00C65258">
        <w:t xml:space="preserve">How grammaticized concepts shape event conceptualization in language production: Insights from linguistic analysis, eye tracking data, and memory performance. </w:t>
      </w:r>
      <w:r w:rsidRPr="00C65258">
        <w:rPr>
          <w:i/>
        </w:rPr>
        <w:t>Linguistics, 50</w:t>
      </w:r>
      <w:r w:rsidRPr="00C65258">
        <w:t>, 833– 867.</w:t>
      </w:r>
    </w:p>
    <w:p w14:paraId="3565579B" w14:textId="14EA983B" w:rsidR="00E62CA7" w:rsidRDefault="00E62CA7" w:rsidP="00B01F71">
      <w:pPr>
        <w:spacing w:line="276" w:lineRule="auto"/>
        <w:ind w:left="720" w:hanging="720"/>
      </w:pPr>
      <w:r w:rsidRPr="00BF3109">
        <w:t xml:space="preserve">von </w:t>
      </w:r>
      <w:proofErr w:type="spellStart"/>
      <w:r w:rsidRPr="00BF3109">
        <w:t>Stutterheim</w:t>
      </w:r>
      <w:proofErr w:type="spellEnd"/>
      <w:r w:rsidRPr="00BF3109">
        <w:t xml:space="preserve">, C., &amp; Lambert, M. (2005). </w:t>
      </w:r>
      <w:r w:rsidRPr="00E62CA7">
        <w:t>Cross-linguistic analyses of temporal perspectives in text production. In Hendriks</w:t>
      </w:r>
      <w:r>
        <w:t>, H.</w:t>
      </w:r>
      <w:r w:rsidRPr="00E62CA7">
        <w:t xml:space="preserve"> (</w:t>
      </w:r>
      <w:r>
        <w:t>E</w:t>
      </w:r>
      <w:r w:rsidRPr="00E62CA7">
        <w:t>d.), The structure of learner varieties</w:t>
      </w:r>
      <w:r w:rsidR="00653020">
        <w:t xml:space="preserve"> (pp. </w:t>
      </w:r>
      <w:r w:rsidRPr="00E62CA7">
        <w:t>203–230</w:t>
      </w:r>
      <w:r w:rsidR="00653020">
        <w:t>)</w:t>
      </w:r>
      <w:r w:rsidRPr="00E62CA7">
        <w:t>. Berlin: Mouton de Gruyter.</w:t>
      </w:r>
    </w:p>
    <w:p w14:paraId="75553578" w14:textId="3B4A3992" w:rsidR="00D54037" w:rsidRDefault="00D54037" w:rsidP="00B01F71">
      <w:pPr>
        <w:spacing w:line="276" w:lineRule="auto"/>
        <w:ind w:left="720" w:hanging="720"/>
      </w:pPr>
      <w:r w:rsidRPr="00BF3109">
        <w:t xml:space="preserve">von </w:t>
      </w:r>
      <w:proofErr w:type="spellStart"/>
      <w:r w:rsidRPr="00BF3109">
        <w:t>Stutterheim</w:t>
      </w:r>
      <w:proofErr w:type="spellEnd"/>
      <w:r w:rsidRPr="00BF3109">
        <w:t xml:space="preserve">, C. &amp; </w:t>
      </w:r>
      <w:proofErr w:type="spellStart"/>
      <w:r w:rsidRPr="00BF3109">
        <w:t>Nüse</w:t>
      </w:r>
      <w:proofErr w:type="spellEnd"/>
      <w:r w:rsidRPr="00BF3109">
        <w:t xml:space="preserve">, R. (2003). </w:t>
      </w:r>
      <w:r w:rsidRPr="00D54037">
        <w:t xml:space="preserve">Processes of conceptualization in language production: Language- specific perspectives and event construal. </w:t>
      </w:r>
      <w:r w:rsidRPr="00D54037">
        <w:rPr>
          <w:i/>
        </w:rPr>
        <w:t>Linguistics 41</w:t>
      </w:r>
      <w:r w:rsidRPr="00D54037">
        <w:t xml:space="preserve"> (5), 851–881.</w:t>
      </w:r>
    </w:p>
    <w:p w14:paraId="344DCB3D" w14:textId="35124E9B" w:rsidR="007726D7" w:rsidRDefault="007726D7" w:rsidP="00B01F71">
      <w:pPr>
        <w:spacing w:line="276" w:lineRule="auto"/>
        <w:ind w:left="720" w:hanging="720"/>
      </w:pPr>
      <w:proofErr w:type="spellStart"/>
      <w:r w:rsidRPr="007726D7">
        <w:t>Zag</w:t>
      </w:r>
      <w:r w:rsidR="002469B5">
        <w:t>ona</w:t>
      </w:r>
      <w:proofErr w:type="spellEnd"/>
      <w:r w:rsidR="002469B5">
        <w:t>, K</w:t>
      </w:r>
      <w:r w:rsidRPr="007726D7">
        <w:t xml:space="preserve">. (2007). Some effects of aspect on tense construal. </w:t>
      </w:r>
      <w:r w:rsidRPr="007726D7">
        <w:rPr>
          <w:i/>
        </w:rPr>
        <w:t>Lingua</w:t>
      </w:r>
      <w:r w:rsidRPr="007726D7">
        <w:t>. 117. 464</w:t>
      </w:r>
      <w:r w:rsidR="00DA7E37">
        <w:t>–</w:t>
      </w:r>
      <w:r w:rsidRPr="007726D7">
        <w:t xml:space="preserve">502. </w:t>
      </w:r>
    </w:p>
    <w:p w14:paraId="1F5DF759" w14:textId="77777777" w:rsidR="00B01F71" w:rsidRPr="008D4920" w:rsidRDefault="00B01F71" w:rsidP="00B01F71">
      <w:pPr>
        <w:spacing w:line="276" w:lineRule="auto"/>
        <w:rPr>
          <w:color w:val="000000" w:themeColor="text1"/>
        </w:rPr>
      </w:pPr>
    </w:p>
    <w:sectPr w:rsidR="00B01F71" w:rsidRPr="008D4920" w:rsidSect="00384C10">
      <w:footerReference w:type="even" r:id="rId7"/>
      <w:footerReference w:type="default" r:id="rId8"/>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5E2DB06" w14:textId="77777777" w:rsidR="00663B17" w:rsidRDefault="00663B17" w:rsidP="00D96EFC">
      <w:r>
        <w:separator/>
      </w:r>
    </w:p>
  </w:endnote>
  <w:endnote w:type="continuationSeparator" w:id="0">
    <w:p w14:paraId="3B0B50F6" w14:textId="77777777" w:rsidR="00663B17" w:rsidRDefault="00663B17" w:rsidP="00D96E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w:panose1 w:val="00000000000000000000"/>
    <w:charset w:val="00"/>
    <w:family w:val="auto"/>
    <w:pitch w:val="variable"/>
    <w:sig w:usb0="E00002FF" w:usb1="5000205A"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2E3FBF" w14:textId="77777777" w:rsidR="008B2420" w:rsidRDefault="008B2420" w:rsidP="00701EE7">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067E0F7" w14:textId="77777777" w:rsidR="008B2420" w:rsidRDefault="008B2420" w:rsidP="00D96EF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299555" w14:textId="77777777" w:rsidR="008B2420" w:rsidRDefault="008B2420" w:rsidP="00701EE7">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18</w:t>
    </w:r>
    <w:r>
      <w:rPr>
        <w:rStyle w:val="PageNumber"/>
      </w:rPr>
      <w:fldChar w:fldCharType="end"/>
    </w:r>
  </w:p>
  <w:p w14:paraId="517FAD56" w14:textId="77777777" w:rsidR="008B2420" w:rsidRDefault="008B2420" w:rsidP="00D96EF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524C2B" w14:textId="77777777" w:rsidR="00663B17" w:rsidRDefault="00663B17" w:rsidP="00D96EFC">
      <w:r>
        <w:separator/>
      </w:r>
    </w:p>
  </w:footnote>
  <w:footnote w:type="continuationSeparator" w:id="0">
    <w:p w14:paraId="47A90F4A" w14:textId="77777777" w:rsidR="00663B17" w:rsidRDefault="00663B17" w:rsidP="00D96EFC">
      <w:r>
        <w:continuationSeparator/>
      </w:r>
    </w:p>
  </w:footnote>
  <w:footnote w:id="1">
    <w:p w14:paraId="2274DE26" w14:textId="2749B992" w:rsidR="00BF3109" w:rsidRPr="00BF3109" w:rsidRDefault="00BF3109" w:rsidP="00BF3109">
      <w:pPr>
        <w:pStyle w:val="NormalWeb"/>
        <w:rPr>
          <w:sz w:val="20"/>
          <w:szCs w:val="20"/>
        </w:rPr>
      </w:pPr>
      <w:r w:rsidRPr="00BF3109">
        <w:rPr>
          <w:rStyle w:val="FootnoteReference"/>
          <w:sz w:val="20"/>
          <w:szCs w:val="20"/>
        </w:rPr>
        <w:footnoteRef/>
      </w:r>
      <w:r w:rsidRPr="00BF3109">
        <w:rPr>
          <w:sz w:val="20"/>
          <w:szCs w:val="20"/>
        </w:rPr>
        <w:t xml:space="preserve"> A preliminary version of this paper was presented by the author at the </w:t>
      </w:r>
      <w:r w:rsidR="0045795C">
        <w:rPr>
          <w:sz w:val="20"/>
          <w:szCs w:val="20"/>
        </w:rPr>
        <w:t>Cognitive Linguistics in the Year 2018 conference in Poznan</w:t>
      </w:r>
      <w:r w:rsidRPr="00BF3109">
        <w:rPr>
          <w:sz w:val="20"/>
          <w:szCs w:val="20"/>
        </w:rPr>
        <w:t xml:space="preserve">. </w:t>
      </w:r>
      <w:r w:rsidR="0045795C">
        <w:rPr>
          <w:sz w:val="20"/>
          <w:szCs w:val="20"/>
        </w:rPr>
        <w:t>I</w:t>
      </w:r>
      <w:r w:rsidRPr="00BF3109">
        <w:rPr>
          <w:sz w:val="20"/>
          <w:szCs w:val="20"/>
        </w:rPr>
        <w:t xml:space="preserve"> wish to thank </w:t>
      </w:r>
      <w:r w:rsidR="0045795C">
        <w:rPr>
          <w:sz w:val="20"/>
          <w:szCs w:val="20"/>
        </w:rPr>
        <w:t xml:space="preserve">the two anonymous reviewers </w:t>
      </w:r>
      <w:r w:rsidRPr="00BF3109">
        <w:rPr>
          <w:sz w:val="20"/>
          <w:szCs w:val="20"/>
        </w:rPr>
        <w:t xml:space="preserve">for </w:t>
      </w:r>
      <w:r w:rsidR="0045795C">
        <w:rPr>
          <w:sz w:val="20"/>
          <w:szCs w:val="20"/>
        </w:rPr>
        <w:t xml:space="preserve">their constructive </w:t>
      </w:r>
      <w:r w:rsidRPr="00BF3109">
        <w:rPr>
          <w:sz w:val="20"/>
          <w:szCs w:val="20"/>
        </w:rPr>
        <w:t xml:space="preserve">comments on an earlier version of this paper; their </w:t>
      </w:r>
      <w:r w:rsidR="00B667F8">
        <w:rPr>
          <w:sz w:val="20"/>
          <w:szCs w:val="20"/>
        </w:rPr>
        <w:t>feedback has offered a clearer perspective when revising this paper. A</w:t>
      </w:r>
      <w:r w:rsidRPr="00BF3109">
        <w:rPr>
          <w:sz w:val="20"/>
          <w:szCs w:val="20"/>
        </w:rPr>
        <w:t>ny remaining errors or inconsistencies</w:t>
      </w:r>
      <w:r w:rsidR="00B667F8">
        <w:rPr>
          <w:sz w:val="20"/>
          <w:szCs w:val="20"/>
        </w:rPr>
        <w:t xml:space="preserve"> are mine. </w:t>
      </w:r>
    </w:p>
  </w:footnote>
  <w:footnote w:id="2">
    <w:p w14:paraId="1230F1D8" w14:textId="77777777" w:rsidR="008B2420" w:rsidRPr="00157E18" w:rsidRDefault="008B2420" w:rsidP="00BF3109">
      <w:pPr>
        <w:pStyle w:val="FootnoteText"/>
        <w:rPr>
          <w:sz w:val="20"/>
          <w:szCs w:val="20"/>
        </w:rPr>
      </w:pPr>
      <w:r w:rsidRPr="00BF3109">
        <w:rPr>
          <w:rStyle w:val="FootnoteReference"/>
          <w:sz w:val="20"/>
          <w:szCs w:val="20"/>
        </w:rPr>
        <w:footnoteRef/>
      </w:r>
      <w:r w:rsidRPr="00BF3109">
        <w:rPr>
          <w:sz w:val="20"/>
          <w:szCs w:val="20"/>
        </w:rPr>
        <w:t xml:space="preserve"> The terms multilinguals, bilinguals and language learners are used interchangeably to refer to a person who speaks two or more languages.</w:t>
      </w:r>
      <w:r>
        <w:rPr>
          <w:sz w:val="20"/>
          <w:szCs w:val="20"/>
        </w:rPr>
        <w:t xml:space="preserve"> </w:t>
      </w:r>
    </w:p>
  </w:footnote>
  <w:footnote w:id="3">
    <w:p w14:paraId="1B928CF6" w14:textId="5EA2697C" w:rsidR="008B2420" w:rsidRPr="002504FF" w:rsidRDefault="008B2420" w:rsidP="002504FF">
      <w:pPr>
        <w:widowControl w:val="0"/>
        <w:autoSpaceDE w:val="0"/>
        <w:autoSpaceDN w:val="0"/>
        <w:adjustRightInd w:val="0"/>
        <w:spacing w:after="240"/>
        <w:rPr>
          <w:sz w:val="20"/>
          <w:szCs w:val="20"/>
          <w:lang w:val="en-US"/>
        </w:rPr>
      </w:pPr>
      <w:r w:rsidRPr="002504FF">
        <w:rPr>
          <w:rStyle w:val="FootnoteReference"/>
        </w:rPr>
        <w:footnoteRef/>
      </w:r>
      <w:r w:rsidRPr="002504FF">
        <w:t xml:space="preserve"> </w:t>
      </w:r>
      <w:r w:rsidRPr="002504FF">
        <w:rPr>
          <w:sz w:val="20"/>
          <w:szCs w:val="20"/>
        </w:rPr>
        <w:t xml:space="preserve">In English, one cannot discuss grammatical aspect without lexical aspect. In a CG analysis of lexical aspect, the basic aspectual distinction made by Langacker involves the perfective/imperfective organisation of verbs; </w:t>
      </w:r>
      <w:r w:rsidRPr="002504FF">
        <w:rPr>
          <w:sz w:val="20"/>
          <w:szCs w:val="20"/>
          <w:lang w:val="en-US"/>
        </w:rPr>
        <w:t>the aspectual properties of various kinds of processes</w:t>
      </w:r>
      <w:r>
        <w:rPr>
          <w:sz w:val="20"/>
          <w:szCs w:val="20"/>
          <w:lang w:val="en-US"/>
        </w:rPr>
        <w:t>, profiled by the verb,</w:t>
      </w:r>
      <w:r w:rsidRPr="002504FF">
        <w:rPr>
          <w:sz w:val="20"/>
          <w:szCs w:val="20"/>
          <w:lang w:val="en-US"/>
        </w:rPr>
        <w:t xml:space="preserve"> can be explained in terms of bounding (i.e., whether or not a profiled relationship is construed as inherently bounded in its temporal extension) and in terms of heterogeneity (i.e., whether or not the segments of a profiled relationship are construed as involving a change through time). </w:t>
      </w:r>
      <w:r>
        <w:rPr>
          <w:sz w:val="20"/>
          <w:szCs w:val="20"/>
        </w:rPr>
        <w:t xml:space="preserve">In this discussion, I will not outline how inherent aspectual properties of processes interact with tense/aspect marking, but rather show how a speaker’s shift in perspective interacts with progressive marking at the grammatical level. </w:t>
      </w:r>
    </w:p>
    <w:p w14:paraId="3D050510" w14:textId="6CBBB322" w:rsidR="008B2420" w:rsidRPr="00157E18" w:rsidRDefault="008B2420">
      <w:pPr>
        <w:pStyle w:val="FootnoteText"/>
        <w:rPr>
          <w:sz w:val="20"/>
          <w:szCs w:val="20"/>
        </w:rPr>
      </w:pPr>
    </w:p>
  </w:footnote>
  <w:footnote w:id="4">
    <w:p w14:paraId="5F850551" w14:textId="3596323B" w:rsidR="008B2420" w:rsidRPr="0030378C" w:rsidRDefault="008B2420">
      <w:pPr>
        <w:pStyle w:val="FootnoteText"/>
        <w:rPr>
          <w:sz w:val="20"/>
          <w:szCs w:val="20"/>
        </w:rPr>
      </w:pPr>
      <w:r w:rsidRPr="0030378C">
        <w:rPr>
          <w:rStyle w:val="FootnoteReference"/>
          <w:sz w:val="20"/>
          <w:szCs w:val="20"/>
        </w:rPr>
        <w:footnoteRef/>
      </w:r>
      <w:r w:rsidRPr="0030378C">
        <w:rPr>
          <w:sz w:val="20"/>
          <w:szCs w:val="20"/>
        </w:rPr>
        <w:t xml:space="preserve"> For a comprehensive overview, see Jarvis &amp; </w:t>
      </w:r>
      <w:proofErr w:type="spellStart"/>
      <w:r w:rsidRPr="0030378C">
        <w:rPr>
          <w:sz w:val="20"/>
          <w:szCs w:val="20"/>
        </w:rPr>
        <w:t>Pavlenko</w:t>
      </w:r>
      <w:proofErr w:type="spellEnd"/>
      <w:r w:rsidRPr="0030378C">
        <w:rPr>
          <w:sz w:val="20"/>
          <w:szCs w:val="20"/>
        </w:rPr>
        <w:t xml:space="preserve"> (2008), Jarvis (2011), Ewert (2016). </w:t>
      </w:r>
    </w:p>
  </w:footnote>
  <w:footnote w:id="5">
    <w:p w14:paraId="128EA86E" w14:textId="23519D04" w:rsidR="008B2420" w:rsidRPr="0030378C" w:rsidRDefault="008B2420">
      <w:pPr>
        <w:pStyle w:val="FootnoteText"/>
        <w:rPr>
          <w:sz w:val="20"/>
          <w:szCs w:val="20"/>
        </w:rPr>
      </w:pPr>
      <w:r w:rsidRPr="0030378C">
        <w:rPr>
          <w:rStyle w:val="FootnoteReference"/>
          <w:sz w:val="20"/>
          <w:szCs w:val="20"/>
        </w:rPr>
        <w:footnoteRef/>
      </w:r>
      <w:r w:rsidRPr="0030378C">
        <w:rPr>
          <w:sz w:val="20"/>
          <w:szCs w:val="20"/>
        </w:rPr>
        <w:t xml:space="preserve"> Th</w:t>
      </w:r>
      <w:r>
        <w:rPr>
          <w:sz w:val="20"/>
          <w:szCs w:val="20"/>
        </w:rPr>
        <w:t xml:space="preserve">ere are numerous researchers (e.g., von </w:t>
      </w:r>
      <w:proofErr w:type="spellStart"/>
      <w:r>
        <w:rPr>
          <w:sz w:val="20"/>
          <w:szCs w:val="20"/>
        </w:rPr>
        <w:t>Stutterheim</w:t>
      </w:r>
      <w:proofErr w:type="spellEnd"/>
      <w:r>
        <w:rPr>
          <w:sz w:val="20"/>
          <w:szCs w:val="20"/>
        </w:rPr>
        <w:t xml:space="preserve">, </w:t>
      </w:r>
      <w:proofErr w:type="spellStart"/>
      <w:r>
        <w:rPr>
          <w:sz w:val="20"/>
          <w:szCs w:val="20"/>
        </w:rPr>
        <w:t>Flecken</w:t>
      </w:r>
      <w:proofErr w:type="spellEnd"/>
      <w:r>
        <w:rPr>
          <w:sz w:val="20"/>
          <w:szCs w:val="20"/>
        </w:rPr>
        <w:t xml:space="preserve">, </w:t>
      </w:r>
      <w:proofErr w:type="spellStart"/>
      <w:r>
        <w:rPr>
          <w:sz w:val="20"/>
          <w:szCs w:val="20"/>
        </w:rPr>
        <w:t>Caroll</w:t>
      </w:r>
      <w:proofErr w:type="spellEnd"/>
      <w:r>
        <w:rPr>
          <w:sz w:val="20"/>
          <w:szCs w:val="20"/>
        </w:rPr>
        <w:t xml:space="preserve">, Vanek, Athanasopoulos) who study patterns of event conceptualization in light of cognitive-oriented principles (e.g., </w:t>
      </w:r>
      <w:proofErr w:type="spellStart"/>
      <w:r>
        <w:rPr>
          <w:sz w:val="20"/>
          <w:szCs w:val="20"/>
        </w:rPr>
        <w:t>Levelt</w:t>
      </w:r>
      <w:proofErr w:type="spellEnd"/>
      <w:r>
        <w:rPr>
          <w:sz w:val="20"/>
          <w:szCs w:val="20"/>
        </w:rPr>
        <w:t xml:space="preserve">, 1989), but only rarely do they rely explicitly on Langacker’s notion of construal. </w:t>
      </w:r>
    </w:p>
  </w:footnote>
  <w:footnote w:id="6">
    <w:p w14:paraId="6545BC59" w14:textId="77777777" w:rsidR="0018626F" w:rsidRPr="001D3B72" w:rsidRDefault="0018626F" w:rsidP="0018626F">
      <w:pPr>
        <w:tabs>
          <w:tab w:val="left" w:pos="720"/>
        </w:tabs>
        <w:rPr>
          <w:color w:val="000000" w:themeColor="text1"/>
        </w:rPr>
      </w:pPr>
      <w:r>
        <w:rPr>
          <w:rStyle w:val="FootnoteReference"/>
        </w:rPr>
        <w:footnoteRef/>
      </w:r>
      <w:r>
        <w:t xml:space="preserve"> </w:t>
      </w:r>
      <w:r w:rsidRPr="00157E18">
        <w:rPr>
          <w:sz w:val="20"/>
          <w:szCs w:val="20"/>
        </w:rPr>
        <w:t xml:space="preserve">The current post-doctoral research project entitled </w:t>
      </w:r>
      <w:r w:rsidRPr="00157E18">
        <w:rPr>
          <w:i/>
          <w:sz w:val="20"/>
          <w:szCs w:val="20"/>
        </w:rPr>
        <w:t>A Cognitive Grammar perspective on crosslinguistic differences and influence – How can cognitive theories inform foreign language learning and classroom practices?</w:t>
      </w:r>
      <w:r w:rsidRPr="00157E18">
        <w:rPr>
          <w:sz w:val="20"/>
          <w:szCs w:val="20"/>
        </w:rPr>
        <w:t xml:space="preserve"> </w:t>
      </w:r>
      <w:r>
        <w:rPr>
          <w:sz w:val="20"/>
          <w:szCs w:val="20"/>
        </w:rPr>
        <w:t xml:space="preserve">has been </w:t>
      </w:r>
      <w:r w:rsidRPr="00157E18">
        <w:rPr>
          <w:sz w:val="20"/>
          <w:szCs w:val="20"/>
        </w:rPr>
        <w:t>f</w:t>
      </w:r>
      <w:r>
        <w:rPr>
          <w:sz w:val="20"/>
          <w:szCs w:val="20"/>
        </w:rPr>
        <w:t xml:space="preserve">inanced from </w:t>
      </w:r>
      <w:r w:rsidRPr="00157E18">
        <w:rPr>
          <w:sz w:val="20"/>
          <w:szCs w:val="20"/>
        </w:rPr>
        <w:t xml:space="preserve">Kone Foundation (2017–2020). </w:t>
      </w:r>
    </w:p>
    <w:p w14:paraId="3F579C04" w14:textId="77777777" w:rsidR="0018626F" w:rsidRPr="00157E18" w:rsidRDefault="0018626F" w:rsidP="0018626F">
      <w:pPr>
        <w:pStyle w:val="FootnoteText"/>
        <w:rPr>
          <w:sz w:val="20"/>
          <w:szCs w:val="20"/>
        </w:rPr>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activeWritingStyle w:appName="MSWord" w:lang="en-GB" w:vendorID="64" w:dllVersion="6" w:nlCheck="1" w:checkStyle="0"/>
  <w:activeWritingStyle w:appName="MSWord" w:lang="fi-FI" w:vendorID="64" w:dllVersion="6" w:nlCheck="1" w:checkStyle="0"/>
  <w:activeWritingStyle w:appName="MSWord" w:lang="en-US" w:vendorID="64" w:dllVersion="6" w:nlCheck="1" w:checkStyle="0"/>
  <w:activeWritingStyle w:appName="MSWord" w:lang="en-GB" w:vendorID="2" w:dllVersion="6" w:checkStyle="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4920"/>
    <w:rsid w:val="0000039F"/>
    <w:rsid w:val="000009C0"/>
    <w:rsid w:val="00001B40"/>
    <w:rsid w:val="00002ADA"/>
    <w:rsid w:val="00002FA5"/>
    <w:rsid w:val="00003138"/>
    <w:rsid w:val="0000328A"/>
    <w:rsid w:val="00003958"/>
    <w:rsid w:val="00003B95"/>
    <w:rsid w:val="00003E21"/>
    <w:rsid w:val="00004376"/>
    <w:rsid w:val="0000484F"/>
    <w:rsid w:val="00005A16"/>
    <w:rsid w:val="000065EF"/>
    <w:rsid w:val="00006EFA"/>
    <w:rsid w:val="00010184"/>
    <w:rsid w:val="00010599"/>
    <w:rsid w:val="0001117B"/>
    <w:rsid w:val="000113F1"/>
    <w:rsid w:val="0001149B"/>
    <w:rsid w:val="00011688"/>
    <w:rsid w:val="0001245C"/>
    <w:rsid w:val="0001465E"/>
    <w:rsid w:val="00014BA4"/>
    <w:rsid w:val="000154A4"/>
    <w:rsid w:val="0001557F"/>
    <w:rsid w:val="00015BA5"/>
    <w:rsid w:val="00017823"/>
    <w:rsid w:val="00020FBC"/>
    <w:rsid w:val="00021916"/>
    <w:rsid w:val="000245F6"/>
    <w:rsid w:val="000306DF"/>
    <w:rsid w:val="00030CAF"/>
    <w:rsid w:val="00030E37"/>
    <w:rsid w:val="0003215A"/>
    <w:rsid w:val="00032C4D"/>
    <w:rsid w:val="00033470"/>
    <w:rsid w:val="00033664"/>
    <w:rsid w:val="00033F77"/>
    <w:rsid w:val="00034763"/>
    <w:rsid w:val="00034FD0"/>
    <w:rsid w:val="00035092"/>
    <w:rsid w:val="00035BE6"/>
    <w:rsid w:val="000365FA"/>
    <w:rsid w:val="000369E8"/>
    <w:rsid w:val="00036D7B"/>
    <w:rsid w:val="00037ED9"/>
    <w:rsid w:val="00040A5B"/>
    <w:rsid w:val="00040EAF"/>
    <w:rsid w:val="000412BF"/>
    <w:rsid w:val="0004355A"/>
    <w:rsid w:val="00043738"/>
    <w:rsid w:val="00043FC0"/>
    <w:rsid w:val="0004665E"/>
    <w:rsid w:val="00046794"/>
    <w:rsid w:val="00050051"/>
    <w:rsid w:val="0005015E"/>
    <w:rsid w:val="00050341"/>
    <w:rsid w:val="00050C9B"/>
    <w:rsid w:val="00051315"/>
    <w:rsid w:val="00051B3A"/>
    <w:rsid w:val="00051F9D"/>
    <w:rsid w:val="000547B3"/>
    <w:rsid w:val="00054C14"/>
    <w:rsid w:val="00055EC3"/>
    <w:rsid w:val="00056152"/>
    <w:rsid w:val="0005659C"/>
    <w:rsid w:val="00057336"/>
    <w:rsid w:val="0006090D"/>
    <w:rsid w:val="00061556"/>
    <w:rsid w:val="00062829"/>
    <w:rsid w:val="00063A25"/>
    <w:rsid w:val="0006425B"/>
    <w:rsid w:val="00065236"/>
    <w:rsid w:val="000670CB"/>
    <w:rsid w:val="0006753C"/>
    <w:rsid w:val="00067CC2"/>
    <w:rsid w:val="00070110"/>
    <w:rsid w:val="00070E3A"/>
    <w:rsid w:val="00071F21"/>
    <w:rsid w:val="000725C6"/>
    <w:rsid w:val="00074B78"/>
    <w:rsid w:val="00074D84"/>
    <w:rsid w:val="00076A0B"/>
    <w:rsid w:val="000823A0"/>
    <w:rsid w:val="000830AF"/>
    <w:rsid w:val="00083D1F"/>
    <w:rsid w:val="00084D01"/>
    <w:rsid w:val="000851F2"/>
    <w:rsid w:val="00086389"/>
    <w:rsid w:val="00087237"/>
    <w:rsid w:val="0009089D"/>
    <w:rsid w:val="00090D70"/>
    <w:rsid w:val="00090E1E"/>
    <w:rsid w:val="0009166E"/>
    <w:rsid w:val="00092A3D"/>
    <w:rsid w:val="00093DBE"/>
    <w:rsid w:val="000970A6"/>
    <w:rsid w:val="000973BE"/>
    <w:rsid w:val="000976CB"/>
    <w:rsid w:val="000A0583"/>
    <w:rsid w:val="000A22B2"/>
    <w:rsid w:val="000A2962"/>
    <w:rsid w:val="000A2C0F"/>
    <w:rsid w:val="000A3088"/>
    <w:rsid w:val="000A53A8"/>
    <w:rsid w:val="000A5B02"/>
    <w:rsid w:val="000A6F36"/>
    <w:rsid w:val="000A703D"/>
    <w:rsid w:val="000B05D9"/>
    <w:rsid w:val="000B0906"/>
    <w:rsid w:val="000B1611"/>
    <w:rsid w:val="000B2380"/>
    <w:rsid w:val="000B3421"/>
    <w:rsid w:val="000B3E13"/>
    <w:rsid w:val="000B48FA"/>
    <w:rsid w:val="000B4B48"/>
    <w:rsid w:val="000B6B0D"/>
    <w:rsid w:val="000B75A3"/>
    <w:rsid w:val="000B797C"/>
    <w:rsid w:val="000B7A75"/>
    <w:rsid w:val="000C1F54"/>
    <w:rsid w:val="000C3021"/>
    <w:rsid w:val="000C31AF"/>
    <w:rsid w:val="000C4B38"/>
    <w:rsid w:val="000C4DD2"/>
    <w:rsid w:val="000C52E4"/>
    <w:rsid w:val="000C60DE"/>
    <w:rsid w:val="000C6326"/>
    <w:rsid w:val="000C6DD1"/>
    <w:rsid w:val="000C79C0"/>
    <w:rsid w:val="000C7AB8"/>
    <w:rsid w:val="000D0EB3"/>
    <w:rsid w:val="000D294C"/>
    <w:rsid w:val="000D2CCE"/>
    <w:rsid w:val="000D3A8A"/>
    <w:rsid w:val="000D455A"/>
    <w:rsid w:val="000D47A4"/>
    <w:rsid w:val="000D517C"/>
    <w:rsid w:val="000D6330"/>
    <w:rsid w:val="000D7568"/>
    <w:rsid w:val="000D76AD"/>
    <w:rsid w:val="000E0B25"/>
    <w:rsid w:val="000E10D3"/>
    <w:rsid w:val="000E149D"/>
    <w:rsid w:val="000E1616"/>
    <w:rsid w:val="000E2727"/>
    <w:rsid w:val="000E2C85"/>
    <w:rsid w:val="000E3CA1"/>
    <w:rsid w:val="000E53C6"/>
    <w:rsid w:val="000E6288"/>
    <w:rsid w:val="000E7879"/>
    <w:rsid w:val="000F0BB8"/>
    <w:rsid w:val="000F2DD9"/>
    <w:rsid w:val="000F4067"/>
    <w:rsid w:val="000F4ACF"/>
    <w:rsid w:val="000F6161"/>
    <w:rsid w:val="000F6490"/>
    <w:rsid w:val="000F7D60"/>
    <w:rsid w:val="0010142E"/>
    <w:rsid w:val="001015B9"/>
    <w:rsid w:val="00101F2F"/>
    <w:rsid w:val="0010203C"/>
    <w:rsid w:val="00103B1F"/>
    <w:rsid w:val="0010487B"/>
    <w:rsid w:val="00104B08"/>
    <w:rsid w:val="00104D86"/>
    <w:rsid w:val="001069D0"/>
    <w:rsid w:val="00110D04"/>
    <w:rsid w:val="001139CE"/>
    <w:rsid w:val="00113FFA"/>
    <w:rsid w:val="0011457A"/>
    <w:rsid w:val="001160B8"/>
    <w:rsid w:val="001162F3"/>
    <w:rsid w:val="0011683A"/>
    <w:rsid w:val="00116E13"/>
    <w:rsid w:val="00117655"/>
    <w:rsid w:val="00121163"/>
    <w:rsid w:val="00122F9B"/>
    <w:rsid w:val="00124A6B"/>
    <w:rsid w:val="00124DCF"/>
    <w:rsid w:val="00125573"/>
    <w:rsid w:val="00125738"/>
    <w:rsid w:val="00125ED0"/>
    <w:rsid w:val="00127B0D"/>
    <w:rsid w:val="00130607"/>
    <w:rsid w:val="00130672"/>
    <w:rsid w:val="001328A7"/>
    <w:rsid w:val="00134306"/>
    <w:rsid w:val="00134717"/>
    <w:rsid w:val="001357EB"/>
    <w:rsid w:val="001366C8"/>
    <w:rsid w:val="001368C1"/>
    <w:rsid w:val="00141DBB"/>
    <w:rsid w:val="00142DDE"/>
    <w:rsid w:val="0014487B"/>
    <w:rsid w:val="00150DD7"/>
    <w:rsid w:val="00153C27"/>
    <w:rsid w:val="0015542B"/>
    <w:rsid w:val="0015630B"/>
    <w:rsid w:val="00157D5F"/>
    <w:rsid w:val="00157E18"/>
    <w:rsid w:val="00160D04"/>
    <w:rsid w:val="00160EF0"/>
    <w:rsid w:val="0016226F"/>
    <w:rsid w:val="0016239F"/>
    <w:rsid w:val="00162D5F"/>
    <w:rsid w:val="00163A69"/>
    <w:rsid w:val="00163C8C"/>
    <w:rsid w:val="00163F6A"/>
    <w:rsid w:val="0016541F"/>
    <w:rsid w:val="00165956"/>
    <w:rsid w:val="0016645E"/>
    <w:rsid w:val="0016687C"/>
    <w:rsid w:val="001670CE"/>
    <w:rsid w:val="001709B2"/>
    <w:rsid w:val="00173845"/>
    <w:rsid w:val="001745A3"/>
    <w:rsid w:val="0017486D"/>
    <w:rsid w:val="00174B2A"/>
    <w:rsid w:val="00174DD2"/>
    <w:rsid w:val="00175864"/>
    <w:rsid w:val="00176850"/>
    <w:rsid w:val="00176FB6"/>
    <w:rsid w:val="00177245"/>
    <w:rsid w:val="00181E20"/>
    <w:rsid w:val="0018281A"/>
    <w:rsid w:val="00183F86"/>
    <w:rsid w:val="0018471C"/>
    <w:rsid w:val="00184890"/>
    <w:rsid w:val="001857AB"/>
    <w:rsid w:val="0018626F"/>
    <w:rsid w:val="0018759F"/>
    <w:rsid w:val="00187B7A"/>
    <w:rsid w:val="00192970"/>
    <w:rsid w:val="00192A72"/>
    <w:rsid w:val="00193771"/>
    <w:rsid w:val="00193E14"/>
    <w:rsid w:val="00195200"/>
    <w:rsid w:val="0019642C"/>
    <w:rsid w:val="001A1715"/>
    <w:rsid w:val="001A4FB7"/>
    <w:rsid w:val="001A6A40"/>
    <w:rsid w:val="001A7D85"/>
    <w:rsid w:val="001B0837"/>
    <w:rsid w:val="001B0AB6"/>
    <w:rsid w:val="001B0DD7"/>
    <w:rsid w:val="001B1F88"/>
    <w:rsid w:val="001B395C"/>
    <w:rsid w:val="001B3964"/>
    <w:rsid w:val="001B3B29"/>
    <w:rsid w:val="001B68E1"/>
    <w:rsid w:val="001B6C02"/>
    <w:rsid w:val="001B78A7"/>
    <w:rsid w:val="001C0226"/>
    <w:rsid w:val="001C162B"/>
    <w:rsid w:val="001C166F"/>
    <w:rsid w:val="001C186E"/>
    <w:rsid w:val="001C3470"/>
    <w:rsid w:val="001C50A2"/>
    <w:rsid w:val="001C5361"/>
    <w:rsid w:val="001C53C5"/>
    <w:rsid w:val="001C5A86"/>
    <w:rsid w:val="001C5AF7"/>
    <w:rsid w:val="001C62C8"/>
    <w:rsid w:val="001C62EA"/>
    <w:rsid w:val="001C6520"/>
    <w:rsid w:val="001D0086"/>
    <w:rsid w:val="001D0CAF"/>
    <w:rsid w:val="001D15A0"/>
    <w:rsid w:val="001D27E7"/>
    <w:rsid w:val="001D322A"/>
    <w:rsid w:val="001D3484"/>
    <w:rsid w:val="001D3B72"/>
    <w:rsid w:val="001D5D82"/>
    <w:rsid w:val="001D65B7"/>
    <w:rsid w:val="001D6A7C"/>
    <w:rsid w:val="001D6A83"/>
    <w:rsid w:val="001D6C27"/>
    <w:rsid w:val="001E08F0"/>
    <w:rsid w:val="001E1A5D"/>
    <w:rsid w:val="001E1B84"/>
    <w:rsid w:val="001E1F0F"/>
    <w:rsid w:val="001E2499"/>
    <w:rsid w:val="001E2564"/>
    <w:rsid w:val="001E41EE"/>
    <w:rsid w:val="001E7C99"/>
    <w:rsid w:val="001F096F"/>
    <w:rsid w:val="001F09F4"/>
    <w:rsid w:val="001F116A"/>
    <w:rsid w:val="001F1630"/>
    <w:rsid w:val="001F207F"/>
    <w:rsid w:val="001F2CCC"/>
    <w:rsid w:val="001F2CDD"/>
    <w:rsid w:val="001F2F44"/>
    <w:rsid w:val="001F33DE"/>
    <w:rsid w:val="001F3E1A"/>
    <w:rsid w:val="001F3EFF"/>
    <w:rsid w:val="001F4F2E"/>
    <w:rsid w:val="001F50D4"/>
    <w:rsid w:val="001F5B51"/>
    <w:rsid w:val="001F664C"/>
    <w:rsid w:val="001F74C0"/>
    <w:rsid w:val="0020102B"/>
    <w:rsid w:val="002044B3"/>
    <w:rsid w:val="002070F7"/>
    <w:rsid w:val="00207701"/>
    <w:rsid w:val="00212991"/>
    <w:rsid w:val="002141C2"/>
    <w:rsid w:val="00215A26"/>
    <w:rsid w:val="002171BA"/>
    <w:rsid w:val="00220486"/>
    <w:rsid w:val="00220654"/>
    <w:rsid w:val="00221513"/>
    <w:rsid w:val="00221772"/>
    <w:rsid w:val="0022212A"/>
    <w:rsid w:val="002221B7"/>
    <w:rsid w:val="00222D4D"/>
    <w:rsid w:val="00224375"/>
    <w:rsid w:val="0022746D"/>
    <w:rsid w:val="002278A9"/>
    <w:rsid w:val="002312D7"/>
    <w:rsid w:val="002318C6"/>
    <w:rsid w:val="00233F00"/>
    <w:rsid w:val="00234593"/>
    <w:rsid w:val="002346EC"/>
    <w:rsid w:val="00234B79"/>
    <w:rsid w:val="002363BB"/>
    <w:rsid w:val="00240897"/>
    <w:rsid w:val="002419BA"/>
    <w:rsid w:val="002439C2"/>
    <w:rsid w:val="00244993"/>
    <w:rsid w:val="00245573"/>
    <w:rsid w:val="002455C3"/>
    <w:rsid w:val="002469B5"/>
    <w:rsid w:val="00246A26"/>
    <w:rsid w:val="00246F86"/>
    <w:rsid w:val="00247A8C"/>
    <w:rsid w:val="0025020E"/>
    <w:rsid w:val="002504FF"/>
    <w:rsid w:val="00250F0F"/>
    <w:rsid w:val="00251D86"/>
    <w:rsid w:val="00252287"/>
    <w:rsid w:val="00252370"/>
    <w:rsid w:val="00253342"/>
    <w:rsid w:val="00253420"/>
    <w:rsid w:val="002538B6"/>
    <w:rsid w:val="00253DF0"/>
    <w:rsid w:val="00254B67"/>
    <w:rsid w:val="00256C84"/>
    <w:rsid w:val="00257B17"/>
    <w:rsid w:val="0026031A"/>
    <w:rsid w:val="00260548"/>
    <w:rsid w:val="00260836"/>
    <w:rsid w:val="002612A3"/>
    <w:rsid w:val="00261846"/>
    <w:rsid w:val="00262377"/>
    <w:rsid w:val="00262952"/>
    <w:rsid w:val="00263B49"/>
    <w:rsid w:val="0026723F"/>
    <w:rsid w:val="00270B08"/>
    <w:rsid w:val="00270C35"/>
    <w:rsid w:val="002716C4"/>
    <w:rsid w:val="00271E9D"/>
    <w:rsid w:val="0027309C"/>
    <w:rsid w:val="00273463"/>
    <w:rsid w:val="00273D6A"/>
    <w:rsid w:val="0027462D"/>
    <w:rsid w:val="0027616A"/>
    <w:rsid w:val="002761B5"/>
    <w:rsid w:val="00277083"/>
    <w:rsid w:val="0027749A"/>
    <w:rsid w:val="00277CA6"/>
    <w:rsid w:val="00280415"/>
    <w:rsid w:val="00281587"/>
    <w:rsid w:val="0028264C"/>
    <w:rsid w:val="002828FE"/>
    <w:rsid w:val="0028301D"/>
    <w:rsid w:val="00283206"/>
    <w:rsid w:val="002860F0"/>
    <w:rsid w:val="002866E4"/>
    <w:rsid w:val="0028724C"/>
    <w:rsid w:val="00287B19"/>
    <w:rsid w:val="0029017B"/>
    <w:rsid w:val="002923F8"/>
    <w:rsid w:val="002941A9"/>
    <w:rsid w:val="00294CEC"/>
    <w:rsid w:val="00295291"/>
    <w:rsid w:val="002965A0"/>
    <w:rsid w:val="002967EF"/>
    <w:rsid w:val="00296C5A"/>
    <w:rsid w:val="00297EAD"/>
    <w:rsid w:val="002A00A3"/>
    <w:rsid w:val="002A12BC"/>
    <w:rsid w:val="002A2865"/>
    <w:rsid w:val="002A368D"/>
    <w:rsid w:val="002A4567"/>
    <w:rsid w:val="002A465D"/>
    <w:rsid w:val="002A7110"/>
    <w:rsid w:val="002A71F6"/>
    <w:rsid w:val="002A75F7"/>
    <w:rsid w:val="002A7E6B"/>
    <w:rsid w:val="002B04AA"/>
    <w:rsid w:val="002B0E57"/>
    <w:rsid w:val="002B127B"/>
    <w:rsid w:val="002B130F"/>
    <w:rsid w:val="002B24C5"/>
    <w:rsid w:val="002B2D9B"/>
    <w:rsid w:val="002B3795"/>
    <w:rsid w:val="002B4713"/>
    <w:rsid w:val="002B5280"/>
    <w:rsid w:val="002B6139"/>
    <w:rsid w:val="002C3E0E"/>
    <w:rsid w:val="002C47F5"/>
    <w:rsid w:val="002C5827"/>
    <w:rsid w:val="002C5C44"/>
    <w:rsid w:val="002C6856"/>
    <w:rsid w:val="002C7A30"/>
    <w:rsid w:val="002D0778"/>
    <w:rsid w:val="002D08E6"/>
    <w:rsid w:val="002D0AE3"/>
    <w:rsid w:val="002D185F"/>
    <w:rsid w:val="002D2569"/>
    <w:rsid w:val="002D3DA7"/>
    <w:rsid w:val="002D6CF0"/>
    <w:rsid w:val="002D7C4D"/>
    <w:rsid w:val="002E08EF"/>
    <w:rsid w:val="002E0AF5"/>
    <w:rsid w:val="002E0D15"/>
    <w:rsid w:val="002E3404"/>
    <w:rsid w:val="002E448E"/>
    <w:rsid w:val="002E50EC"/>
    <w:rsid w:val="002E577A"/>
    <w:rsid w:val="002E5B6F"/>
    <w:rsid w:val="002E5D0A"/>
    <w:rsid w:val="002E5E3A"/>
    <w:rsid w:val="002E75B8"/>
    <w:rsid w:val="002E7A6E"/>
    <w:rsid w:val="002F001F"/>
    <w:rsid w:val="002F0451"/>
    <w:rsid w:val="002F0D12"/>
    <w:rsid w:val="002F15B8"/>
    <w:rsid w:val="002F1E4B"/>
    <w:rsid w:val="002F204B"/>
    <w:rsid w:val="002F2467"/>
    <w:rsid w:val="002F273A"/>
    <w:rsid w:val="002F2C89"/>
    <w:rsid w:val="002F2D74"/>
    <w:rsid w:val="002F3599"/>
    <w:rsid w:val="002F4071"/>
    <w:rsid w:val="002F52D8"/>
    <w:rsid w:val="002F665D"/>
    <w:rsid w:val="002F7482"/>
    <w:rsid w:val="002F7C5B"/>
    <w:rsid w:val="00300AD6"/>
    <w:rsid w:val="003014FE"/>
    <w:rsid w:val="00301CE5"/>
    <w:rsid w:val="0030309F"/>
    <w:rsid w:val="0030378C"/>
    <w:rsid w:val="00303B47"/>
    <w:rsid w:val="003057D5"/>
    <w:rsid w:val="00310FF7"/>
    <w:rsid w:val="003118AD"/>
    <w:rsid w:val="003118CF"/>
    <w:rsid w:val="003120DC"/>
    <w:rsid w:val="003126B1"/>
    <w:rsid w:val="0031293B"/>
    <w:rsid w:val="0031365D"/>
    <w:rsid w:val="00313C76"/>
    <w:rsid w:val="00314E39"/>
    <w:rsid w:val="00315613"/>
    <w:rsid w:val="00316314"/>
    <w:rsid w:val="00316F77"/>
    <w:rsid w:val="003209FA"/>
    <w:rsid w:val="0032180B"/>
    <w:rsid w:val="00322CAC"/>
    <w:rsid w:val="00322F93"/>
    <w:rsid w:val="0032486C"/>
    <w:rsid w:val="00324891"/>
    <w:rsid w:val="00325460"/>
    <w:rsid w:val="00327D2A"/>
    <w:rsid w:val="0033041E"/>
    <w:rsid w:val="0033161E"/>
    <w:rsid w:val="00334D5F"/>
    <w:rsid w:val="00336A7F"/>
    <w:rsid w:val="00336B8F"/>
    <w:rsid w:val="0033704A"/>
    <w:rsid w:val="00337607"/>
    <w:rsid w:val="00340548"/>
    <w:rsid w:val="003407F9"/>
    <w:rsid w:val="003408CF"/>
    <w:rsid w:val="00340B74"/>
    <w:rsid w:val="00341851"/>
    <w:rsid w:val="003418E6"/>
    <w:rsid w:val="00341E01"/>
    <w:rsid w:val="00342103"/>
    <w:rsid w:val="00342453"/>
    <w:rsid w:val="00343866"/>
    <w:rsid w:val="003474CB"/>
    <w:rsid w:val="00347E9C"/>
    <w:rsid w:val="00350706"/>
    <w:rsid w:val="00351BCC"/>
    <w:rsid w:val="00352669"/>
    <w:rsid w:val="0035300A"/>
    <w:rsid w:val="00353646"/>
    <w:rsid w:val="00355127"/>
    <w:rsid w:val="00355593"/>
    <w:rsid w:val="00355C22"/>
    <w:rsid w:val="00355F24"/>
    <w:rsid w:val="003562F1"/>
    <w:rsid w:val="00356C20"/>
    <w:rsid w:val="00356F21"/>
    <w:rsid w:val="00357490"/>
    <w:rsid w:val="003603AB"/>
    <w:rsid w:val="00360AE0"/>
    <w:rsid w:val="003610D6"/>
    <w:rsid w:val="00363195"/>
    <w:rsid w:val="00363A90"/>
    <w:rsid w:val="00364616"/>
    <w:rsid w:val="003647D8"/>
    <w:rsid w:val="00364E4D"/>
    <w:rsid w:val="00364E9C"/>
    <w:rsid w:val="0036568C"/>
    <w:rsid w:val="00366AEF"/>
    <w:rsid w:val="00367855"/>
    <w:rsid w:val="00367D31"/>
    <w:rsid w:val="003704FF"/>
    <w:rsid w:val="00370791"/>
    <w:rsid w:val="0037080A"/>
    <w:rsid w:val="00372C04"/>
    <w:rsid w:val="00373CDC"/>
    <w:rsid w:val="003740D8"/>
    <w:rsid w:val="0037419D"/>
    <w:rsid w:val="003748B5"/>
    <w:rsid w:val="00374E4F"/>
    <w:rsid w:val="00376331"/>
    <w:rsid w:val="00377721"/>
    <w:rsid w:val="00377F61"/>
    <w:rsid w:val="0038185F"/>
    <w:rsid w:val="00381BA8"/>
    <w:rsid w:val="00381DA5"/>
    <w:rsid w:val="00383EF7"/>
    <w:rsid w:val="00384C10"/>
    <w:rsid w:val="00385EA4"/>
    <w:rsid w:val="00386638"/>
    <w:rsid w:val="00386C0F"/>
    <w:rsid w:val="00387140"/>
    <w:rsid w:val="003923B9"/>
    <w:rsid w:val="00392BA4"/>
    <w:rsid w:val="003934A8"/>
    <w:rsid w:val="00393D99"/>
    <w:rsid w:val="00393DA1"/>
    <w:rsid w:val="00395B28"/>
    <w:rsid w:val="00396DCA"/>
    <w:rsid w:val="00396E26"/>
    <w:rsid w:val="00397C52"/>
    <w:rsid w:val="003A028C"/>
    <w:rsid w:val="003A1C9F"/>
    <w:rsid w:val="003A1F60"/>
    <w:rsid w:val="003A2DF4"/>
    <w:rsid w:val="003A4AE8"/>
    <w:rsid w:val="003A4D81"/>
    <w:rsid w:val="003A551F"/>
    <w:rsid w:val="003A5D0A"/>
    <w:rsid w:val="003A7027"/>
    <w:rsid w:val="003A7D32"/>
    <w:rsid w:val="003B1CDC"/>
    <w:rsid w:val="003B21C1"/>
    <w:rsid w:val="003B2258"/>
    <w:rsid w:val="003B28C6"/>
    <w:rsid w:val="003B3F5E"/>
    <w:rsid w:val="003B44D3"/>
    <w:rsid w:val="003B5D8A"/>
    <w:rsid w:val="003B653F"/>
    <w:rsid w:val="003B68B3"/>
    <w:rsid w:val="003B7473"/>
    <w:rsid w:val="003B76C1"/>
    <w:rsid w:val="003B77DD"/>
    <w:rsid w:val="003C0CF8"/>
    <w:rsid w:val="003C1CE6"/>
    <w:rsid w:val="003C2072"/>
    <w:rsid w:val="003C394C"/>
    <w:rsid w:val="003C3A2E"/>
    <w:rsid w:val="003C6767"/>
    <w:rsid w:val="003C6DE2"/>
    <w:rsid w:val="003D07F6"/>
    <w:rsid w:val="003D1002"/>
    <w:rsid w:val="003D1081"/>
    <w:rsid w:val="003D380E"/>
    <w:rsid w:val="003D3A5D"/>
    <w:rsid w:val="003D3B47"/>
    <w:rsid w:val="003D4240"/>
    <w:rsid w:val="003D5334"/>
    <w:rsid w:val="003D5377"/>
    <w:rsid w:val="003D5E27"/>
    <w:rsid w:val="003D6638"/>
    <w:rsid w:val="003E0994"/>
    <w:rsid w:val="003E30BE"/>
    <w:rsid w:val="003E365B"/>
    <w:rsid w:val="003E36F3"/>
    <w:rsid w:val="003E4A28"/>
    <w:rsid w:val="003E4DED"/>
    <w:rsid w:val="003E5D5C"/>
    <w:rsid w:val="003E5E6B"/>
    <w:rsid w:val="003E692B"/>
    <w:rsid w:val="003E69EC"/>
    <w:rsid w:val="003F0904"/>
    <w:rsid w:val="003F2455"/>
    <w:rsid w:val="003F35B5"/>
    <w:rsid w:val="003F3A21"/>
    <w:rsid w:val="003F4242"/>
    <w:rsid w:val="003F56F0"/>
    <w:rsid w:val="003F57F3"/>
    <w:rsid w:val="003F6205"/>
    <w:rsid w:val="003F62AA"/>
    <w:rsid w:val="003F78C0"/>
    <w:rsid w:val="00405C85"/>
    <w:rsid w:val="00405EE3"/>
    <w:rsid w:val="00407A8F"/>
    <w:rsid w:val="00410780"/>
    <w:rsid w:val="0041098C"/>
    <w:rsid w:val="00410EDA"/>
    <w:rsid w:val="00410F21"/>
    <w:rsid w:val="00411700"/>
    <w:rsid w:val="004141B0"/>
    <w:rsid w:val="0041434E"/>
    <w:rsid w:val="00414417"/>
    <w:rsid w:val="00415180"/>
    <w:rsid w:val="004156C3"/>
    <w:rsid w:val="004157BB"/>
    <w:rsid w:val="00416319"/>
    <w:rsid w:val="004176E3"/>
    <w:rsid w:val="004225F7"/>
    <w:rsid w:val="00422641"/>
    <w:rsid w:val="00427E89"/>
    <w:rsid w:val="00431326"/>
    <w:rsid w:val="0043152C"/>
    <w:rsid w:val="00431850"/>
    <w:rsid w:val="00431BA4"/>
    <w:rsid w:val="004322A1"/>
    <w:rsid w:val="0043261D"/>
    <w:rsid w:val="004348AC"/>
    <w:rsid w:val="00434E7C"/>
    <w:rsid w:val="00436A6F"/>
    <w:rsid w:val="00436B4C"/>
    <w:rsid w:val="004371D8"/>
    <w:rsid w:val="00437621"/>
    <w:rsid w:val="004405CB"/>
    <w:rsid w:val="00440FED"/>
    <w:rsid w:val="00441045"/>
    <w:rsid w:val="0044154F"/>
    <w:rsid w:val="004423D6"/>
    <w:rsid w:val="00442C47"/>
    <w:rsid w:val="004454EC"/>
    <w:rsid w:val="00446907"/>
    <w:rsid w:val="00447BA9"/>
    <w:rsid w:val="00451DF9"/>
    <w:rsid w:val="0045254D"/>
    <w:rsid w:val="00452F89"/>
    <w:rsid w:val="00453B08"/>
    <w:rsid w:val="00453B5A"/>
    <w:rsid w:val="00453DA4"/>
    <w:rsid w:val="0045590F"/>
    <w:rsid w:val="00456638"/>
    <w:rsid w:val="00457069"/>
    <w:rsid w:val="0045795C"/>
    <w:rsid w:val="00460048"/>
    <w:rsid w:val="004611C7"/>
    <w:rsid w:val="004612D8"/>
    <w:rsid w:val="00463633"/>
    <w:rsid w:val="00465545"/>
    <w:rsid w:val="00465D7B"/>
    <w:rsid w:val="004673DE"/>
    <w:rsid w:val="00467AD5"/>
    <w:rsid w:val="00467D88"/>
    <w:rsid w:val="004708BD"/>
    <w:rsid w:val="00471B8A"/>
    <w:rsid w:val="00474120"/>
    <w:rsid w:val="004773D9"/>
    <w:rsid w:val="00477EA4"/>
    <w:rsid w:val="0048010A"/>
    <w:rsid w:val="0048011F"/>
    <w:rsid w:val="0048057B"/>
    <w:rsid w:val="004805A9"/>
    <w:rsid w:val="004821F6"/>
    <w:rsid w:val="00482211"/>
    <w:rsid w:val="004825F3"/>
    <w:rsid w:val="00482625"/>
    <w:rsid w:val="004839AE"/>
    <w:rsid w:val="00483BCF"/>
    <w:rsid w:val="00483C2B"/>
    <w:rsid w:val="00484AF7"/>
    <w:rsid w:val="00487328"/>
    <w:rsid w:val="00487E8D"/>
    <w:rsid w:val="0049088B"/>
    <w:rsid w:val="00492C7C"/>
    <w:rsid w:val="00493463"/>
    <w:rsid w:val="00493AAE"/>
    <w:rsid w:val="0049476B"/>
    <w:rsid w:val="00494F8E"/>
    <w:rsid w:val="0049527C"/>
    <w:rsid w:val="00496486"/>
    <w:rsid w:val="004966DD"/>
    <w:rsid w:val="00497214"/>
    <w:rsid w:val="004A1D8D"/>
    <w:rsid w:val="004A360F"/>
    <w:rsid w:val="004A36E2"/>
    <w:rsid w:val="004A3751"/>
    <w:rsid w:val="004A7E6A"/>
    <w:rsid w:val="004B0F31"/>
    <w:rsid w:val="004B0FE0"/>
    <w:rsid w:val="004B1EB2"/>
    <w:rsid w:val="004B2247"/>
    <w:rsid w:val="004B237A"/>
    <w:rsid w:val="004B2A29"/>
    <w:rsid w:val="004B2BF8"/>
    <w:rsid w:val="004B3AD8"/>
    <w:rsid w:val="004B441E"/>
    <w:rsid w:val="004B4729"/>
    <w:rsid w:val="004B5296"/>
    <w:rsid w:val="004B5574"/>
    <w:rsid w:val="004B7165"/>
    <w:rsid w:val="004C08D6"/>
    <w:rsid w:val="004C0943"/>
    <w:rsid w:val="004C0AFD"/>
    <w:rsid w:val="004C1A1F"/>
    <w:rsid w:val="004C1A53"/>
    <w:rsid w:val="004C2F5C"/>
    <w:rsid w:val="004C4798"/>
    <w:rsid w:val="004C4DD1"/>
    <w:rsid w:val="004C659C"/>
    <w:rsid w:val="004C71E6"/>
    <w:rsid w:val="004D1443"/>
    <w:rsid w:val="004D1ADE"/>
    <w:rsid w:val="004D52BD"/>
    <w:rsid w:val="004D5891"/>
    <w:rsid w:val="004D603B"/>
    <w:rsid w:val="004E07AA"/>
    <w:rsid w:val="004E0FCF"/>
    <w:rsid w:val="004E2550"/>
    <w:rsid w:val="004E282F"/>
    <w:rsid w:val="004E2BB9"/>
    <w:rsid w:val="004E59F8"/>
    <w:rsid w:val="004E5A7B"/>
    <w:rsid w:val="004E5B6A"/>
    <w:rsid w:val="004F00C0"/>
    <w:rsid w:val="004F027D"/>
    <w:rsid w:val="004F188D"/>
    <w:rsid w:val="004F25DD"/>
    <w:rsid w:val="004F2A06"/>
    <w:rsid w:val="004F35CC"/>
    <w:rsid w:val="004F3B3B"/>
    <w:rsid w:val="004F5444"/>
    <w:rsid w:val="004F7E25"/>
    <w:rsid w:val="005006B5"/>
    <w:rsid w:val="00501213"/>
    <w:rsid w:val="00502EED"/>
    <w:rsid w:val="00503FA8"/>
    <w:rsid w:val="005056D7"/>
    <w:rsid w:val="00505C1B"/>
    <w:rsid w:val="005062BA"/>
    <w:rsid w:val="00506CE8"/>
    <w:rsid w:val="00506E3D"/>
    <w:rsid w:val="00507044"/>
    <w:rsid w:val="0050770A"/>
    <w:rsid w:val="005102D4"/>
    <w:rsid w:val="0051153E"/>
    <w:rsid w:val="00511C8C"/>
    <w:rsid w:val="00512A80"/>
    <w:rsid w:val="00513C6E"/>
    <w:rsid w:val="005145AF"/>
    <w:rsid w:val="005149B0"/>
    <w:rsid w:val="00516A5D"/>
    <w:rsid w:val="005171E4"/>
    <w:rsid w:val="0051737A"/>
    <w:rsid w:val="005202EE"/>
    <w:rsid w:val="005208EC"/>
    <w:rsid w:val="00520A2D"/>
    <w:rsid w:val="0052245D"/>
    <w:rsid w:val="005250A3"/>
    <w:rsid w:val="005253C1"/>
    <w:rsid w:val="0052570F"/>
    <w:rsid w:val="0052591A"/>
    <w:rsid w:val="005306BA"/>
    <w:rsid w:val="005313F2"/>
    <w:rsid w:val="00531AF8"/>
    <w:rsid w:val="00531D19"/>
    <w:rsid w:val="005328DE"/>
    <w:rsid w:val="00532924"/>
    <w:rsid w:val="0053477A"/>
    <w:rsid w:val="00535604"/>
    <w:rsid w:val="00536D08"/>
    <w:rsid w:val="00536E17"/>
    <w:rsid w:val="00540A73"/>
    <w:rsid w:val="0054210D"/>
    <w:rsid w:val="00543473"/>
    <w:rsid w:val="0054357A"/>
    <w:rsid w:val="00545077"/>
    <w:rsid w:val="00547638"/>
    <w:rsid w:val="00550110"/>
    <w:rsid w:val="00550D3E"/>
    <w:rsid w:val="00550F23"/>
    <w:rsid w:val="005512DA"/>
    <w:rsid w:val="00551482"/>
    <w:rsid w:val="00551760"/>
    <w:rsid w:val="00553494"/>
    <w:rsid w:val="00553D5C"/>
    <w:rsid w:val="00554599"/>
    <w:rsid w:val="00554D9C"/>
    <w:rsid w:val="0055617E"/>
    <w:rsid w:val="00556E8A"/>
    <w:rsid w:val="00560816"/>
    <w:rsid w:val="0056296A"/>
    <w:rsid w:val="005642D7"/>
    <w:rsid w:val="005648D8"/>
    <w:rsid w:val="00567504"/>
    <w:rsid w:val="00567D23"/>
    <w:rsid w:val="00567E17"/>
    <w:rsid w:val="00570B7A"/>
    <w:rsid w:val="00574053"/>
    <w:rsid w:val="00574343"/>
    <w:rsid w:val="005748DC"/>
    <w:rsid w:val="00575CE7"/>
    <w:rsid w:val="0057725E"/>
    <w:rsid w:val="00580128"/>
    <w:rsid w:val="00580C66"/>
    <w:rsid w:val="00580E84"/>
    <w:rsid w:val="005820CA"/>
    <w:rsid w:val="00582F6F"/>
    <w:rsid w:val="00584D1F"/>
    <w:rsid w:val="00584FEB"/>
    <w:rsid w:val="00585380"/>
    <w:rsid w:val="00586FC7"/>
    <w:rsid w:val="00587A29"/>
    <w:rsid w:val="00587C69"/>
    <w:rsid w:val="005904FB"/>
    <w:rsid w:val="00591DA4"/>
    <w:rsid w:val="00593DB9"/>
    <w:rsid w:val="00594EB3"/>
    <w:rsid w:val="0059574C"/>
    <w:rsid w:val="00596679"/>
    <w:rsid w:val="005966B4"/>
    <w:rsid w:val="00596981"/>
    <w:rsid w:val="00596D65"/>
    <w:rsid w:val="00597377"/>
    <w:rsid w:val="005A0805"/>
    <w:rsid w:val="005A1705"/>
    <w:rsid w:val="005A1B37"/>
    <w:rsid w:val="005A1FFB"/>
    <w:rsid w:val="005A28B0"/>
    <w:rsid w:val="005A2EE6"/>
    <w:rsid w:val="005A48DA"/>
    <w:rsid w:val="005A52F4"/>
    <w:rsid w:val="005B24BF"/>
    <w:rsid w:val="005B438D"/>
    <w:rsid w:val="005B4D12"/>
    <w:rsid w:val="005B6256"/>
    <w:rsid w:val="005B774D"/>
    <w:rsid w:val="005B7C5E"/>
    <w:rsid w:val="005C0C36"/>
    <w:rsid w:val="005C14A2"/>
    <w:rsid w:val="005C36A3"/>
    <w:rsid w:val="005C41E8"/>
    <w:rsid w:val="005C74DA"/>
    <w:rsid w:val="005D072D"/>
    <w:rsid w:val="005D1DE9"/>
    <w:rsid w:val="005D532F"/>
    <w:rsid w:val="005D5379"/>
    <w:rsid w:val="005D63FC"/>
    <w:rsid w:val="005D6691"/>
    <w:rsid w:val="005D7D89"/>
    <w:rsid w:val="005E29C1"/>
    <w:rsid w:val="005E49BA"/>
    <w:rsid w:val="005E4DEF"/>
    <w:rsid w:val="005E522E"/>
    <w:rsid w:val="005E6ED7"/>
    <w:rsid w:val="005F0615"/>
    <w:rsid w:val="005F2A06"/>
    <w:rsid w:val="005F2EC3"/>
    <w:rsid w:val="005F3C78"/>
    <w:rsid w:val="005F41E2"/>
    <w:rsid w:val="005F60DF"/>
    <w:rsid w:val="005F6DDC"/>
    <w:rsid w:val="005F7031"/>
    <w:rsid w:val="005F7330"/>
    <w:rsid w:val="006018CA"/>
    <w:rsid w:val="00601C2E"/>
    <w:rsid w:val="00601D4D"/>
    <w:rsid w:val="006024C1"/>
    <w:rsid w:val="00604D8E"/>
    <w:rsid w:val="00606B97"/>
    <w:rsid w:val="0060704B"/>
    <w:rsid w:val="00607356"/>
    <w:rsid w:val="00607429"/>
    <w:rsid w:val="00610321"/>
    <w:rsid w:val="0061148D"/>
    <w:rsid w:val="00611CA7"/>
    <w:rsid w:val="0061291D"/>
    <w:rsid w:val="0061319E"/>
    <w:rsid w:val="0061373E"/>
    <w:rsid w:val="00613D12"/>
    <w:rsid w:val="00615857"/>
    <w:rsid w:val="0061659B"/>
    <w:rsid w:val="006172FD"/>
    <w:rsid w:val="00620B9A"/>
    <w:rsid w:val="00620C9E"/>
    <w:rsid w:val="00621E23"/>
    <w:rsid w:val="006250F3"/>
    <w:rsid w:val="00625761"/>
    <w:rsid w:val="00626388"/>
    <w:rsid w:val="006270D1"/>
    <w:rsid w:val="006273A2"/>
    <w:rsid w:val="00627D0B"/>
    <w:rsid w:val="0063048B"/>
    <w:rsid w:val="006311F2"/>
    <w:rsid w:val="00631573"/>
    <w:rsid w:val="00631D45"/>
    <w:rsid w:val="00631E28"/>
    <w:rsid w:val="00632010"/>
    <w:rsid w:val="00632111"/>
    <w:rsid w:val="006350C2"/>
    <w:rsid w:val="006358B6"/>
    <w:rsid w:val="00636D45"/>
    <w:rsid w:val="006375AE"/>
    <w:rsid w:val="00637677"/>
    <w:rsid w:val="00640F9F"/>
    <w:rsid w:val="00642035"/>
    <w:rsid w:val="00643F3E"/>
    <w:rsid w:val="006442D9"/>
    <w:rsid w:val="006454BD"/>
    <w:rsid w:val="0064551D"/>
    <w:rsid w:val="00645BB7"/>
    <w:rsid w:val="00645F6F"/>
    <w:rsid w:val="0064647A"/>
    <w:rsid w:val="00646FC0"/>
    <w:rsid w:val="00647C5A"/>
    <w:rsid w:val="006502EB"/>
    <w:rsid w:val="00651747"/>
    <w:rsid w:val="00653020"/>
    <w:rsid w:val="00654A5B"/>
    <w:rsid w:val="00655982"/>
    <w:rsid w:val="00655B6E"/>
    <w:rsid w:val="006565C2"/>
    <w:rsid w:val="006566A3"/>
    <w:rsid w:val="00657AB0"/>
    <w:rsid w:val="00660B83"/>
    <w:rsid w:val="00660DA3"/>
    <w:rsid w:val="00661996"/>
    <w:rsid w:val="00661FCB"/>
    <w:rsid w:val="00663B17"/>
    <w:rsid w:val="00663C68"/>
    <w:rsid w:val="00664AA2"/>
    <w:rsid w:val="00665716"/>
    <w:rsid w:val="006708A4"/>
    <w:rsid w:val="00670A21"/>
    <w:rsid w:val="006711A2"/>
    <w:rsid w:val="00671383"/>
    <w:rsid w:val="00671DF2"/>
    <w:rsid w:val="006744F7"/>
    <w:rsid w:val="006748FC"/>
    <w:rsid w:val="00674F7D"/>
    <w:rsid w:val="00675B7A"/>
    <w:rsid w:val="0067611A"/>
    <w:rsid w:val="00676308"/>
    <w:rsid w:val="00682449"/>
    <w:rsid w:val="00683BC8"/>
    <w:rsid w:val="00684F4C"/>
    <w:rsid w:val="00685C51"/>
    <w:rsid w:val="00685DED"/>
    <w:rsid w:val="00687888"/>
    <w:rsid w:val="0069035A"/>
    <w:rsid w:val="00690D5A"/>
    <w:rsid w:val="00690E9C"/>
    <w:rsid w:val="006910AD"/>
    <w:rsid w:val="00692AD3"/>
    <w:rsid w:val="00692BDA"/>
    <w:rsid w:val="00692C9C"/>
    <w:rsid w:val="00693949"/>
    <w:rsid w:val="00694BD5"/>
    <w:rsid w:val="00696397"/>
    <w:rsid w:val="006977D0"/>
    <w:rsid w:val="006A04EB"/>
    <w:rsid w:val="006A09DA"/>
    <w:rsid w:val="006A293C"/>
    <w:rsid w:val="006A2F66"/>
    <w:rsid w:val="006A354C"/>
    <w:rsid w:val="006A3FC6"/>
    <w:rsid w:val="006A4317"/>
    <w:rsid w:val="006A4FF1"/>
    <w:rsid w:val="006A5D9B"/>
    <w:rsid w:val="006A5F5D"/>
    <w:rsid w:val="006B0119"/>
    <w:rsid w:val="006B0409"/>
    <w:rsid w:val="006B1D4C"/>
    <w:rsid w:val="006B2CFC"/>
    <w:rsid w:val="006B3082"/>
    <w:rsid w:val="006B3D39"/>
    <w:rsid w:val="006B3FB9"/>
    <w:rsid w:val="006B4979"/>
    <w:rsid w:val="006B74FA"/>
    <w:rsid w:val="006B7A94"/>
    <w:rsid w:val="006C093C"/>
    <w:rsid w:val="006C26B2"/>
    <w:rsid w:val="006C2C63"/>
    <w:rsid w:val="006C47A5"/>
    <w:rsid w:val="006C5EFB"/>
    <w:rsid w:val="006D0631"/>
    <w:rsid w:val="006D1AD2"/>
    <w:rsid w:val="006D5499"/>
    <w:rsid w:val="006D5E22"/>
    <w:rsid w:val="006D6216"/>
    <w:rsid w:val="006D6C43"/>
    <w:rsid w:val="006D7547"/>
    <w:rsid w:val="006D7BDF"/>
    <w:rsid w:val="006D7DEB"/>
    <w:rsid w:val="006E23AD"/>
    <w:rsid w:val="006E47A7"/>
    <w:rsid w:val="006E515D"/>
    <w:rsid w:val="006E5166"/>
    <w:rsid w:val="006E72D0"/>
    <w:rsid w:val="006E7761"/>
    <w:rsid w:val="006F00D3"/>
    <w:rsid w:val="006F0566"/>
    <w:rsid w:val="006F128D"/>
    <w:rsid w:val="006F342C"/>
    <w:rsid w:val="006F423B"/>
    <w:rsid w:val="006F451E"/>
    <w:rsid w:val="006F479E"/>
    <w:rsid w:val="006F4D2E"/>
    <w:rsid w:val="006F4E8F"/>
    <w:rsid w:val="006F50C3"/>
    <w:rsid w:val="006F7E14"/>
    <w:rsid w:val="007007F7"/>
    <w:rsid w:val="00700E5A"/>
    <w:rsid w:val="00701EE7"/>
    <w:rsid w:val="00703D3E"/>
    <w:rsid w:val="00704285"/>
    <w:rsid w:val="00704E5A"/>
    <w:rsid w:val="00705FD3"/>
    <w:rsid w:val="0070699A"/>
    <w:rsid w:val="007079C1"/>
    <w:rsid w:val="007101B2"/>
    <w:rsid w:val="00710859"/>
    <w:rsid w:val="00710F85"/>
    <w:rsid w:val="0071295D"/>
    <w:rsid w:val="007136ED"/>
    <w:rsid w:val="007137A8"/>
    <w:rsid w:val="007142B7"/>
    <w:rsid w:val="00714342"/>
    <w:rsid w:val="0071493C"/>
    <w:rsid w:val="00715472"/>
    <w:rsid w:val="0072076C"/>
    <w:rsid w:val="007218E3"/>
    <w:rsid w:val="00721969"/>
    <w:rsid w:val="007221AB"/>
    <w:rsid w:val="007221D4"/>
    <w:rsid w:val="00722410"/>
    <w:rsid w:val="0072352D"/>
    <w:rsid w:val="007247CF"/>
    <w:rsid w:val="00724F78"/>
    <w:rsid w:val="00726E75"/>
    <w:rsid w:val="007278CF"/>
    <w:rsid w:val="00727A4C"/>
    <w:rsid w:val="00727B99"/>
    <w:rsid w:val="00730FBB"/>
    <w:rsid w:val="00732583"/>
    <w:rsid w:val="0073358C"/>
    <w:rsid w:val="0073468D"/>
    <w:rsid w:val="00736725"/>
    <w:rsid w:val="007400E9"/>
    <w:rsid w:val="00740661"/>
    <w:rsid w:val="0074192E"/>
    <w:rsid w:val="00743372"/>
    <w:rsid w:val="007439DF"/>
    <w:rsid w:val="00744C05"/>
    <w:rsid w:val="00746652"/>
    <w:rsid w:val="00746807"/>
    <w:rsid w:val="00747916"/>
    <w:rsid w:val="0074795E"/>
    <w:rsid w:val="00747BB5"/>
    <w:rsid w:val="00747CF6"/>
    <w:rsid w:val="007500D6"/>
    <w:rsid w:val="007527CF"/>
    <w:rsid w:val="00752AB8"/>
    <w:rsid w:val="00754A42"/>
    <w:rsid w:val="0075569E"/>
    <w:rsid w:val="00755793"/>
    <w:rsid w:val="007567EB"/>
    <w:rsid w:val="007601CF"/>
    <w:rsid w:val="00762F56"/>
    <w:rsid w:val="00763B09"/>
    <w:rsid w:val="00767281"/>
    <w:rsid w:val="00767791"/>
    <w:rsid w:val="00771FA9"/>
    <w:rsid w:val="007726D7"/>
    <w:rsid w:val="00772BC3"/>
    <w:rsid w:val="00773426"/>
    <w:rsid w:val="007734A6"/>
    <w:rsid w:val="00775EE5"/>
    <w:rsid w:val="007760F2"/>
    <w:rsid w:val="0077628A"/>
    <w:rsid w:val="00776E71"/>
    <w:rsid w:val="00777EDC"/>
    <w:rsid w:val="00777F1C"/>
    <w:rsid w:val="0078116D"/>
    <w:rsid w:val="0078232D"/>
    <w:rsid w:val="0078246F"/>
    <w:rsid w:val="00782C4D"/>
    <w:rsid w:val="007830E1"/>
    <w:rsid w:val="00783E2F"/>
    <w:rsid w:val="00784249"/>
    <w:rsid w:val="00785F44"/>
    <w:rsid w:val="007867B3"/>
    <w:rsid w:val="00787749"/>
    <w:rsid w:val="0079036D"/>
    <w:rsid w:val="00790D3A"/>
    <w:rsid w:val="007910C8"/>
    <w:rsid w:val="00791110"/>
    <w:rsid w:val="00791687"/>
    <w:rsid w:val="007925BD"/>
    <w:rsid w:val="00793B19"/>
    <w:rsid w:val="007941C4"/>
    <w:rsid w:val="00794F27"/>
    <w:rsid w:val="007953FA"/>
    <w:rsid w:val="0079547C"/>
    <w:rsid w:val="0079552B"/>
    <w:rsid w:val="0079766E"/>
    <w:rsid w:val="00797AE9"/>
    <w:rsid w:val="007A042D"/>
    <w:rsid w:val="007A1FEE"/>
    <w:rsid w:val="007A3395"/>
    <w:rsid w:val="007A3981"/>
    <w:rsid w:val="007A3F67"/>
    <w:rsid w:val="007A698D"/>
    <w:rsid w:val="007A7178"/>
    <w:rsid w:val="007A75EC"/>
    <w:rsid w:val="007A7D9A"/>
    <w:rsid w:val="007B0837"/>
    <w:rsid w:val="007B0F83"/>
    <w:rsid w:val="007B167A"/>
    <w:rsid w:val="007B19B0"/>
    <w:rsid w:val="007B3281"/>
    <w:rsid w:val="007B525B"/>
    <w:rsid w:val="007B7F05"/>
    <w:rsid w:val="007C13E1"/>
    <w:rsid w:val="007C18B8"/>
    <w:rsid w:val="007C1CAC"/>
    <w:rsid w:val="007C1ECC"/>
    <w:rsid w:val="007C39C8"/>
    <w:rsid w:val="007C45A0"/>
    <w:rsid w:val="007C4A2D"/>
    <w:rsid w:val="007C4AEA"/>
    <w:rsid w:val="007C5B1A"/>
    <w:rsid w:val="007C623E"/>
    <w:rsid w:val="007C6E29"/>
    <w:rsid w:val="007C75D3"/>
    <w:rsid w:val="007D0275"/>
    <w:rsid w:val="007D0E73"/>
    <w:rsid w:val="007D127A"/>
    <w:rsid w:val="007D168D"/>
    <w:rsid w:val="007D1E97"/>
    <w:rsid w:val="007D49C5"/>
    <w:rsid w:val="007D6285"/>
    <w:rsid w:val="007D7877"/>
    <w:rsid w:val="007D7A87"/>
    <w:rsid w:val="007E00E2"/>
    <w:rsid w:val="007E1689"/>
    <w:rsid w:val="007E3B39"/>
    <w:rsid w:val="007E5F4B"/>
    <w:rsid w:val="007E6B61"/>
    <w:rsid w:val="007E7901"/>
    <w:rsid w:val="007E7B50"/>
    <w:rsid w:val="007E7F3C"/>
    <w:rsid w:val="007F0355"/>
    <w:rsid w:val="007F1069"/>
    <w:rsid w:val="007F1CC3"/>
    <w:rsid w:val="007F67AD"/>
    <w:rsid w:val="007F6B55"/>
    <w:rsid w:val="0080004B"/>
    <w:rsid w:val="008001ED"/>
    <w:rsid w:val="008021C5"/>
    <w:rsid w:val="0080252F"/>
    <w:rsid w:val="00802D10"/>
    <w:rsid w:val="00802D5F"/>
    <w:rsid w:val="0080345A"/>
    <w:rsid w:val="008034F5"/>
    <w:rsid w:val="008042F4"/>
    <w:rsid w:val="0080578B"/>
    <w:rsid w:val="008067DB"/>
    <w:rsid w:val="008071EB"/>
    <w:rsid w:val="00810104"/>
    <w:rsid w:val="008107E2"/>
    <w:rsid w:val="00810DA3"/>
    <w:rsid w:val="008129A7"/>
    <w:rsid w:val="00815667"/>
    <w:rsid w:val="00816BA9"/>
    <w:rsid w:val="00816D57"/>
    <w:rsid w:val="00816FAE"/>
    <w:rsid w:val="0081709D"/>
    <w:rsid w:val="0081741B"/>
    <w:rsid w:val="008174C8"/>
    <w:rsid w:val="00817E13"/>
    <w:rsid w:val="008201FB"/>
    <w:rsid w:val="00820261"/>
    <w:rsid w:val="008220F4"/>
    <w:rsid w:val="00822345"/>
    <w:rsid w:val="0082557A"/>
    <w:rsid w:val="00825B82"/>
    <w:rsid w:val="00826178"/>
    <w:rsid w:val="00830466"/>
    <w:rsid w:val="00830862"/>
    <w:rsid w:val="008311A7"/>
    <w:rsid w:val="00831CDF"/>
    <w:rsid w:val="00832534"/>
    <w:rsid w:val="00833DD1"/>
    <w:rsid w:val="00833FA7"/>
    <w:rsid w:val="008341AA"/>
    <w:rsid w:val="0083490B"/>
    <w:rsid w:val="00836E7F"/>
    <w:rsid w:val="00840882"/>
    <w:rsid w:val="0084179A"/>
    <w:rsid w:val="00841EFD"/>
    <w:rsid w:val="00843B4C"/>
    <w:rsid w:val="0084440D"/>
    <w:rsid w:val="00846293"/>
    <w:rsid w:val="00846CEF"/>
    <w:rsid w:val="00846FC0"/>
    <w:rsid w:val="00847063"/>
    <w:rsid w:val="00850733"/>
    <w:rsid w:val="00851791"/>
    <w:rsid w:val="008530CB"/>
    <w:rsid w:val="00854318"/>
    <w:rsid w:val="0085656D"/>
    <w:rsid w:val="008565C8"/>
    <w:rsid w:val="00861DB8"/>
    <w:rsid w:val="00862FCC"/>
    <w:rsid w:val="00863CFD"/>
    <w:rsid w:val="00864290"/>
    <w:rsid w:val="008650BA"/>
    <w:rsid w:val="008673A3"/>
    <w:rsid w:val="00871E5C"/>
    <w:rsid w:val="0087250C"/>
    <w:rsid w:val="00872D15"/>
    <w:rsid w:val="00873861"/>
    <w:rsid w:val="00873FF3"/>
    <w:rsid w:val="00875CFE"/>
    <w:rsid w:val="00876C30"/>
    <w:rsid w:val="0087762B"/>
    <w:rsid w:val="0088007A"/>
    <w:rsid w:val="00881783"/>
    <w:rsid w:val="0088220E"/>
    <w:rsid w:val="00882C30"/>
    <w:rsid w:val="00883196"/>
    <w:rsid w:val="00885433"/>
    <w:rsid w:val="008859BF"/>
    <w:rsid w:val="008862C3"/>
    <w:rsid w:val="00887455"/>
    <w:rsid w:val="008875DA"/>
    <w:rsid w:val="00887A4F"/>
    <w:rsid w:val="00887B43"/>
    <w:rsid w:val="00890AA1"/>
    <w:rsid w:val="00893419"/>
    <w:rsid w:val="00893D5C"/>
    <w:rsid w:val="008940FE"/>
    <w:rsid w:val="00894618"/>
    <w:rsid w:val="00894DDB"/>
    <w:rsid w:val="0089671B"/>
    <w:rsid w:val="00897D97"/>
    <w:rsid w:val="008A2620"/>
    <w:rsid w:val="008A339F"/>
    <w:rsid w:val="008A5B10"/>
    <w:rsid w:val="008B166E"/>
    <w:rsid w:val="008B1702"/>
    <w:rsid w:val="008B18B0"/>
    <w:rsid w:val="008B1A56"/>
    <w:rsid w:val="008B2420"/>
    <w:rsid w:val="008B2ED1"/>
    <w:rsid w:val="008B341B"/>
    <w:rsid w:val="008B3702"/>
    <w:rsid w:val="008B505C"/>
    <w:rsid w:val="008B587D"/>
    <w:rsid w:val="008B5DA2"/>
    <w:rsid w:val="008C065F"/>
    <w:rsid w:val="008C07A0"/>
    <w:rsid w:val="008C16C8"/>
    <w:rsid w:val="008C333E"/>
    <w:rsid w:val="008C5108"/>
    <w:rsid w:val="008C5C14"/>
    <w:rsid w:val="008C7D1A"/>
    <w:rsid w:val="008D0214"/>
    <w:rsid w:val="008D083E"/>
    <w:rsid w:val="008D1204"/>
    <w:rsid w:val="008D1313"/>
    <w:rsid w:val="008D3046"/>
    <w:rsid w:val="008D461B"/>
    <w:rsid w:val="008D4871"/>
    <w:rsid w:val="008D4920"/>
    <w:rsid w:val="008D4D8C"/>
    <w:rsid w:val="008D5B3F"/>
    <w:rsid w:val="008D5F6D"/>
    <w:rsid w:val="008D6A29"/>
    <w:rsid w:val="008E1993"/>
    <w:rsid w:val="008E1B5F"/>
    <w:rsid w:val="008E21FF"/>
    <w:rsid w:val="008E4065"/>
    <w:rsid w:val="008E55C5"/>
    <w:rsid w:val="008E5BE7"/>
    <w:rsid w:val="008E6BD8"/>
    <w:rsid w:val="008F0E59"/>
    <w:rsid w:val="008F11C7"/>
    <w:rsid w:val="008F2B8F"/>
    <w:rsid w:val="008F601A"/>
    <w:rsid w:val="008F6ADA"/>
    <w:rsid w:val="008F6D13"/>
    <w:rsid w:val="008F77CF"/>
    <w:rsid w:val="008F7873"/>
    <w:rsid w:val="00901961"/>
    <w:rsid w:val="00902F2E"/>
    <w:rsid w:val="0090396A"/>
    <w:rsid w:val="00906242"/>
    <w:rsid w:val="009078FF"/>
    <w:rsid w:val="009109C6"/>
    <w:rsid w:val="0091124D"/>
    <w:rsid w:val="0091250E"/>
    <w:rsid w:val="00914798"/>
    <w:rsid w:val="00916675"/>
    <w:rsid w:val="009173EB"/>
    <w:rsid w:val="00917C62"/>
    <w:rsid w:val="00917E85"/>
    <w:rsid w:val="00920170"/>
    <w:rsid w:val="00920DC7"/>
    <w:rsid w:val="0092116E"/>
    <w:rsid w:val="0092256E"/>
    <w:rsid w:val="00923211"/>
    <w:rsid w:val="0092387C"/>
    <w:rsid w:val="00923DB5"/>
    <w:rsid w:val="009250E3"/>
    <w:rsid w:val="00926308"/>
    <w:rsid w:val="009267E5"/>
    <w:rsid w:val="009271BE"/>
    <w:rsid w:val="00927BF8"/>
    <w:rsid w:val="009306F9"/>
    <w:rsid w:val="00930B00"/>
    <w:rsid w:val="00933485"/>
    <w:rsid w:val="00933F1C"/>
    <w:rsid w:val="00934EB5"/>
    <w:rsid w:val="009351FE"/>
    <w:rsid w:val="00936FE7"/>
    <w:rsid w:val="00936FFE"/>
    <w:rsid w:val="00937952"/>
    <w:rsid w:val="00940849"/>
    <w:rsid w:val="0094240B"/>
    <w:rsid w:val="00942947"/>
    <w:rsid w:val="009440C3"/>
    <w:rsid w:val="00944377"/>
    <w:rsid w:val="00944F7F"/>
    <w:rsid w:val="00945480"/>
    <w:rsid w:val="009462F0"/>
    <w:rsid w:val="00946CE4"/>
    <w:rsid w:val="00947A48"/>
    <w:rsid w:val="00953000"/>
    <w:rsid w:val="009540E9"/>
    <w:rsid w:val="00955834"/>
    <w:rsid w:val="00955B16"/>
    <w:rsid w:val="009567C9"/>
    <w:rsid w:val="00961222"/>
    <w:rsid w:val="009628FF"/>
    <w:rsid w:val="00963186"/>
    <w:rsid w:val="00965D55"/>
    <w:rsid w:val="00965DF5"/>
    <w:rsid w:val="009663FA"/>
    <w:rsid w:val="009703CA"/>
    <w:rsid w:val="00972E9F"/>
    <w:rsid w:val="009737A1"/>
    <w:rsid w:val="00973D25"/>
    <w:rsid w:val="00974F7E"/>
    <w:rsid w:val="00976285"/>
    <w:rsid w:val="009764C8"/>
    <w:rsid w:val="00976613"/>
    <w:rsid w:val="00977786"/>
    <w:rsid w:val="009804F0"/>
    <w:rsid w:val="00980C48"/>
    <w:rsid w:val="0098192B"/>
    <w:rsid w:val="00983660"/>
    <w:rsid w:val="009841CF"/>
    <w:rsid w:val="00987935"/>
    <w:rsid w:val="00987C0F"/>
    <w:rsid w:val="00987D36"/>
    <w:rsid w:val="00987D4B"/>
    <w:rsid w:val="0099179C"/>
    <w:rsid w:val="0099197E"/>
    <w:rsid w:val="009919B7"/>
    <w:rsid w:val="0099229C"/>
    <w:rsid w:val="00992A0E"/>
    <w:rsid w:val="0099302D"/>
    <w:rsid w:val="00993127"/>
    <w:rsid w:val="00993F60"/>
    <w:rsid w:val="0099440E"/>
    <w:rsid w:val="0099506B"/>
    <w:rsid w:val="00996B03"/>
    <w:rsid w:val="00996B39"/>
    <w:rsid w:val="009A05FE"/>
    <w:rsid w:val="009A0C6B"/>
    <w:rsid w:val="009A115E"/>
    <w:rsid w:val="009A244C"/>
    <w:rsid w:val="009A2B0E"/>
    <w:rsid w:val="009A304C"/>
    <w:rsid w:val="009A47B5"/>
    <w:rsid w:val="009A47EA"/>
    <w:rsid w:val="009A49F0"/>
    <w:rsid w:val="009A6372"/>
    <w:rsid w:val="009A7AE0"/>
    <w:rsid w:val="009A7DB1"/>
    <w:rsid w:val="009B0181"/>
    <w:rsid w:val="009B17CB"/>
    <w:rsid w:val="009B232C"/>
    <w:rsid w:val="009B3D32"/>
    <w:rsid w:val="009B43B6"/>
    <w:rsid w:val="009B45B6"/>
    <w:rsid w:val="009B4C42"/>
    <w:rsid w:val="009B5ED6"/>
    <w:rsid w:val="009B6E27"/>
    <w:rsid w:val="009B7FF5"/>
    <w:rsid w:val="009C28B3"/>
    <w:rsid w:val="009C2C8B"/>
    <w:rsid w:val="009C2D46"/>
    <w:rsid w:val="009C373A"/>
    <w:rsid w:val="009C50F1"/>
    <w:rsid w:val="009C5410"/>
    <w:rsid w:val="009C6623"/>
    <w:rsid w:val="009C6817"/>
    <w:rsid w:val="009D0985"/>
    <w:rsid w:val="009D1237"/>
    <w:rsid w:val="009D1D4A"/>
    <w:rsid w:val="009D25EF"/>
    <w:rsid w:val="009D31CE"/>
    <w:rsid w:val="009D3DC4"/>
    <w:rsid w:val="009D5D09"/>
    <w:rsid w:val="009D6151"/>
    <w:rsid w:val="009D61FF"/>
    <w:rsid w:val="009D67CB"/>
    <w:rsid w:val="009E0419"/>
    <w:rsid w:val="009E3D76"/>
    <w:rsid w:val="009E431F"/>
    <w:rsid w:val="009E79DD"/>
    <w:rsid w:val="009F0AE5"/>
    <w:rsid w:val="009F184C"/>
    <w:rsid w:val="009F1B5F"/>
    <w:rsid w:val="009F252B"/>
    <w:rsid w:val="009F25B5"/>
    <w:rsid w:val="009F3292"/>
    <w:rsid w:val="009F3387"/>
    <w:rsid w:val="009F3670"/>
    <w:rsid w:val="009F3FAD"/>
    <w:rsid w:val="009F52D4"/>
    <w:rsid w:val="009F5487"/>
    <w:rsid w:val="009F5C9E"/>
    <w:rsid w:val="009F5E79"/>
    <w:rsid w:val="009F7FE3"/>
    <w:rsid w:val="00A000EE"/>
    <w:rsid w:val="00A002B3"/>
    <w:rsid w:val="00A002F2"/>
    <w:rsid w:val="00A018CE"/>
    <w:rsid w:val="00A0299F"/>
    <w:rsid w:val="00A029D9"/>
    <w:rsid w:val="00A02C20"/>
    <w:rsid w:val="00A03AA5"/>
    <w:rsid w:val="00A04B29"/>
    <w:rsid w:val="00A05605"/>
    <w:rsid w:val="00A060D5"/>
    <w:rsid w:val="00A070CE"/>
    <w:rsid w:val="00A111AE"/>
    <w:rsid w:val="00A119D8"/>
    <w:rsid w:val="00A11C3B"/>
    <w:rsid w:val="00A11DC5"/>
    <w:rsid w:val="00A11EA2"/>
    <w:rsid w:val="00A12E30"/>
    <w:rsid w:val="00A138E0"/>
    <w:rsid w:val="00A13E1F"/>
    <w:rsid w:val="00A13ED9"/>
    <w:rsid w:val="00A142BA"/>
    <w:rsid w:val="00A1463C"/>
    <w:rsid w:val="00A16191"/>
    <w:rsid w:val="00A163AD"/>
    <w:rsid w:val="00A16BD5"/>
    <w:rsid w:val="00A16C3A"/>
    <w:rsid w:val="00A17D52"/>
    <w:rsid w:val="00A21F5A"/>
    <w:rsid w:val="00A223AB"/>
    <w:rsid w:val="00A23668"/>
    <w:rsid w:val="00A236FC"/>
    <w:rsid w:val="00A23EF9"/>
    <w:rsid w:val="00A2412E"/>
    <w:rsid w:val="00A24A87"/>
    <w:rsid w:val="00A24F00"/>
    <w:rsid w:val="00A2621E"/>
    <w:rsid w:val="00A27C58"/>
    <w:rsid w:val="00A33FA6"/>
    <w:rsid w:val="00A343DA"/>
    <w:rsid w:val="00A3450E"/>
    <w:rsid w:val="00A424D2"/>
    <w:rsid w:val="00A45246"/>
    <w:rsid w:val="00A45929"/>
    <w:rsid w:val="00A45E14"/>
    <w:rsid w:val="00A476C5"/>
    <w:rsid w:val="00A47C73"/>
    <w:rsid w:val="00A5272B"/>
    <w:rsid w:val="00A52738"/>
    <w:rsid w:val="00A527F7"/>
    <w:rsid w:val="00A539A3"/>
    <w:rsid w:val="00A53E95"/>
    <w:rsid w:val="00A54A45"/>
    <w:rsid w:val="00A56962"/>
    <w:rsid w:val="00A56D69"/>
    <w:rsid w:val="00A57839"/>
    <w:rsid w:val="00A57952"/>
    <w:rsid w:val="00A60AD5"/>
    <w:rsid w:val="00A61F09"/>
    <w:rsid w:val="00A62E17"/>
    <w:rsid w:val="00A630F0"/>
    <w:rsid w:val="00A641DB"/>
    <w:rsid w:val="00A674EA"/>
    <w:rsid w:val="00A70BEC"/>
    <w:rsid w:val="00A7167B"/>
    <w:rsid w:val="00A7270C"/>
    <w:rsid w:val="00A727DD"/>
    <w:rsid w:val="00A73ADE"/>
    <w:rsid w:val="00A73C28"/>
    <w:rsid w:val="00A743F6"/>
    <w:rsid w:val="00A74C53"/>
    <w:rsid w:val="00A75462"/>
    <w:rsid w:val="00A76160"/>
    <w:rsid w:val="00A76EDE"/>
    <w:rsid w:val="00A80D37"/>
    <w:rsid w:val="00A82692"/>
    <w:rsid w:val="00A832DB"/>
    <w:rsid w:val="00A836C0"/>
    <w:rsid w:val="00A83879"/>
    <w:rsid w:val="00A844C8"/>
    <w:rsid w:val="00A86B3C"/>
    <w:rsid w:val="00A87CD5"/>
    <w:rsid w:val="00A90AEE"/>
    <w:rsid w:val="00A90BC0"/>
    <w:rsid w:val="00A923C4"/>
    <w:rsid w:val="00A92EBB"/>
    <w:rsid w:val="00A9316E"/>
    <w:rsid w:val="00A934E7"/>
    <w:rsid w:val="00A96B82"/>
    <w:rsid w:val="00A9739A"/>
    <w:rsid w:val="00AA10A0"/>
    <w:rsid w:val="00AA24BF"/>
    <w:rsid w:val="00AA301C"/>
    <w:rsid w:val="00AA3AF9"/>
    <w:rsid w:val="00AA410C"/>
    <w:rsid w:val="00AA552B"/>
    <w:rsid w:val="00AA66C1"/>
    <w:rsid w:val="00AA6AC4"/>
    <w:rsid w:val="00AA741B"/>
    <w:rsid w:val="00AB023E"/>
    <w:rsid w:val="00AB0957"/>
    <w:rsid w:val="00AB0B88"/>
    <w:rsid w:val="00AB0B97"/>
    <w:rsid w:val="00AB16A1"/>
    <w:rsid w:val="00AB1B05"/>
    <w:rsid w:val="00AB2C5C"/>
    <w:rsid w:val="00AB4AD3"/>
    <w:rsid w:val="00AB4BF1"/>
    <w:rsid w:val="00AB6014"/>
    <w:rsid w:val="00AB65EB"/>
    <w:rsid w:val="00AB760C"/>
    <w:rsid w:val="00AB79E3"/>
    <w:rsid w:val="00AC42AC"/>
    <w:rsid w:val="00AC458E"/>
    <w:rsid w:val="00AC4F01"/>
    <w:rsid w:val="00AC534C"/>
    <w:rsid w:val="00AD05B9"/>
    <w:rsid w:val="00AD06AE"/>
    <w:rsid w:val="00AD073A"/>
    <w:rsid w:val="00AD20C4"/>
    <w:rsid w:val="00AD475F"/>
    <w:rsid w:val="00AD67ED"/>
    <w:rsid w:val="00AD6988"/>
    <w:rsid w:val="00AD702E"/>
    <w:rsid w:val="00AD78A7"/>
    <w:rsid w:val="00AE086E"/>
    <w:rsid w:val="00AE09A6"/>
    <w:rsid w:val="00AE1AAD"/>
    <w:rsid w:val="00AE1EFF"/>
    <w:rsid w:val="00AE25EE"/>
    <w:rsid w:val="00AE2BB6"/>
    <w:rsid w:val="00AE2E82"/>
    <w:rsid w:val="00AE3467"/>
    <w:rsid w:val="00AE4EF7"/>
    <w:rsid w:val="00AE5516"/>
    <w:rsid w:val="00AE7C6C"/>
    <w:rsid w:val="00AE7CB7"/>
    <w:rsid w:val="00AE7DA0"/>
    <w:rsid w:val="00AF0137"/>
    <w:rsid w:val="00AF0C68"/>
    <w:rsid w:val="00AF14F2"/>
    <w:rsid w:val="00AF17C4"/>
    <w:rsid w:val="00AF21EE"/>
    <w:rsid w:val="00AF53B8"/>
    <w:rsid w:val="00AF56D1"/>
    <w:rsid w:val="00AF7F2D"/>
    <w:rsid w:val="00B0147A"/>
    <w:rsid w:val="00B01F71"/>
    <w:rsid w:val="00B038C0"/>
    <w:rsid w:val="00B0428F"/>
    <w:rsid w:val="00B04763"/>
    <w:rsid w:val="00B04F19"/>
    <w:rsid w:val="00B06331"/>
    <w:rsid w:val="00B06F14"/>
    <w:rsid w:val="00B1036D"/>
    <w:rsid w:val="00B11434"/>
    <w:rsid w:val="00B1186B"/>
    <w:rsid w:val="00B1207B"/>
    <w:rsid w:val="00B1285F"/>
    <w:rsid w:val="00B12BF5"/>
    <w:rsid w:val="00B138D7"/>
    <w:rsid w:val="00B13F8F"/>
    <w:rsid w:val="00B170EF"/>
    <w:rsid w:val="00B17241"/>
    <w:rsid w:val="00B2098F"/>
    <w:rsid w:val="00B2282D"/>
    <w:rsid w:val="00B23086"/>
    <w:rsid w:val="00B23647"/>
    <w:rsid w:val="00B2453F"/>
    <w:rsid w:val="00B24861"/>
    <w:rsid w:val="00B253A0"/>
    <w:rsid w:val="00B2564C"/>
    <w:rsid w:val="00B2695F"/>
    <w:rsid w:val="00B279EA"/>
    <w:rsid w:val="00B27FC3"/>
    <w:rsid w:val="00B30316"/>
    <w:rsid w:val="00B30B2E"/>
    <w:rsid w:val="00B32DB0"/>
    <w:rsid w:val="00B32F1A"/>
    <w:rsid w:val="00B37E77"/>
    <w:rsid w:val="00B4149D"/>
    <w:rsid w:val="00B41D00"/>
    <w:rsid w:val="00B41ED7"/>
    <w:rsid w:val="00B42A8D"/>
    <w:rsid w:val="00B42AD9"/>
    <w:rsid w:val="00B465C3"/>
    <w:rsid w:val="00B4668C"/>
    <w:rsid w:val="00B50CC7"/>
    <w:rsid w:val="00B511A8"/>
    <w:rsid w:val="00B518F5"/>
    <w:rsid w:val="00B53738"/>
    <w:rsid w:val="00B539AD"/>
    <w:rsid w:val="00B53AAC"/>
    <w:rsid w:val="00B54128"/>
    <w:rsid w:val="00B54AF8"/>
    <w:rsid w:val="00B5515F"/>
    <w:rsid w:val="00B55D36"/>
    <w:rsid w:val="00B55F5A"/>
    <w:rsid w:val="00B56825"/>
    <w:rsid w:val="00B568D8"/>
    <w:rsid w:val="00B569B2"/>
    <w:rsid w:val="00B57A04"/>
    <w:rsid w:val="00B604D5"/>
    <w:rsid w:val="00B61655"/>
    <w:rsid w:val="00B62203"/>
    <w:rsid w:val="00B63517"/>
    <w:rsid w:val="00B636E0"/>
    <w:rsid w:val="00B6374E"/>
    <w:rsid w:val="00B638D5"/>
    <w:rsid w:val="00B646CC"/>
    <w:rsid w:val="00B667F8"/>
    <w:rsid w:val="00B67036"/>
    <w:rsid w:val="00B71722"/>
    <w:rsid w:val="00B721F7"/>
    <w:rsid w:val="00B72F5F"/>
    <w:rsid w:val="00B74C2E"/>
    <w:rsid w:val="00B7665C"/>
    <w:rsid w:val="00B76AE0"/>
    <w:rsid w:val="00B7704D"/>
    <w:rsid w:val="00B8074C"/>
    <w:rsid w:val="00B815D1"/>
    <w:rsid w:val="00B81F0C"/>
    <w:rsid w:val="00B8266A"/>
    <w:rsid w:val="00B83326"/>
    <w:rsid w:val="00B83977"/>
    <w:rsid w:val="00B8470F"/>
    <w:rsid w:val="00B84817"/>
    <w:rsid w:val="00B852DC"/>
    <w:rsid w:val="00B85837"/>
    <w:rsid w:val="00B869A9"/>
    <w:rsid w:val="00B86ADD"/>
    <w:rsid w:val="00B91DCA"/>
    <w:rsid w:val="00B92502"/>
    <w:rsid w:val="00B94282"/>
    <w:rsid w:val="00B956F8"/>
    <w:rsid w:val="00B958E7"/>
    <w:rsid w:val="00B971D4"/>
    <w:rsid w:val="00B97484"/>
    <w:rsid w:val="00B97788"/>
    <w:rsid w:val="00B97CF2"/>
    <w:rsid w:val="00BA0966"/>
    <w:rsid w:val="00BA179D"/>
    <w:rsid w:val="00BA2937"/>
    <w:rsid w:val="00BA4723"/>
    <w:rsid w:val="00BA5165"/>
    <w:rsid w:val="00BA58E0"/>
    <w:rsid w:val="00BA6FD6"/>
    <w:rsid w:val="00BA7058"/>
    <w:rsid w:val="00BA7D02"/>
    <w:rsid w:val="00BB0471"/>
    <w:rsid w:val="00BB1A58"/>
    <w:rsid w:val="00BB1CD5"/>
    <w:rsid w:val="00BB21B6"/>
    <w:rsid w:val="00BB2C0C"/>
    <w:rsid w:val="00BB43E0"/>
    <w:rsid w:val="00BB47B4"/>
    <w:rsid w:val="00BB486D"/>
    <w:rsid w:val="00BB5A2B"/>
    <w:rsid w:val="00BC15B7"/>
    <w:rsid w:val="00BC1B4E"/>
    <w:rsid w:val="00BC1C54"/>
    <w:rsid w:val="00BC31F9"/>
    <w:rsid w:val="00BC5884"/>
    <w:rsid w:val="00BC6BD9"/>
    <w:rsid w:val="00BC735F"/>
    <w:rsid w:val="00BD0CC1"/>
    <w:rsid w:val="00BD2164"/>
    <w:rsid w:val="00BD430C"/>
    <w:rsid w:val="00BD6D26"/>
    <w:rsid w:val="00BD7588"/>
    <w:rsid w:val="00BD7B04"/>
    <w:rsid w:val="00BE0925"/>
    <w:rsid w:val="00BE216A"/>
    <w:rsid w:val="00BE2A7E"/>
    <w:rsid w:val="00BE35CE"/>
    <w:rsid w:val="00BE3F63"/>
    <w:rsid w:val="00BE4FCA"/>
    <w:rsid w:val="00BE76C9"/>
    <w:rsid w:val="00BF04F5"/>
    <w:rsid w:val="00BF1228"/>
    <w:rsid w:val="00BF145E"/>
    <w:rsid w:val="00BF2059"/>
    <w:rsid w:val="00BF3109"/>
    <w:rsid w:val="00BF386C"/>
    <w:rsid w:val="00BF6053"/>
    <w:rsid w:val="00BF605E"/>
    <w:rsid w:val="00BF6D60"/>
    <w:rsid w:val="00C01075"/>
    <w:rsid w:val="00C03634"/>
    <w:rsid w:val="00C03673"/>
    <w:rsid w:val="00C03ECE"/>
    <w:rsid w:val="00C04C92"/>
    <w:rsid w:val="00C07524"/>
    <w:rsid w:val="00C07B0C"/>
    <w:rsid w:val="00C11131"/>
    <w:rsid w:val="00C11CEB"/>
    <w:rsid w:val="00C14F55"/>
    <w:rsid w:val="00C15719"/>
    <w:rsid w:val="00C15D55"/>
    <w:rsid w:val="00C1709E"/>
    <w:rsid w:val="00C17C26"/>
    <w:rsid w:val="00C17D18"/>
    <w:rsid w:val="00C205E3"/>
    <w:rsid w:val="00C218C2"/>
    <w:rsid w:val="00C22D66"/>
    <w:rsid w:val="00C22F46"/>
    <w:rsid w:val="00C241CB"/>
    <w:rsid w:val="00C244FE"/>
    <w:rsid w:val="00C26911"/>
    <w:rsid w:val="00C26E22"/>
    <w:rsid w:val="00C27581"/>
    <w:rsid w:val="00C275BE"/>
    <w:rsid w:val="00C30695"/>
    <w:rsid w:val="00C30A4C"/>
    <w:rsid w:val="00C3120C"/>
    <w:rsid w:val="00C320A4"/>
    <w:rsid w:val="00C329C0"/>
    <w:rsid w:val="00C3354B"/>
    <w:rsid w:val="00C33768"/>
    <w:rsid w:val="00C33AAC"/>
    <w:rsid w:val="00C34070"/>
    <w:rsid w:val="00C34C33"/>
    <w:rsid w:val="00C3527D"/>
    <w:rsid w:val="00C3561D"/>
    <w:rsid w:val="00C40F23"/>
    <w:rsid w:val="00C40F4D"/>
    <w:rsid w:val="00C41B88"/>
    <w:rsid w:val="00C42DE0"/>
    <w:rsid w:val="00C44007"/>
    <w:rsid w:val="00C44723"/>
    <w:rsid w:val="00C44737"/>
    <w:rsid w:val="00C45757"/>
    <w:rsid w:val="00C467FE"/>
    <w:rsid w:val="00C4708A"/>
    <w:rsid w:val="00C47747"/>
    <w:rsid w:val="00C47BF8"/>
    <w:rsid w:val="00C50F03"/>
    <w:rsid w:val="00C53FA3"/>
    <w:rsid w:val="00C54991"/>
    <w:rsid w:val="00C54B4A"/>
    <w:rsid w:val="00C55444"/>
    <w:rsid w:val="00C55AE4"/>
    <w:rsid w:val="00C57604"/>
    <w:rsid w:val="00C618BB"/>
    <w:rsid w:val="00C62A7F"/>
    <w:rsid w:val="00C632DF"/>
    <w:rsid w:val="00C63AFF"/>
    <w:rsid w:val="00C6481F"/>
    <w:rsid w:val="00C64E0A"/>
    <w:rsid w:val="00C65258"/>
    <w:rsid w:val="00C673F8"/>
    <w:rsid w:val="00C677C8"/>
    <w:rsid w:val="00C70C86"/>
    <w:rsid w:val="00C716F0"/>
    <w:rsid w:val="00C733D4"/>
    <w:rsid w:val="00C755C0"/>
    <w:rsid w:val="00C77750"/>
    <w:rsid w:val="00C77AEF"/>
    <w:rsid w:val="00C81703"/>
    <w:rsid w:val="00C83C71"/>
    <w:rsid w:val="00C83CC9"/>
    <w:rsid w:val="00C8468C"/>
    <w:rsid w:val="00C85EB3"/>
    <w:rsid w:val="00C90AB6"/>
    <w:rsid w:val="00C914B0"/>
    <w:rsid w:val="00C91568"/>
    <w:rsid w:val="00C93A3A"/>
    <w:rsid w:val="00C956D8"/>
    <w:rsid w:val="00C95A9E"/>
    <w:rsid w:val="00C95EEB"/>
    <w:rsid w:val="00C95EED"/>
    <w:rsid w:val="00C97EBC"/>
    <w:rsid w:val="00CA1F68"/>
    <w:rsid w:val="00CA2018"/>
    <w:rsid w:val="00CA2371"/>
    <w:rsid w:val="00CA35E9"/>
    <w:rsid w:val="00CA3686"/>
    <w:rsid w:val="00CA3A82"/>
    <w:rsid w:val="00CA4FBD"/>
    <w:rsid w:val="00CA722C"/>
    <w:rsid w:val="00CB0169"/>
    <w:rsid w:val="00CB0211"/>
    <w:rsid w:val="00CB114C"/>
    <w:rsid w:val="00CB2A3B"/>
    <w:rsid w:val="00CB2F77"/>
    <w:rsid w:val="00CB31C4"/>
    <w:rsid w:val="00CB3943"/>
    <w:rsid w:val="00CB43BE"/>
    <w:rsid w:val="00CB44F6"/>
    <w:rsid w:val="00CB4DFD"/>
    <w:rsid w:val="00CB58B3"/>
    <w:rsid w:val="00CB5F56"/>
    <w:rsid w:val="00CB5FA6"/>
    <w:rsid w:val="00CB60DE"/>
    <w:rsid w:val="00CB6CA4"/>
    <w:rsid w:val="00CB6EA5"/>
    <w:rsid w:val="00CB7302"/>
    <w:rsid w:val="00CC0592"/>
    <w:rsid w:val="00CC0845"/>
    <w:rsid w:val="00CC20EC"/>
    <w:rsid w:val="00CD04E6"/>
    <w:rsid w:val="00CD089B"/>
    <w:rsid w:val="00CD13CE"/>
    <w:rsid w:val="00CD1EDE"/>
    <w:rsid w:val="00CD313B"/>
    <w:rsid w:val="00CD565A"/>
    <w:rsid w:val="00CD5790"/>
    <w:rsid w:val="00CD5E94"/>
    <w:rsid w:val="00CD6660"/>
    <w:rsid w:val="00CD7BB2"/>
    <w:rsid w:val="00CE447E"/>
    <w:rsid w:val="00CE5CC2"/>
    <w:rsid w:val="00CE67FD"/>
    <w:rsid w:val="00CE7812"/>
    <w:rsid w:val="00CE7FF1"/>
    <w:rsid w:val="00CF0E25"/>
    <w:rsid w:val="00CF11D2"/>
    <w:rsid w:val="00CF1BE7"/>
    <w:rsid w:val="00CF2536"/>
    <w:rsid w:val="00CF2A7C"/>
    <w:rsid w:val="00CF32A0"/>
    <w:rsid w:val="00CF3461"/>
    <w:rsid w:val="00CF3590"/>
    <w:rsid w:val="00CF3DB0"/>
    <w:rsid w:val="00CF4DEA"/>
    <w:rsid w:val="00CF54AB"/>
    <w:rsid w:val="00CF5FFE"/>
    <w:rsid w:val="00CF7067"/>
    <w:rsid w:val="00D0024B"/>
    <w:rsid w:val="00D00705"/>
    <w:rsid w:val="00D0141D"/>
    <w:rsid w:val="00D017F5"/>
    <w:rsid w:val="00D01D46"/>
    <w:rsid w:val="00D0237B"/>
    <w:rsid w:val="00D02395"/>
    <w:rsid w:val="00D0413D"/>
    <w:rsid w:val="00D04866"/>
    <w:rsid w:val="00D04CE5"/>
    <w:rsid w:val="00D04E10"/>
    <w:rsid w:val="00D06D52"/>
    <w:rsid w:val="00D07008"/>
    <w:rsid w:val="00D07B4E"/>
    <w:rsid w:val="00D1000F"/>
    <w:rsid w:val="00D10232"/>
    <w:rsid w:val="00D1037E"/>
    <w:rsid w:val="00D1111A"/>
    <w:rsid w:val="00D113D8"/>
    <w:rsid w:val="00D11F57"/>
    <w:rsid w:val="00D1212F"/>
    <w:rsid w:val="00D122AC"/>
    <w:rsid w:val="00D12D04"/>
    <w:rsid w:val="00D146D4"/>
    <w:rsid w:val="00D155A8"/>
    <w:rsid w:val="00D1608B"/>
    <w:rsid w:val="00D16214"/>
    <w:rsid w:val="00D1743E"/>
    <w:rsid w:val="00D205C5"/>
    <w:rsid w:val="00D21AA0"/>
    <w:rsid w:val="00D225A5"/>
    <w:rsid w:val="00D227C7"/>
    <w:rsid w:val="00D22A3A"/>
    <w:rsid w:val="00D23A8D"/>
    <w:rsid w:val="00D247DB"/>
    <w:rsid w:val="00D24FB1"/>
    <w:rsid w:val="00D257E7"/>
    <w:rsid w:val="00D265E9"/>
    <w:rsid w:val="00D26E04"/>
    <w:rsid w:val="00D276CE"/>
    <w:rsid w:val="00D27E91"/>
    <w:rsid w:val="00D301BE"/>
    <w:rsid w:val="00D3060B"/>
    <w:rsid w:val="00D325B0"/>
    <w:rsid w:val="00D334CB"/>
    <w:rsid w:val="00D33B96"/>
    <w:rsid w:val="00D33C05"/>
    <w:rsid w:val="00D342F3"/>
    <w:rsid w:val="00D35035"/>
    <w:rsid w:val="00D36387"/>
    <w:rsid w:val="00D3767F"/>
    <w:rsid w:val="00D376EE"/>
    <w:rsid w:val="00D41EC9"/>
    <w:rsid w:val="00D423D4"/>
    <w:rsid w:val="00D42D03"/>
    <w:rsid w:val="00D44D35"/>
    <w:rsid w:val="00D46209"/>
    <w:rsid w:val="00D4656C"/>
    <w:rsid w:val="00D51B04"/>
    <w:rsid w:val="00D521B2"/>
    <w:rsid w:val="00D52E8E"/>
    <w:rsid w:val="00D54037"/>
    <w:rsid w:val="00D5698E"/>
    <w:rsid w:val="00D578A5"/>
    <w:rsid w:val="00D57EA7"/>
    <w:rsid w:val="00D6062C"/>
    <w:rsid w:val="00D6139E"/>
    <w:rsid w:val="00D61C1F"/>
    <w:rsid w:val="00D61DD5"/>
    <w:rsid w:val="00D62011"/>
    <w:rsid w:val="00D62826"/>
    <w:rsid w:val="00D634A5"/>
    <w:rsid w:val="00D64308"/>
    <w:rsid w:val="00D644D4"/>
    <w:rsid w:val="00D64B7F"/>
    <w:rsid w:val="00D65422"/>
    <w:rsid w:val="00D65B12"/>
    <w:rsid w:val="00D65E08"/>
    <w:rsid w:val="00D66E51"/>
    <w:rsid w:val="00D67C88"/>
    <w:rsid w:val="00D718C7"/>
    <w:rsid w:val="00D7193E"/>
    <w:rsid w:val="00D7239B"/>
    <w:rsid w:val="00D72504"/>
    <w:rsid w:val="00D735C0"/>
    <w:rsid w:val="00D74803"/>
    <w:rsid w:val="00D74F7C"/>
    <w:rsid w:val="00D75D61"/>
    <w:rsid w:val="00D76446"/>
    <w:rsid w:val="00D76567"/>
    <w:rsid w:val="00D77A71"/>
    <w:rsid w:val="00D80467"/>
    <w:rsid w:val="00D806AD"/>
    <w:rsid w:val="00D81443"/>
    <w:rsid w:val="00D8188A"/>
    <w:rsid w:val="00D8339D"/>
    <w:rsid w:val="00D83C58"/>
    <w:rsid w:val="00D83D7C"/>
    <w:rsid w:val="00D83E86"/>
    <w:rsid w:val="00D85097"/>
    <w:rsid w:val="00D85A33"/>
    <w:rsid w:val="00D90CF0"/>
    <w:rsid w:val="00D917AA"/>
    <w:rsid w:val="00D9337F"/>
    <w:rsid w:val="00D936B1"/>
    <w:rsid w:val="00D93733"/>
    <w:rsid w:val="00D959D0"/>
    <w:rsid w:val="00D95CA7"/>
    <w:rsid w:val="00D96EFC"/>
    <w:rsid w:val="00D972F1"/>
    <w:rsid w:val="00DA0037"/>
    <w:rsid w:val="00DA0A58"/>
    <w:rsid w:val="00DA20A5"/>
    <w:rsid w:val="00DA2853"/>
    <w:rsid w:val="00DA3C94"/>
    <w:rsid w:val="00DA3FAB"/>
    <w:rsid w:val="00DA58E5"/>
    <w:rsid w:val="00DA6583"/>
    <w:rsid w:val="00DA6A49"/>
    <w:rsid w:val="00DA6FCF"/>
    <w:rsid w:val="00DA7789"/>
    <w:rsid w:val="00DA7BF6"/>
    <w:rsid w:val="00DA7E37"/>
    <w:rsid w:val="00DB0279"/>
    <w:rsid w:val="00DB0466"/>
    <w:rsid w:val="00DB046E"/>
    <w:rsid w:val="00DB101D"/>
    <w:rsid w:val="00DB112C"/>
    <w:rsid w:val="00DB730F"/>
    <w:rsid w:val="00DC0BEE"/>
    <w:rsid w:val="00DC134F"/>
    <w:rsid w:val="00DC333D"/>
    <w:rsid w:val="00DC3F4A"/>
    <w:rsid w:val="00DC577D"/>
    <w:rsid w:val="00DC58B0"/>
    <w:rsid w:val="00DC58DF"/>
    <w:rsid w:val="00DC5C35"/>
    <w:rsid w:val="00DC6D07"/>
    <w:rsid w:val="00DC75CE"/>
    <w:rsid w:val="00DC78DA"/>
    <w:rsid w:val="00DD0D23"/>
    <w:rsid w:val="00DD18D7"/>
    <w:rsid w:val="00DD1DC0"/>
    <w:rsid w:val="00DD1EA3"/>
    <w:rsid w:val="00DD6470"/>
    <w:rsid w:val="00DD6FA8"/>
    <w:rsid w:val="00DD74E6"/>
    <w:rsid w:val="00DE24FD"/>
    <w:rsid w:val="00DE3875"/>
    <w:rsid w:val="00DE3A9D"/>
    <w:rsid w:val="00DE4695"/>
    <w:rsid w:val="00DE490E"/>
    <w:rsid w:val="00DE4A44"/>
    <w:rsid w:val="00DE59B0"/>
    <w:rsid w:val="00DE606F"/>
    <w:rsid w:val="00DE7F50"/>
    <w:rsid w:val="00DF155A"/>
    <w:rsid w:val="00DF25BA"/>
    <w:rsid w:val="00DF3B67"/>
    <w:rsid w:val="00DF4559"/>
    <w:rsid w:val="00DF4D02"/>
    <w:rsid w:val="00DF517A"/>
    <w:rsid w:val="00DF5578"/>
    <w:rsid w:val="00DF5B08"/>
    <w:rsid w:val="00E00A6A"/>
    <w:rsid w:val="00E02BD4"/>
    <w:rsid w:val="00E02FC1"/>
    <w:rsid w:val="00E06620"/>
    <w:rsid w:val="00E072ED"/>
    <w:rsid w:val="00E073DD"/>
    <w:rsid w:val="00E07587"/>
    <w:rsid w:val="00E07FEC"/>
    <w:rsid w:val="00E10403"/>
    <w:rsid w:val="00E13220"/>
    <w:rsid w:val="00E14F93"/>
    <w:rsid w:val="00E15975"/>
    <w:rsid w:val="00E15F0A"/>
    <w:rsid w:val="00E1670C"/>
    <w:rsid w:val="00E17DFE"/>
    <w:rsid w:val="00E210B3"/>
    <w:rsid w:val="00E22B3F"/>
    <w:rsid w:val="00E24177"/>
    <w:rsid w:val="00E265BB"/>
    <w:rsid w:val="00E26C56"/>
    <w:rsid w:val="00E27252"/>
    <w:rsid w:val="00E27BB2"/>
    <w:rsid w:val="00E309E8"/>
    <w:rsid w:val="00E31B6C"/>
    <w:rsid w:val="00E31FAC"/>
    <w:rsid w:val="00E3207F"/>
    <w:rsid w:val="00E33696"/>
    <w:rsid w:val="00E337C0"/>
    <w:rsid w:val="00E34AEA"/>
    <w:rsid w:val="00E36552"/>
    <w:rsid w:val="00E40251"/>
    <w:rsid w:val="00E40572"/>
    <w:rsid w:val="00E405DA"/>
    <w:rsid w:val="00E41166"/>
    <w:rsid w:val="00E42F74"/>
    <w:rsid w:val="00E440A4"/>
    <w:rsid w:val="00E442A6"/>
    <w:rsid w:val="00E44539"/>
    <w:rsid w:val="00E449A8"/>
    <w:rsid w:val="00E45377"/>
    <w:rsid w:val="00E45872"/>
    <w:rsid w:val="00E47469"/>
    <w:rsid w:val="00E47765"/>
    <w:rsid w:val="00E53713"/>
    <w:rsid w:val="00E54F3D"/>
    <w:rsid w:val="00E56572"/>
    <w:rsid w:val="00E5671B"/>
    <w:rsid w:val="00E56E6D"/>
    <w:rsid w:val="00E576C6"/>
    <w:rsid w:val="00E577C1"/>
    <w:rsid w:val="00E57872"/>
    <w:rsid w:val="00E60710"/>
    <w:rsid w:val="00E60A35"/>
    <w:rsid w:val="00E60DAF"/>
    <w:rsid w:val="00E62CA7"/>
    <w:rsid w:val="00E6342A"/>
    <w:rsid w:val="00E6388A"/>
    <w:rsid w:val="00E63EA2"/>
    <w:rsid w:val="00E6467A"/>
    <w:rsid w:val="00E64FEC"/>
    <w:rsid w:val="00E65545"/>
    <w:rsid w:val="00E70C0A"/>
    <w:rsid w:val="00E72AA8"/>
    <w:rsid w:val="00E72D1C"/>
    <w:rsid w:val="00E74AC0"/>
    <w:rsid w:val="00E75275"/>
    <w:rsid w:val="00E7547E"/>
    <w:rsid w:val="00E76412"/>
    <w:rsid w:val="00E77D6E"/>
    <w:rsid w:val="00E85880"/>
    <w:rsid w:val="00E85D5B"/>
    <w:rsid w:val="00E86BE1"/>
    <w:rsid w:val="00E87201"/>
    <w:rsid w:val="00E87F2F"/>
    <w:rsid w:val="00E901F9"/>
    <w:rsid w:val="00E92FAB"/>
    <w:rsid w:val="00E93C6C"/>
    <w:rsid w:val="00E9497C"/>
    <w:rsid w:val="00E96047"/>
    <w:rsid w:val="00E971F4"/>
    <w:rsid w:val="00E97200"/>
    <w:rsid w:val="00EA0C26"/>
    <w:rsid w:val="00EA0C57"/>
    <w:rsid w:val="00EA0C9A"/>
    <w:rsid w:val="00EA3977"/>
    <w:rsid w:val="00EA68E3"/>
    <w:rsid w:val="00EA6A61"/>
    <w:rsid w:val="00EA6D29"/>
    <w:rsid w:val="00EA7122"/>
    <w:rsid w:val="00EA7D68"/>
    <w:rsid w:val="00EC1EC7"/>
    <w:rsid w:val="00EC23B2"/>
    <w:rsid w:val="00EC3CC6"/>
    <w:rsid w:val="00EC5384"/>
    <w:rsid w:val="00EC5E84"/>
    <w:rsid w:val="00EC6103"/>
    <w:rsid w:val="00ED1CAF"/>
    <w:rsid w:val="00ED3187"/>
    <w:rsid w:val="00ED32FE"/>
    <w:rsid w:val="00ED5179"/>
    <w:rsid w:val="00ED5D15"/>
    <w:rsid w:val="00ED7CDF"/>
    <w:rsid w:val="00EE2E5E"/>
    <w:rsid w:val="00EE5D5B"/>
    <w:rsid w:val="00EE7025"/>
    <w:rsid w:val="00EE76D9"/>
    <w:rsid w:val="00EF4502"/>
    <w:rsid w:val="00EF55C3"/>
    <w:rsid w:val="00EF62B8"/>
    <w:rsid w:val="00EF6FBA"/>
    <w:rsid w:val="00F001AE"/>
    <w:rsid w:val="00F002C3"/>
    <w:rsid w:val="00F01455"/>
    <w:rsid w:val="00F0207F"/>
    <w:rsid w:val="00F02145"/>
    <w:rsid w:val="00F02515"/>
    <w:rsid w:val="00F028A6"/>
    <w:rsid w:val="00F03E91"/>
    <w:rsid w:val="00F04023"/>
    <w:rsid w:val="00F04FFD"/>
    <w:rsid w:val="00F05318"/>
    <w:rsid w:val="00F066A7"/>
    <w:rsid w:val="00F07B13"/>
    <w:rsid w:val="00F12036"/>
    <w:rsid w:val="00F12EAB"/>
    <w:rsid w:val="00F13FC1"/>
    <w:rsid w:val="00F141FA"/>
    <w:rsid w:val="00F14E62"/>
    <w:rsid w:val="00F15FD0"/>
    <w:rsid w:val="00F16C18"/>
    <w:rsid w:val="00F170D0"/>
    <w:rsid w:val="00F17163"/>
    <w:rsid w:val="00F179D5"/>
    <w:rsid w:val="00F203A9"/>
    <w:rsid w:val="00F21CBA"/>
    <w:rsid w:val="00F25010"/>
    <w:rsid w:val="00F251CA"/>
    <w:rsid w:val="00F26741"/>
    <w:rsid w:val="00F27169"/>
    <w:rsid w:val="00F2764D"/>
    <w:rsid w:val="00F27746"/>
    <w:rsid w:val="00F30046"/>
    <w:rsid w:val="00F31C69"/>
    <w:rsid w:val="00F31FA2"/>
    <w:rsid w:val="00F32ABF"/>
    <w:rsid w:val="00F33C6C"/>
    <w:rsid w:val="00F33F1A"/>
    <w:rsid w:val="00F36CAF"/>
    <w:rsid w:val="00F37634"/>
    <w:rsid w:val="00F37BF4"/>
    <w:rsid w:val="00F40569"/>
    <w:rsid w:val="00F40996"/>
    <w:rsid w:val="00F4153A"/>
    <w:rsid w:val="00F4260D"/>
    <w:rsid w:val="00F438EA"/>
    <w:rsid w:val="00F43CF7"/>
    <w:rsid w:val="00F43FA6"/>
    <w:rsid w:val="00F441A4"/>
    <w:rsid w:val="00F46530"/>
    <w:rsid w:val="00F46EAC"/>
    <w:rsid w:val="00F52217"/>
    <w:rsid w:val="00F52249"/>
    <w:rsid w:val="00F52665"/>
    <w:rsid w:val="00F526B9"/>
    <w:rsid w:val="00F53839"/>
    <w:rsid w:val="00F538DD"/>
    <w:rsid w:val="00F54F0E"/>
    <w:rsid w:val="00F561A6"/>
    <w:rsid w:val="00F56D74"/>
    <w:rsid w:val="00F606D7"/>
    <w:rsid w:val="00F61384"/>
    <w:rsid w:val="00F61665"/>
    <w:rsid w:val="00F61C5E"/>
    <w:rsid w:val="00F64635"/>
    <w:rsid w:val="00F64D5F"/>
    <w:rsid w:val="00F65B1B"/>
    <w:rsid w:val="00F66CBE"/>
    <w:rsid w:val="00F67A84"/>
    <w:rsid w:val="00F70434"/>
    <w:rsid w:val="00F70ACD"/>
    <w:rsid w:val="00F70BEA"/>
    <w:rsid w:val="00F71BC7"/>
    <w:rsid w:val="00F71C25"/>
    <w:rsid w:val="00F749AF"/>
    <w:rsid w:val="00F74A2D"/>
    <w:rsid w:val="00F80FB0"/>
    <w:rsid w:val="00F81798"/>
    <w:rsid w:val="00F81C1E"/>
    <w:rsid w:val="00F83F1F"/>
    <w:rsid w:val="00F84084"/>
    <w:rsid w:val="00F843C7"/>
    <w:rsid w:val="00F84A52"/>
    <w:rsid w:val="00F85B8F"/>
    <w:rsid w:val="00F85CE8"/>
    <w:rsid w:val="00F900B7"/>
    <w:rsid w:val="00F930DE"/>
    <w:rsid w:val="00F9396F"/>
    <w:rsid w:val="00F949E8"/>
    <w:rsid w:val="00F956E7"/>
    <w:rsid w:val="00F97A31"/>
    <w:rsid w:val="00FA1B9A"/>
    <w:rsid w:val="00FA24EC"/>
    <w:rsid w:val="00FA2966"/>
    <w:rsid w:val="00FA3452"/>
    <w:rsid w:val="00FA3792"/>
    <w:rsid w:val="00FA422D"/>
    <w:rsid w:val="00FA46CF"/>
    <w:rsid w:val="00FA48F0"/>
    <w:rsid w:val="00FA6652"/>
    <w:rsid w:val="00FA72DA"/>
    <w:rsid w:val="00FA79F6"/>
    <w:rsid w:val="00FB0298"/>
    <w:rsid w:val="00FB1108"/>
    <w:rsid w:val="00FB18E3"/>
    <w:rsid w:val="00FB227C"/>
    <w:rsid w:val="00FB2C47"/>
    <w:rsid w:val="00FB3B9D"/>
    <w:rsid w:val="00FB4574"/>
    <w:rsid w:val="00FB57D4"/>
    <w:rsid w:val="00FB63B4"/>
    <w:rsid w:val="00FC0649"/>
    <w:rsid w:val="00FC1CC9"/>
    <w:rsid w:val="00FC29CC"/>
    <w:rsid w:val="00FC2AD0"/>
    <w:rsid w:val="00FC2C29"/>
    <w:rsid w:val="00FC308F"/>
    <w:rsid w:val="00FC3BE2"/>
    <w:rsid w:val="00FC3E3C"/>
    <w:rsid w:val="00FC4DA7"/>
    <w:rsid w:val="00FC7240"/>
    <w:rsid w:val="00FD054B"/>
    <w:rsid w:val="00FD14E5"/>
    <w:rsid w:val="00FD2503"/>
    <w:rsid w:val="00FD3D22"/>
    <w:rsid w:val="00FD4677"/>
    <w:rsid w:val="00FD5271"/>
    <w:rsid w:val="00FD53FB"/>
    <w:rsid w:val="00FD6232"/>
    <w:rsid w:val="00FD64FA"/>
    <w:rsid w:val="00FD7B61"/>
    <w:rsid w:val="00FE2820"/>
    <w:rsid w:val="00FE32FC"/>
    <w:rsid w:val="00FE3648"/>
    <w:rsid w:val="00FE3A31"/>
    <w:rsid w:val="00FE4958"/>
    <w:rsid w:val="00FE4983"/>
    <w:rsid w:val="00FE4A13"/>
    <w:rsid w:val="00FE50B3"/>
    <w:rsid w:val="00FE695C"/>
    <w:rsid w:val="00FE7709"/>
    <w:rsid w:val="00FE7F21"/>
    <w:rsid w:val="00FF2580"/>
    <w:rsid w:val="00FF3E2D"/>
    <w:rsid w:val="00FF4664"/>
    <w:rsid w:val="00FF6875"/>
    <w:rsid w:val="00FF7C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262D67"/>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D4920"/>
    <w:rPr>
      <w:color w:val="0563C1" w:themeColor="hyperlink"/>
      <w:u w:val="single"/>
    </w:rPr>
  </w:style>
  <w:style w:type="character" w:styleId="FollowedHyperlink">
    <w:name w:val="FollowedHyperlink"/>
    <w:basedOn w:val="DefaultParagraphFont"/>
    <w:uiPriority w:val="99"/>
    <w:semiHidden/>
    <w:unhideWhenUsed/>
    <w:rsid w:val="008D4920"/>
    <w:rPr>
      <w:color w:val="954F72" w:themeColor="followedHyperlink"/>
      <w:u w:val="single"/>
    </w:rPr>
  </w:style>
  <w:style w:type="table" w:styleId="TableGrid">
    <w:name w:val="Table Grid"/>
    <w:basedOn w:val="TableNormal"/>
    <w:uiPriority w:val="39"/>
    <w:rsid w:val="00B042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4-Accent3">
    <w:name w:val="List Table 4 Accent 3"/>
    <w:basedOn w:val="TableNormal"/>
    <w:uiPriority w:val="49"/>
    <w:rsid w:val="00A138E0"/>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Footer">
    <w:name w:val="footer"/>
    <w:basedOn w:val="Normal"/>
    <w:link w:val="FooterChar"/>
    <w:uiPriority w:val="99"/>
    <w:unhideWhenUsed/>
    <w:rsid w:val="00D96EFC"/>
    <w:pPr>
      <w:tabs>
        <w:tab w:val="center" w:pos="4513"/>
        <w:tab w:val="right" w:pos="9026"/>
      </w:tabs>
    </w:pPr>
  </w:style>
  <w:style w:type="character" w:customStyle="1" w:styleId="FooterChar">
    <w:name w:val="Footer Char"/>
    <w:basedOn w:val="DefaultParagraphFont"/>
    <w:link w:val="Footer"/>
    <w:uiPriority w:val="99"/>
    <w:rsid w:val="00D96EFC"/>
    <w:rPr>
      <w:lang w:val="en-GB"/>
    </w:rPr>
  </w:style>
  <w:style w:type="character" w:styleId="PageNumber">
    <w:name w:val="page number"/>
    <w:basedOn w:val="DefaultParagraphFont"/>
    <w:uiPriority w:val="99"/>
    <w:semiHidden/>
    <w:unhideWhenUsed/>
    <w:rsid w:val="00D96EFC"/>
  </w:style>
  <w:style w:type="paragraph" w:styleId="FootnoteText">
    <w:name w:val="footnote text"/>
    <w:basedOn w:val="Normal"/>
    <w:link w:val="FootnoteTextChar"/>
    <w:uiPriority w:val="99"/>
    <w:unhideWhenUsed/>
    <w:rsid w:val="003E4A28"/>
  </w:style>
  <w:style w:type="character" w:customStyle="1" w:styleId="FootnoteTextChar">
    <w:name w:val="Footnote Text Char"/>
    <w:basedOn w:val="DefaultParagraphFont"/>
    <w:link w:val="FootnoteText"/>
    <w:uiPriority w:val="99"/>
    <w:rsid w:val="003E4A28"/>
    <w:rPr>
      <w:lang w:val="en-GB"/>
    </w:rPr>
  </w:style>
  <w:style w:type="character" w:styleId="FootnoteReference">
    <w:name w:val="footnote reference"/>
    <w:basedOn w:val="DefaultParagraphFont"/>
    <w:uiPriority w:val="99"/>
    <w:unhideWhenUsed/>
    <w:rsid w:val="003E4A28"/>
    <w:rPr>
      <w:vertAlign w:val="superscript"/>
    </w:rPr>
  </w:style>
  <w:style w:type="paragraph" w:styleId="NormalWeb">
    <w:name w:val="Normal (Web)"/>
    <w:basedOn w:val="Normal"/>
    <w:uiPriority w:val="99"/>
    <w:unhideWhenUsed/>
    <w:rsid w:val="00EC3CC6"/>
    <w:pPr>
      <w:spacing w:before="100" w:beforeAutospacing="1" w:after="100" w:afterAutospacing="1"/>
    </w:pPr>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6641473">
      <w:bodyDiv w:val="1"/>
      <w:marLeft w:val="0"/>
      <w:marRight w:val="0"/>
      <w:marTop w:val="0"/>
      <w:marBottom w:val="0"/>
      <w:divBdr>
        <w:top w:val="none" w:sz="0" w:space="0" w:color="auto"/>
        <w:left w:val="none" w:sz="0" w:space="0" w:color="auto"/>
        <w:bottom w:val="none" w:sz="0" w:space="0" w:color="auto"/>
        <w:right w:val="none" w:sz="0" w:space="0" w:color="auto"/>
      </w:divBdr>
      <w:divsChild>
        <w:div w:id="241065637">
          <w:marLeft w:val="0"/>
          <w:marRight w:val="0"/>
          <w:marTop w:val="0"/>
          <w:marBottom w:val="0"/>
          <w:divBdr>
            <w:top w:val="none" w:sz="0" w:space="0" w:color="auto"/>
            <w:left w:val="none" w:sz="0" w:space="0" w:color="auto"/>
            <w:bottom w:val="none" w:sz="0" w:space="0" w:color="auto"/>
            <w:right w:val="none" w:sz="0" w:space="0" w:color="auto"/>
          </w:divBdr>
          <w:divsChild>
            <w:div w:id="936329997">
              <w:marLeft w:val="0"/>
              <w:marRight w:val="0"/>
              <w:marTop w:val="0"/>
              <w:marBottom w:val="0"/>
              <w:divBdr>
                <w:top w:val="none" w:sz="0" w:space="0" w:color="auto"/>
                <w:left w:val="none" w:sz="0" w:space="0" w:color="auto"/>
                <w:bottom w:val="none" w:sz="0" w:space="0" w:color="auto"/>
                <w:right w:val="none" w:sz="0" w:space="0" w:color="auto"/>
              </w:divBdr>
              <w:divsChild>
                <w:div w:id="131023574">
                  <w:marLeft w:val="0"/>
                  <w:marRight w:val="0"/>
                  <w:marTop w:val="0"/>
                  <w:marBottom w:val="0"/>
                  <w:divBdr>
                    <w:top w:val="none" w:sz="0" w:space="0" w:color="auto"/>
                    <w:left w:val="none" w:sz="0" w:space="0" w:color="auto"/>
                    <w:bottom w:val="none" w:sz="0" w:space="0" w:color="auto"/>
                    <w:right w:val="none" w:sz="0" w:space="0" w:color="auto"/>
                  </w:divBdr>
                </w:div>
              </w:divsChild>
            </w:div>
            <w:div w:id="67314115">
              <w:marLeft w:val="0"/>
              <w:marRight w:val="0"/>
              <w:marTop w:val="0"/>
              <w:marBottom w:val="0"/>
              <w:divBdr>
                <w:top w:val="none" w:sz="0" w:space="0" w:color="auto"/>
                <w:left w:val="none" w:sz="0" w:space="0" w:color="auto"/>
                <w:bottom w:val="none" w:sz="0" w:space="0" w:color="auto"/>
                <w:right w:val="none" w:sz="0" w:space="0" w:color="auto"/>
              </w:divBdr>
              <w:divsChild>
                <w:div w:id="1537235013">
                  <w:marLeft w:val="0"/>
                  <w:marRight w:val="0"/>
                  <w:marTop w:val="0"/>
                  <w:marBottom w:val="0"/>
                  <w:divBdr>
                    <w:top w:val="none" w:sz="0" w:space="0" w:color="auto"/>
                    <w:left w:val="none" w:sz="0" w:space="0" w:color="auto"/>
                    <w:bottom w:val="none" w:sz="0" w:space="0" w:color="auto"/>
                    <w:right w:val="none" w:sz="0" w:space="0" w:color="auto"/>
                  </w:divBdr>
                </w:div>
              </w:divsChild>
            </w:div>
            <w:div w:id="181747111">
              <w:marLeft w:val="0"/>
              <w:marRight w:val="0"/>
              <w:marTop w:val="0"/>
              <w:marBottom w:val="0"/>
              <w:divBdr>
                <w:top w:val="none" w:sz="0" w:space="0" w:color="auto"/>
                <w:left w:val="none" w:sz="0" w:space="0" w:color="auto"/>
                <w:bottom w:val="none" w:sz="0" w:space="0" w:color="auto"/>
                <w:right w:val="none" w:sz="0" w:space="0" w:color="auto"/>
              </w:divBdr>
              <w:divsChild>
                <w:div w:id="998189790">
                  <w:marLeft w:val="0"/>
                  <w:marRight w:val="0"/>
                  <w:marTop w:val="0"/>
                  <w:marBottom w:val="0"/>
                  <w:divBdr>
                    <w:top w:val="none" w:sz="0" w:space="0" w:color="auto"/>
                    <w:left w:val="none" w:sz="0" w:space="0" w:color="auto"/>
                    <w:bottom w:val="none" w:sz="0" w:space="0" w:color="auto"/>
                    <w:right w:val="none" w:sz="0" w:space="0" w:color="auto"/>
                  </w:divBdr>
                </w:div>
              </w:divsChild>
            </w:div>
            <w:div w:id="40521303">
              <w:marLeft w:val="0"/>
              <w:marRight w:val="0"/>
              <w:marTop w:val="0"/>
              <w:marBottom w:val="0"/>
              <w:divBdr>
                <w:top w:val="none" w:sz="0" w:space="0" w:color="auto"/>
                <w:left w:val="none" w:sz="0" w:space="0" w:color="auto"/>
                <w:bottom w:val="none" w:sz="0" w:space="0" w:color="auto"/>
                <w:right w:val="none" w:sz="0" w:space="0" w:color="auto"/>
              </w:divBdr>
              <w:divsChild>
                <w:div w:id="1259750231">
                  <w:marLeft w:val="0"/>
                  <w:marRight w:val="0"/>
                  <w:marTop w:val="0"/>
                  <w:marBottom w:val="0"/>
                  <w:divBdr>
                    <w:top w:val="none" w:sz="0" w:space="0" w:color="auto"/>
                    <w:left w:val="none" w:sz="0" w:space="0" w:color="auto"/>
                    <w:bottom w:val="none" w:sz="0" w:space="0" w:color="auto"/>
                    <w:right w:val="none" w:sz="0" w:space="0" w:color="auto"/>
                  </w:divBdr>
                </w:div>
              </w:divsChild>
            </w:div>
            <w:div w:id="1996717452">
              <w:marLeft w:val="0"/>
              <w:marRight w:val="0"/>
              <w:marTop w:val="0"/>
              <w:marBottom w:val="0"/>
              <w:divBdr>
                <w:top w:val="none" w:sz="0" w:space="0" w:color="auto"/>
                <w:left w:val="none" w:sz="0" w:space="0" w:color="auto"/>
                <w:bottom w:val="none" w:sz="0" w:space="0" w:color="auto"/>
                <w:right w:val="none" w:sz="0" w:space="0" w:color="auto"/>
              </w:divBdr>
              <w:divsChild>
                <w:div w:id="226307238">
                  <w:marLeft w:val="0"/>
                  <w:marRight w:val="0"/>
                  <w:marTop w:val="0"/>
                  <w:marBottom w:val="0"/>
                  <w:divBdr>
                    <w:top w:val="none" w:sz="0" w:space="0" w:color="auto"/>
                    <w:left w:val="none" w:sz="0" w:space="0" w:color="auto"/>
                    <w:bottom w:val="none" w:sz="0" w:space="0" w:color="auto"/>
                    <w:right w:val="none" w:sz="0" w:space="0" w:color="auto"/>
                  </w:divBdr>
                </w:div>
              </w:divsChild>
            </w:div>
            <w:div w:id="831143649">
              <w:marLeft w:val="0"/>
              <w:marRight w:val="0"/>
              <w:marTop w:val="0"/>
              <w:marBottom w:val="0"/>
              <w:divBdr>
                <w:top w:val="none" w:sz="0" w:space="0" w:color="auto"/>
                <w:left w:val="none" w:sz="0" w:space="0" w:color="auto"/>
                <w:bottom w:val="none" w:sz="0" w:space="0" w:color="auto"/>
                <w:right w:val="none" w:sz="0" w:space="0" w:color="auto"/>
              </w:divBdr>
              <w:divsChild>
                <w:div w:id="395279857">
                  <w:marLeft w:val="0"/>
                  <w:marRight w:val="0"/>
                  <w:marTop w:val="0"/>
                  <w:marBottom w:val="0"/>
                  <w:divBdr>
                    <w:top w:val="none" w:sz="0" w:space="0" w:color="auto"/>
                    <w:left w:val="none" w:sz="0" w:space="0" w:color="auto"/>
                    <w:bottom w:val="none" w:sz="0" w:space="0" w:color="auto"/>
                    <w:right w:val="none" w:sz="0" w:space="0" w:color="auto"/>
                  </w:divBdr>
                </w:div>
              </w:divsChild>
            </w:div>
            <w:div w:id="909732484">
              <w:marLeft w:val="0"/>
              <w:marRight w:val="0"/>
              <w:marTop w:val="0"/>
              <w:marBottom w:val="0"/>
              <w:divBdr>
                <w:top w:val="none" w:sz="0" w:space="0" w:color="auto"/>
                <w:left w:val="none" w:sz="0" w:space="0" w:color="auto"/>
                <w:bottom w:val="none" w:sz="0" w:space="0" w:color="auto"/>
                <w:right w:val="none" w:sz="0" w:space="0" w:color="auto"/>
              </w:divBdr>
              <w:divsChild>
                <w:div w:id="1390885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3903985">
          <w:marLeft w:val="0"/>
          <w:marRight w:val="0"/>
          <w:marTop w:val="0"/>
          <w:marBottom w:val="0"/>
          <w:divBdr>
            <w:top w:val="none" w:sz="0" w:space="0" w:color="auto"/>
            <w:left w:val="none" w:sz="0" w:space="0" w:color="auto"/>
            <w:bottom w:val="none" w:sz="0" w:space="0" w:color="auto"/>
            <w:right w:val="none" w:sz="0" w:space="0" w:color="auto"/>
          </w:divBdr>
          <w:divsChild>
            <w:div w:id="1533883647">
              <w:marLeft w:val="0"/>
              <w:marRight w:val="0"/>
              <w:marTop w:val="0"/>
              <w:marBottom w:val="0"/>
              <w:divBdr>
                <w:top w:val="none" w:sz="0" w:space="0" w:color="auto"/>
                <w:left w:val="none" w:sz="0" w:space="0" w:color="auto"/>
                <w:bottom w:val="none" w:sz="0" w:space="0" w:color="auto"/>
                <w:right w:val="none" w:sz="0" w:space="0" w:color="auto"/>
              </w:divBdr>
              <w:divsChild>
                <w:div w:id="160707950">
                  <w:marLeft w:val="0"/>
                  <w:marRight w:val="0"/>
                  <w:marTop w:val="0"/>
                  <w:marBottom w:val="0"/>
                  <w:divBdr>
                    <w:top w:val="none" w:sz="0" w:space="0" w:color="auto"/>
                    <w:left w:val="none" w:sz="0" w:space="0" w:color="auto"/>
                    <w:bottom w:val="none" w:sz="0" w:space="0" w:color="auto"/>
                    <w:right w:val="none" w:sz="0" w:space="0" w:color="auto"/>
                  </w:divBdr>
                </w:div>
              </w:divsChild>
            </w:div>
            <w:div w:id="817843870">
              <w:marLeft w:val="0"/>
              <w:marRight w:val="0"/>
              <w:marTop w:val="0"/>
              <w:marBottom w:val="0"/>
              <w:divBdr>
                <w:top w:val="none" w:sz="0" w:space="0" w:color="auto"/>
                <w:left w:val="none" w:sz="0" w:space="0" w:color="auto"/>
                <w:bottom w:val="none" w:sz="0" w:space="0" w:color="auto"/>
                <w:right w:val="none" w:sz="0" w:space="0" w:color="auto"/>
              </w:divBdr>
              <w:divsChild>
                <w:div w:id="622612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3508599">
      <w:bodyDiv w:val="1"/>
      <w:marLeft w:val="0"/>
      <w:marRight w:val="0"/>
      <w:marTop w:val="0"/>
      <w:marBottom w:val="0"/>
      <w:divBdr>
        <w:top w:val="none" w:sz="0" w:space="0" w:color="auto"/>
        <w:left w:val="none" w:sz="0" w:space="0" w:color="auto"/>
        <w:bottom w:val="none" w:sz="0" w:space="0" w:color="auto"/>
        <w:right w:val="none" w:sz="0" w:space="0" w:color="auto"/>
      </w:divBdr>
    </w:div>
    <w:div w:id="798690578">
      <w:bodyDiv w:val="1"/>
      <w:marLeft w:val="0"/>
      <w:marRight w:val="0"/>
      <w:marTop w:val="0"/>
      <w:marBottom w:val="0"/>
      <w:divBdr>
        <w:top w:val="none" w:sz="0" w:space="0" w:color="auto"/>
        <w:left w:val="none" w:sz="0" w:space="0" w:color="auto"/>
        <w:bottom w:val="none" w:sz="0" w:space="0" w:color="auto"/>
        <w:right w:val="none" w:sz="0" w:space="0" w:color="auto"/>
      </w:divBdr>
    </w:div>
    <w:div w:id="851914568">
      <w:bodyDiv w:val="1"/>
      <w:marLeft w:val="0"/>
      <w:marRight w:val="0"/>
      <w:marTop w:val="0"/>
      <w:marBottom w:val="0"/>
      <w:divBdr>
        <w:top w:val="none" w:sz="0" w:space="0" w:color="auto"/>
        <w:left w:val="none" w:sz="0" w:space="0" w:color="auto"/>
        <w:bottom w:val="none" w:sz="0" w:space="0" w:color="auto"/>
        <w:right w:val="none" w:sz="0" w:space="0" w:color="auto"/>
      </w:divBdr>
    </w:div>
    <w:div w:id="1033269308">
      <w:bodyDiv w:val="1"/>
      <w:marLeft w:val="0"/>
      <w:marRight w:val="0"/>
      <w:marTop w:val="0"/>
      <w:marBottom w:val="0"/>
      <w:divBdr>
        <w:top w:val="none" w:sz="0" w:space="0" w:color="auto"/>
        <w:left w:val="none" w:sz="0" w:space="0" w:color="auto"/>
        <w:bottom w:val="none" w:sz="0" w:space="0" w:color="auto"/>
        <w:right w:val="none" w:sz="0" w:space="0" w:color="auto"/>
      </w:divBdr>
    </w:div>
    <w:div w:id="1059475692">
      <w:bodyDiv w:val="1"/>
      <w:marLeft w:val="0"/>
      <w:marRight w:val="0"/>
      <w:marTop w:val="0"/>
      <w:marBottom w:val="0"/>
      <w:divBdr>
        <w:top w:val="none" w:sz="0" w:space="0" w:color="auto"/>
        <w:left w:val="none" w:sz="0" w:space="0" w:color="auto"/>
        <w:bottom w:val="none" w:sz="0" w:space="0" w:color="auto"/>
        <w:right w:val="none" w:sz="0" w:space="0" w:color="auto"/>
      </w:divBdr>
    </w:div>
    <w:div w:id="1316643510">
      <w:bodyDiv w:val="1"/>
      <w:marLeft w:val="0"/>
      <w:marRight w:val="0"/>
      <w:marTop w:val="0"/>
      <w:marBottom w:val="0"/>
      <w:divBdr>
        <w:top w:val="none" w:sz="0" w:space="0" w:color="auto"/>
        <w:left w:val="none" w:sz="0" w:space="0" w:color="auto"/>
        <w:bottom w:val="none" w:sz="0" w:space="0" w:color="auto"/>
        <w:right w:val="none" w:sz="0" w:space="0" w:color="auto"/>
      </w:divBdr>
    </w:div>
    <w:div w:id="1330789137">
      <w:bodyDiv w:val="1"/>
      <w:marLeft w:val="0"/>
      <w:marRight w:val="0"/>
      <w:marTop w:val="0"/>
      <w:marBottom w:val="0"/>
      <w:divBdr>
        <w:top w:val="none" w:sz="0" w:space="0" w:color="auto"/>
        <w:left w:val="none" w:sz="0" w:space="0" w:color="auto"/>
        <w:bottom w:val="none" w:sz="0" w:space="0" w:color="auto"/>
        <w:right w:val="none" w:sz="0" w:space="0" w:color="auto"/>
      </w:divBdr>
      <w:divsChild>
        <w:div w:id="500857773">
          <w:marLeft w:val="0"/>
          <w:marRight w:val="0"/>
          <w:marTop w:val="0"/>
          <w:marBottom w:val="0"/>
          <w:divBdr>
            <w:top w:val="none" w:sz="0" w:space="0" w:color="auto"/>
            <w:left w:val="none" w:sz="0" w:space="0" w:color="auto"/>
            <w:bottom w:val="none" w:sz="0" w:space="0" w:color="auto"/>
            <w:right w:val="none" w:sz="0" w:space="0" w:color="auto"/>
          </w:divBdr>
          <w:divsChild>
            <w:div w:id="1307665289">
              <w:marLeft w:val="0"/>
              <w:marRight w:val="0"/>
              <w:marTop w:val="0"/>
              <w:marBottom w:val="0"/>
              <w:divBdr>
                <w:top w:val="none" w:sz="0" w:space="0" w:color="auto"/>
                <w:left w:val="none" w:sz="0" w:space="0" w:color="auto"/>
                <w:bottom w:val="none" w:sz="0" w:space="0" w:color="auto"/>
                <w:right w:val="none" w:sz="0" w:space="0" w:color="auto"/>
              </w:divBdr>
              <w:divsChild>
                <w:div w:id="2113623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423F055C-4504-034E-B18C-86E605F04C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3905</TotalTime>
  <Pages>26</Pages>
  <Words>9653</Words>
  <Characters>55027</Characters>
  <Application>Microsoft Office Word</Application>
  <DocSecurity>0</DocSecurity>
  <Lines>458</Lines>
  <Paragraphs>129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Franka Kermer</dc:creator>
  <cp:keywords/>
  <dc:description/>
  <cp:lastModifiedBy>Franka Kermer</cp:lastModifiedBy>
  <cp:revision>2420</cp:revision>
  <cp:lastPrinted>2020-02-24T10:42:00Z</cp:lastPrinted>
  <dcterms:created xsi:type="dcterms:W3CDTF">2018-09-06T12:23:00Z</dcterms:created>
  <dcterms:modified xsi:type="dcterms:W3CDTF">2020-02-25T07:26:00Z</dcterms:modified>
</cp:coreProperties>
</file>