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67AD" w:rsidRDefault="007367AD" w:rsidP="007367AD">
      <w:pPr>
        <w:spacing w:line="276" w:lineRule="auto"/>
        <w:ind w:right="-108"/>
        <w:rPr>
          <w:rFonts w:ascii="Times New Roman" w:hAnsi="Times New Roman" w:cs="Times New Roman"/>
          <w:b/>
          <w:lang w:val="en-US"/>
        </w:rPr>
      </w:pPr>
      <w:r>
        <w:rPr>
          <w:rFonts w:ascii="Times New Roman" w:hAnsi="Times New Roman" w:cs="Times New Roman"/>
          <w:b/>
          <w:lang w:val="en-US"/>
        </w:rPr>
        <w:t>Efficacy and safety outcomes in Vitamin D supplement users in the fingolimod phase 3 trials</w:t>
      </w:r>
    </w:p>
    <w:p w:rsidR="007367AD" w:rsidRPr="007367AD" w:rsidRDefault="007367AD" w:rsidP="007367AD">
      <w:pPr>
        <w:spacing w:line="276" w:lineRule="auto"/>
        <w:rPr>
          <w:rFonts w:ascii="Times New Roman" w:hAnsi="Times New Roman" w:cs="Times New Roman"/>
          <w:sz w:val="20"/>
          <w:szCs w:val="20"/>
          <w:lang w:val="en-US"/>
        </w:rPr>
      </w:pPr>
    </w:p>
    <w:p w:rsidR="007367AD" w:rsidRDefault="007367AD" w:rsidP="007367AD">
      <w:pPr>
        <w:spacing w:line="276" w:lineRule="auto"/>
        <w:rPr>
          <w:rFonts w:ascii="Times New Roman" w:hAnsi="Times New Roman" w:cs="Times New Roman"/>
          <w:sz w:val="20"/>
          <w:szCs w:val="20"/>
        </w:rPr>
      </w:pPr>
      <w:bookmarkStart w:id="0" w:name="_GoBack"/>
      <w:r w:rsidRPr="00B77E09">
        <w:rPr>
          <w:rFonts w:ascii="Times New Roman" w:hAnsi="Times New Roman" w:cs="Times New Roman"/>
          <w:sz w:val="20"/>
          <w:szCs w:val="20"/>
        </w:rPr>
        <w:t>Kira</w:t>
      </w:r>
      <w:r>
        <w:rPr>
          <w:rFonts w:ascii="Times New Roman" w:hAnsi="Times New Roman" w:cs="Times New Roman"/>
          <w:sz w:val="20"/>
          <w:szCs w:val="20"/>
        </w:rPr>
        <w:t xml:space="preserve"> Hongell</w:t>
      </w:r>
      <w:r>
        <w:rPr>
          <w:rFonts w:ascii="Times New Roman" w:hAnsi="Times New Roman" w:cs="Times New Roman"/>
          <w:sz w:val="20"/>
          <w:szCs w:val="20"/>
          <w:vertAlign w:val="superscript"/>
        </w:rPr>
        <w:t>1</w:t>
      </w:r>
      <w:r>
        <w:rPr>
          <w:rFonts w:ascii="Times New Roman" w:hAnsi="Times New Roman" w:cs="Times New Roman"/>
          <w:sz w:val="20"/>
          <w:szCs w:val="20"/>
        </w:rPr>
        <w:t>, Diego G. Silva</w:t>
      </w:r>
      <w:r>
        <w:rPr>
          <w:rFonts w:ascii="Times New Roman" w:hAnsi="Times New Roman" w:cs="Times New Roman"/>
          <w:sz w:val="20"/>
          <w:szCs w:val="20"/>
          <w:vertAlign w:val="superscript"/>
        </w:rPr>
        <w:t>2</w:t>
      </w:r>
      <w:r>
        <w:rPr>
          <w:rFonts w:ascii="Times New Roman" w:hAnsi="Times New Roman" w:cs="Times New Roman"/>
          <w:sz w:val="20"/>
          <w:szCs w:val="20"/>
        </w:rPr>
        <w:t>, Shannon Ritter</w:t>
      </w:r>
      <w:r>
        <w:rPr>
          <w:rFonts w:ascii="Times New Roman" w:hAnsi="Times New Roman" w:cs="Times New Roman"/>
          <w:sz w:val="20"/>
          <w:szCs w:val="20"/>
          <w:vertAlign w:val="superscript"/>
        </w:rPr>
        <w:t>3</w:t>
      </w:r>
      <w:r>
        <w:rPr>
          <w:rFonts w:ascii="Times New Roman" w:hAnsi="Times New Roman" w:cs="Times New Roman"/>
          <w:sz w:val="20"/>
          <w:szCs w:val="20"/>
        </w:rPr>
        <w:t>,</w:t>
      </w:r>
      <w:r w:rsidRPr="00B77E09">
        <w:rPr>
          <w:rFonts w:ascii="Times New Roman" w:hAnsi="Times New Roman" w:cs="Times New Roman"/>
          <w:sz w:val="20"/>
          <w:szCs w:val="20"/>
        </w:rPr>
        <w:t xml:space="preserve"> Daniela</w:t>
      </w:r>
      <w:r>
        <w:rPr>
          <w:rFonts w:ascii="Times New Roman" w:hAnsi="Times New Roman" w:cs="Times New Roman"/>
          <w:sz w:val="20"/>
          <w:szCs w:val="20"/>
        </w:rPr>
        <w:t xml:space="preserve"> Piani Meier</w:t>
      </w:r>
      <w:r>
        <w:rPr>
          <w:rFonts w:ascii="Times New Roman" w:hAnsi="Times New Roman" w:cs="Times New Roman"/>
          <w:sz w:val="20"/>
          <w:szCs w:val="20"/>
          <w:vertAlign w:val="superscript"/>
        </w:rPr>
        <w:t>2</w:t>
      </w:r>
      <w:r>
        <w:rPr>
          <w:rFonts w:ascii="Times New Roman" w:hAnsi="Times New Roman" w:cs="Times New Roman"/>
          <w:sz w:val="20"/>
          <w:szCs w:val="20"/>
        </w:rPr>
        <w:t>, Merja Soilu-Hänninen</w:t>
      </w:r>
      <w:r>
        <w:rPr>
          <w:rFonts w:ascii="Times New Roman" w:hAnsi="Times New Roman" w:cs="Times New Roman"/>
          <w:sz w:val="20"/>
          <w:szCs w:val="20"/>
          <w:vertAlign w:val="superscript"/>
        </w:rPr>
        <w:t>1</w:t>
      </w:r>
    </w:p>
    <w:bookmarkEnd w:id="0"/>
    <w:p w:rsidR="007367AD" w:rsidRDefault="007367AD" w:rsidP="007367AD">
      <w:pPr>
        <w:spacing w:line="276" w:lineRule="auto"/>
        <w:ind w:left="1304"/>
        <w:rPr>
          <w:rFonts w:ascii="Times New Roman" w:hAnsi="Times New Roman" w:cs="Times New Roman"/>
          <w:b/>
          <w:color w:val="000000" w:themeColor="text1"/>
          <w:sz w:val="16"/>
          <w:szCs w:val="16"/>
        </w:rPr>
      </w:pPr>
    </w:p>
    <w:p w:rsidR="007367AD" w:rsidRDefault="007367AD" w:rsidP="007367AD">
      <w:pPr>
        <w:spacing w:line="276" w:lineRule="auto"/>
        <w:rPr>
          <w:rFonts w:ascii="Times New Roman" w:hAnsi="Times New Roman" w:cs="Times New Roman"/>
          <w:sz w:val="20"/>
          <w:szCs w:val="20"/>
          <w:lang w:val="en-US"/>
        </w:rPr>
      </w:pPr>
      <w:r>
        <w:rPr>
          <w:rFonts w:ascii="Times New Roman" w:hAnsi="Times New Roman" w:cs="Times New Roman"/>
          <w:sz w:val="20"/>
          <w:szCs w:val="20"/>
          <w:vertAlign w:val="superscript"/>
          <w:lang w:val="en-US"/>
        </w:rPr>
        <w:t>1</w:t>
      </w:r>
      <w:r>
        <w:rPr>
          <w:rFonts w:ascii="Times New Roman" w:hAnsi="Times New Roman" w:cs="Times New Roman"/>
          <w:sz w:val="20"/>
          <w:szCs w:val="20"/>
          <w:lang w:val="en-US"/>
        </w:rPr>
        <w:t xml:space="preserve"> Turku University Hospital, Division of Clinical Neurosciences and University of Turku, Turku, Finland</w:t>
      </w:r>
    </w:p>
    <w:p w:rsidR="007367AD" w:rsidRDefault="007367AD" w:rsidP="007367AD">
      <w:pPr>
        <w:spacing w:line="276"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Pr>
          <w:rFonts w:ascii="Times New Roman" w:hAnsi="Times New Roman" w:cs="Times New Roman"/>
          <w:sz w:val="20"/>
          <w:szCs w:val="20"/>
          <w:vertAlign w:val="superscript"/>
          <w:lang w:val="en-US"/>
        </w:rPr>
        <w:t>2</w:t>
      </w:r>
      <w:r>
        <w:rPr>
          <w:rFonts w:ascii="Times New Roman" w:hAnsi="Times New Roman" w:cs="Times New Roman"/>
          <w:sz w:val="20"/>
          <w:szCs w:val="20"/>
          <w:lang w:val="en-US"/>
        </w:rPr>
        <w:t xml:space="preserve"> Novartis Pharma AG,</w:t>
      </w:r>
      <w:r w:rsidRPr="007367AD">
        <w:rPr>
          <w:rFonts w:ascii="Times New Roman" w:hAnsi="Times New Roman" w:cs="Times New Roman"/>
          <w:sz w:val="20"/>
          <w:szCs w:val="20"/>
          <w:lang w:val="de-CH"/>
        </w:rPr>
        <w:t xml:space="preserve"> Fabrikstrasse</w:t>
      </w:r>
      <w:r>
        <w:rPr>
          <w:rFonts w:ascii="Times New Roman" w:hAnsi="Times New Roman" w:cs="Times New Roman"/>
          <w:sz w:val="20"/>
          <w:szCs w:val="20"/>
          <w:lang w:val="en-US"/>
        </w:rPr>
        <w:t xml:space="preserve"> 12, CH-4056 Basel, Switzerland</w:t>
      </w:r>
    </w:p>
    <w:p w:rsidR="007367AD" w:rsidRDefault="007367AD" w:rsidP="007367AD">
      <w:pPr>
        <w:spacing w:line="276"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Pr>
          <w:rFonts w:ascii="Times New Roman" w:hAnsi="Times New Roman" w:cs="Times New Roman"/>
          <w:sz w:val="20"/>
          <w:szCs w:val="20"/>
          <w:vertAlign w:val="superscript"/>
          <w:lang w:val="en-US"/>
        </w:rPr>
        <w:t>3</w:t>
      </w:r>
      <w:r>
        <w:rPr>
          <w:rFonts w:ascii="Times New Roman" w:hAnsi="Times New Roman" w:cs="Times New Roman"/>
          <w:sz w:val="20"/>
          <w:szCs w:val="20"/>
          <w:lang w:val="en-US"/>
        </w:rPr>
        <w:t xml:space="preserve"> Novartis Pharmaceuticals Corporation, One Health Plaza, Bldg. 200, office 238, East Hanover, NJ 07936-1080, USA.</w:t>
      </w:r>
    </w:p>
    <w:p w:rsidR="007367AD" w:rsidRDefault="007367AD" w:rsidP="007367AD">
      <w:pPr>
        <w:spacing w:line="276" w:lineRule="auto"/>
        <w:ind w:left="1304"/>
        <w:rPr>
          <w:rFonts w:ascii="Times New Roman" w:hAnsi="Times New Roman" w:cs="Times New Roman"/>
          <w:b/>
          <w:color w:val="000000" w:themeColor="text1"/>
          <w:sz w:val="20"/>
          <w:szCs w:val="20"/>
          <w:lang w:val="en-US"/>
        </w:rPr>
      </w:pPr>
    </w:p>
    <w:p w:rsidR="007367AD" w:rsidRDefault="007367AD" w:rsidP="007367AD">
      <w:pPr>
        <w:spacing w:line="276" w:lineRule="auto"/>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 xml:space="preserve">Corresponding author: </w:t>
      </w:r>
    </w:p>
    <w:p w:rsidR="007367AD" w:rsidRDefault="007367AD" w:rsidP="007367AD">
      <w:pPr>
        <w:spacing w:line="276" w:lineRule="auto"/>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vertAlign w:val="superscript"/>
          <w:lang w:val="en-US"/>
        </w:rPr>
        <w:t>1</w:t>
      </w:r>
      <w:r>
        <w:rPr>
          <w:rFonts w:ascii="Times New Roman" w:hAnsi="Times New Roman" w:cs="Times New Roman"/>
          <w:color w:val="000000" w:themeColor="text1"/>
          <w:sz w:val="20"/>
          <w:szCs w:val="20"/>
          <w:lang w:val="en-US"/>
        </w:rPr>
        <w:t>Kira</w:t>
      </w:r>
      <w:r w:rsidRPr="00B77E09">
        <w:rPr>
          <w:rFonts w:ascii="Times New Roman" w:hAnsi="Times New Roman" w:cs="Times New Roman"/>
          <w:color w:val="000000" w:themeColor="text1"/>
          <w:sz w:val="20"/>
          <w:szCs w:val="20"/>
          <w:lang w:val="en-US"/>
        </w:rPr>
        <w:t xml:space="preserve"> Hongell</w:t>
      </w:r>
      <w:r>
        <w:rPr>
          <w:rFonts w:ascii="Times New Roman" w:hAnsi="Times New Roman" w:cs="Times New Roman"/>
          <w:color w:val="000000" w:themeColor="text1"/>
          <w:sz w:val="20"/>
          <w:szCs w:val="20"/>
          <w:lang w:val="en-US"/>
        </w:rPr>
        <w:t xml:space="preserve">, Turku University Hospital and University of Turku, Division of Clinical Neurosciences, PB 52, FIN-20521 Turku, Finland. Email: </w:t>
      </w:r>
      <w:hyperlink r:id="rId6" w:history="1">
        <w:r>
          <w:rPr>
            <w:rStyle w:val="Hyperlink"/>
            <w:rFonts w:ascii="Times New Roman" w:hAnsi="Times New Roman" w:cs="Times New Roman"/>
            <w:sz w:val="20"/>
            <w:szCs w:val="20"/>
            <w:lang w:val="en-US"/>
          </w:rPr>
          <w:t>kira.hongell@utu.fi</w:t>
        </w:r>
      </w:hyperlink>
      <w:r>
        <w:rPr>
          <w:rFonts w:ascii="Times New Roman" w:hAnsi="Times New Roman" w:cs="Times New Roman"/>
          <w:color w:val="000000" w:themeColor="text1"/>
          <w:sz w:val="20"/>
          <w:szCs w:val="20"/>
          <w:lang w:val="en-US"/>
        </w:rPr>
        <w:t>, phone: +358504638252. ORCID 0000-0002-6371-2170.</w:t>
      </w:r>
    </w:p>
    <w:p w:rsidR="007367AD" w:rsidRDefault="007367AD" w:rsidP="007367AD">
      <w:pPr>
        <w:spacing w:line="276" w:lineRule="auto"/>
        <w:ind w:left="1304"/>
        <w:rPr>
          <w:rFonts w:ascii="Times New Roman" w:hAnsi="Times New Roman" w:cs="Times New Roman"/>
          <w:b/>
          <w:sz w:val="20"/>
          <w:szCs w:val="20"/>
          <w:lang w:val="en-US"/>
        </w:rPr>
      </w:pPr>
    </w:p>
    <w:p w:rsidR="007367AD" w:rsidRDefault="007367AD" w:rsidP="007367AD">
      <w:pPr>
        <w:spacing w:line="276" w:lineRule="auto"/>
        <w:rPr>
          <w:rFonts w:ascii="Times New Roman" w:hAnsi="Times New Roman" w:cs="Times New Roman"/>
          <w:b/>
          <w:sz w:val="20"/>
          <w:szCs w:val="20"/>
          <w:lang w:val="en-US"/>
        </w:rPr>
      </w:pPr>
    </w:p>
    <w:p w:rsidR="007367AD" w:rsidRDefault="007367AD" w:rsidP="007367AD">
      <w:pPr>
        <w:spacing w:line="276" w:lineRule="auto"/>
        <w:rPr>
          <w:rFonts w:ascii="Times New Roman" w:hAnsi="Times New Roman" w:cs="Times New Roman"/>
          <w:b/>
          <w:sz w:val="20"/>
          <w:szCs w:val="20"/>
          <w:lang w:val="en-US"/>
        </w:rPr>
      </w:pPr>
      <w:r>
        <w:rPr>
          <w:rFonts w:ascii="Times New Roman" w:hAnsi="Times New Roman" w:cs="Times New Roman"/>
          <w:b/>
          <w:sz w:val="20"/>
          <w:szCs w:val="20"/>
          <w:lang w:val="en-US"/>
        </w:rPr>
        <w:t xml:space="preserve">ABSTRACT </w:t>
      </w:r>
    </w:p>
    <w:p w:rsidR="007367AD" w:rsidRDefault="007367AD" w:rsidP="007367AD">
      <w:pPr>
        <w:spacing w:line="276" w:lineRule="auto"/>
        <w:rPr>
          <w:rFonts w:ascii="Times New Roman" w:hAnsi="Times New Roman" w:cs="Times New Roman"/>
          <w:b/>
          <w:sz w:val="20"/>
          <w:szCs w:val="20"/>
          <w:lang w:val="en-US"/>
        </w:rPr>
      </w:pPr>
    </w:p>
    <w:p w:rsidR="007367AD" w:rsidRDefault="007367AD" w:rsidP="007367AD">
      <w:pPr>
        <w:spacing w:line="276" w:lineRule="auto"/>
        <w:rPr>
          <w:rFonts w:ascii="Times New Roman" w:hAnsi="Times New Roman" w:cs="Times New Roman"/>
          <w:color w:val="FF0000"/>
          <w:sz w:val="20"/>
          <w:szCs w:val="20"/>
          <w:lang w:val="en-US"/>
        </w:rPr>
      </w:pPr>
      <w:r>
        <w:rPr>
          <w:rFonts w:ascii="Times New Roman" w:hAnsi="Times New Roman" w:cs="Times New Roman"/>
          <w:b/>
          <w:sz w:val="20"/>
          <w:szCs w:val="20"/>
          <w:lang w:val="en-US"/>
        </w:rPr>
        <w:t>Background:</w:t>
      </w:r>
      <w:r>
        <w:rPr>
          <w:rFonts w:ascii="Times New Roman" w:hAnsi="Times New Roman" w:cs="Times New Roman"/>
          <w:sz w:val="20"/>
          <w:szCs w:val="20"/>
          <w:lang w:val="en-US"/>
        </w:rPr>
        <w:t xml:space="preserve"> Low serum levels of </w:t>
      </w:r>
      <w:r>
        <w:rPr>
          <w:rFonts w:ascii="Times New Roman" w:hAnsi="Times New Roman" w:cs="Times New Roman"/>
          <w:color w:val="000000" w:themeColor="text1"/>
          <w:sz w:val="20"/>
          <w:szCs w:val="20"/>
          <w:lang w:val="en-US"/>
        </w:rPr>
        <w:t>25-hydroxyvitamin D</w:t>
      </w:r>
      <w:r>
        <w:rPr>
          <w:rFonts w:ascii="Times New Roman" w:hAnsi="Times New Roman" w:cs="Times New Roman"/>
          <w:sz w:val="20"/>
          <w:szCs w:val="20"/>
          <w:lang w:val="en-US"/>
        </w:rPr>
        <w:t xml:space="preserve"> have been associated with worse outcomes in multiple sclerosis (MS) patients treated with</w:t>
      </w:r>
      <w:r>
        <w:rPr>
          <w:rFonts w:ascii="Times New Roman" w:hAnsi="Times New Roman" w:cs="Times New Roman"/>
          <w:color w:val="808080" w:themeColor="background1" w:themeShade="80"/>
          <w:sz w:val="20"/>
          <w:szCs w:val="20"/>
          <w:lang w:val="en-US"/>
        </w:rPr>
        <w:t xml:space="preserve"> </w:t>
      </w:r>
      <w:r>
        <w:rPr>
          <w:rFonts w:ascii="Times New Roman" w:hAnsi="Times New Roman" w:cs="Times New Roman"/>
          <w:sz w:val="20"/>
          <w:szCs w:val="20"/>
          <w:lang w:val="en-US"/>
        </w:rPr>
        <w:t>interferon-beta. Association of vitamin D nutrition on the outcomes of other MS therapies has been studied less</w:t>
      </w:r>
      <w:r>
        <w:rPr>
          <w:rFonts w:ascii="Times New Roman" w:hAnsi="Times New Roman" w:cs="Times New Roman"/>
          <w:color w:val="A6A6A6" w:themeColor="background1" w:themeShade="A6"/>
          <w:sz w:val="20"/>
          <w:szCs w:val="20"/>
          <w:lang w:val="en-US"/>
        </w:rPr>
        <w:t>.</w:t>
      </w:r>
      <w:r>
        <w:rPr>
          <w:rFonts w:ascii="Times New Roman" w:hAnsi="Times New Roman" w:cs="Times New Roman"/>
          <w:sz w:val="20"/>
          <w:szCs w:val="20"/>
          <w:lang w:val="en-US"/>
        </w:rPr>
        <w:t xml:space="preserve"> </w:t>
      </w:r>
    </w:p>
    <w:p w:rsidR="007367AD" w:rsidRDefault="007367AD" w:rsidP="007367AD">
      <w:pPr>
        <w:spacing w:line="276" w:lineRule="auto"/>
        <w:rPr>
          <w:rFonts w:ascii="Times New Roman" w:hAnsi="Times New Roman" w:cs="Times New Roman"/>
          <w:sz w:val="20"/>
          <w:szCs w:val="20"/>
          <w:lang w:val="en-US"/>
        </w:rPr>
      </w:pPr>
    </w:p>
    <w:p w:rsidR="007367AD" w:rsidRDefault="007367AD" w:rsidP="007367AD">
      <w:pPr>
        <w:spacing w:line="276" w:lineRule="auto"/>
        <w:rPr>
          <w:rFonts w:ascii="Times New Roman" w:hAnsi="Times New Roman" w:cs="Times New Roman"/>
          <w:color w:val="FF0000"/>
          <w:sz w:val="20"/>
          <w:szCs w:val="20"/>
          <w:lang w:val="en-US"/>
        </w:rPr>
      </w:pPr>
      <w:r>
        <w:rPr>
          <w:rFonts w:ascii="Times New Roman" w:hAnsi="Times New Roman" w:cs="Times New Roman"/>
          <w:b/>
          <w:sz w:val="20"/>
          <w:szCs w:val="20"/>
          <w:lang w:val="en-US"/>
        </w:rPr>
        <w:t xml:space="preserve">Objective: </w:t>
      </w:r>
      <w:r>
        <w:rPr>
          <w:rFonts w:ascii="Times New Roman" w:hAnsi="Times New Roman" w:cs="Times New Roman"/>
          <w:sz w:val="20"/>
          <w:szCs w:val="20"/>
          <w:lang w:val="en-US"/>
        </w:rPr>
        <w:t xml:space="preserve">Whether patients in the phase 3 fingolimod trials using vitamin D supplements have better clinical, MRI and safety outcomes than non-users. </w:t>
      </w:r>
    </w:p>
    <w:p w:rsidR="007367AD" w:rsidRDefault="007367AD" w:rsidP="007367AD">
      <w:pPr>
        <w:spacing w:line="276" w:lineRule="auto"/>
        <w:rPr>
          <w:rFonts w:ascii="Times New Roman" w:hAnsi="Times New Roman" w:cs="Times New Roman"/>
          <w:b/>
          <w:sz w:val="20"/>
          <w:szCs w:val="20"/>
          <w:lang w:val="en-US"/>
        </w:rPr>
      </w:pPr>
    </w:p>
    <w:p w:rsidR="007367AD" w:rsidRDefault="007367AD" w:rsidP="007367AD">
      <w:pPr>
        <w:spacing w:line="276" w:lineRule="auto"/>
        <w:rPr>
          <w:rFonts w:ascii="Times New Roman" w:hAnsi="Times New Roman" w:cs="Times New Roman"/>
          <w:color w:val="FF0000"/>
          <w:sz w:val="20"/>
          <w:szCs w:val="20"/>
          <w:lang w:val="de-CH"/>
        </w:rPr>
      </w:pPr>
      <w:r>
        <w:rPr>
          <w:rFonts w:ascii="Times New Roman" w:hAnsi="Times New Roman" w:cs="Times New Roman"/>
          <w:b/>
          <w:sz w:val="20"/>
          <w:szCs w:val="20"/>
          <w:lang w:val="en-US"/>
        </w:rPr>
        <w:t>Materials and Methods:</w:t>
      </w:r>
      <w:r>
        <w:rPr>
          <w:rFonts w:ascii="Times New Roman" w:hAnsi="Times New Roman" w:cs="Times New Roman"/>
          <w:sz w:val="20"/>
          <w:szCs w:val="20"/>
          <w:lang w:val="en-US"/>
        </w:rPr>
        <w:t xml:space="preserve"> </w:t>
      </w:r>
      <w:r w:rsidRPr="007367AD">
        <w:rPr>
          <w:rFonts w:ascii="Times New Roman" w:hAnsi="Times New Roman" w:cs="Times New Roman"/>
          <w:sz w:val="20"/>
          <w:szCs w:val="20"/>
          <w:lang w:val="en-US"/>
        </w:rPr>
        <w:t>Pooled data from phase</w:t>
      </w:r>
      <w:r>
        <w:rPr>
          <w:rFonts w:ascii="Times New Roman" w:hAnsi="Times New Roman" w:cs="Times New Roman"/>
          <w:sz w:val="20"/>
          <w:szCs w:val="20"/>
          <w:lang w:val="de-CH"/>
        </w:rPr>
        <w:t xml:space="preserve"> 3 FREEDOMS</w:t>
      </w:r>
      <w:r w:rsidRPr="007367AD">
        <w:rPr>
          <w:rFonts w:ascii="Times New Roman" w:hAnsi="Times New Roman" w:cs="Times New Roman"/>
          <w:sz w:val="20"/>
          <w:szCs w:val="20"/>
          <w:lang w:val="en-US"/>
        </w:rPr>
        <w:t xml:space="preserve"> trials</w:t>
      </w:r>
      <w:r>
        <w:rPr>
          <w:rFonts w:ascii="Times New Roman" w:hAnsi="Times New Roman" w:cs="Times New Roman"/>
          <w:sz w:val="20"/>
          <w:szCs w:val="20"/>
          <w:lang w:val="de-CH"/>
        </w:rPr>
        <w:t xml:space="preserve"> was</w:t>
      </w:r>
      <w:r>
        <w:rPr>
          <w:rFonts w:ascii="Times New Roman" w:hAnsi="Times New Roman" w:cs="Times New Roman"/>
          <w:sz w:val="20"/>
          <w:szCs w:val="20"/>
          <w:lang w:val="en-US"/>
        </w:rPr>
        <w:t xml:space="preserve"> analyz</w:t>
      </w:r>
      <w:r w:rsidRPr="007367AD">
        <w:rPr>
          <w:rFonts w:ascii="Times New Roman" w:hAnsi="Times New Roman" w:cs="Times New Roman"/>
          <w:sz w:val="20"/>
          <w:szCs w:val="20"/>
          <w:lang w:val="en-US"/>
        </w:rPr>
        <w:t>ed post</w:t>
      </w:r>
      <w:r>
        <w:rPr>
          <w:rFonts w:ascii="Times New Roman" w:hAnsi="Times New Roman" w:cs="Times New Roman"/>
          <w:sz w:val="20"/>
          <w:szCs w:val="20"/>
          <w:lang w:val="de-CH"/>
        </w:rPr>
        <w:t xml:space="preserve"> hoc. Vitamin D</w:t>
      </w:r>
      <w:r w:rsidRPr="007367AD">
        <w:rPr>
          <w:rFonts w:ascii="Times New Roman" w:hAnsi="Times New Roman" w:cs="Times New Roman"/>
          <w:sz w:val="20"/>
          <w:szCs w:val="20"/>
          <w:lang w:val="en-US"/>
        </w:rPr>
        <w:t xml:space="preserve"> use</w:t>
      </w:r>
      <w:r>
        <w:rPr>
          <w:rFonts w:ascii="Times New Roman" w:hAnsi="Times New Roman" w:cs="Times New Roman"/>
          <w:sz w:val="20"/>
          <w:szCs w:val="20"/>
          <w:lang w:val="de-CH"/>
        </w:rPr>
        <w:t xml:space="preserve"> was</w:t>
      </w:r>
      <w:r w:rsidRPr="007367AD">
        <w:rPr>
          <w:rFonts w:ascii="Times New Roman" w:hAnsi="Times New Roman" w:cs="Times New Roman"/>
          <w:sz w:val="20"/>
          <w:szCs w:val="20"/>
          <w:lang w:val="en-US"/>
        </w:rPr>
        <w:t xml:space="preserve"> defined as</w:t>
      </w:r>
      <w:r>
        <w:rPr>
          <w:rFonts w:ascii="Times New Roman" w:hAnsi="Times New Roman" w:cs="Times New Roman"/>
          <w:sz w:val="20"/>
          <w:szCs w:val="20"/>
          <w:lang w:val="de-CH"/>
        </w:rPr>
        <w:t xml:space="preserve"> ´non-users´ (n=562), ´</w:t>
      </w:r>
      <w:r w:rsidRPr="007367AD">
        <w:rPr>
          <w:rFonts w:ascii="Times New Roman" w:hAnsi="Times New Roman" w:cs="Times New Roman"/>
          <w:sz w:val="20"/>
          <w:szCs w:val="20"/>
          <w:lang w:val="en-US"/>
        </w:rPr>
        <w:t>casual users</w:t>
      </w:r>
      <w:r>
        <w:rPr>
          <w:rFonts w:ascii="Times New Roman" w:hAnsi="Times New Roman" w:cs="Times New Roman"/>
          <w:sz w:val="20"/>
          <w:szCs w:val="20"/>
          <w:lang w:val="de-CH"/>
        </w:rPr>
        <w:t>´ (n=157)</w:t>
      </w:r>
      <w:r w:rsidRPr="007367AD">
        <w:rPr>
          <w:rFonts w:ascii="Times New Roman" w:hAnsi="Times New Roman" w:cs="Times New Roman"/>
          <w:sz w:val="20"/>
          <w:szCs w:val="20"/>
          <w:lang w:val="en-US"/>
        </w:rPr>
        <w:t xml:space="preserve"> and</w:t>
      </w:r>
      <w:r>
        <w:rPr>
          <w:rFonts w:ascii="Times New Roman" w:hAnsi="Times New Roman" w:cs="Times New Roman"/>
          <w:sz w:val="20"/>
          <w:szCs w:val="20"/>
          <w:lang w:val="de-CH"/>
        </w:rPr>
        <w:t xml:space="preserve"> </w:t>
      </w:r>
      <w:r w:rsidRPr="007367AD">
        <w:rPr>
          <w:rFonts w:ascii="Times New Roman" w:hAnsi="Times New Roman" w:cs="Times New Roman"/>
          <w:sz w:val="20"/>
          <w:szCs w:val="20"/>
          <w:lang w:val="en-US"/>
        </w:rPr>
        <w:t>´daily users</w:t>
      </w:r>
      <w:r>
        <w:rPr>
          <w:rFonts w:ascii="Times New Roman" w:hAnsi="Times New Roman" w:cs="Times New Roman"/>
          <w:sz w:val="20"/>
          <w:szCs w:val="20"/>
          <w:lang w:val="de-CH"/>
        </w:rPr>
        <w:t xml:space="preserve">´ </w:t>
      </w:r>
      <w:r w:rsidRPr="007367AD">
        <w:rPr>
          <w:rFonts w:ascii="Times New Roman" w:hAnsi="Times New Roman" w:cs="Times New Roman"/>
          <w:sz w:val="20"/>
          <w:szCs w:val="20"/>
          <w:lang w:val="en-US"/>
        </w:rPr>
        <w:t>(usage</w:t>
      </w:r>
      <w:r>
        <w:rPr>
          <w:rFonts w:ascii="Times New Roman" w:hAnsi="Times New Roman" w:cs="Times New Roman"/>
          <w:sz w:val="20"/>
          <w:szCs w:val="20"/>
          <w:lang w:val="de-CH"/>
        </w:rPr>
        <w:t xml:space="preserve"> 100% time in</w:t>
      </w:r>
      <w:r w:rsidRPr="007367AD">
        <w:rPr>
          <w:rFonts w:ascii="Times New Roman" w:hAnsi="Times New Roman" w:cs="Times New Roman"/>
          <w:sz w:val="20"/>
          <w:szCs w:val="20"/>
          <w:lang w:val="en-US"/>
        </w:rPr>
        <w:t xml:space="preserve"> the study</w:t>
      </w:r>
      <w:r>
        <w:rPr>
          <w:rFonts w:ascii="Times New Roman" w:hAnsi="Times New Roman" w:cs="Times New Roman"/>
          <w:sz w:val="20"/>
          <w:szCs w:val="20"/>
          <w:lang w:val="de-CH"/>
        </w:rPr>
        <w:t xml:space="preserve">, n=110). </w:t>
      </w:r>
    </w:p>
    <w:p w:rsidR="007367AD" w:rsidRDefault="007367AD" w:rsidP="007367AD">
      <w:pPr>
        <w:pStyle w:val="NormalWeb"/>
        <w:spacing w:before="0" w:beforeAutospacing="0" w:after="0" w:afterAutospacing="0" w:line="276" w:lineRule="auto"/>
        <w:jc w:val="both"/>
        <w:textAlignment w:val="baseline"/>
        <w:rPr>
          <w:b/>
          <w:sz w:val="20"/>
          <w:szCs w:val="20"/>
          <w:lang w:val="en-US"/>
        </w:rPr>
      </w:pPr>
    </w:p>
    <w:p w:rsidR="007367AD" w:rsidRPr="00AB39BE" w:rsidRDefault="007367AD" w:rsidP="007367AD">
      <w:pPr>
        <w:spacing w:line="276" w:lineRule="auto"/>
        <w:jc w:val="both"/>
        <w:rPr>
          <w:rFonts w:ascii="Times New Roman" w:hAnsi="Times New Roman" w:cs="Times New Roman"/>
          <w:sz w:val="20"/>
          <w:szCs w:val="20"/>
          <w:lang w:val="en-US"/>
        </w:rPr>
      </w:pPr>
      <w:r>
        <w:rPr>
          <w:b/>
          <w:sz w:val="20"/>
          <w:szCs w:val="20"/>
          <w:lang w:val="en-US"/>
        </w:rPr>
        <w:t>Results:</w:t>
      </w:r>
      <w:r w:rsidRPr="007367AD">
        <w:rPr>
          <w:b/>
          <w:sz w:val="20"/>
          <w:szCs w:val="20"/>
          <w:lang w:val="en-US"/>
        </w:rPr>
        <w:t xml:space="preserve"> </w:t>
      </w:r>
      <w:r w:rsidRPr="007367AD">
        <w:rPr>
          <w:rFonts w:ascii="Times New Roman" w:hAnsi="Times New Roman" w:cs="Times New Roman"/>
          <w:sz w:val="20"/>
          <w:szCs w:val="20"/>
          <w:lang w:val="en-US"/>
        </w:rPr>
        <w:t>Expanded Disability</w:t>
      </w:r>
      <w:r>
        <w:rPr>
          <w:rFonts w:ascii="Times New Roman" w:hAnsi="Times New Roman" w:cs="Times New Roman"/>
          <w:sz w:val="20"/>
          <w:szCs w:val="20"/>
          <w:lang w:val="de-CH"/>
        </w:rPr>
        <w:t xml:space="preserve"> Status</w:t>
      </w:r>
      <w:r w:rsidRPr="007367AD">
        <w:rPr>
          <w:rFonts w:ascii="Times New Roman" w:hAnsi="Times New Roman" w:cs="Times New Roman"/>
          <w:sz w:val="20"/>
          <w:szCs w:val="20"/>
          <w:lang w:val="en-US"/>
        </w:rPr>
        <w:t xml:space="preserve"> Scale</w:t>
      </w:r>
      <w:r>
        <w:rPr>
          <w:rFonts w:ascii="Times New Roman" w:hAnsi="Times New Roman" w:cs="Times New Roman"/>
          <w:sz w:val="20"/>
          <w:szCs w:val="20"/>
          <w:lang w:val="de-CH"/>
        </w:rPr>
        <w:t xml:space="preserve"> </w:t>
      </w:r>
      <w:r w:rsidRPr="00AB39BE">
        <w:rPr>
          <w:rFonts w:ascii="Times New Roman" w:hAnsi="Times New Roman" w:cs="Times New Roman"/>
          <w:sz w:val="20"/>
          <w:szCs w:val="20"/>
          <w:lang w:val="en-US"/>
        </w:rPr>
        <w:t>change from baseline to month 24,</w:t>
      </w:r>
      <w:r w:rsidRPr="00AB39BE">
        <w:rPr>
          <w:rFonts w:ascii="Times New Roman" w:hAnsi="Times New Roman" w:cs="Times New Roman"/>
          <w:color w:val="A6A6A6" w:themeColor="background1" w:themeShade="A6"/>
          <w:sz w:val="20"/>
          <w:szCs w:val="20"/>
          <w:lang w:val="en-US"/>
        </w:rPr>
        <w:t xml:space="preserve"> </w:t>
      </w:r>
      <w:r w:rsidRPr="00AB39BE">
        <w:rPr>
          <w:rFonts w:ascii="Times New Roman" w:hAnsi="Times New Roman" w:cs="Times New Roman"/>
          <w:sz w:val="20"/>
          <w:szCs w:val="20"/>
          <w:lang w:val="en-US"/>
        </w:rPr>
        <w:t xml:space="preserve">annual relapse rate and proportion of patients with relapses were similar across the vitamin D user groups. Proportion of patients free of new/enlarging T2-lesions significantly favored vitamin D ´daily users´ </w:t>
      </w:r>
      <w:r w:rsidRPr="00AB39BE">
        <w:rPr>
          <w:rFonts w:ascii="Times New Roman" w:hAnsi="Times New Roman" w:cs="Times New Roman"/>
          <w:color w:val="000000" w:themeColor="text1"/>
          <w:sz w:val="20"/>
          <w:szCs w:val="20"/>
          <w:lang w:val="en-US"/>
        </w:rPr>
        <w:t xml:space="preserve">versus ´non-users´. </w:t>
      </w:r>
      <w:r w:rsidRPr="00AB39BE">
        <w:rPr>
          <w:rFonts w:ascii="Times New Roman" w:hAnsi="Times New Roman" w:cs="Times New Roman"/>
          <w:sz w:val="20"/>
          <w:szCs w:val="20"/>
          <w:lang w:val="en-US"/>
        </w:rPr>
        <w:t xml:space="preserve">Mean number of lesions were lower and proportion of patients free of gadolinium-enhanced T1-lesions were higher in the ´daily users´. At month 12, percent brain volume change was significantly lower in the ´daily users´ versus ´non-users´ and remained low at month 24 (non-significant). Incidence of depression was lower for vitamin D ´daily users´ (non-significant). </w:t>
      </w:r>
      <w:r w:rsidRPr="00AB39BE">
        <w:rPr>
          <w:rFonts w:ascii="Times New Roman" w:hAnsi="Times New Roman" w:cs="Times New Roman"/>
          <w:color w:val="A6A6A6" w:themeColor="background1" w:themeShade="A6"/>
          <w:sz w:val="20"/>
          <w:szCs w:val="20"/>
          <w:lang w:val="en-US"/>
        </w:rPr>
        <w:t xml:space="preserve"> </w:t>
      </w:r>
    </w:p>
    <w:p w:rsidR="007367AD" w:rsidRDefault="007367AD" w:rsidP="007367AD">
      <w:pPr>
        <w:spacing w:line="276" w:lineRule="auto"/>
        <w:jc w:val="both"/>
        <w:rPr>
          <w:rFonts w:ascii="Times New Roman" w:hAnsi="Times New Roman" w:cs="Times New Roman"/>
          <w:b/>
          <w:sz w:val="20"/>
          <w:szCs w:val="20"/>
          <w:lang w:val="en-US"/>
        </w:rPr>
      </w:pPr>
    </w:p>
    <w:p w:rsidR="007367AD" w:rsidRDefault="007367AD" w:rsidP="007367AD">
      <w:pPr>
        <w:spacing w:line="276" w:lineRule="auto"/>
        <w:jc w:val="both"/>
        <w:rPr>
          <w:rFonts w:ascii="Times New Roman" w:hAnsi="Times New Roman" w:cs="Times New Roman"/>
          <w:sz w:val="20"/>
          <w:szCs w:val="20"/>
          <w:lang w:val="en-US"/>
        </w:rPr>
      </w:pPr>
      <w:r>
        <w:rPr>
          <w:rFonts w:ascii="Times New Roman" w:hAnsi="Times New Roman" w:cs="Times New Roman"/>
          <w:b/>
          <w:sz w:val="20"/>
          <w:szCs w:val="20"/>
          <w:lang w:val="en-US"/>
        </w:rPr>
        <w:t>Conclusions:</w:t>
      </w:r>
      <w:r>
        <w:rPr>
          <w:rFonts w:ascii="Times New Roman" w:hAnsi="Times New Roman" w:cs="Times New Roman"/>
          <w:sz w:val="20"/>
          <w:szCs w:val="20"/>
          <w:lang w:val="en-US"/>
        </w:rPr>
        <w:t xml:space="preserve"> We observed</w:t>
      </w:r>
      <w:r>
        <w:rPr>
          <w:rFonts w:ascii="Times New Roman" w:hAnsi="Times New Roman" w:cs="Times New Roman"/>
          <w:color w:val="A6A6A6" w:themeColor="background1" w:themeShade="A6"/>
          <w:sz w:val="20"/>
          <w:szCs w:val="20"/>
          <w:lang w:val="en-US"/>
        </w:rPr>
        <w:t xml:space="preserve"> </w:t>
      </w:r>
      <w:r>
        <w:rPr>
          <w:rFonts w:ascii="Times New Roman" w:hAnsi="Times New Roman" w:cs="Times New Roman"/>
          <w:sz w:val="20"/>
          <w:szCs w:val="20"/>
          <w:lang w:val="en-US"/>
        </w:rPr>
        <w:t>improved</w:t>
      </w:r>
      <w:r>
        <w:rPr>
          <w:rFonts w:ascii="Times New Roman" w:hAnsi="Times New Roman" w:cs="Times New Roman"/>
          <w:color w:val="538135" w:themeColor="accent6" w:themeShade="BF"/>
          <w:sz w:val="20"/>
          <w:szCs w:val="20"/>
          <w:lang w:val="en-US"/>
        </w:rPr>
        <w:t xml:space="preserve"> </w:t>
      </w:r>
      <w:r>
        <w:rPr>
          <w:rFonts w:ascii="Times New Roman" w:hAnsi="Times New Roman" w:cs="Times New Roman"/>
          <w:sz w:val="20"/>
          <w:szCs w:val="20"/>
          <w:lang w:val="en-US"/>
        </w:rPr>
        <w:t xml:space="preserve">MRI outcomes on percent brain volume change and proportion of patients free of new/enlarging T2 lesions, and a trend of less depression in the ´daily users´ of vitamin D supplement in patients in the FREEDOMS trials.   </w:t>
      </w:r>
    </w:p>
    <w:p w:rsidR="007367AD" w:rsidRDefault="007367AD" w:rsidP="007367AD">
      <w:pPr>
        <w:spacing w:line="276" w:lineRule="auto"/>
        <w:rPr>
          <w:rFonts w:ascii="Times New Roman" w:hAnsi="Times New Roman" w:cs="Times New Roman"/>
          <w:b/>
          <w:sz w:val="20"/>
          <w:szCs w:val="20"/>
          <w:lang w:val="en-US"/>
        </w:rPr>
      </w:pPr>
    </w:p>
    <w:p w:rsidR="007367AD" w:rsidRDefault="007367AD" w:rsidP="007367AD">
      <w:pPr>
        <w:spacing w:line="276" w:lineRule="auto"/>
        <w:rPr>
          <w:rFonts w:ascii="Times New Roman" w:hAnsi="Times New Roman" w:cs="Times New Roman"/>
          <w:color w:val="A6A6A6" w:themeColor="background1" w:themeShade="A6"/>
          <w:sz w:val="20"/>
          <w:szCs w:val="20"/>
          <w:lang w:val="en-US"/>
        </w:rPr>
      </w:pPr>
      <w:r>
        <w:rPr>
          <w:rFonts w:ascii="Times New Roman" w:hAnsi="Times New Roman" w:cs="Times New Roman"/>
          <w:b/>
          <w:sz w:val="20"/>
          <w:szCs w:val="20"/>
          <w:lang w:val="en-US"/>
        </w:rPr>
        <w:t xml:space="preserve">Keywords: </w:t>
      </w:r>
      <w:r>
        <w:rPr>
          <w:rFonts w:ascii="Times New Roman" w:hAnsi="Times New Roman" w:cs="Times New Roman"/>
          <w:sz w:val="20"/>
          <w:szCs w:val="20"/>
          <w:lang w:val="en-US"/>
        </w:rPr>
        <w:t>MS, vitamin D, fingolimod, EDSS, MRI</w:t>
      </w:r>
    </w:p>
    <w:p w:rsidR="007367AD" w:rsidRDefault="007367AD" w:rsidP="007367AD">
      <w:pPr>
        <w:spacing w:line="276" w:lineRule="auto"/>
        <w:rPr>
          <w:rFonts w:ascii="Times New Roman" w:hAnsi="Times New Roman" w:cs="Times New Roman"/>
          <w:b/>
          <w:sz w:val="20"/>
          <w:szCs w:val="20"/>
          <w:lang w:val="en-US"/>
        </w:rPr>
      </w:pPr>
    </w:p>
    <w:p w:rsidR="007367AD" w:rsidRDefault="007367AD" w:rsidP="007367AD">
      <w:pPr>
        <w:spacing w:line="276" w:lineRule="auto"/>
        <w:jc w:val="both"/>
        <w:rPr>
          <w:rFonts w:ascii="Times New Roman" w:hAnsi="Times New Roman" w:cs="Times New Roman"/>
          <w:b/>
          <w:sz w:val="20"/>
          <w:szCs w:val="20"/>
          <w:lang w:val="en-US"/>
        </w:rPr>
      </w:pPr>
    </w:p>
    <w:p w:rsidR="007367AD" w:rsidRDefault="007367AD" w:rsidP="007367AD">
      <w:pPr>
        <w:spacing w:line="276"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Acknowledgements</w:t>
      </w:r>
    </w:p>
    <w:p w:rsidR="007367AD" w:rsidRDefault="007367AD" w:rsidP="007367AD">
      <w:pPr>
        <w:spacing w:line="276"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The authors acknowledge the following Novartis employees: Akhilesh Singh for medical writing assistance, Rishard Salie for scientific editorial review and coordinating author reviews and Ras</w:t>
      </w:r>
      <w:r>
        <w:rPr>
          <w:sz w:val="20"/>
          <w:szCs w:val="20"/>
          <w:lang w:val="en-US"/>
        </w:rPr>
        <w:t xml:space="preserve"> </w:t>
      </w:r>
      <w:r>
        <w:rPr>
          <w:rFonts w:ascii="Times New Roman" w:hAnsi="Times New Roman" w:cs="Times New Roman"/>
          <w:sz w:val="20"/>
          <w:szCs w:val="20"/>
          <w:lang w:val="en-US"/>
        </w:rPr>
        <w:t>Behari Koner for design assistance. The authors acknowledge the Finnish Neurological Society for travel grant and financial funding</w:t>
      </w:r>
      <w:r>
        <w:rPr>
          <w:rFonts w:ascii="Times New Roman" w:hAnsi="Times New Roman" w:cs="Times New Roman"/>
          <w:color w:val="008000"/>
          <w:sz w:val="20"/>
          <w:szCs w:val="20"/>
          <w:lang w:val="en-US"/>
        </w:rPr>
        <w:t xml:space="preserve"> </w:t>
      </w:r>
      <w:r>
        <w:rPr>
          <w:rFonts w:ascii="Times New Roman" w:hAnsi="Times New Roman" w:cs="Times New Roman"/>
          <w:sz w:val="20"/>
          <w:szCs w:val="20"/>
          <w:lang w:val="en-US"/>
        </w:rPr>
        <w:t>and the Cultural Foundation of</w:t>
      </w:r>
      <w:r w:rsidRPr="0068193B">
        <w:rPr>
          <w:rFonts w:ascii="Times New Roman" w:hAnsi="Times New Roman" w:cs="Times New Roman"/>
          <w:sz w:val="20"/>
          <w:szCs w:val="20"/>
          <w:lang w:val="sv-FI"/>
        </w:rPr>
        <w:t xml:space="preserve"> Åland</w:t>
      </w:r>
      <w:r>
        <w:rPr>
          <w:rFonts w:ascii="Times New Roman" w:hAnsi="Times New Roman" w:cs="Times New Roman"/>
          <w:sz w:val="20"/>
          <w:szCs w:val="20"/>
          <w:lang w:val="en-US"/>
        </w:rPr>
        <w:t xml:space="preserve"> for financial funding of the manuscript. This study was funded by Novartis Pharma AG Basel, Switzerland. The final responsibility for content lies with the authors.</w:t>
      </w:r>
    </w:p>
    <w:p w:rsidR="007367AD" w:rsidRDefault="007367AD" w:rsidP="007367AD">
      <w:pPr>
        <w:spacing w:line="276" w:lineRule="auto"/>
        <w:jc w:val="both"/>
        <w:rPr>
          <w:rFonts w:ascii="Times New Roman" w:hAnsi="Times New Roman" w:cs="Times New Roman"/>
          <w:b/>
          <w:sz w:val="20"/>
          <w:szCs w:val="20"/>
          <w:lang w:val="en-US"/>
        </w:rPr>
      </w:pPr>
    </w:p>
    <w:p w:rsidR="007367AD" w:rsidRDefault="007367AD" w:rsidP="007367AD">
      <w:pPr>
        <w:spacing w:line="276"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Study funding</w:t>
      </w:r>
    </w:p>
    <w:p w:rsidR="007367AD" w:rsidRDefault="007367AD" w:rsidP="007367AD">
      <w:pPr>
        <w:spacing w:line="276"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This post hoc analysis and data-mining were funded by Novartis. The corresponding author got financial support from the Cultural Foundation of</w:t>
      </w:r>
      <w:r w:rsidRPr="0068193B">
        <w:rPr>
          <w:rFonts w:ascii="Times New Roman" w:hAnsi="Times New Roman" w:cs="Times New Roman"/>
          <w:sz w:val="20"/>
          <w:szCs w:val="20"/>
          <w:lang w:val="sv-FI"/>
        </w:rPr>
        <w:t xml:space="preserve"> Åland</w:t>
      </w:r>
      <w:r>
        <w:rPr>
          <w:rFonts w:ascii="Times New Roman" w:hAnsi="Times New Roman" w:cs="Times New Roman"/>
          <w:sz w:val="20"/>
          <w:szCs w:val="20"/>
          <w:lang w:val="en-US"/>
        </w:rPr>
        <w:t xml:space="preserve"> for drafting of the manuscript.</w:t>
      </w: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b/>
          <w:sz w:val="20"/>
          <w:szCs w:val="20"/>
          <w:lang w:val="en-US"/>
        </w:rPr>
        <w:t>Introduction</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autoSpaceDE w:val="0"/>
        <w:autoSpaceDN w:val="0"/>
        <w:adjustRightInd w:val="0"/>
        <w:spacing w:line="360" w:lineRule="auto"/>
        <w:ind w:firstLine="1304"/>
        <w:jc w:val="both"/>
        <w:rPr>
          <w:rFonts w:ascii="Times New Roman" w:hAnsi="Times New Roman" w:cs="Times New Roman"/>
          <w:color w:val="1A171C"/>
          <w:sz w:val="20"/>
          <w:szCs w:val="20"/>
          <w:lang w:val="en-US"/>
        </w:rPr>
      </w:pPr>
      <w:r>
        <w:rPr>
          <w:rFonts w:ascii="Times New Roman" w:hAnsi="Times New Roman" w:cs="Times New Roman"/>
          <w:sz w:val="20"/>
          <w:szCs w:val="20"/>
          <w:lang w:val="en-US"/>
        </w:rPr>
        <w:t xml:space="preserve">A strong epidemiological link between vitamin D nutrition and the risk of MS has been substantiated in several studies </w:t>
      </w:r>
      <w:r>
        <w:rPr>
          <w:rFonts w:ascii="Times New Roman" w:hAnsi="Times New Roman" w:cs="Times New Roman"/>
          <w:sz w:val="20"/>
          <w:szCs w:val="20"/>
        </w:rPr>
        <w:sym w:font="Symbol" w:char="F05B"/>
      </w:r>
      <w:r>
        <w:rPr>
          <w:rFonts w:ascii="Times New Roman" w:hAnsi="Times New Roman" w:cs="Times New Roman"/>
          <w:sz w:val="20"/>
          <w:szCs w:val="20"/>
          <w:lang w:val="en-US"/>
        </w:rPr>
        <w:t>1, 2</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Intake of vitamin D from multivitamin supplements, high sun exposure in childhood or adolescence, and serum levels of vitamin D &gt;100 nmol/L are all associated with a lower incidence of MS </w:t>
      </w:r>
      <w:r>
        <w:rPr>
          <w:rFonts w:ascii="Times New Roman" w:hAnsi="Times New Roman" w:cs="Times New Roman"/>
          <w:sz w:val="20"/>
          <w:szCs w:val="20"/>
        </w:rPr>
        <w:sym w:font="Symbol" w:char="F05B"/>
      </w:r>
      <w:r>
        <w:rPr>
          <w:rFonts w:ascii="Times New Roman" w:hAnsi="Times New Roman" w:cs="Times New Roman"/>
          <w:sz w:val="20"/>
          <w:szCs w:val="20"/>
          <w:lang w:val="en-US"/>
        </w:rPr>
        <w:t>3-6</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A recent study performed from a pregnancy serum sample biobank from Finland </w:t>
      </w:r>
      <w:r>
        <w:rPr>
          <w:rFonts w:ascii="Times New Roman" w:hAnsi="Times New Roman" w:cs="Times New Roman"/>
          <w:color w:val="1A171C"/>
          <w:sz w:val="20"/>
          <w:szCs w:val="20"/>
          <w:lang w:val="en-US"/>
        </w:rPr>
        <w:t xml:space="preserve">showed, that offspring of mothers with </w:t>
      </w:r>
      <w:r>
        <w:rPr>
          <w:rFonts w:ascii="Times New Roman" w:hAnsi="Times New Roman" w:cs="Times New Roman"/>
          <w:color w:val="1A171C"/>
          <w:sz w:val="20"/>
          <w:szCs w:val="20"/>
          <w:lang w:val="en-US"/>
        </w:rPr>
        <w:lastRenderedPageBreak/>
        <w:t>deficient levels of vitamin D during early pregnancy have a 2-fold risk of developing MS compared with children born to mothers with normal levels</w:t>
      </w:r>
      <w:r>
        <w:rPr>
          <w:rFonts w:ascii="Times New Roman" w:hAnsi="Times New Roman" w:cs="Times New Roman"/>
          <w:sz w:val="20"/>
          <w:szCs w:val="20"/>
          <w:lang w:val="en-US"/>
        </w:rPr>
        <w:t xml:space="preserve"> </w:t>
      </w:r>
      <w:r>
        <w:rPr>
          <w:rFonts w:ascii="Times New Roman" w:hAnsi="Times New Roman" w:cs="Times New Roman"/>
          <w:sz w:val="20"/>
          <w:szCs w:val="20"/>
        </w:rPr>
        <w:sym w:font="Symbol" w:char="F05B"/>
      </w:r>
      <w:r>
        <w:rPr>
          <w:rFonts w:ascii="Times New Roman" w:hAnsi="Times New Roman" w:cs="Times New Roman"/>
          <w:sz w:val="20"/>
          <w:szCs w:val="20"/>
          <w:lang w:val="en-US"/>
        </w:rPr>
        <w:t>7</w:t>
      </w:r>
      <w:r>
        <w:rPr>
          <w:rFonts w:ascii="Times New Roman" w:hAnsi="Times New Roman" w:cs="Times New Roman"/>
          <w:sz w:val="20"/>
          <w:szCs w:val="20"/>
        </w:rPr>
        <w:sym w:font="Symbol" w:char="F05D"/>
      </w:r>
      <w:r>
        <w:rPr>
          <w:rFonts w:ascii="Times New Roman" w:hAnsi="Times New Roman" w:cs="Times New Roman"/>
          <w:sz w:val="20"/>
          <w:szCs w:val="20"/>
          <w:lang w:val="en-US"/>
        </w:rPr>
        <w:t>. This suggests that the timing of vitamin D effect on MS-risk may be as early as during fetal period.</w:t>
      </w:r>
    </w:p>
    <w:p w:rsidR="007367AD" w:rsidRDefault="007367AD" w:rsidP="007367AD">
      <w:pPr>
        <w:spacing w:line="360" w:lineRule="auto"/>
        <w:ind w:firstLine="130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There is less evidence of the role of vitamin D in established MS. Low serum level of vitamin D has been associated with increased clinical and radiological disease activity in patients with MS </w:t>
      </w:r>
      <w:r>
        <w:rPr>
          <w:rFonts w:ascii="Times New Roman" w:hAnsi="Times New Roman" w:cs="Times New Roman"/>
          <w:sz w:val="20"/>
          <w:szCs w:val="20"/>
        </w:rPr>
        <w:sym w:font="Symbol" w:char="F05B"/>
      </w:r>
      <w:r>
        <w:rPr>
          <w:rFonts w:ascii="Times New Roman" w:hAnsi="Times New Roman" w:cs="Times New Roman"/>
          <w:sz w:val="20"/>
          <w:szCs w:val="20"/>
          <w:lang w:val="en-US"/>
        </w:rPr>
        <w:t>8-12</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In a phase 2 placebo-controlled randomized trial </w:t>
      </w:r>
      <w:r>
        <w:rPr>
          <w:rFonts w:ascii="Times New Roman" w:hAnsi="Times New Roman" w:cs="Times New Roman"/>
          <w:color w:val="000000" w:themeColor="text1"/>
          <w:sz w:val="20"/>
          <w:szCs w:val="20"/>
          <w:lang w:val="en-US"/>
        </w:rPr>
        <w:t xml:space="preserve">with vitamin </w:t>
      </w:r>
      <w:r>
        <w:rPr>
          <w:rFonts w:ascii="Times New Roman" w:hAnsi="Times New Roman" w:cs="Times New Roman"/>
          <w:sz w:val="20"/>
          <w:szCs w:val="20"/>
          <w:lang w:val="en-US"/>
        </w:rPr>
        <w:t>D as an add-on therapy to interferon-beta (IFN-</w:t>
      </w:r>
      <w:r>
        <w:rPr>
          <w:rFonts w:ascii="Times New Roman" w:hAnsi="Times New Roman" w:cs="Times New Roman"/>
          <w:sz w:val="20"/>
          <w:szCs w:val="20"/>
        </w:rPr>
        <w:sym w:font="Symbol" w:char="F062"/>
      </w:r>
      <w:r>
        <w:rPr>
          <w:rFonts w:ascii="Times New Roman" w:hAnsi="Times New Roman" w:cs="Times New Roman"/>
          <w:sz w:val="20"/>
          <w:szCs w:val="20"/>
          <w:lang w:val="en-US"/>
        </w:rPr>
        <w:t xml:space="preserve">), significantly less T1-enhancing lesions on magnetic resonance imaging (MRI) in patients randomized to receive vitamin D at a dose of 20000 IU/week were seen, but no effect could be shown on relapses or Expanded Disability Status Scale (EDSS) progression </w:t>
      </w:r>
      <w:r>
        <w:rPr>
          <w:rFonts w:ascii="Times New Roman" w:hAnsi="Times New Roman" w:cs="Times New Roman"/>
          <w:sz w:val="20"/>
          <w:szCs w:val="20"/>
        </w:rPr>
        <w:sym w:font="Symbol" w:char="F05B"/>
      </w:r>
      <w:r>
        <w:rPr>
          <w:rFonts w:ascii="Times New Roman" w:hAnsi="Times New Roman" w:cs="Times New Roman"/>
          <w:sz w:val="20"/>
          <w:szCs w:val="20"/>
          <w:lang w:val="en-US"/>
        </w:rPr>
        <w:t>13</w:t>
      </w:r>
      <w:r>
        <w:rPr>
          <w:rFonts w:ascii="Times New Roman" w:hAnsi="Times New Roman" w:cs="Times New Roman"/>
          <w:sz w:val="20"/>
          <w:szCs w:val="20"/>
        </w:rPr>
        <w:sym w:font="Symbol" w:char="F05D"/>
      </w:r>
      <w:r>
        <w:rPr>
          <w:rFonts w:ascii="Times New Roman" w:hAnsi="Times New Roman" w:cs="Times New Roman"/>
          <w:sz w:val="20"/>
          <w:szCs w:val="20"/>
          <w:lang w:val="en-US"/>
        </w:rPr>
        <w:t>. The results of the so far largest vi</w:t>
      </w:r>
      <w:r w:rsidR="0068193B">
        <w:rPr>
          <w:rFonts w:ascii="Times New Roman" w:hAnsi="Times New Roman" w:cs="Times New Roman"/>
          <w:sz w:val="20"/>
          <w:szCs w:val="20"/>
          <w:lang w:val="en-US"/>
        </w:rPr>
        <w:t>tamin D add-on trial, the Solar-</w:t>
      </w:r>
      <w:r>
        <w:rPr>
          <w:rFonts w:ascii="Times New Roman" w:hAnsi="Times New Roman" w:cs="Times New Roman"/>
          <w:sz w:val="20"/>
          <w:szCs w:val="20"/>
          <w:lang w:val="en-US"/>
        </w:rPr>
        <w:t>trial, met the primary MRI endpoints, and showed a 30% reduction in relapse rate with vitamin D supplementation as an add-on to IFN-</w:t>
      </w:r>
      <w:r>
        <w:rPr>
          <w:rFonts w:ascii="Times New Roman" w:hAnsi="Times New Roman" w:cs="Times New Roman"/>
          <w:sz w:val="20"/>
          <w:szCs w:val="20"/>
        </w:rPr>
        <w:sym w:font="Symbol" w:char="F062"/>
      </w:r>
      <w:r>
        <w:rPr>
          <w:rFonts w:ascii="Times New Roman" w:hAnsi="Times New Roman" w:cs="Times New Roman"/>
          <w:sz w:val="20"/>
          <w:szCs w:val="20"/>
          <w:lang w:val="en-US"/>
        </w:rPr>
        <w:t xml:space="preserve">, but the relapse efficacy and other clinical endpoints were not statistically significant </w:t>
      </w:r>
      <w:r>
        <w:rPr>
          <w:rFonts w:ascii="Times New Roman" w:hAnsi="Times New Roman" w:cs="Times New Roman"/>
          <w:sz w:val="20"/>
          <w:szCs w:val="20"/>
        </w:rPr>
        <w:sym w:font="Symbol" w:char="F05B"/>
      </w:r>
      <w:r>
        <w:rPr>
          <w:rFonts w:ascii="Times New Roman" w:hAnsi="Times New Roman" w:cs="Times New Roman"/>
          <w:sz w:val="20"/>
          <w:szCs w:val="20"/>
          <w:lang w:val="en-US"/>
        </w:rPr>
        <w:t>14</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In addition to the Solar trial, the strongest evidence so far supporting usefulness of vitamin D therapy in established MS comes from the Benefit trial, where low serum levels of </w:t>
      </w:r>
      <w:r>
        <w:rPr>
          <w:rFonts w:ascii="Times New Roman" w:hAnsi="Times New Roman" w:cs="Times New Roman"/>
          <w:color w:val="000000" w:themeColor="text1"/>
          <w:sz w:val="20"/>
          <w:szCs w:val="20"/>
          <w:lang w:val="en-US"/>
        </w:rPr>
        <w:t>25-hydroxyvitamin D</w:t>
      </w:r>
      <w:r>
        <w:rPr>
          <w:rFonts w:ascii="Times New Roman" w:hAnsi="Times New Roman" w:cs="Times New Roman"/>
          <w:sz w:val="20"/>
          <w:szCs w:val="20"/>
          <w:lang w:val="en-US"/>
        </w:rPr>
        <w:t xml:space="preserve"> (25(OH)D) were associated with worse clinical and MRI </w:t>
      </w:r>
      <w:r>
        <w:rPr>
          <w:rFonts w:ascii="Times New Roman" w:hAnsi="Times New Roman" w:cs="Times New Roman"/>
          <w:sz w:val="20"/>
          <w:szCs w:val="20"/>
          <w:lang w:val="en-US"/>
        </w:rPr>
        <w:lastRenderedPageBreak/>
        <w:t>outcomes in MS patients treated with IFN-</w:t>
      </w:r>
      <w:r>
        <w:rPr>
          <w:rFonts w:ascii="Times New Roman" w:hAnsi="Times New Roman" w:cs="Times New Roman"/>
          <w:sz w:val="20"/>
          <w:szCs w:val="20"/>
        </w:rPr>
        <w:sym w:font="Symbol" w:char="F062"/>
      </w:r>
      <w:r>
        <w:rPr>
          <w:rFonts w:ascii="Times New Roman" w:hAnsi="Times New Roman" w:cs="Times New Roman"/>
          <w:sz w:val="20"/>
          <w:szCs w:val="20"/>
          <w:lang w:val="en-US"/>
        </w:rPr>
        <w:t xml:space="preserve"> 1b </w:t>
      </w:r>
      <w:r>
        <w:rPr>
          <w:rFonts w:ascii="Times New Roman" w:hAnsi="Times New Roman" w:cs="Times New Roman"/>
          <w:sz w:val="20"/>
          <w:szCs w:val="20"/>
        </w:rPr>
        <w:sym w:font="Symbol" w:char="F05B"/>
      </w:r>
      <w:r>
        <w:rPr>
          <w:rFonts w:ascii="Times New Roman" w:hAnsi="Times New Roman" w:cs="Times New Roman"/>
          <w:sz w:val="20"/>
          <w:szCs w:val="20"/>
          <w:lang w:val="en-US"/>
        </w:rPr>
        <w:t>15</w:t>
      </w:r>
      <w:r>
        <w:rPr>
          <w:rFonts w:ascii="Times New Roman" w:hAnsi="Times New Roman" w:cs="Times New Roman"/>
          <w:sz w:val="20"/>
          <w:szCs w:val="20"/>
        </w:rPr>
        <w:sym w:font="Symbol" w:char="F05D"/>
      </w:r>
      <w:r>
        <w:rPr>
          <w:rFonts w:ascii="Times New Roman" w:hAnsi="Times New Roman" w:cs="Times New Roman"/>
          <w:sz w:val="20"/>
          <w:szCs w:val="20"/>
          <w:lang w:val="en-US"/>
        </w:rPr>
        <w:t>. In the BEYOND-trial, where a higher dose of IFN-</w:t>
      </w:r>
      <w:r>
        <w:rPr>
          <w:rFonts w:ascii="Times New Roman" w:hAnsi="Times New Roman" w:cs="Times New Roman"/>
          <w:sz w:val="20"/>
          <w:szCs w:val="20"/>
        </w:rPr>
        <w:sym w:font="Symbol" w:char="F062"/>
      </w:r>
      <w:r>
        <w:rPr>
          <w:rFonts w:ascii="Times New Roman" w:hAnsi="Times New Roman" w:cs="Times New Roman"/>
          <w:sz w:val="20"/>
          <w:szCs w:val="20"/>
          <w:lang w:val="en-US"/>
        </w:rPr>
        <w:t xml:space="preserve"> 1b (500</w:t>
      </w:r>
      <w:r>
        <w:rPr>
          <w:rFonts w:ascii="Symbol" w:hAnsi="Symbol" w:cs="Times New Roman"/>
          <w:sz w:val="20"/>
          <w:szCs w:val="20"/>
          <w:lang w:val="en-US"/>
        </w:rPr>
        <w:t></w:t>
      </w:r>
      <w:r>
        <w:rPr>
          <w:rFonts w:ascii="Times New Roman" w:hAnsi="Times New Roman" w:cs="Times New Roman"/>
          <w:sz w:val="20"/>
          <w:szCs w:val="20"/>
          <w:lang w:val="en-US"/>
        </w:rPr>
        <w:t xml:space="preserve">g) was compared with the standard 250 </w:t>
      </w:r>
      <w:r>
        <w:rPr>
          <w:rFonts w:ascii="Symbol" w:hAnsi="Symbol" w:cs="Times New Roman"/>
          <w:sz w:val="20"/>
          <w:szCs w:val="20"/>
          <w:lang w:val="en-US"/>
        </w:rPr>
        <w:t></w:t>
      </w:r>
      <w:r>
        <w:rPr>
          <w:rFonts w:ascii="Times New Roman" w:hAnsi="Times New Roman" w:cs="Times New Roman"/>
          <w:sz w:val="20"/>
          <w:szCs w:val="20"/>
          <w:lang w:val="en-US"/>
        </w:rPr>
        <w:t>g in 1482 MS patients, higher 25(OH)D levels were associated with lower rates of MS activity observed on MRI such that a 50.0-nmol/L increase in serum 25(OH)D levels associated with a 31% lower rate of new lesions and the lowest rate of new lesions was observed among patients with 25(OH)D levels greater than 100 nmol/L</w:t>
      </w:r>
      <w:r>
        <w:rPr>
          <w:rFonts w:ascii="Times New Roman" w:hAnsi="Times New Roman" w:cs="Times New Roman"/>
          <w:sz w:val="20"/>
          <w:szCs w:val="20"/>
        </w:rPr>
        <w:sym w:font="Symbol" w:char="F05B"/>
      </w:r>
      <w:r>
        <w:rPr>
          <w:rFonts w:ascii="Times New Roman" w:hAnsi="Times New Roman" w:cs="Times New Roman"/>
          <w:sz w:val="20"/>
          <w:szCs w:val="20"/>
          <w:lang w:val="en-US"/>
        </w:rPr>
        <w:t>16</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Results for brain atrophy and clinical progression were more equivocal </w:t>
      </w:r>
      <w:r>
        <w:rPr>
          <w:rFonts w:ascii="Times New Roman" w:hAnsi="Times New Roman" w:cs="Times New Roman"/>
          <w:sz w:val="20"/>
          <w:szCs w:val="20"/>
        </w:rPr>
        <w:sym w:font="Symbol" w:char="F05B"/>
      </w:r>
      <w:r>
        <w:rPr>
          <w:rFonts w:ascii="Times New Roman" w:hAnsi="Times New Roman" w:cs="Times New Roman"/>
          <w:sz w:val="20"/>
          <w:szCs w:val="20"/>
          <w:lang w:val="en-US"/>
        </w:rPr>
        <w:t>16</w:t>
      </w:r>
      <w:r>
        <w:rPr>
          <w:rFonts w:ascii="Times New Roman" w:hAnsi="Times New Roman" w:cs="Times New Roman"/>
          <w:sz w:val="20"/>
          <w:szCs w:val="20"/>
        </w:rPr>
        <w:sym w:font="Symbol" w:char="F05D"/>
      </w:r>
      <w:r>
        <w:rPr>
          <w:rFonts w:ascii="Times New Roman" w:hAnsi="Times New Roman" w:cs="Times New Roman"/>
          <w:sz w:val="20"/>
          <w:szCs w:val="20"/>
          <w:lang w:val="en-US"/>
        </w:rPr>
        <w:t>.</w:t>
      </w:r>
    </w:p>
    <w:p w:rsidR="007367AD" w:rsidRDefault="007367AD" w:rsidP="007367AD">
      <w:pPr>
        <w:autoSpaceDE w:val="0"/>
        <w:autoSpaceDN w:val="0"/>
        <w:adjustRightInd w:val="0"/>
        <w:spacing w:line="360" w:lineRule="auto"/>
        <w:ind w:firstLine="130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 Among MS patients on other first-line disease-modifying treatment (DMT) than IFN-</w:t>
      </w:r>
      <w:r>
        <w:rPr>
          <w:rFonts w:ascii="Times New Roman" w:hAnsi="Times New Roman" w:cs="Times New Roman"/>
          <w:sz w:val="20"/>
          <w:szCs w:val="20"/>
        </w:rPr>
        <w:sym w:font="Symbol" w:char="F062"/>
      </w:r>
      <w:r>
        <w:rPr>
          <w:rFonts w:ascii="Times New Roman" w:hAnsi="Times New Roman" w:cs="Times New Roman"/>
          <w:sz w:val="20"/>
          <w:szCs w:val="20"/>
          <w:lang w:val="en-US"/>
        </w:rPr>
        <w:t xml:space="preserve"> there is less data of vitamin D effect on outcomes. VIDAMS trial is assessing the efficacy of vitamin D as an add-on to glatiramer acetate (GA) and will hopefully provide more conclusive information on the effect of vitamin D add-on therapy to GA </w:t>
      </w:r>
      <w:r>
        <w:rPr>
          <w:rFonts w:ascii="Times New Roman" w:hAnsi="Times New Roman" w:cs="Times New Roman"/>
          <w:sz w:val="20"/>
          <w:szCs w:val="20"/>
          <w:lang w:val="en-US"/>
        </w:rPr>
        <w:sym w:font="Symbol" w:char="F05B"/>
      </w:r>
      <w:r>
        <w:rPr>
          <w:rFonts w:ascii="Times New Roman" w:hAnsi="Times New Roman" w:cs="Times New Roman"/>
          <w:sz w:val="20"/>
          <w:szCs w:val="20"/>
          <w:lang w:val="en-US"/>
        </w:rPr>
        <w:t>17</w:t>
      </w:r>
      <w:r>
        <w:rPr>
          <w:rFonts w:ascii="Times New Roman" w:hAnsi="Times New Roman" w:cs="Times New Roman"/>
          <w:sz w:val="20"/>
          <w:szCs w:val="20"/>
          <w:lang w:val="en-US"/>
        </w:rPr>
        <w:sym w:font="Symbol" w:char="F05D"/>
      </w:r>
      <w:r>
        <w:rPr>
          <w:rFonts w:ascii="Times New Roman" w:hAnsi="Times New Roman" w:cs="Times New Roman"/>
          <w:sz w:val="20"/>
          <w:szCs w:val="20"/>
          <w:lang w:val="en-US"/>
        </w:rPr>
        <w:t>. A recent study on the effect of vitamin D serum levels on MS activity by DMT class, showed a reduction in new inflammatory events and in re</w:t>
      </w:r>
      <w:r w:rsidR="0068193B">
        <w:rPr>
          <w:rFonts w:ascii="Times New Roman" w:hAnsi="Times New Roman" w:cs="Times New Roman"/>
          <w:sz w:val="20"/>
          <w:szCs w:val="20"/>
          <w:lang w:val="en-US"/>
        </w:rPr>
        <w:t>lapses alone per 25(OH)D tertile</w:t>
      </w:r>
      <w:r>
        <w:rPr>
          <w:rFonts w:ascii="Times New Roman" w:hAnsi="Times New Roman" w:cs="Times New Roman"/>
          <w:sz w:val="20"/>
          <w:szCs w:val="20"/>
          <w:lang w:val="en-US"/>
        </w:rPr>
        <w:t xml:space="preserve"> increase among MS patients on fingolimod </w:t>
      </w:r>
      <w:r>
        <w:rPr>
          <w:rFonts w:ascii="Times New Roman" w:hAnsi="Times New Roman" w:cs="Times New Roman"/>
          <w:sz w:val="20"/>
          <w:szCs w:val="20"/>
        </w:rPr>
        <w:sym w:font="Symbol" w:char="F05B"/>
      </w:r>
      <w:r>
        <w:rPr>
          <w:rFonts w:ascii="Times New Roman" w:hAnsi="Times New Roman" w:cs="Times New Roman"/>
          <w:sz w:val="20"/>
          <w:szCs w:val="20"/>
          <w:lang w:val="en-US"/>
        </w:rPr>
        <w:t>12</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but usefulness of vitamin D supplement in patients using fingolimod has not been investigated previously.  </w:t>
      </w:r>
    </w:p>
    <w:p w:rsidR="007367AD" w:rsidRDefault="007367AD" w:rsidP="007367AD">
      <w:pPr>
        <w:autoSpaceDE w:val="0"/>
        <w:autoSpaceDN w:val="0"/>
        <w:adjustRightInd w:val="0"/>
        <w:spacing w:line="360" w:lineRule="auto"/>
        <w:ind w:firstLine="1304"/>
        <w:jc w:val="both"/>
        <w:rPr>
          <w:rFonts w:ascii="Times New Roman" w:hAnsi="Times New Roman" w:cs="Times New Roman"/>
          <w:color w:val="1A171C"/>
          <w:sz w:val="20"/>
          <w:szCs w:val="20"/>
          <w:lang w:val="en-US"/>
        </w:rPr>
      </w:pPr>
      <w:r>
        <w:rPr>
          <w:rFonts w:ascii="Times New Roman" w:hAnsi="Times New Roman" w:cs="Times New Roman"/>
          <w:color w:val="1A171C"/>
          <w:sz w:val="20"/>
          <w:szCs w:val="20"/>
          <w:lang w:val="en-US"/>
        </w:rPr>
        <w:lastRenderedPageBreak/>
        <w:t xml:space="preserve">Depression is </w:t>
      </w:r>
      <w:r>
        <w:rPr>
          <w:rFonts w:ascii="Times New Roman" w:hAnsi="Times New Roman" w:cs="Times New Roman"/>
          <w:sz w:val="20"/>
          <w:szCs w:val="20"/>
          <w:lang w:val="en-US"/>
        </w:rPr>
        <w:t xml:space="preserve">the most common co-morbidity in MS, with the greatest impact on subjective quality of life in people with MS </w:t>
      </w:r>
      <w:r>
        <w:rPr>
          <w:rFonts w:ascii="Times New Roman" w:hAnsi="Times New Roman" w:cs="Times New Roman"/>
          <w:sz w:val="20"/>
          <w:szCs w:val="20"/>
        </w:rPr>
        <w:sym w:font="Symbol" w:char="F05B"/>
      </w:r>
      <w:r>
        <w:rPr>
          <w:rFonts w:ascii="Times New Roman" w:hAnsi="Times New Roman" w:cs="Times New Roman"/>
          <w:sz w:val="20"/>
          <w:szCs w:val="20"/>
          <w:lang w:val="en-US"/>
        </w:rPr>
        <w:t>18-19</w:t>
      </w:r>
      <w:r>
        <w:rPr>
          <w:rFonts w:ascii="Times New Roman" w:hAnsi="Times New Roman" w:cs="Times New Roman"/>
          <w:sz w:val="20"/>
          <w:szCs w:val="20"/>
        </w:rPr>
        <w:sym w:font="Symbol" w:char="F05D"/>
      </w:r>
      <w:r>
        <w:rPr>
          <w:rFonts w:ascii="Times New Roman" w:hAnsi="Times New Roman" w:cs="Times New Roman"/>
          <w:sz w:val="20"/>
          <w:szCs w:val="20"/>
          <w:lang w:val="en-US"/>
        </w:rPr>
        <w:t>. An</w:t>
      </w:r>
      <w:r>
        <w:rPr>
          <w:rFonts w:ascii="Times New Roman" w:hAnsi="Times New Roman" w:cs="Arial"/>
          <w:sz w:val="20"/>
          <w:szCs w:val="20"/>
          <w:lang w:val="en-US"/>
        </w:rPr>
        <w:t xml:space="preserve"> inverse association between serum 25(OH)D levels and the risk of </w:t>
      </w:r>
      <w:r>
        <w:rPr>
          <w:rStyle w:val="highlight2"/>
          <w:rFonts w:ascii="Times New Roman" w:hAnsi="Times New Roman" w:cs="Arial"/>
          <w:sz w:val="20"/>
          <w:szCs w:val="20"/>
          <w:lang w:val="en-US"/>
        </w:rPr>
        <w:t>depression</w:t>
      </w:r>
      <w:r>
        <w:rPr>
          <w:rFonts w:ascii="Times New Roman" w:hAnsi="Times New Roman" w:cs="Arial"/>
          <w:sz w:val="20"/>
          <w:szCs w:val="20"/>
          <w:lang w:val="en-US"/>
        </w:rPr>
        <w:t xml:space="preserve"> in a meta-analysis comprising 11 cross-sectional studies in more than 40000 mostly elderly individuals without MS has been shown, but association of depression with vitamin D intake or serum 25(OH)D levels is less established in MS patients </w:t>
      </w:r>
      <w:r>
        <w:rPr>
          <w:rFonts w:ascii="Times New Roman" w:hAnsi="Times New Roman" w:cs="Arial"/>
          <w:sz w:val="20"/>
          <w:szCs w:val="20"/>
          <w:lang w:val="en-US"/>
        </w:rPr>
        <w:sym w:font="Symbol" w:char="F05B"/>
      </w:r>
      <w:r>
        <w:rPr>
          <w:rFonts w:ascii="Times New Roman" w:hAnsi="Times New Roman" w:cs="Arial"/>
          <w:sz w:val="20"/>
          <w:szCs w:val="20"/>
          <w:lang w:val="en-US"/>
        </w:rPr>
        <w:t>20</w:t>
      </w:r>
      <w:r>
        <w:rPr>
          <w:rFonts w:ascii="Times New Roman" w:hAnsi="Times New Roman" w:cs="Arial"/>
          <w:sz w:val="20"/>
          <w:szCs w:val="20"/>
          <w:lang w:val="en-US"/>
        </w:rPr>
        <w:sym w:font="Symbol" w:char="F05D"/>
      </w:r>
      <w:r>
        <w:rPr>
          <w:rFonts w:ascii="Times New Roman" w:hAnsi="Times New Roman" w:cs="Arial"/>
          <w:sz w:val="20"/>
          <w:szCs w:val="20"/>
          <w:lang w:val="en-US"/>
        </w:rPr>
        <w:t xml:space="preserve">. </w:t>
      </w:r>
      <w:r>
        <w:rPr>
          <w:rFonts w:ascii="Times New Roman" w:hAnsi="Times New Roman" w:cs="Times New Roman"/>
          <w:sz w:val="20"/>
          <w:szCs w:val="20"/>
          <w:lang w:val="en-US"/>
        </w:rPr>
        <w:t xml:space="preserve">Some studies have suggested a correlation between vitamin D intake and depression also in MS </w:t>
      </w:r>
      <w:r>
        <w:rPr>
          <w:rFonts w:ascii="Times New Roman" w:hAnsi="Times New Roman" w:cs="Times New Roman"/>
          <w:color w:val="000000" w:themeColor="text1"/>
          <w:sz w:val="20"/>
          <w:szCs w:val="20"/>
        </w:rPr>
        <w:sym w:font="Symbol" w:char="F05B"/>
      </w:r>
      <w:r>
        <w:rPr>
          <w:rFonts w:ascii="Times New Roman" w:hAnsi="Times New Roman" w:cs="Times New Roman"/>
          <w:color w:val="000000" w:themeColor="text1"/>
          <w:sz w:val="20"/>
          <w:szCs w:val="20"/>
          <w:lang w:val="en-US"/>
        </w:rPr>
        <w:t>18</w:t>
      </w:r>
      <w:r>
        <w:rPr>
          <w:rFonts w:ascii="Times New Roman" w:hAnsi="Times New Roman" w:cs="Times New Roman"/>
          <w:color w:val="000000" w:themeColor="text1"/>
          <w:sz w:val="20"/>
          <w:szCs w:val="20"/>
        </w:rPr>
        <w:sym w:font="Symbol" w:char="F05D"/>
      </w:r>
      <w:r>
        <w:rPr>
          <w:rFonts w:ascii="Times New Roman" w:hAnsi="Times New Roman" w:cs="Times New Roman"/>
          <w:sz w:val="20"/>
          <w:szCs w:val="20"/>
          <w:lang w:val="en-US"/>
        </w:rPr>
        <w:t xml:space="preserve">, but the results are conflicting and more studies are needed. </w:t>
      </w:r>
    </w:p>
    <w:p w:rsidR="007367AD" w:rsidRDefault="007367AD" w:rsidP="007367AD">
      <w:pPr>
        <w:spacing w:line="360" w:lineRule="auto"/>
        <w:ind w:firstLine="1304"/>
        <w:jc w:val="both"/>
        <w:rPr>
          <w:rFonts w:ascii="Times New Roman" w:hAnsi="Times New Roman" w:cs="Times New Roman"/>
          <w:sz w:val="20"/>
          <w:szCs w:val="20"/>
          <w:lang w:val="en-US"/>
        </w:rPr>
      </w:pPr>
      <w:r>
        <w:rPr>
          <w:rFonts w:ascii="Times New Roman" w:hAnsi="Times New Roman" w:cs="Times New Roman"/>
          <w:sz w:val="20"/>
          <w:szCs w:val="20"/>
          <w:lang w:val="en-US"/>
        </w:rPr>
        <w:t>The objective of this study was to analyze the effect of vitamin D supplementation on clinical and MRI outcomes and depression in RRMS patients from the pivotal fingolimod trials. To meet this objective, we performed data mining from pooled data of the FREEDOMS and FREEDOMS II trials, and performed post hoc analysis of the study clinical and MRI outcomes, as well as safety outcomes including depression, from</w:t>
      </w:r>
      <w:r w:rsidRPr="0068193B">
        <w:rPr>
          <w:rFonts w:ascii="Times New Roman" w:hAnsi="Times New Roman" w:cs="Times New Roman"/>
          <w:sz w:val="20"/>
          <w:szCs w:val="20"/>
          <w:lang w:val="en-US"/>
        </w:rPr>
        <w:t xml:space="preserve"> the groups</w:t>
      </w:r>
      <w:r>
        <w:rPr>
          <w:rFonts w:ascii="Times New Roman" w:hAnsi="Times New Roman" w:cs="Times New Roman"/>
          <w:sz w:val="20"/>
          <w:szCs w:val="20"/>
          <w:lang w:val="de-CH"/>
        </w:rPr>
        <w:t xml:space="preserve"> </w:t>
      </w:r>
      <w:r w:rsidRPr="0068193B">
        <w:rPr>
          <w:rFonts w:ascii="Times New Roman" w:hAnsi="Times New Roman" w:cs="Times New Roman"/>
          <w:sz w:val="20"/>
          <w:szCs w:val="20"/>
          <w:lang w:val="en-US"/>
        </w:rPr>
        <w:t>´daily</w:t>
      </w:r>
      <w:r>
        <w:rPr>
          <w:rFonts w:ascii="Times New Roman" w:hAnsi="Times New Roman" w:cs="Times New Roman"/>
          <w:sz w:val="20"/>
          <w:szCs w:val="20"/>
          <w:lang w:val="de-CH"/>
        </w:rPr>
        <w:t>´</w:t>
      </w:r>
      <w:r w:rsidRPr="0068193B">
        <w:rPr>
          <w:rFonts w:ascii="Times New Roman" w:hAnsi="Times New Roman" w:cs="Times New Roman"/>
          <w:sz w:val="20"/>
          <w:szCs w:val="20"/>
          <w:lang w:val="en-US"/>
        </w:rPr>
        <w:t xml:space="preserve"> vitamin</w:t>
      </w:r>
      <w:r>
        <w:rPr>
          <w:rFonts w:ascii="Times New Roman" w:hAnsi="Times New Roman" w:cs="Times New Roman"/>
          <w:sz w:val="20"/>
          <w:szCs w:val="20"/>
          <w:lang w:val="de-CH"/>
        </w:rPr>
        <w:t xml:space="preserve"> D</w:t>
      </w:r>
      <w:r w:rsidRPr="0068193B">
        <w:rPr>
          <w:rFonts w:ascii="Times New Roman" w:hAnsi="Times New Roman" w:cs="Times New Roman"/>
          <w:sz w:val="20"/>
          <w:szCs w:val="20"/>
          <w:lang w:val="en-US"/>
        </w:rPr>
        <w:t xml:space="preserve"> users</w:t>
      </w:r>
      <w:r>
        <w:rPr>
          <w:rFonts w:ascii="Times New Roman" w:hAnsi="Times New Roman" w:cs="Times New Roman"/>
          <w:sz w:val="20"/>
          <w:szCs w:val="20"/>
          <w:lang w:val="de-CH"/>
        </w:rPr>
        <w:t xml:space="preserve"> versus ´non-users´</w:t>
      </w:r>
      <w:r w:rsidRPr="0068193B">
        <w:rPr>
          <w:rFonts w:ascii="Times New Roman" w:hAnsi="Times New Roman" w:cs="Times New Roman"/>
          <w:sz w:val="20"/>
          <w:szCs w:val="20"/>
          <w:lang w:val="en-US"/>
        </w:rPr>
        <w:t xml:space="preserve"> among patients randomized to receive fingolimod or placebo therapy</w:t>
      </w:r>
      <w:r>
        <w:rPr>
          <w:rFonts w:ascii="Times New Roman" w:hAnsi="Times New Roman" w:cs="Times New Roman"/>
          <w:sz w:val="20"/>
          <w:szCs w:val="20"/>
          <w:lang w:val="de-CH"/>
        </w:rPr>
        <w:t xml:space="preserve">. </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Methods</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Study population</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b/>
          <w:sz w:val="20"/>
          <w:szCs w:val="20"/>
          <w:lang w:val="en-US"/>
        </w:rPr>
      </w:pPr>
      <w:r>
        <w:rPr>
          <w:rFonts w:ascii="Times New Roman" w:hAnsi="Times New Roman" w:cs="Times New Roman"/>
          <w:sz w:val="20"/>
          <w:szCs w:val="20"/>
          <w:lang w:val="en-US"/>
        </w:rPr>
        <w:t xml:space="preserve">This was a post hoc analysis of pooled data from the phase 3 FREEDOMS </w:t>
      </w:r>
      <w:r>
        <w:rPr>
          <w:rFonts w:ascii="Times New Roman" w:hAnsi="Times New Roman" w:cs="Times New Roman"/>
          <w:sz w:val="20"/>
          <w:szCs w:val="20"/>
        </w:rPr>
        <w:sym w:font="Symbol" w:char="F05B"/>
      </w:r>
      <w:r>
        <w:rPr>
          <w:rFonts w:ascii="Times New Roman" w:hAnsi="Times New Roman" w:cs="Times New Roman"/>
          <w:sz w:val="20"/>
          <w:szCs w:val="20"/>
          <w:lang w:val="en-US"/>
        </w:rPr>
        <w:t>21</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and FREEDOMS II trials </w:t>
      </w:r>
      <w:r>
        <w:rPr>
          <w:rFonts w:ascii="Times New Roman" w:hAnsi="Times New Roman" w:cs="Times New Roman"/>
          <w:sz w:val="20"/>
          <w:szCs w:val="20"/>
        </w:rPr>
        <w:sym w:font="Symbol" w:char="F05B"/>
      </w:r>
      <w:r>
        <w:rPr>
          <w:rFonts w:ascii="Times New Roman" w:hAnsi="Times New Roman" w:cs="Times New Roman"/>
          <w:sz w:val="20"/>
          <w:szCs w:val="20"/>
          <w:lang w:val="en-US"/>
        </w:rPr>
        <w:t>22</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Data on vitamin D use and use of multivitamins were retrieved from the ´Concomitant Medications´ section of the electronic case report forms (eCRFs). Vitamin D users were defined as those on concomitant vitamin D supplementation during the core study treatment period. Patients using multivitamins at any point during the core study treatment period were not considered vitamin D users, unless they also took vitamin D. According to their intake of supplementary vitamin D during the study, patients (n=1953) were categorized into three groups: Daily users: Daily supplemental vitamin D use 100% of time during the study (n=120); Casual users: Supplemental vitamin D use &lt;100% of the time during the study (n=170); Non-users: No use of supplemental vitamin D (n=1663). The present analysis was limited to patients from countries where the use of vitamin D was prominent (USA, n=731; Canada, n=74; and Australia, n=24) </w:t>
      </w:r>
      <w:r>
        <w:rPr>
          <w:rFonts w:ascii="Times New Roman" w:hAnsi="Times New Roman" w:cs="Times New Roman"/>
          <w:sz w:val="20"/>
          <w:szCs w:val="20"/>
          <w:lang w:val="en-US"/>
        </w:rPr>
        <w:lastRenderedPageBreak/>
        <w:t>(´daily users´: n=110, ´casual users´: n=157, ´non-users´: n=562; total N=829). Vitamin D supplement use in other countries</w:t>
      </w:r>
      <w:r>
        <w:rPr>
          <w:rFonts w:ascii="Times New Roman" w:hAnsi="Times New Roman" w:cs="Times New Roman"/>
          <w:color w:val="808080" w:themeColor="background1" w:themeShade="80"/>
          <w:sz w:val="20"/>
          <w:szCs w:val="20"/>
          <w:lang w:val="en-US"/>
        </w:rPr>
        <w:t xml:space="preserve"> </w:t>
      </w:r>
      <w:r>
        <w:rPr>
          <w:rFonts w:ascii="Times New Roman" w:hAnsi="Times New Roman" w:cs="Times New Roman"/>
          <w:sz w:val="20"/>
          <w:szCs w:val="20"/>
          <w:lang w:val="en-US"/>
        </w:rPr>
        <w:t>was very limited (´daily users´: n=10, ´casual users´: n=13 and ´non-users´: n=1101)</w:t>
      </w:r>
      <w:r>
        <w:rPr>
          <w:b/>
          <w:sz w:val="20"/>
          <w:szCs w:val="20"/>
          <w:lang w:val="en-US"/>
        </w:rPr>
        <w:t>.</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Evaluated outcomes</w:t>
      </w:r>
    </w:p>
    <w:p w:rsidR="007367AD" w:rsidRDefault="007367AD" w:rsidP="007367AD">
      <w:pPr>
        <w:spacing w:line="360" w:lineRule="auto"/>
        <w:jc w:val="both"/>
        <w:rPr>
          <w:rFonts w:ascii="Times New Roman" w:hAnsi="Times New Roman" w:cs="Times New Roman"/>
          <w:i/>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i/>
          <w:sz w:val="20"/>
          <w:szCs w:val="20"/>
          <w:lang w:val="en-US"/>
        </w:rPr>
        <w:t>Clinical outcomes</w:t>
      </w:r>
      <w:r>
        <w:rPr>
          <w:rFonts w:ascii="Times New Roman" w:hAnsi="Times New Roman" w:cs="Times New Roman"/>
          <w:sz w:val="20"/>
          <w:szCs w:val="20"/>
          <w:lang w:val="en-US"/>
        </w:rPr>
        <w:t xml:space="preserve"> evaluated: Aggregate annualized relapse rate (ARR) up to Month 24 (M24); Proportion of patients with confirmed relapse at Month 12 (M12) and M24; EDSS</w:t>
      </w:r>
      <w:r>
        <w:rPr>
          <w:rFonts w:ascii="Times New Roman" w:hAnsi="Times New Roman" w:cs="Times New Roman"/>
          <w:color w:val="808080" w:themeColor="background1" w:themeShade="80"/>
          <w:sz w:val="20"/>
          <w:szCs w:val="20"/>
          <w:lang w:val="en-US"/>
        </w:rPr>
        <w:t xml:space="preserve"> </w:t>
      </w:r>
      <w:r>
        <w:rPr>
          <w:rFonts w:ascii="Times New Roman" w:hAnsi="Times New Roman" w:cs="Times New Roman"/>
          <w:sz w:val="20"/>
          <w:szCs w:val="20"/>
          <w:lang w:val="en-US"/>
        </w:rPr>
        <w:t>change from baseline to M24.</w:t>
      </w: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i/>
          <w:sz w:val="20"/>
          <w:szCs w:val="20"/>
          <w:lang w:val="en-US"/>
        </w:rPr>
        <w:t>MRI outcomes</w:t>
      </w:r>
      <w:r>
        <w:rPr>
          <w:rFonts w:ascii="Times New Roman" w:hAnsi="Times New Roman" w:cs="Times New Roman"/>
          <w:sz w:val="20"/>
          <w:szCs w:val="20"/>
          <w:lang w:val="en-US"/>
        </w:rPr>
        <w:t xml:space="preserve"> evaluated: Numbers of new/newly enlarged T2 lesions from baseline to M12 and M24; Proportion of patients free of new/newly enlarged T2 lesions at M12 and M24; Number of Gd+ T1 lesions at M12 and M24; Proportion of patients free of Gd+ T1-lesions at M12 and M24; </w:t>
      </w:r>
      <w:r>
        <w:rPr>
          <w:sz w:val="20"/>
          <w:szCs w:val="20"/>
          <w:lang w:val="en-US"/>
        </w:rPr>
        <w:t>Percent brain volume change</w:t>
      </w:r>
      <w:r>
        <w:rPr>
          <w:rFonts w:ascii="Times New Roman" w:hAnsi="Times New Roman" w:cs="Times New Roman"/>
          <w:sz w:val="20"/>
          <w:szCs w:val="20"/>
          <w:lang w:val="en-US"/>
        </w:rPr>
        <w:t xml:space="preserve"> (PBVC) from baseline to M12 and M24.</w:t>
      </w:r>
    </w:p>
    <w:p w:rsidR="007367AD" w:rsidRDefault="007367AD" w:rsidP="007367AD">
      <w:pPr>
        <w:spacing w:line="360" w:lineRule="auto"/>
        <w:jc w:val="both"/>
        <w:rPr>
          <w:rFonts w:ascii="Times New Roman" w:hAnsi="Times New Roman" w:cs="Times New Roman"/>
          <w:i/>
          <w:sz w:val="20"/>
          <w:szCs w:val="20"/>
          <w:lang w:val="en-US"/>
        </w:rPr>
      </w:pPr>
      <w:r>
        <w:rPr>
          <w:rFonts w:ascii="Times New Roman" w:hAnsi="Times New Roman" w:cs="Times New Roman"/>
          <w:i/>
          <w:sz w:val="20"/>
          <w:szCs w:val="20"/>
          <w:lang w:val="en-US"/>
        </w:rPr>
        <w:t xml:space="preserve">Safety: </w:t>
      </w:r>
      <w:r>
        <w:rPr>
          <w:rFonts w:ascii="Times New Roman" w:hAnsi="Times New Roman" w:cs="Times New Roman"/>
          <w:sz w:val="20"/>
          <w:szCs w:val="20"/>
          <w:lang w:val="en-US"/>
        </w:rPr>
        <w:t>Incidence of infections and depression.</w:t>
      </w:r>
    </w:p>
    <w:p w:rsidR="007367AD" w:rsidRDefault="007367AD" w:rsidP="007367AD">
      <w:pPr>
        <w:spacing w:line="360" w:lineRule="auto"/>
        <w:jc w:val="both"/>
        <w:rPr>
          <w:rFonts w:ascii="Times New Roman" w:hAnsi="Times New Roman" w:cs="Times New Roman"/>
          <w:i/>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Statistical analysis</w:t>
      </w:r>
    </w:p>
    <w:p w:rsidR="007367AD" w:rsidRDefault="007367AD" w:rsidP="007367AD">
      <w:pPr>
        <w:pStyle w:val="Bullet"/>
        <w:numPr>
          <w:ilvl w:val="0"/>
          <w:numId w:val="0"/>
        </w:numPr>
        <w:spacing w:after="0" w:line="360" w:lineRule="auto"/>
        <w:jc w:val="both"/>
        <w:rPr>
          <w:rFonts w:ascii="Times New Roman" w:eastAsiaTheme="minorEastAsia" w:hAnsi="Times New Roman" w:cs="Times New Roman"/>
          <w:sz w:val="20"/>
          <w:szCs w:val="20"/>
          <w:lang w:val="en-US" w:eastAsia="fi-FI"/>
        </w:rPr>
      </w:pPr>
    </w:p>
    <w:p w:rsidR="007367AD" w:rsidRDefault="007367AD" w:rsidP="007367AD">
      <w:pPr>
        <w:pStyle w:val="Bullet"/>
        <w:numPr>
          <w:ilvl w:val="0"/>
          <w:numId w:val="0"/>
        </w:numPr>
        <w:spacing w:after="0" w:line="360" w:lineRule="auto"/>
        <w:jc w:val="both"/>
        <w:rPr>
          <w:rFonts w:ascii="Times New Roman" w:hAnsi="Times New Roman" w:cs="Times New Roman"/>
          <w:sz w:val="20"/>
          <w:szCs w:val="20"/>
        </w:rPr>
      </w:pPr>
      <w:r>
        <w:rPr>
          <w:rFonts w:ascii="Times New Roman" w:hAnsi="Times New Roman" w:cs="Times New Roman"/>
          <w:sz w:val="20"/>
          <w:szCs w:val="20"/>
          <w:lang w:val="en-US"/>
        </w:rPr>
        <w:t>Baseline characteristics were compared between vitamin D ´users´ and ´non-users´, using Wilcoxon test for quantitative variables and from chi-square trend test for categorical variables. Various generalized linear mo</w:t>
      </w:r>
      <w:r w:rsidR="0068193B">
        <w:rPr>
          <w:rFonts w:ascii="Times New Roman" w:hAnsi="Times New Roman" w:cs="Times New Roman"/>
          <w:sz w:val="20"/>
          <w:szCs w:val="20"/>
          <w:lang w:val="en-US"/>
        </w:rPr>
        <w:t xml:space="preserve">dels were adjusted for </w:t>
      </w:r>
      <w:r>
        <w:rPr>
          <w:rFonts w:ascii="Times New Roman" w:hAnsi="Times New Roman" w:cs="Times New Roman"/>
          <w:sz w:val="20"/>
          <w:szCs w:val="20"/>
          <w:lang w:val="en-US"/>
        </w:rPr>
        <w:t>treatment, vitamin D use, baseline, age, region and treatment-vitamin D use interaction.</w:t>
      </w:r>
      <w:r>
        <w:rPr>
          <w:rFonts w:ascii="Times New Roman" w:hAnsi="Times New Roman" w:cs="Times New Roman"/>
          <w:noProof/>
          <w:sz w:val="20"/>
          <w:szCs w:val="20"/>
          <w:lang w:val="en-US"/>
        </w:rPr>
        <w:t xml:space="preserve"> ARR </w:t>
      </w:r>
      <w:r>
        <w:rPr>
          <w:rFonts w:ascii="Times New Roman" w:hAnsi="Times New Roman" w:cs="Times New Roman"/>
          <w:sz w:val="20"/>
          <w:szCs w:val="20"/>
        </w:rPr>
        <w:t xml:space="preserve">at Month 24 by vitamin D use was studied by negative binomial regression model adjusted for treatment, vitamin D use, number of relapses in the previous 2 years, baseline EDSS, and region. MRI outcomes by vitamin D use were calculated from a Rank ANCOVA or logistic regression models with the following covariates: treatment, vitamin D use, region, baseline volume or numbers of lesions, and treatment*vitamin D use interaction. </w:t>
      </w:r>
      <w:r>
        <w:rPr>
          <w:rFonts w:ascii="Times New Roman" w:hAnsi="Times New Roman" w:cs="Times New Roman"/>
          <w:sz w:val="20"/>
          <w:szCs w:val="20"/>
          <w:lang w:val="en-US"/>
        </w:rPr>
        <w:t>In the evaluation of MRI outcomes by treatment within vitamin D subgroups, report was made by group level (pair-wise comparisons) due to the small number in each of the vitamin D subgroups.</w:t>
      </w:r>
    </w:p>
    <w:p w:rsidR="007367AD" w:rsidRDefault="007367AD" w:rsidP="007367AD">
      <w:pPr>
        <w:pStyle w:val="Bullet"/>
        <w:numPr>
          <w:ilvl w:val="0"/>
          <w:numId w:val="0"/>
        </w:numPr>
        <w:spacing w:after="0" w:line="360" w:lineRule="auto"/>
        <w:jc w:val="both"/>
      </w:pPr>
      <w:r>
        <w:rPr>
          <w:sz w:val="20"/>
          <w:szCs w:val="20"/>
          <w:lang w:val="en-US"/>
        </w:rPr>
        <w:t xml:space="preserve"> </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b/>
          <w:sz w:val="20"/>
          <w:szCs w:val="20"/>
          <w:lang w:val="en-US"/>
        </w:rPr>
        <w:t>Results</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Demographic and baseline characteristics</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Overall, 829 patients from the vitamin D user countries were evaluated. Some differences were observed in the baseline characteristics across the three vitamin D user groups: older age in ´daily´ (p=0.016) and ´casual´ (p=0.001) versus ´non-users´ and significantly lower BMI and T2 lesion volume in ´daily´ versus ´non-users´, along with a trend for lower Gd+ T1 lesion activity and EDSS </w:t>
      </w:r>
      <w:r>
        <w:rPr>
          <w:rFonts w:ascii="Times New Roman" w:hAnsi="Times New Roman" w:cs="Times New Roman"/>
          <w:sz w:val="20"/>
          <w:szCs w:val="20"/>
          <w:vertAlign w:val="superscript"/>
          <w:lang w:val="en-US"/>
        </w:rPr>
        <w:t>table 1</w:t>
      </w:r>
      <w:r>
        <w:rPr>
          <w:rFonts w:ascii="Times New Roman" w:hAnsi="Times New Roman" w:cs="Times New Roman"/>
          <w:sz w:val="20"/>
          <w:szCs w:val="20"/>
          <w:lang w:val="en-US"/>
        </w:rPr>
        <w:t>.</w:t>
      </w:r>
    </w:p>
    <w:p w:rsidR="007367AD" w:rsidRDefault="007367AD" w:rsidP="007367AD">
      <w:pPr>
        <w:spacing w:line="360" w:lineRule="auto"/>
        <w:jc w:val="both"/>
        <w:rPr>
          <w:rFonts w:ascii="Times New Roman" w:hAnsi="Times New Roman" w:cs="Times New Roman"/>
          <w:sz w:val="20"/>
          <w:szCs w:val="20"/>
          <w:lang w:val="en-US"/>
        </w:rPr>
      </w:pPr>
    </w:p>
    <w:tbl>
      <w:tblPr>
        <w:tblW w:w="10051" w:type="dxa"/>
        <w:tblCellMar>
          <w:left w:w="0" w:type="dxa"/>
          <w:right w:w="0" w:type="dxa"/>
        </w:tblCellMar>
        <w:tblLook w:val="0420" w:firstRow="1" w:lastRow="0" w:firstColumn="0" w:lastColumn="0" w:noHBand="0" w:noVBand="1"/>
      </w:tblPr>
      <w:tblGrid>
        <w:gridCol w:w="4519"/>
        <w:gridCol w:w="1724"/>
        <w:gridCol w:w="1724"/>
        <w:gridCol w:w="2084"/>
      </w:tblGrid>
      <w:tr w:rsidR="007367AD" w:rsidRPr="00B77E09" w:rsidTr="007367AD">
        <w:trPr>
          <w:trHeight w:val="20"/>
        </w:trPr>
        <w:tc>
          <w:tcPr>
            <w:tcW w:w="10051" w:type="dxa"/>
            <w:gridSpan w:val="4"/>
            <w:tcBorders>
              <w:top w:val="single" w:sz="8" w:space="0" w:color="634329"/>
              <w:left w:val="single" w:sz="8" w:space="0" w:color="634329"/>
              <w:bottom w:val="single" w:sz="8" w:space="0" w:color="634329"/>
              <w:right w:val="single" w:sz="8" w:space="0" w:color="634329"/>
            </w:tcBorders>
            <w:shd w:val="clear" w:color="auto" w:fill="634329"/>
            <w:tcMar>
              <w:top w:w="72" w:type="dxa"/>
              <w:left w:w="144" w:type="dxa"/>
              <w:bottom w:w="72" w:type="dxa"/>
              <w:right w:w="144" w:type="dxa"/>
            </w:tcMar>
            <w:hideMark/>
          </w:tcPr>
          <w:p w:rsidR="007367AD" w:rsidRDefault="007367AD">
            <w:pPr>
              <w:rPr>
                <w:rFonts w:ascii="Times New Roman" w:eastAsia="Times New Roman" w:hAnsi="Times New Roman" w:cs="Times New Roman"/>
                <w:sz w:val="20"/>
                <w:szCs w:val="20"/>
                <w:lang w:val="en-US"/>
              </w:rPr>
            </w:pPr>
            <w:r>
              <w:rPr>
                <w:rFonts w:ascii="Times New Roman" w:eastAsia="Times New Roman" w:hAnsi="Times New Roman" w:cs="Times New Roman"/>
                <w:b/>
                <w:bCs/>
                <w:iCs/>
                <w:color w:val="FFFFFF" w:themeColor="light1"/>
                <w:kern w:val="24"/>
                <w:sz w:val="20"/>
                <w:szCs w:val="20"/>
                <w:lang w:val="en-US"/>
              </w:rPr>
              <w:t xml:space="preserve">Table 1. Baseline characteristics of patients by vitamin D use </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Variables</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Daily users</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 xml:space="preserve">n=110 </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Casual users</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n=157</w:t>
            </w:r>
          </w:p>
        </w:tc>
        <w:tc>
          <w:tcPr>
            <w:tcW w:w="2084"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Non-users</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b/>
                <w:bCs/>
                <w:kern w:val="24"/>
                <w:sz w:val="20"/>
                <w:szCs w:val="20"/>
              </w:rPr>
              <w:t>n=562</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rPr>
            </w:pPr>
            <w:r>
              <w:rPr>
                <w:rFonts w:ascii="Times New Roman" w:eastAsia="Times New Roman" w:hAnsi="Times New Roman" w:cs="Times New Roman"/>
                <w:b/>
                <w:bCs/>
                <w:kern w:val="24"/>
                <w:sz w:val="20"/>
                <w:szCs w:val="20"/>
              </w:rPr>
              <w:t>Age (years)</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42.0±8.2</w:t>
            </w:r>
          </w:p>
          <w:p w:rsidR="007367AD" w:rsidRDefault="007367AD">
            <w:pPr>
              <w:jc w:val="center"/>
              <w:rPr>
                <w:rFonts w:ascii="Times New Roman" w:eastAsia="Times New Roman" w:hAnsi="Times New Roman" w:cs="Times New Roman"/>
                <w:b/>
                <w:i/>
                <w:sz w:val="20"/>
                <w:szCs w:val="20"/>
              </w:rPr>
            </w:pPr>
            <w:r>
              <w:rPr>
                <w:rFonts w:ascii="Times New Roman" w:eastAsia="Times New Roman" w:hAnsi="Times New Roman" w:cs="Times New Roman"/>
                <w:b/>
                <w:i/>
                <w:sz w:val="20"/>
                <w:szCs w:val="20"/>
              </w:rPr>
              <w:t>0.0155</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41.9±8.5</w:t>
            </w:r>
          </w:p>
          <w:p w:rsidR="007367AD" w:rsidRDefault="007367AD">
            <w:pPr>
              <w:jc w:val="center"/>
              <w:rPr>
                <w:rFonts w:ascii="Times New Roman" w:eastAsia="Times New Roman" w:hAnsi="Times New Roman" w:cs="Times New Roman"/>
                <w:b/>
                <w:i/>
                <w:sz w:val="20"/>
                <w:szCs w:val="20"/>
              </w:rPr>
            </w:pPr>
            <w:r>
              <w:rPr>
                <w:rFonts w:ascii="Times New Roman" w:eastAsia="Times New Roman" w:hAnsi="Times New Roman" w:cs="Times New Roman"/>
                <w:b/>
                <w:i/>
                <w:sz w:val="20"/>
                <w:szCs w:val="20"/>
              </w:rPr>
              <w:t>0.0013</w:t>
            </w:r>
          </w:p>
        </w:tc>
        <w:tc>
          <w:tcPr>
            <w:tcW w:w="2084"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39.7±8.4</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rPr>
            </w:pPr>
            <w:r>
              <w:rPr>
                <w:rFonts w:ascii="Times New Roman" w:eastAsia="Times New Roman" w:hAnsi="Times New Roman" w:cs="Times New Roman"/>
                <w:b/>
                <w:bCs/>
                <w:kern w:val="24"/>
                <w:sz w:val="20"/>
                <w:szCs w:val="20"/>
              </w:rPr>
              <w:t>Female (%)</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80.0</w:t>
            </w:r>
          </w:p>
          <w:p w:rsidR="007367AD" w:rsidRDefault="007367AD">
            <w:pPr>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 xml:space="preserve">0.2399           </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80.9</w:t>
            </w:r>
          </w:p>
          <w:p w:rsidR="007367AD" w:rsidRDefault="007367AD">
            <w:pPr>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0.1100</w:t>
            </w:r>
          </w:p>
        </w:tc>
        <w:tc>
          <w:tcPr>
            <w:tcW w:w="2084"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74.7</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BMI (kg/m</w:t>
            </w:r>
            <w:r>
              <w:rPr>
                <w:rFonts w:ascii="Times New Roman" w:eastAsia="Times New Roman" w:hAnsi="Times New Roman" w:cs="Times New Roman"/>
                <w:b/>
                <w:bCs/>
                <w:kern w:val="24"/>
                <w:sz w:val="20"/>
                <w:szCs w:val="20"/>
                <w:vertAlign w:val="superscript"/>
                <w:lang w:val="en-US"/>
              </w:rPr>
              <w:t>2</w:t>
            </w:r>
            <w:r>
              <w:rPr>
                <w:rFonts w:ascii="Times New Roman" w:eastAsia="Times New Roman" w:hAnsi="Times New Roman" w:cs="Times New Roman"/>
                <w:b/>
                <w:bCs/>
                <w:kern w:val="24"/>
                <w:sz w:val="20"/>
                <w:szCs w:val="20"/>
                <w:lang w:val="en-US"/>
              </w:rPr>
              <w:t>)</w:t>
            </w:r>
          </w:p>
          <w:p w:rsidR="007367AD" w:rsidRDefault="007367AD">
            <w:pPr>
              <w:rPr>
                <w:rFonts w:ascii="Times New Roman" w:eastAsia="Times New Roman" w:hAnsi="Times New Roman" w:cs="Times New Roman"/>
                <w:sz w:val="20"/>
                <w:szCs w:val="20"/>
                <w:lang w:val="en-US"/>
              </w:rPr>
            </w:pPr>
            <w:r>
              <w:rPr>
                <w:rFonts w:ascii="Times New Roman" w:eastAsia="Times New Roman" w:hAnsi="Times New Roman" w:cs="Times New Roman"/>
                <w:b/>
                <w:bCs/>
                <w:i/>
                <w:kern w:val="24"/>
                <w:sz w:val="20"/>
                <w:szCs w:val="20"/>
                <w:lang w:val="en-US"/>
              </w:rPr>
              <w:t>p-value</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26.1±5.0</w:t>
            </w:r>
          </w:p>
          <w:p w:rsidR="007367AD" w:rsidRDefault="007367AD">
            <w:pPr>
              <w:jc w:val="center"/>
              <w:rPr>
                <w:rFonts w:ascii="Times New Roman" w:eastAsia="Times New Roman" w:hAnsi="Times New Roman" w:cs="Times New Roman"/>
                <w:b/>
                <w:i/>
                <w:sz w:val="20"/>
                <w:szCs w:val="20"/>
              </w:rPr>
            </w:pPr>
            <w:r>
              <w:rPr>
                <w:rFonts w:ascii="Times New Roman" w:eastAsia="Times New Roman" w:hAnsi="Times New Roman" w:cs="Times New Roman"/>
                <w:b/>
                <w:i/>
                <w:sz w:val="20"/>
                <w:szCs w:val="20"/>
              </w:rPr>
              <w:t xml:space="preserve">0.0116           </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27.4±5.7</w:t>
            </w:r>
          </w:p>
          <w:p w:rsidR="007367AD" w:rsidRDefault="007367AD">
            <w:pPr>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0.4488</w:t>
            </w:r>
          </w:p>
        </w:tc>
        <w:tc>
          <w:tcPr>
            <w:tcW w:w="2084"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27.8±6.3</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Duration of MS since diagnosis (years)</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6.0±6.0</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0.3297</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6.2±6.3</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0.2739</w:t>
            </w:r>
          </w:p>
        </w:tc>
        <w:tc>
          <w:tcPr>
            <w:tcW w:w="2084"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6.4±5.7</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Number of relapses in the previous 2 years</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2.3±1.4</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0.3531</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2.4±1.7</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0.2464</w:t>
            </w:r>
          </w:p>
        </w:tc>
        <w:tc>
          <w:tcPr>
            <w:tcW w:w="2084"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2.3±1.8</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rPr>
            </w:pPr>
            <w:r>
              <w:rPr>
                <w:rFonts w:ascii="Times New Roman" w:eastAsia="Times New Roman" w:hAnsi="Times New Roman" w:cs="Times New Roman"/>
                <w:b/>
                <w:bCs/>
                <w:kern w:val="24"/>
                <w:sz w:val="20"/>
                <w:szCs w:val="20"/>
              </w:rPr>
              <w:t>EDSS</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2.2±1.3</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0.1327</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2.5±1.3</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0.3990</w:t>
            </w:r>
          </w:p>
        </w:tc>
        <w:tc>
          <w:tcPr>
            <w:tcW w:w="2084"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2.4±1.3</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Normalised total brain volume (cc)</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1519.9±86.1</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0.4545</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1514.3±82.3</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0.0765</w:t>
            </w:r>
          </w:p>
        </w:tc>
        <w:tc>
          <w:tcPr>
            <w:tcW w:w="2084"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1527.4±81.5</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lastRenderedPageBreak/>
              <w:t xml:space="preserve">Number of Gd-enhanced T1 lesions, </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0.6±1.2</w:t>
            </w:r>
          </w:p>
          <w:p w:rsidR="007367AD" w:rsidRDefault="007367AD">
            <w:pPr>
              <w:jc w:val="center"/>
              <w:rPr>
                <w:rFonts w:ascii="Times New Roman" w:eastAsia="Times New Roman" w:hAnsi="Times New Roman" w:cs="Times New Roman"/>
                <w:b/>
                <w:sz w:val="20"/>
                <w:szCs w:val="20"/>
              </w:rPr>
            </w:pPr>
            <w:r>
              <w:rPr>
                <w:rFonts w:ascii="Times New Roman" w:eastAsia="Times New Roman" w:hAnsi="Times New Roman" w:cs="Times New Roman"/>
                <w:b/>
                <w:i/>
                <w:sz w:val="20"/>
                <w:szCs w:val="20"/>
              </w:rPr>
              <w:t>0.0590</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1.3±4.5</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0.1284</w:t>
            </w:r>
          </w:p>
        </w:tc>
        <w:tc>
          <w:tcPr>
            <w:tcW w:w="2084"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 xml:space="preserve">1.4±3.6 </w:t>
            </w:r>
          </w:p>
        </w:tc>
      </w:tr>
      <w:tr w:rsidR="007367AD" w:rsidTr="007367AD">
        <w:trPr>
          <w:trHeight w:val="20"/>
        </w:trPr>
        <w:tc>
          <w:tcPr>
            <w:tcW w:w="4519"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Total volume of Gd-enhanced T1 lesions (cc)</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67.0±163.7</w:t>
            </w:r>
          </w:p>
          <w:p w:rsidR="007367AD" w:rsidRDefault="007367AD">
            <w:pPr>
              <w:jc w:val="center"/>
              <w:rPr>
                <w:rFonts w:ascii="Times New Roman" w:eastAsia="Times New Roman" w:hAnsi="Times New Roman" w:cs="Times New Roman"/>
                <w:b/>
                <w:sz w:val="20"/>
                <w:szCs w:val="20"/>
              </w:rPr>
            </w:pPr>
            <w:r>
              <w:rPr>
                <w:rFonts w:ascii="Times New Roman" w:eastAsia="Times New Roman" w:hAnsi="Times New Roman" w:cs="Times New Roman"/>
                <w:b/>
                <w:i/>
                <w:kern w:val="24"/>
                <w:sz w:val="20"/>
                <w:szCs w:val="20"/>
              </w:rPr>
              <w:t>0.0661</w:t>
            </w:r>
          </w:p>
        </w:tc>
        <w:tc>
          <w:tcPr>
            <w:tcW w:w="1724"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143.8±491.0</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kern w:val="24"/>
                <w:sz w:val="20"/>
                <w:szCs w:val="20"/>
              </w:rPr>
              <w:t>0.2175</w:t>
            </w:r>
          </w:p>
        </w:tc>
        <w:tc>
          <w:tcPr>
            <w:tcW w:w="2084"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133.1±412.6</w:t>
            </w:r>
          </w:p>
        </w:tc>
      </w:tr>
      <w:tr w:rsidR="007367AD" w:rsidTr="007367AD">
        <w:trPr>
          <w:trHeight w:val="57"/>
        </w:trPr>
        <w:tc>
          <w:tcPr>
            <w:tcW w:w="4519"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Total volume of T2 lesions (cc)</w:t>
            </w:r>
          </w:p>
          <w:p w:rsidR="007367AD" w:rsidRDefault="007367AD">
            <w:pPr>
              <w:rPr>
                <w:rFonts w:ascii="Times New Roman" w:eastAsia="Times New Roman" w:hAnsi="Times New Roman" w:cs="Times New Roman"/>
                <w:sz w:val="20"/>
                <w:szCs w:val="20"/>
              </w:rPr>
            </w:pPr>
            <w:r>
              <w:rPr>
                <w:rFonts w:ascii="Times New Roman" w:eastAsia="Times New Roman" w:hAnsi="Times New Roman" w:cs="Times New Roman"/>
                <w:b/>
                <w:bCs/>
                <w:i/>
                <w:kern w:val="24"/>
                <w:sz w:val="20"/>
                <w:szCs w:val="20"/>
              </w:rPr>
              <w:t>p-value</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4651.9±8051.3</w:t>
            </w:r>
          </w:p>
          <w:p w:rsidR="007367AD" w:rsidRDefault="007367AD">
            <w:pPr>
              <w:jc w:val="center"/>
              <w:rPr>
                <w:rFonts w:ascii="Times New Roman" w:eastAsia="Times New Roman" w:hAnsi="Times New Roman" w:cs="Times New Roman"/>
                <w:b/>
                <w:sz w:val="20"/>
                <w:szCs w:val="20"/>
              </w:rPr>
            </w:pPr>
            <w:r>
              <w:rPr>
                <w:rFonts w:ascii="Times New Roman" w:eastAsia="Times New Roman" w:hAnsi="Times New Roman" w:cs="Times New Roman"/>
                <w:b/>
                <w:i/>
                <w:sz w:val="20"/>
                <w:szCs w:val="20"/>
              </w:rPr>
              <w:t>0.0146</w:t>
            </w:r>
          </w:p>
        </w:tc>
        <w:tc>
          <w:tcPr>
            <w:tcW w:w="1724"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5201.5±7092.9</w:t>
            </w:r>
          </w:p>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0.2242</w:t>
            </w:r>
          </w:p>
        </w:tc>
        <w:tc>
          <w:tcPr>
            <w:tcW w:w="2084"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sz w:val="20"/>
                <w:szCs w:val="20"/>
              </w:rPr>
            </w:pPr>
            <w:r>
              <w:rPr>
                <w:rFonts w:ascii="Times New Roman" w:eastAsia="Times New Roman" w:hAnsi="Times New Roman" w:cs="Times New Roman"/>
                <w:kern w:val="24"/>
                <w:sz w:val="20"/>
                <w:szCs w:val="20"/>
              </w:rPr>
              <w:t>5350.0±7068.4</w:t>
            </w:r>
          </w:p>
        </w:tc>
      </w:tr>
      <w:tr w:rsidR="007367AD" w:rsidTr="007367AD">
        <w:trPr>
          <w:trHeight w:val="57"/>
        </w:trPr>
        <w:tc>
          <w:tcPr>
            <w:tcW w:w="4519" w:type="dxa"/>
            <w:tcBorders>
              <w:top w:val="single" w:sz="8" w:space="0" w:color="634329"/>
              <w:left w:val="single" w:sz="8" w:space="0" w:color="634329"/>
              <w:bottom w:val="single" w:sz="8" w:space="0" w:color="634329"/>
              <w:right w:val="nil"/>
            </w:tcBorders>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b/>
                <w:bCs/>
                <w:kern w:val="24"/>
                <w:sz w:val="20"/>
                <w:szCs w:val="20"/>
                <w:lang w:val="en-US"/>
              </w:rPr>
            </w:pPr>
            <w:r>
              <w:rPr>
                <w:rFonts w:ascii="Times New Roman" w:eastAsia="Times New Roman" w:hAnsi="Times New Roman" w:cs="Times New Roman"/>
                <w:b/>
                <w:bCs/>
                <w:kern w:val="24"/>
                <w:sz w:val="20"/>
                <w:szCs w:val="20"/>
                <w:lang w:val="en-US"/>
              </w:rPr>
              <w:t>Duration of  Vitamin D use (days)</w:t>
            </w:r>
          </w:p>
        </w:tc>
        <w:tc>
          <w:tcPr>
            <w:tcW w:w="1724" w:type="dxa"/>
            <w:tcBorders>
              <w:top w:val="single" w:sz="8" w:space="0" w:color="634329"/>
              <w:left w:val="nil"/>
              <w:bottom w:val="single" w:sz="8" w:space="0" w:color="634329"/>
              <w:right w:val="nil"/>
            </w:tcBorders>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lang w:val="en-US"/>
              </w:rPr>
            </w:pPr>
            <w:r>
              <w:rPr>
                <w:rFonts w:ascii="Times New Roman" w:eastAsia="Times New Roman" w:hAnsi="Times New Roman" w:cs="Times New Roman"/>
                <w:kern w:val="24"/>
                <w:sz w:val="20"/>
                <w:szCs w:val="20"/>
                <w:lang w:val="en-US"/>
              </w:rPr>
              <w:t>674.5</w:t>
            </w:r>
            <w:r>
              <w:rPr>
                <w:rFonts w:ascii="Times New Roman" w:eastAsia="Times New Roman" w:hAnsi="Times New Roman" w:cs="Times New Roman"/>
                <w:kern w:val="24"/>
                <w:sz w:val="20"/>
                <w:szCs w:val="20"/>
              </w:rPr>
              <w:t>±181.61</w:t>
            </w:r>
          </w:p>
        </w:tc>
        <w:tc>
          <w:tcPr>
            <w:tcW w:w="1724" w:type="dxa"/>
            <w:tcBorders>
              <w:top w:val="single" w:sz="8" w:space="0" w:color="634329"/>
              <w:left w:val="nil"/>
              <w:bottom w:val="single" w:sz="8" w:space="0" w:color="634329"/>
              <w:right w:val="nil"/>
            </w:tcBorders>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314</w:t>
            </w:r>
            <w:r>
              <w:rPr>
                <w:rFonts w:ascii="Times New Roman" w:eastAsia="Times New Roman" w:hAnsi="Times New Roman" w:cs="Times New Roman"/>
                <w:kern w:val="24"/>
                <w:sz w:val="20"/>
                <w:szCs w:val="20"/>
                <w:lang w:val="en-US"/>
              </w:rPr>
              <w:t>.3</w:t>
            </w:r>
            <w:r>
              <w:rPr>
                <w:rFonts w:ascii="Times New Roman" w:eastAsia="Times New Roman" w:hAnsi="Times New Roman" w:cs="Times New Roman"/>
                <w:kern w:val="24"/>
                <w:sz w:val="20"/>
                <w:szCs w:val="20"/>
              </w:rPr>
              <w:t>±218.97</w:t>
            </w:r>
          </w:p>
        </w:tc>
        <w:tc>
          <w:tcPr>
            <w:tcW w:w="2084" w:type="dxa"/>
            <w:tcBorders>
              <w:top w:val="single" w:sz="8" w:space="0" w:color="634329"/>
              <w:left w:val="nil"/>
              <w:bottom w:val="single" w:sz="8" w:space="0" w:color="634329"/>
              <w:right w:val="single" w:sz="8" w:space="0" w:color="634329"/>
            </w:tcBorders>
            <w:tcMar>
              <w:top w:w="72" w:type="dxa"/>
              <w:left w:w="144" w:type="dxa"/>
              <w:bottom w:w="72" w:type="dxa"/>
              <w:right w:w="144" w:type="dxa"/>
            </w:tcMar>
            <w:vAlign w:val="center"/>
            <w:hideMark/>
          </w:tcPr>
          <w:p w:rsidR="007367AD" w:rsidRDefault="007367AD">
            <w:pPr>
              <w:jc w:val="center"/>
              <w:rPr>
                <w:rFonts w:ascii="Times New Roman" w:eastAsia="Times New Roman" w:hAnsi="Times New Roman" w:cs="Times New Roman"/>
                <w:kern w:val="24"/>
                <w:sz w:val="20"/>
                <w:szCs w:val="20"/>
              </w:rPr>
            </w:pPr>
            <w:r>
              <w:rPr>
                <w:rFonts w:ascii="Times New Roman" w:eastAsia="Times New Roman" w:hAnsi="Times New Roman" w:cs="Times New Roman"/>
                <w:kern w:val="24"/>
                <w:sz w:val="20"/>
                <w:szCs w:val="20"/>
              </w:rPr>
              <w:t>0</w:t>
            </w:r>
          </w:p>
        </w:tc>
      </w:tr>
    </w:tbl>
    <w:p w:rsidR="0068193B" w:rsidRDefault="0068193B" w:rsidP="007367AD">
      <w:pPr>
        <w:pStyle w:val="Bullet"/>
        <w:numPr>
          <w:ilvl w:val="0"/>
          <w:numId w:val="0"/>
        </w:numPr>
        <w:spacing w:after="0" w:line="360" w:lineRule="auto"/>
        <w:jc w:val="both"/>
        <w:rPr>
          <w:rFonts w:ascii="Times New Roman" w:hAnsi="Times New Roman" w:cs="Times New Roman"/>
          <w:sz w:val="16"/>
          <w:szCs w:val="16"/>
        </w:rPr>
      </w:pPr>
    </w:p>
    <w:p w:rsidR="007367AD" w:rsidRDefault="007367AD" w:rsidP="007367AD">
      <w:pPr>
        <w:pStyle w:val="Bullet"/>
        <w:numPr>
          <w:ilvl w:val="0"/>
          <w:numId w:val="0"/>
        </w:numPr>
        <w:spacing w:after="0" w:line="360" w:lineRule="auto"/>
        <w:jc w:val="both"/>
        <w:rPr>
          <w:rFonts w:ascii="Times New Roman" w:hAnsi="Times New Roman" w:cs="Times New Roman"/>
          <w:b/>
          <w:sz w:val="16"/>
          <w:szCs w:val="16"/>
        </w:rPr>
      </w:pPr>
      <w:r>
        <w:rPr>
          <w:rFonts w:ascii="Times New Roman" w:hAnsi="Times New Roman" w:cs="Times New Roman"/>
          <w:sz w:val="16"/>
          <w:szCs w:val="16"/>
        </w:rPr>
        <w:t>Table 1 Data are expressed as mean±SD unless otherwise specified. P-values from Wilcoxon test for quantitative variables and from chi-square trend test for categorical variables. P-values refer to pair-wise comparisons between ‘daily’ or ‘casual’ vitamin D users and ‘non-vitamin D users’. Data are presented for ‘vitamin D user’ countries only (USA, Canada and Australia). BMI, body mass index; cc, cubic centimetre; EDSS, Expanded Disability Status Scale; Gd, gadolinium; MS, multiple sclerosis</w:t>
      </w:r>
    </w:p>
    <w:p w:rsidR="007367AD" w:rsidRDefault="007367AD" w:rsidP="007367AD">
      <w:pPr>
        <w:spacing w:line="360" w:lineRule="auto"/>
        <w:jc w:val="both"/>
        <w:rPr>
          <w:rFonts w:ascii="Times New Roman" w:hAnsi="Times New Roman" w:cs="Times New Roman"/>
          <w:b/>
          <w:sz w:val="20"/>
          <w:szCs w:val="20"/>
          <w:lang w:val="en-US"/>
        </w:rPr>
      </w:pPr>
    </w:p>
    <w:p w:rsidR="0068193B" w:rsidRDefault="0068193B"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Clinical outcomes</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Within the study population, ARR at M24 was significantly lower in the fingolimod (0.5 mg) group versus placebo (0.188 versus 0.370; p=0.0004), however, no difference was observed in ARR between vitamin D ´daily´, ´casual´ and ´non-users´ (Figure 1). Similarly, no effect was seen for the proportion of patients with relapses at M12 (´daily users´ </w:t>
      </w:r>
      <w:r>
        <w:rPr>
          <w:rFonts w:ascii="Times New Roman" w:hAnsi="Times New Roman" w:cs="Times New Roman"/>
          <w:sz w:val="20"/>
          <w:szCs w:val="20"/>
        </w:rPr>
        <w:sym w:font="Symbol" w:char="F05B"/>
      </w:r>
      <w:r>
        <w:rPr>
          <w:rFonts w:ascii="Times New Roman" w:hAnsi="Times New Roman" w:cs="Times New Roman"/>
          <w:sz w:val="20"/>
          <w:szCs w:val="20"/>
          <w:lang w:val="en-US"/>
        </w:rPr>
        <w:t>n=110</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27,1%; ´casual users´ </w:t>
      </w:r>
      <w:r>
        <w:rPr>
          <w:rFonts w:ascii="Times New Roman" w:hAnsi="Times New Roman" w:cs="Times New Roman"/>
          <w:sz w:val="20"/>
          <w:szCs w:val="20"/>
        </w:rPr>
        <w:lastRenderedPageBreak/>
        <w:sym w:font="Symbol" w:char="F05B"/>
      </w:r>
      <w:r>
        <w:rPr>
          <w:rFonts w:ascii="Times New Roman" w:hAnsi="Times New Roman" w:cs="Times New Roman"/>
          <w:sz w:val="20"/>
          <w:szCs w:val="20"/>
          <w:lang w:val="en-US"/>
        </w:rPr>
        <w:t>n=157</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17,1%, ´non-users´ </w:t>
      </w:r>
      <w:r>
        <w:rPr>
          <w:rFonts w:ascii="Times New Roman" w:hAnsi="Times New Roman" w:cs="Times New Roman"/>
          <w:sz w:val="20"/>
          <w:szCs w:val="20"/>
        </w:rPr>
        <w:sym w:font="Symbol" w:char="F05B"/>
      </w:r>
      <w:r>
        <w:rPr>
          <w:rFonts w:ascii="Times New Roman" w:hAnsi="Times New Roman" w:cs="Times New Roman"/>
          <w:sz w:val="20"/>
          <w:szCs w:val="20"/>
          <w:lang w:val="en-US"/>
        </w:rPr>
        <w:t>n=562</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24,7%) and M24 (39,7%, 31,0% and 25,4% respectively). EDSS change from baseline to M24 was minimal across all three groups and did not differ significantly between ´daily´ users (n=89) versus ´non-users´ (n=374) (0.1 versus -0.05; p=0.262). The fingolimod treatment effect versus placebo was seen in all sub-groups, but the small number of sample size make it impossible to conclude a treatment effect between the vitamin D use subgroups.</w:t>
      </w:r>
    </w:p>
    <w:p w:rsidR="007367AD" w:rsidRDefault="007367AD" w:rsidP="007367AD">
      <w:pPr>
        <w:spacing w:line="360" w:lineRule="auto"/>
        <w:jc w:val="both"/>
        <w:rPr>
          <w:rFonts w:ascii="Times New Roman" w:hAnsi="Times New Roman" w:cs="Times New Roman"/>
          <w:b/>
          <w:sz w:val="20"/>
          <w:szCs w:val="20"/>
          <w:lang w:val="en-US"/>
        </w:rPr>
      </w:pPr>
    </w:p>
    <w:p w:rsidR="005E6208" w:rsidRDefault="005E6208"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MRI outcomes</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Mean numbers of new/newly-enlarged T2-lesions from baseline to M12 and baseline to M24 were lower in the vitamin D ´daily´ and ´casual users´ versus ´non-users´; however the differences did not reach statistical significance </w:t>
      </w:r>
      <w:r>
        <w:rPr>
          <w:rFonts w:ascii="Times New Roman" w:hAnsi="Times New Roman" w:cs="Times New Roman"/>
          <w:sz w:val="20"/>
          <w:szCs w:val="20"/>
          <w:vertAlign w:val="superscript"/>
          <w:lang w:val="en-US"/>
        </w:rPr>
        <w:t>figure 2a</w:t>
      </w:r>
      <w:r>
        <w:rPr>
          <w:rFonts w:ascii="Times New Roman" w:hAnsi="Times New Roman" w:cs="Times New Roman"/>
          <w:sz w:val="20"/>
          <w:szCs w:val="20"/>
          <w:lang w:val="en-US"/>
        </w:rPr>
        <w:t>. The proportion of patients free of new/newly-enlarge</w:t>
      </w:r>
      <w:r w:rsidR="0068193B">
        <w:rPr>
          <w:rFonts w:ascii="Times New Roman" w:hAnsi="Times New Roman" w:cs="Times New Roman"/>
          <w:sz w:val="20"/>
          <w:szCs w:val="20"/>
          <w:lang w:val="en-US"/>
        </w:rPr>
        <w:t>d T2-lesions significantly favo</w:t>
      </w:r>
      <w:r>
        <w:rPr>
          <w:rFonts w:ascii="Times New Roman" w:hAnsi="Times New Roman" w:cs="Times New Roman"/>
          <w:sz w:val="20"/>
          <w:szCs w:val="20"/>
          <w:lang w:val="en-US"/>
        </w:rPr>
        <w:t xml:space="preserve">red vitamin D ´daily users´ versus ´non-users´ at both time points (M12 </w:t>
      </w:r>
      <w:r>
        <w:rPr>
          <w:rFonts w:ascii="Times New Roman" w:hAnsi="Times New Roman" w:cs="Times New Roman"/>
          <w:sz w:val="20"/>
          <w:szCs w:val="20"/>
        </w:rPr>
        <w:sym w:font="Symbol" w:char="F05B"/>
      </w:r>
      <w:r>
        <w:rPr>
          <w:rFonts w:ascii="Times New Roman" w:hAnsi="Times New Roman" w:cs="Times New Roman"/>
          <w:sz w:val="20"/>
          <w:szCs w:val="20"/>
          <w:lang w:val="en-US"/>
        </w:rPr>
        <w:t>p=0.038</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and M24 </w:t>
      </w:r>
      <w:r>
        <w:rPr>
          <w:rFonts w:ascii="Times New Roman" w:hAnsi="Times New Roman" w:cs="Times New Roman"/>
          <w:sz w:val="20"/>
          <w:szCs w:val="20"/>
        </w:rPr>
        <w:sym w:font="Symbol" w:char="F05B"/>
      </w:r>
      <w:r>
        <w:rPr>
          <w:rFonts w:ascii="Times New Roman" w:hAnsi="Times New Roman" w:cs="Times New Roman"/>
          <w:sz w:val="20"/>
          <w:szCs w:val="20"/>
          <w:lang w:val="en-US"/>
        </w:rPr>
        <w:t>p=0.009</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the difference was not significant between ´casual´ versus ´non-users´ </w:t>
      </w:r>
      <w:r>
        <w:rPr>
          <w:rFonts w:ascii="Times New Roman" w:hAnsi="Times New Roman" w:cs="Times New Roman"/>
          <w:sz w:val="20"/>
          <w:szCs w:val="20"/>
          <w:vertAlign w:val="superscript"/>
          <w:lang w:val="en-US"/>
        </w:rPr>
        <w:t>figure 2b</w:t>
      </w:r>
      <w:r>
        <w:rPr>
          <w:rFonts w:ascii="Times New Roman" w:hAnsi="Times New Roman" w:cs="Times New Roman"/>
          <w:sz w:val="20"/>
          <w:szCs w:val="20"/>
          <w:lang w:val="en-US"/>
        </w:rPr>
        <w:t xml:space="preserve">. Mean number of Gd+ T1-lesions from baseline to M12 and baseline to M24 were numerically lower in the </w:t>
      </w:r>
      <w:r>
        <w:rPr>
          <w:rFonts w:ascii="Times New Roman" w:hAnsi="Times New Roman" w:cs="Times New Roman"/>
          <w:sz w:val="20"/>
          <w:szCs w:val="20"/>
          <w:lang w:val="en-US"/>
        </w:rPr>
        <w:lastRenderedPageBreak/>
        <w:t xml:space="preserve">´daily users´ versus ´non-users´ and in ´casual users´ at M12 </w:t>
      </w:r>
      <w:r>
        <w:rPr>
          <w:rFonts w:ascii="Times New Roman" w:hAnsi="Times New Roman" w:cs="Times New Roman"/>
          <w:sz w:val="20"/>
          <w:szCs w:val="20"/>
          <w:vertAlign w:val="superscript"/>
          <w:lang w:val="en-US"/>
        </w:rPr>
        <w:t>figure 3a</w:t>
      </w:r>
      <w:r>
        <w:rPr>
          <w:rFonts w:ascii="Times New Roman" w:hAnsi="Times New Roman" w:cs="Times New Roman"/>
          <w:sz w:val="20"/>
          <w:szCs w:val="20"/>
          <w:lang w:val="en-US"/>
        </w:rPr>
        <w:t>. Similarly, the proportion of patients free of Gd</w:t>
      </w:r>
      <w:r w:rsidR="0068193B">
        <w:rPr>
          <w:rFonts w:ascii="Times New Roman" w:hAnsi="Times New Roman" w:cs="Times New Roman"/>
          <w:sz w:val="20"/>
          <w:szCs w:val="20"/>
          <w:lang w:val="en-US"/>
        </w:rPr>
        <w:t>+ T1-lesions at M12 and M24 favo</w:t>
      </w:r>
      <w:r>
        <w:rPr>
          <w:rFonts w:ascii="Times New Roman" w:hAnsi="Times New Roman" w:cs="Times New Roman"/>
          <w:sz w:val="20"/>
          <w:szCs w:val="20"/>
          <w:lang w:val="en-US"/>
        </w:rPr>
        <w:t xml:space="preserve">red ´daily users´ versus ´non-users´, whereas there was no difference between ´casual´ and ´non-users´ </w:t>
      </w:r>
      <w:r>
        <w:rPr>
          <w:rFonts w:ascii="Times New Roman" w:hAnsi="Times New Roman" w:cs="Times New Roman"/>
          <w:sz w:val="20"/>
          <w:szCs w:val="20"/>
          <w:vertAlign w:val="superscript"/>
          <w:lang w:val="en-US"/>
        </w:rPr>
        <w:t>figure 3b</w:t>
      </w:r>
      <w:r>
        <w:rPr>
          <w:rFonts w:ascii="Times New Roman" w:hAnsi="Times New Roman" w:cs="Times New Roman"/>
          <w:color w:val="808080" w:themeColor="background1" w:themeShade="80"/>
          <w:sz w:val="20"/>
          <w:szCs w:val="20"/>
          <w:lang w:val="en-US"/>
        </w:rPr>
        <w:t>.</w:t>
      </w:r>
      <w:r>
        <w:rPr>
          <w:rFonts w:ascii="Times New Roman" w:hAnsi="Times New Roman" w:cs="Times New Roman"/>
          <w:sz w:val="20"/>
          <w:szCs w:val="20"/>
          <w:lang w:val="en-US"/>
        </w:rPr>
        <w:t xml:space="preserve"> At M12, percent brain volume change (PBVC) was significantly lower in the ´daily´ versus ´non-users´ (p=0.018) and remained low at M24 (non-significant) </w:t>
      </w:r>
      <w:r>
        <w:rPr>
          <w:rFonts w:ascii="Times New Roman" w:hAnsi="Times New Roman" w:cs="Times New Roman"/>
          <w:sz w:val="20"/>
          <w:szCs w:val="20"/>
          <w:vertAlign w:val="superscript"/>
          <w:lang w:val="en-US"/>
        </w:rPr>
        <w:t>figure 4</w:t>
      </w:r>
      <w:r>
        <w:rPr>
          <w:rFonts w:ascii="Times New Roman" w:hAnsi="Times New Roman" w:cs="Times New Roman"/>
          <w:sz w:val="20"/>
          <w:szCs w:val="20"/>
          <w:lang w:val="en-US"/>
        </w:rPr>
        <w:t xml:space="preserve">. There was no difference in PBVC between ´casual users´ and ´non-users´. </w:t>
      </w:r>
    </w:p>
    <w:p w:rsidR="007367AD" w:rsidRDefault="007367AD" w:rsidP="007367AD">
      <w:pPr>
        <w:spacing w:line="360" w:lineRule="auto"/>
        <w:jc w:val="both"/>
        <w:rPr>
          <w:rFonts w:ascii="Times New Roman" w:hAnsi="Times New Roman" w:cs="Times New Roman"/>
          <w:b/>
          <w:sz w:val="20"/>
          <w:szCs w:val="20"/>
          <w:lang w:val="en-US"/>
        </w:rPr>
      </w:pPr>
    </w:p>
    <w:p w:rsidR="005E6208" w:rsidRDefault="005E6208"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Safety</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Incidence of infections was similar in all groups; the most frequent were nasopharyngitis and upper respiratory tract infection </w:t>
      </w:r>
      <w:r>
        <w:rPr>
          <w:rFonts w:ascii="Times New Roman" w:hAnsi="Times New Roman" w:cs="Times New Roman"/>
          <w:sz w:val="20"/>
          <w:szCs w:val="20"/>
          <w:vertAlign w:val="superscript"/>
          <w:lang w:val="en-US"/>
        </w:rPr>
        <w:t>table 2</w:t>
      </w:r>
      <w:r>
        <w:rPr>
          <w:rFonts w:ascii="Times New Roman" w:hAnsi="Times New Roman" w:cs="Times New Roman"/>
          <w:sz w:val="20"/>
          <w:szCs w:val="20"/>
          <w:lang w:val="en-US"/>
        </w:rPr>
        <w:t xml:space="preserve">. The proportion of patients with depression was lower in ´daily vitamin D users´ versus ´non-users´ and comparable in ´casual´ versus ´non-users´ (5.5% in the ´daily users´ versus 10.8% in ´casual users´ and 11.9% in ´non-users´) </w:t>
      </w:r>
      <w:r>
        <w:rPr>
          <w:rFonts w:ascii="Times New Roman" w:hAnsi="Times New Roman" w:cs="Times New Roman"/>
          <w:sz w:val="20"/>
          <w:szCs w:val="20"/>
          <w:vertAlign w:val="superscript"/>
          <w:lang w:val="en-US"/>
        </w:rPr>
        <w:t>table 2</w:t>
      </w:r>
      <w:r>
        <w:rPr>
          <w:rFonts w:ascii="Times New Roman" w:hAnsi="Times New Roman" w:cs="Times New Roman"/>
          <w:sz w:val="20"/>
          <w:szCs w:val="20"/>
          <w:lang w:val="en-US"/>
        </w:rPr>
        <w:t>.</w:t>
      </w:r>
    </w:p>
    <w:p w:rsidR="007367AD" w:rsidRDefault="007367AD" w:rsidP="007367AD">
      <w:pPr>
        <w:spacing w:line="360" w:lineRule="auto"/>
        <w:jc w:val="both"/>
        <w:rPr>
          <w:rFonts w:ascii="Times New Roman" w:hAnsi="Times New Roman" w:cs="Times New Roman"/>
          <w:sz w:val="20"/>
          <w:szCs w:val="20"/>
          <w:lang w:val="en-US"/>
        </w:rPr>
      </w:pPr>
    </w:p>
    <w:tbl>
      <w:tblPr>
        <w:tblW w:w="9540" w:type="dxa"/>
        <w:tblCellMar>
          <w:left w:w="0" w:type="dxa"/>
          <w:right w:w="0" w:type="dxa"/>
        </w:tblCellMar>
        <w:tblLook w:val="0420" w:firstRow="1" w:lastRow="0" w:firstColumn="0" w:lastColumn="0" w:noHBand="0" w:noVBand="1"/>
      </w:tblPr>
      <w:tblGrid>
        <w:gridCol w:w="3606"/>
        <w:gridCol w:w="228"/>
        <w:gridCol w:w="1750"/>
        <w:gridCol w:w="1978"/>
        <w:gridCol w:w="1978"/>
      </w:tblGrid>
      <w:tr w:rsidR="007367AD" w:rsidRPr="00B77E09" w:rsidTr="007367AD">
        <w:trPr>
          <w:trHeight w:val="20"/>
        </w:trPr>
        <w:tc>
          <w:tcPr>
            <w:tcW w:w="9540" w:type="dxa"/>
            <w:gridSpan w:val="5"/>
            <w:tcBorders>
              <w:top w:val="single" w:sz="8" w:space="0" w:color="634329"/>
              <w:left w:val="single" w:sz="8" w:space="0" w:color="634329"/>
              <w:bottom w:val="single" w:sz="8" w:space="0" w:color="634329"/>
              <w:right w:val="single" w:sz="8" w:space="0" w:color="634329"/>
            </w:tcBorders>
            <w:shd w:val="clear" w:color="auto" w:fill="634329"/>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b/>
                <w:bCs/>
                <w:iCs/>
                <w:color w:val="FFFFFF"/>
                <w:kern w:val="24"/>
                <w:sz w:val="20"/>
                <w:szCs w:val="20"/>
                <w:lang w:val="en-US"/>
              </w:rPr>
              <w:t>Table 2. Safety outcomes in patients by Vitamin D use</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hideMark/>
          </w:tcPr>
          <w:p w:rsidR="007367AD" w:rsidRDefault="007367AD">
            <w:pPr>
              <w:rPr>
                <w:rFonts w:ascii="Times New Roman" w:eastAsia="Times New Roman" w:hAnsi="Times New Roman" w:cs="Times New Roman"/>
                <w:sz w:val="20"/>
                <w:szCs w:val="20"/>
                <w:lang w:val="en-US"/>
              </w:rPr>
            </w:pPr>
          </w:p>
        </w:tc>
        <w:tc>
          <w:tcPr>
            <w:tcW w:w="1978" w:type="dxa"/>
            <w:gridSpan w:val="2"/>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t>Daily users</w:t>
            </w:r>
          </w:p>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lastRenderedPageBreak/>
              <w:t xml:space="preserve">n=110 </w:t>
            </w:r>
          </w:p>
        </w:tc>
        <w:tc>
          <w:tcPr>
            <w:tcW w:w="1978"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lastRenderedPageBreak/>
              <w:t xml:space="preserve">Casual users </w:t>
            </w:r>
          </w:p>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lastRenderedPageBreak/>
              <w:t>n=157</w:t>
            </w:r>
          </w:p>
        </w:tc>
        <w:tc>
          <w:tcPr>
            <w:tcW w:w="1978"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lastRenderedPageBreak/>
              <w:t>Non-users</w:t>
            </w:r>
          </w:p>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lastRenderedPageBreak/>
              <w:t>n=562</w:t>
            </w:r>
          </w:p>
        </w:tc>
      </w:tr>
      <w:tr w:rsidR="007367AD" w:rsidTr="007367AD">
        <w:trPr>
          <w:trHeight w:val="20"/>
        </w:trPr>
        <w:tc>
          <w:tcPr>
            <w:tcW w:w="3834" w:type="dxa"/>
            <w:gridSpan w:val="2"/>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lastRenderedPageBreak/>
              <w:t xml:space="preserve">Infections and infestations, n (%) </w:t>
            </w:r>
          </w:p>
        </w:tc>
        <w:tc>
          <w:tcPr>
            <w:tcW w:w="1750"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83 (75.5)</w:t>
            </w:r>
          </w:p>
        </w:tc>
        <w:tc>
          <w:tcPr>
            <w:tcW w:w="1978"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 xml:space="preserve">128 (81.5) </w:t>
            </w:r>
          </w:p>
        </w:tc>
        <w:tc>
          <w:tcPr>
            <w:tcW w:w="1978"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397 (70.6)</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t>Most frequent, n (%):</w:t>
            </w:r>
          </w:p>
        </w:tc>
        <w:tc>
          <w:tcPr>
            <w:tcW w:w="1978" w:type="dxa"/>
            <w:gridSpan w:val="2"/>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rFonts w:ascii="Times New Roman" w:eastAsia="Times New Roman" w:hAnsi="Times New Roman" w:cs="Times New Roman"/>
                <w:sz w:val="20"/>
                <w:szCs w:val="20"/>
              </w:rPr>
            </w:pPr>
          </w:p>
        </w:tc>
        <w:tc>
          <w:tcPr>
            <w:tcW w:w="1978"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rPr>
                <w:sz w:val="20"/>
                <w:szCs w:val="20"/>
                <w:lang w:val="sv-SE" w:eastAsia="sv-SE"/>
              </w:rPr>
            </w:pPr>
          </w:p>
        </w:tc>
        <w:tc>
          <w:tcPr>
            <w:tcW w:w="1978"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rPr>
                <w:sz w:val="20"/>
                <w:szCs w:val="20"/>
                <w:lang w:val="sv-SE" w:eastAsia="sv-SE"/>
              </w:rPr>
            </w:pP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 xml:space="preserve">Nasopharyngitis </w:t>
            </w:r>
          </w:p>
        </w:tc>
        <w:tc>
          <w:tcPr>
            <w:tcW w:w="1978" w:type="dxa"/>
            <w:gridSpan w:val="2"/>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31 (28.2)</w:t>
            </w:r>
          </w:p>
        </w:tc>
        <w:tc>
          <w:tcPr>
            <w:tcW w:w="1978"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43 (27.4)</w:t>
            </w:r>
          </w:p>
        </w:tc>
        <w:tc>
          <w:tcPr>
            <w:tcW w:w="1978"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134 (23.8)</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tabs>
                <w:tab w:val="left" w:pos="2678"/>
                <w:tab w:val="left" w:pos="4948"/>
                <w:tab w:val="left" w:pos="7478"/>
              </w:tabs>
              <w:spacing w:before="40" w:line="36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Upper respiratory tract infection</w:t>
            </w:r>
          </w:p>
        </w:tc>
        <w:tc>
          <w:tcPr>
            <w:tcW w:w="1978" w:type="dxa"/>
            <w:gridSpan w:val="2"/>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26 (23.6)</w:t>
            </w:r>
          </w:p>
        </w:tc>
        <w:tc>
          <w:tcPr>
            <w:tcW w:w="1978"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45 (28.7)</w:t>
            </w:r>
          </w:p>
        </w:tc>
        <w:tc>
          <w:tcPr>
            <w:tcW w:w="1978"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133 (23.7)</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Urinary tract infection</w:t>
            </w:r>
          </w:p>
        </w:tc>
        <w:tc>
          <w:tcPr>
            <w:tcW w:w="1978" w:type="dxa"/>
            <w:gridSpan w:val="2"/>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11 (10.0)</w:t>
            </w:r>
          </w:p>
        </w:tc>
        <w:tc>
          <w:tcPr>
            <w:tcW w:w="1978"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24 (15.3)</w:t>
            </w:r>
          </w:p>
        </w:tc>
        <w:tc>
          <w:tcPr>
            <w:tcW w:w="1978"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69 (12.3)</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Sinusitis</w:t>
            </w:r>
          </w:p>
        </w:tc>
        <w:tc>
          <w:tcPr>
            <w:tcW w:w="1978" w:type="dxa"/>
            <w:gridSpan w:val="2"/>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12 (10.9)</w:t>
            </w:r>
          </w:p>
        </w:tc>
        <w:tc>
          <w:tcPr>
            <w:tcW w:w="1978"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29 (18.5)</w:t>
            </w:r>
          </w:p>
        </w:tc>
        <w:tc>
          <w:tcPr>
            <w:tcW w:w="1978"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65 (11.6)</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Influenza</w:t>
            </w:r>
          </w:p>
        </w:tc>
        <w:tc>
          <w:tcPr>
            <w:tcW w:w="1978" w:type="dxa"/>
            <w:gridSpan w:val="2"/>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12 (10.9)</w:t>
            </w:r>
          </w:p>
        </w:tc>
        <w:tc>
          <w:tcPr>
            <w:tcW w:w="1978"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19 (12.1)</w:t>
            </w:r>
          </w:p>
        </w:tc>
        <w:tc>
          <w:tcPr>
            <w:tcW w:w="1978"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46 (8.2)</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Bronchitis</w:t>
            </w:r>
          </w:p>
        </w:tc>
        <w:tc>
          <w:tcPr>
            <w:tcW w:w="1978" w:type="dxa"/>
            <w:gridSpan w:val="2"/>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12 (10.9)</w:t>
            </w:r>
          </w:p>
        </w:tc>
        <w:tc>
          <w:tcPr>
            <w:tcW w:w="1978" w:type="dxa"/>
            <w:tcBorders>
              <w:top w:val="single" w:sz="8" w:space="0" w:color="634329"/>
              <w:left w:val="nil"/>
              <w:bottom w:val="single" w:sz="8" w:space="0" w:color="634329"/>
              <w:right w:val="nil"/>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11 (7.0)</w:t>
            </w:r>
          </w:p>
        </w:tc>
        <w:tc>
          <w:tcPr>
            <w:tcW w:w="1978" w:type="dxa"/>
            <w:tcBorders>
              <w:top w:val="single" w:sz="8" w:space="0" w:color="634329"/>
              <w:left w:val="nil"/>
              <w:bottom w:val="single" w:sz="8" w:space="0" w:color="634329"/>
              <w:right w:val="single" w:sz="8" w:space="0" w:color="634329"/>
            </w:tcBorders>
            <w:shd w:val="clear" w:color="auto" w:fill="EAE9E8"/>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39 (6.9)</w:t>
            </w:r>
          </w:p>
        </w:tc>
      </w:tr>
      <w:tr w:rsidR="007367AD" w:rsidTr="007367AD">
        <w:trPr>
          <w:trHeight w:val="20"/>
        </w:trPr>
        <w:tc>
          <w:tcPr>
            <w:tcW w:w="3606" w:type="dxa"/>
            <w:tcBorders>
              <w:top w:val="single" w:sz="8" w:space="0" w:color="634329"/>
              <w:left w:val="single" w:sz="8" w:space="0" w:color="634329"/>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bCs/>
                <w:color w:val="000000"/>
                <w:kern w:val="24"/>
                <w:sz w:val="20"/>
                <w:szCs w:val="20"/>
              </w:rPr>
              <w:t>Depression</w:t>
            </w:r>
          </w:p>
        </w:tc>
        <w:tc>
          <w:tcPr>
            <w:tcW w:w="1978" w:type="dxa"/>
            <w:gridSpan w:val="2"/>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6 (5.5)</w:t>
            </w:r>
          </w:p>
        </w:tc>
        <w:tc>
          <w:tcPr>
            <w:tcW w:w="1978" w:type="dxa"/>
            <w:tcBorders>
              <w:top w:val="single" w:sz="8" w:space="0" w:color="634329"/>
              <w:left w:val="nil"/>
              <w:bottom w:val="single" w:sz="8" w:space="0" w:color="634329"/>
              <w:right w:val="nil"/>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17 (10.8)</w:t>
            </w:r>
          </w:p>
        </w:tc>
        <w:tc>
          <w:tcPr>
            <w:tcW w:w="1978" w:type="dxa"/>
            <w:tcBorders>
              <w:top w:val="single" w:sz="8" w:space="0" w:color="634329"/>
              <w:left w:val="nil"/>
              <w:bottom w:val="single" w:sz="8" w:space="0" w:color="634329"/>
              <w:right w:val="single" w:sz="8" w:space="0" w:color="634329"/>
            </w:tcBorders>
            <w:shd w:val="clear" w:color="auto" w:fill="FFFFFF"/>
            <w:tcMar>
              <w:top w:w="72" w:type="dxa"/>
              <w:left w:w="144" w:type="dxa"/>
              <w:bottom w:w="72" w:type="dxa"/>
              <w:right w:w="144" w:type="dxa"/>
            </w:tcMar>
            <w:vAlign w:val="center"/>
            <w:hideMark/>
          </w:tcPr>
          <w:p w:rsidR="007367AD" w:rsidRDefault="007367AD">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color w:val="000000"/>
                <w:kern w:val="24"/>
                <w:sz w:val="20"/>
                <w:szCs w:val="20"/>
              </w:rPr>
              <w:t>67 (11.9)</w:t>
            </w:r>
          </w:p>
        </w:tc>
      </w:tr>
    </w:tbl>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Discussion</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ind w:firstLine="130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In this paper, we studied the effect of vitamin D supplement usage on the clinical, MRI and safety outcomes of patients from the phase 3 pivotal fingolimod trials. We performed a post hoc analysis of vitamin D supplement use, MS disease activity, and safety parameters </w:t>
      </w:r>
      <w:r>
        <w:rPr>
          <w:rFonts w:ascii="Times New Roman" w:hAnsi="Times New Roman" w:cs="Times New Roman"/>
          <w:color w:val="000000" w:themeColor="text1"/>
          <w:sz w:val="20"/>
          <w:szCs w:val="20"/>
          <w:lang w:val="en-US"/>
        </w:rPr>
        <w:t xml:space="preserve">by </w:t>
      </w:r>
      <w:r>
        <w:rPr>
          <w:rFonts w:ascii="Times New Roman" w:hAnsi="Times New Roman" w:cs="Times New Roman"/>
          <w:sz w:val="20"/>
          <w:szCs w:val="20"/>
          <w:lang w:val="en-US"/>
        </w:rPr>
        <w:t xml:space="preserve">data-mining </w:t>
      </w:r>
      <w:r>
        <w:rPr>
          <w:rFonts w:ascii="Times New Roman" w:hAnsi="Times New Roman" w:cs="Times New Roman"/>
          <w:color w:val="000000" w:themeColor="text1"/>
          <w:sz w:val="20"/>
          <w:szCs w:val="20"/>
          <w:lang w:val="en-US"/>
        </w:rPr>
        <w:t xml:space="preserve">from the </w:t>
      </w:r>
      <w:r>
        <w:rPr>
          <w:rFonts w:ascii="Times New Roman" w:hAnsi="Times New Roman" w:cs="Times New Roman"/>
          <w:color w:val="000000" w:themeColor="text1"/>
          <w:sz w:val="20"/>
          <w:szCs w:val="20"/>
          <w:lang w:val="en-US"/>
        </w:rPr>
        <w:lastRenderedPageBreak/>
        <w:t xml:space="preserve">pooled trials data. We included patients from countries were vitamin D supplements were used.  </w:t>
      </w:r>
      <w:r>
        <w:rPr>
          <w:rFonts w:ascii="Times New Roman" w:hAnsi="Times New Roman" w:cs="Times New Roman"/>
          <w:sz w:val="20"/>
          <w:szCs w:val="20"/>
          <w:lang w:val="en-US"/>
        </w:rPr>
        <w:t>Previous data, that has suggested benefit of vitamin D as an add-on therapy in MS, has accumulated mainly from patients using IFN-</w:t>
      </w:r>
      <w:r>
        <w:rPr>
          <w:rFonts w:ascii="Times New Roman" w:hAnsi="Times New Roman" w:cs="Times New Roman"/>
          <w:sz w:val="20"/>
          <w:szCs w:val="20"/>
          <w:lang w:val="en-US"/>
        </w:rPr>
        <w:sym w:font="Symbol" w:char="F062"/>
      </w:r>
      <w:r>
        <w:rPr>
          <w:rFonts w:ascii="Times New Roman" w:hAnsi="Times New Roman" w:cs="Times New Roman"/>
          <w:sz w:val="20"/>
          <w:szCs w:val="20"/>
          <w:lang w:val="en-US"/>
        </w:rPr>
        <w:t xml:space="preserve"> </w:t>
      </w:r>
      <w:r>
        <w:rPr>
          <w:rFonts w:ascii="Times New Roman" w:hAnsi="Times New Roman" w:cs="Times New Roman"/>
          <w:sz w:val="20"/>
          <w:szCs w:val="20"/>
          <w:lang w:val="en-US"/>
        </w:rPr>
        <w:sym w:font="Symbol" w:char="F05B"/>
      </w:r>
      <w:r>
        <w:rPr>
          <w:rFonts w:ascii="Times New Roman" w:hAnsi="Times New Roman" w:cs="Times New Roman"/>
          <w:sz w:val="20"/>
          <w:szCs w:val="20"/>
          <w:lang w:val="en-US"/>
        </w:rPr>
        <w:t>23</w:t>
      </w:r>
      <w:r>
        <w:rPr>
          <w:rFonts w:ascii="Times New Roman" w:hAnsi="Times New Roman" w:cs="Times New Roman"/>
          <w:sz w:val="20"/>
          <w:szCs w:val="20"/>
          <w:lang w:val="en-US"/>
        </w:rPr>
        <w:sym w:font="Symbol" w:char="F05D"/>
      </w:r>
      <w:r>
        <w:rPr>
          <w:rFonts w:ascii="Times New Roman" w:hAnsi="Times New Roman" w:cs="Times New Roman"/>
          <w:sz w:val="20"/>
          <w:szCs w:val="20"/>
          <w:lang w:val="en-US"/>
        </w:rPr>
        <w:t>. Indeed, it has been suggested that IFN´s and vitamin D may have a synergistic effect and thence, the results of vitamin D efficacy in MS patients using IFN-</w:t>
      </w:r>
      <w:r>
        <w:rPr>
          <w:rFonts w:ascii="Times New Roman" w:hAnsi="Times New Roman" w:cs="Times New Roman"/>
          <w:sz w:val="20"/>
          <w:szCs w:val="20"/>
          <w:lang w:val="en-US"/>
        </w:rPr>
        <w:sym w:font="Symbol" w:char="F062"/>
      </w:r>
      <w:r>
        <w:rPr>
          <w:rFonts w:ascii="Times New Roman" w:hAnsi="Times New Roman" w:cs="Times New Roman"/>
          <w:sz w:val="20"/>
          <w:szCs w:val="20"/>
          <w:lang w:val="en-US"/>
        </w:rPr>
        <w:t xml:space="preserve"> would not be generable to other DMTs </w:t>
      </w:r>
      <w:r>
        <w:rPr>
          <w:rFonts w:ascii="Times New Roman" w:hAnsi="Times New Roman" w:cs="Times New Roman"/>
          <w:sz w:val="20"/>
          <w:szCs w:val="20"/>
        </w:rPr>
        <w:sym w:font="Symbol" w:char="F05B"/>
      </w:r>
      <w:r>
        <w:rPr>
          <w:rFonts w:ascii="Times New Roman" w:hAnsi="Times New Roman" w:cs="Times New Roman"/>
          <w:sz w:val="20"/>
          <w:szCs w:val="20"/>
          <w:lang w:val="en-US"/>
        </w:rPr>
        <w:t>24</w:t>
      </w:r>
      <w:r>
        <w:rPr>
          <w:rFonts w:ascii="Times New Roman" w:hAnsi="Times New Roman" w:cs="Times New Roman"/>
          <w:sz w:val="20"/>
          <w:szCs w:val="20"/>
        </w:rPr>
        <w:sym w:font="Symbol" w:char="F05D"/>
      </w:r>
      <w:r>
        <w:rPr>
          <w:rFonts w:ascii="Times New Roman" w:hAnsi="Times New Roman" w:cs="Times New Roman"/>
          <w:sz w:val="20"/>
          <w:szCs w:val="20"/>
          <w:lang w:val="en-US"/>
        </w:rPr>
        <w:t>.  In support of this, a recent study exploring the effect of vitamin D serum levels on MS activity by DMT classes in 344 MS patients, observed better outcomes with increasing 25(OH)D levels in the IFN-</w:t>
      </w:r>
      <w:r>
        <w:rPr>
          <w:rFonts w:ascii="Times New Roman" w:hAnsi="Times New Roman" w:cs="Times New Roman"/>
          <w:sz w:val="20"/>
          <w:szCs w:val="20"/>
          <w:lang w:val="en-US"/>
        </w:rPr>
        <w:sym w:font="Symbol" w:char="F062"/>
      </w:r>
      <w:r>
        <w:rPr>
          <w:rFonts w:ascii="Times New Roman" w:hAnsi="Times New Roman" w:cs="Times New Roman"/>
          <w:sz w:val="20"/>
          <w:szCs w:val="20"/>
          <w:lang w:val="en-US"/>
        </w:rPr>
        <w:t xml:space="preserve"> subgroup, but not in GA-treated participants. In the 77 patients on fingolimod therapy included in the mentioned study</w:t>
      </w:r>
      <w:r>
        <w:rPr>
          <w:rFonts w:ascii="Arial" w:hAnsi="Arial" w:cs="Arial"/>
          <w:sz w:val="20"/>
          <w:szCs w:val="20"/>
          <w:lang w:val="en-US"/>
        </w:rPr>
        <w:t xml:space="preserve">, </w:t>
      </w:r>
      <w:r>
        <w:rPr>
          <w:rFonts w:ascii="Times New Roman" w:hAnsi="Times New Roman" w:cs="Times New Roman"/>
          <w:sz w:val="20"/>
          <w:szCs w:val="20"/>
          <w:lang w:val="en-US"/>
        </w:rPr>
        <w:t xml:space="preserve">a significant reduction in new inflammatory events and in relapses but not for Gd+ lesions or EDSS progression per serum 25(OH)D tertile increase was shown </w:t>
      </w:r>
      <w:r>
        <w:rPr>
          <w:rFonts w:ascii="Times New Roman" w:hAnsi="Times New Roman" w:cs="Times New Roman"/>
          <w:sz w:val="20"/>
          <w:szCs w:val="20"/>
        </w:rPr>
        <w:sym w:font="Symbol" w:char="F05B"/>
      </w:r>
      <w:r>
        <w:rPr>
          <w:rFonts w:ascii="Times New Roman" w:hAnsi="Times New Roman" w:cs="Times New Roman"/>
          <w:sz w:val="20"/>
          <w:szCs w:val="20"/>
          <w:lang w:val="en-US"/>
        </w:rPr>
        <w:t>12</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w:t>
      </w:r>
    </w:p>
    <w:p w:rsidR="007367AD" w:rsidRDefault="007367AD" w:rsidP="007367AD">
      <w:pPr>
        <w:pStyle w:val="CommentText"/>
        <w:spacing w:line="360" w:lineRule="auto"/>
        <w:ind w:firstLine="1304"/>
        <w:jc w:val="both"/>
        <w:rPr>
          <w:lang w:val="en-US"/>
        </w:rPr>
      </w:pPr>
      <w:r>
        <w:rPr>
          <w:rFonts w:ascii="Times New Roman" w:hAnsi="Times New Roman" w:cs="Times New Roman"/>
          <w:lang w:val="en-US"/>
        </w:rPr>
        <w:t>IFN-</w:t>
      </w:r>
      <w:r>
        <w:rPr>
          <w:rFonts w:ascii="Times New Roman" w:hAnsi="Times New Roman" w:cs="Times New Roman"/>
          <w:lang w:val="en-US"/>
        </w:rPr>
        <w:sym w:font="Symbol" w:char="F062"/>
      </w:r>
      <w:r>
        <w:rPr>
          <w:rFonts w:ascii="Times New Roman" w:hAnsi="Times New Roman" w:cs="Times New Roman"/>
          <w:lang w:val="en-US"/>
        </w:rPr>
        <w:t xml:space="preserve"> treatment has been shown to be associated with greater production of vitamin D from sun exposure, suggesting a synergistic effect and even that part of the therapeutic effects of IFN-</w:t>
      </w:r>
      <w:r>
        <w:rPr>
          <w:rFonts w:ascii="Times New Roman" w:hAnsi="Times New Roman" w:cs="Times New Roman"/>
          <w:lang w:val="en-US"/>
        </w:rPr>
        <w:sym w:font="Symbol" w:char="F062"/>
      </w:r>
      <w:r>
        <w:rPr>
          <w:rFonts w:ascii="Times New Roman" w:hAnsi="Times New Roman" w:cs="Times New Roman"/>
          <w:lang w:val="en-US"/>
        </w:rPr>
        <w:t xml:space="preserve"> on relapses in MS may be through modulation of vitamin D metabolism </w:t>
      </w:r>
      <w:r>
        <w:rPr>
          <w:rFonts w:ascii="Times New Roman" w:hAnsi="Times New Roman" w:cs="Times New Roman"/>
          <w:lang w:val="en-US"/>
        </w:rPr>
        <w:sym w:font="Symbol" w:char="F05B"/>
      </w:r>
      <w:r>
        <w:rPr>
          <w:rFonts w:ascii="Times New Roman" w:hAnsi="Times New Roman" w:cs="Times New Roman"/>
          <w:lang w:val="en-US"/>
        </w:rPr>
        <w:t>24</w:t>
      </w:r>
      <w:r>
        <w:rPr>
          <w:rFonts w:ascii="Times New Roman" w:hAnsi="Times New Roman" w:cs="Times New Roman"/>
          <w:lang w:val="en-US"/>
        </w:rPr>
        <w:sym w:font="Symbol" w:char="F05D"/>
      </w:r>
      <w:r>
        <w:rPr>
          <w:rFonts w:ascii="Times New Roman" w:hAnsi="Times New Roman" w:cs="Times New Roman"/>
          <w:lang w:val="en-US"/>
        </w:rPr>
        <w:t>. Fingolimod acts on the peripheral immune system as a sphingosine-1-phosphate (S1P) receptor mod</w:t>
      </w:r>
      <w:r>
        <w:rPr>
          <w:rFonts w:ascii="Times New Roman" w:hAnsi="Times New Roman" w:cs="Times New Roman"/>
          <w:lang w:val="en-US"/>
        </w:rPr>
        <w:lastRenderedPageBreak/>
        <w:t xml:space="preserve">ulator, leading to internalization of the receptor and sequestration of T-lymphocytes in the lymph nodes and thence reduction of T-cell trafficking into the CNS </w:t>
      </w:r>
      <w:r>
        <w:rPr>
          <w:rFonts w:ascii="Times New Roman" w:hAnsi="Times New Roman" w:cs="Times New Roman"/>
          <w:lang w:val="en-US"/>
        </w:rPr>
        <w:sym w:font="Symbol" w:char="F05B"/>
      </w:r>
      <w:r>
        <w:rPr>
          <w:rFonts w:ascii="Times New Roman" w:hAnsi="Times New Roman" w:cs="Times New Roman"/>
          <w:lang w:val="en-US"/>
        </w:rPr>
        <w:t>25</w:t>
      </w:r>
      <w:r>
        <w:rPr>
          <w:rFonts w:ascii="Times New Roman" w:hAnsi="Times New Roman" w:cs="Times New Roman"/>
          <w:lang w:val="en-US"/>
        </w:rPr>
        <w:sym w:font="Symbol" w:char="F05D"/>
      </w:r>
      <w:r>
        <w:rPr>
          <w:rFonts w:ascii="Times New Roman" w:hAnsi="Times New Roman" w:cs="Times New Roman"/>
          <w:lang w:val="en-US"/>
        </w:rPr>
        <w:t xml:space="preserve">. In a study that assessed the mechanistic rationale that may explain potential clinical effects of vitamin D </w:t>
      </w:r>
      <w:r>
        <w:rPr>
          <w:rFonts w:ascii="Times New Roman" w:hAnsi="Times New Roman" w:cs="Times New Roman"/>
          <w:lang w:val="en"/>
        </w:rPr>
        <w:t>in MS</w:t>
      </w:r>
      <w:r>
        <w:rPr>
          <w:rFonts w:ascii="Times New Roman" w:hAnsi="Times New Roman" w:cs="Times New Roman"/>
          <w:lang w:val="en-US"/>
        </w:rPr>
        <w:t xml:space="preserve">, </w:t>
      </w:r>
      <w:r>
        <w:rPr>
          <w:rFonts w:ascii="Times New Roman" w:hAnsi="Times New Roman" w:cs="Times New Roman"/>
          <w:lang w:val="en"/>
        </w:rPr>
        <w:t xml:space="preserve">vitamin D was found to regulate expression dynamics of a large gene–gene interaction system, which primarily regulates immune modulatory processes modulating MS activity </w:t>
      </w:r>
      <w:r>
        <w:rPr>
          <w:rFonts w:ascii="Times New Roman" w:hAnsi="Times New Roman" w:cs="Times New Roman"/>
          <w:lang w:val="en"/>
        </w:rPr>
        <w:sym w:font="Symbol" w:char="F05B"/>
      </w:r>
      <w:r>
        <w:rPr>
          <w:rFonts w:ascii="Times New Roman" w:hAnsi="Times New Roman" w:cs="Times New Roman"/>
          <w:lang w:val="en"/>
        </w:rPr>
        <w:t>26</w:t>
      </w:r>
      <w:r>
        <w:rPr>
          <w:rFonts w:ascii="Times New Roman" w:hAnsi="Times New Roman" w:cs="Times New Roman"/>
          <w:lang w:val="en"/>
        </w:rPr>
        <w:sym w:font="Symbol" w:char="F05D"/>
      </w:r>
      <w:r>
        <w:rPr>
          <w:rFonts w:ascii="Times New Roman" w:hAnsi="Times New Roman" w:cs="Times New Roman"/>
          <w:lang w:val="en"/>
        </w:rPr>
        <w:t xml:space="preserve">. </w:t>
      </w:r>
      <w:r>
        <w:rPr>
          <w:rFonts w:ascii="Times New Roman" w:hAnsi="Times New Roman" w:cs="Arial"/>
          <w:lang w:val="en-US"/>
        </w:rPr>
        <w:t xml:space="preserve">Targets of </w:t>
      </w:r>
      <w:r>
        <w:rPr>
          <w:rFonts w:ascii="Times New Roman" w:hAnsi="Times New Roman" w:cs="Times New Roman"/>
          <w:lang w:val="en-US"/>
        </w:rPr>
        <w:t>IFN-</w:t>
      </w:r>
      <w:r>
        <w:rPr>
          <w:rFonts w:ascii="Times New Roman" w:hAnsi="Times New Roman" w:cs="Times New Roman"/>
          <w:lang w:val="en-US"/>
        </w:rPr>
        <w:sym w:font="Symbol" w:char="F062"/>
      </w:r>
      <w:r>
        <w:rPr>
          <w:rFonts w:ascii="Times New Roman" w:hAnsi="Times New Roman" w:cs="Times New Roman"/>
          <w:lang w:val="en-US"/>
        </w:rPr>
        <w:t xml:space="preserve"> </w:t>
      </w:r>
      <w:r>
        <w:rPr>
          <w:rFonts w:ascii="Times New Roman" w:hAnsi="Times New Roman" w:cs="Arial"/>
          <w:lang w:val="en-US"/>
        </w:rPr>
        <w:t xml:space="preserve">and a regulator of sphingosine-1-phosphate bioavailability were found among the vitamin D regulated genes </w:t>
      </w:r>
      <w:r>
        <w:rPr>
          <w:rFonts w:ascii="Times New Roman" w:hAnsi="Times New Roman" w:cs="Arial"/>
          <w:lang w:val="en-US"/>
        </w:rPr>
        <w:sym w:font="Symbol" w:char="F05B"/>
      </w:r>
      <w:r>
        <w:rPr>
          <w:rFonts w:ascii="Times New Roman" w:hAnsi="Times New Roman" w:cs="Arial"/>
          <w:lang w:val="en-US"/>
        </w:rPr>
        <w:t>26</w:t>
      </w:r>
      <w:r>
        <w:rPr>
          <w:rFonts w:ascii="Times New Roman" w:hAnsi="Times New Roman" w:cs="Arial"/>
          <w:lang w:val="en-US"/>
        </w:rPr>
        <w:sym w:font="Symbol" w:char="F05D"/>
      </w:r>
      <w:r>
        <w:rPr>
          <w:rFonts w:ascii="Times New Roman" w:hAnsi="Times New Roman" w:cs="Arial"/>
          <w:lang w:val="en-US"/>
        </w:rPr>
        <w:t xml:space="preserve">. </w:t>
      </w:r>
      <w:r w:rsidR="0068193B">
        <w:rPr>
          <w:rFonts w:ascii="Times New Roman" w:hAnsi="Times New Roman" w:cs="Times New Roman"/>
          <w:lang w:val="en"/>
        </w:rPr>
        <w:t>More spec</w:t>
      </w:r>
      <w:r>
        <w:rPr>
          <w:rFonts w:ascii="Times New Roman" w:hAnsi="Times New Roman" w:cs="Times New Roman"/>
          <w:lang w:val="en"/>
        </w:rPr>
        <w:t xml:space="preserve">ifically, vitamin D regulated </w:t>
      </w:r>
      <w:r>
        <w:rPr>
          <w:rStyle w:val="Emphasis"/>
          <w:rFonts w:ascii="Times New Roman" w:hAnsi="Times New Roman" w:cs="Times New Roman"/>
          <w:lang w:val="en"/>
        </w:rPr>
        <w:t>SGPP1</w:t>
      </w:r>
      <w:r>
        <w:rPr>
          <w:rFonts w:ascii="Times New Roman" w:hAnsi="Times New Roman" w:cs="Times New Roman"/>
          <w:lang w:val="en"/>
        </w:rPr>
        <w:t>, a gene that encodes for an enzyme that catalyzes the degradation of S1P. Degradation of the SP1 receptor decreases receptor availability to lymphocytes and thence acts into the same direction as fingolimod, providing a potential beneficial mechanism of action of vitamin D add-on to fingolimod. An additive effect was not demonstrated in this analysis, further studies are required to confirm this hypothesis.</w:t>
      </w:r>
    </w:p>
    <w:p w:rsidR="007367AD" w:rsidRDefault="007367AD" w:rsidP="007367AD">
      <w:pPr>
        <w:spacing w:line="360" w:lineRule="auto"/>
        <w:ind w:firstLine="1304"/>
        <w:jc w:val="both"/>
        <w:rPr>
          <w:rFonts w:ascii="Times New Roman" w:hAnsi="Times New Roman" w:cs="Times New Roman"/>
          <w:color w:val="A6A6A6" w:themeColor="background1" w:themeShade="A6"/>
          <w:sz w:val="20"/>
          <w:szCs w:val="20"/>
          <w:lang w:val="en-US"/>
        </w:rPr>
      </w:pPr>
      <w:r>
        <w:rPr>
          <w:rFonts w:ascii="Times New Roman" w:hAnsi="Times New Roman" w:cs="Times New Roman"/>
          <w:sz w:val="20"/>
          <w:szCs w:val="20"/>
          <w:lang w:val="en-US"/>
        </w:rPr>
        <w:t xml:space="preserve">Based on previous conflicting results concerning the effects of vitamin D on depression in MS, the second objective of this study was to assess reported depression among MS patients using vitamin D supplements compared to no vitamin D intake. The results indicated that the proportion of patients with depression was lower among the ´daily´ vitamin D users. Our </w:t>
      </w:r>
      <w:r>
        <w:rPr>
          <w:rFonts w:ascii="Times New Roman" w:hAnsi="Times New Roman" w:cs="Times New Roman"/>
          <w:sz w:val="20"/>
          <w:szCs w:val="20"/>
          <w:lang w:val="en-US"/>
        </w:rPr>
        <w:lastRenderedPageBreak/>
        <w:t>results suggest a possible beneficial impact of vitamin D supplementation, not only on MS-disease activity, but also on depression and consequently, the quality of life. Confounding factors such as differences in other lifestyles between the users and non-users cannot be excluded. For instance data on smoking, a risk factor for worse clinical and MRI-outcomes in MS, was not available in this study. Other potential confounding factors not available or adjusted for in this study were genetic factors, ethnicity, socioeconomic status, precise latitude and pre</w:t>
      </w:r>
      <w:r w:rsidR="0068193B">
        <w:rPr>
          <w:rFonts w:ascii="Times New Roman" w:hAnsi="Times New Roman" w:cs="Times New Roman"/>
          <w:sz w:val="20"/>
          <w:szCs w:val="20"/>
          <w:lang w:val="en-US"/>
        </w:rPr>
        <w:t>vious DMT versus treatment-naive</w:t>
      </w:r>
      <w:r>
        <w:rPr>
          <w:rFonts w:ascii="Times New Roman" w:hAnsi="Times New Roman" w:cs="Times New Roman"/>
          <w:sz w:val="20"/>
          <w:szCs w:val="20"/>
          <w:lang w:val="en-US"/>
        </w:rPr>
        <w:t>ty, whereas age, gender, BMI, duration of diagnosis, EDSS and relapse rate at baseline were included in baseline characters. The results may be altered by some of these potential confounding factors, and conclusions cannot be made whether the results are generalizable to all ethnic groups.</w:t>
      </w:r>
    </w:p>
    <w:p w:rsidR="007367AD" w:rsidRDefault="007367AD" w:rsidP="007367AD">
      <w:pPr>
        <w:spacing w:line="360" w:lineRule="auto"/>
        <w:ind w:firstLine="1304"/>
        <w:jc w:val="both"/>
        <w:rPr>
          <w:rFonts w:ascii="Times New Roman" w:hAnsi="Times New Roman" w:cs="Times New Roman"/>
          <w:sz w:val="20"/>
          <w:szCs w:val="20"/>
          <w:lang w:val="en-US"/>
        </w:rPr>
      </w:pPr>
      <w:r>
        <w:rPr>
          <w:rFonts w:ascii="Times New Roman" w:hAnsi="Times New Roman" w:cs="Times New Roman"/>
          <w:color w:val="A6A6A6" w:themeColor="background1" w:themeShade="A6"/>
          <w:sz w:val="20"/>
          <w:szCs w:val="20"/>
          <w:lang w:val="en-US"/>
        </w:rPr>
        <w:t xml:space="preserve"> </w:t>
      </w:r>
      <w:r>
        <w:rPr>
          <w:rFonts w:ascii="Times New Roman" w:hAnsi="Times New Roman" w:cs="Times New Roman"/>
          <w:sz w:val="20"/>
          <w:szCs w:val="20"/>
          <w:lang w:val="en-US"/>
        </w:rPr>
        <w:t xml:space="preserve">The major caveat of our study is the lack of data of serum 25(OH)D levels and the dose of vitamin D obtained from the supplements. It is possible that vitamin D supplement users had also otherwise healthier lifestyles that could have explained the observed differences in MRI outcomes. In the baseline characteristics, significantly lower BMI and T2 lesion volume in ´daily´ versus ´non-users´, along with a trend for lower Gd+ T1 lesion activity and EDSS were indeed discovered.  It is interesting to speculate that </w:t>
      </w:r>
      <w:r>
        <w:rPr>
          <w:rFonts w:ascii="Times New Roman" w:hAnsi="Times New Roman" w:cs="Times New Roman"/>
          <w:sz w:val="20"/>
          <w:szCs w:val="20"/>
          <w:lang w:val="en-US"/>
        </w:rPr>
        <w:lastRenderedPageBreak/>
        <w:t>these differences could have been accounted for by the vitamin D supplement use. We did not, however, have data on duration of vitamin D supplementation prior to the study. Similarly lower T2 lesion volume, less Gd+ T1 lesions and a trend towards lower EDSS was observed in a placebo-controlled phase 2 clinical trial with vitamin D add-on to IFN-</w:t>
      </w:r>
      <w:r>
        <w:rPr>
          <w:rFonts w:ascii="Times New Roman" w:hAnsi="Times New Roman" w:cs="Times New Roman"/>
          <w:sz w:val="20"/>
          <w:szCs w:val="20"/>
          <w:lang w:val="en-US"/>
        </w:rPr>
        <w:sym w:font="Symbol" w:char="F062"/>
      </w:r>
      <w:r>
        <w:rPr>
          <w:rFonts w:ascii="Times New Roman" w:hAnsi="Times New Roman" w:cs="Times New Roman"/>
          <w:sz w:val="20"/>
          <w:szCs w:val="20"/>
          <w:lang w:val="en-US"/>
        </w:rPr>
        <w:t xml:space="preserve"> performed in Finland, with a moderate vitamin D dose (20000 IU/week) </w:t>
      </w:r>
      <w:r>
        <w:rPr>
          <w:rFonts w:ascii="Times New Roman" w:hAnsi="Times New Roman" w:cs="Times New Roman"/>
          <w:sz w:val="20"/>
          <w:szCs w:val="20"/>
        </w:rPr>
        <w:sym w:font="Symbol" w:char="F05B"/>
      </w:r>
      <w:r>
        <w:rPr>
          <w:rFonts w:ascii="Times New Roman" w:hAnsi="Times New Roman" w:cs="Times New Roman"/>
          <w:sz w:val="20"/>
          <w:szCs w:val="20"/>
          <w:lang w:val="en-US"/>
        </w:rPr>
        <w:t>13</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In the present study, all the MRI outcomes pointed into the direction of benefit from supplements, and there was a suggestion for a dose effect in the Gd+ lesions at Month 12 and new T2 lesions at Month 12 and Month 24 such that casual users were between daily users an non-users. These results suggest that the findings of this post hoc analysis are not merely a stochastic chance event but rather have a biological explanation. </w:t>
      </w:r>
    </w:p>
    <w:p w:rsidR="007367AD" w:rsidRDefault="007367AD" w:rsidP="007367AD">
      <w:pPr>
        <w:spacing w:line="360" w:lineRule="auto"/>
        <w:ind w:firstLine="1304"/>
        <w:jc w:val="both"/>
        <w:rPr>
          <w:rFonts w:ascii="Times New Roman" w:hAnsi="Times New Roman" w:cs="Times New Roman"/>
          <w:sz w:val="20"/>
          <w:szCs w:val="20"/>
          <w:lang w:val="en-US"/>
        </w:rPr>
      </w:pPr>
      <w:r>
        <w:rPr>
          <w:rFonts w:ascii="Times New Roman" w:hAnsi="Times New Roman" w:cs="Times New Roman"/>
          <w:sz w:val="20"/>
          <w:szCs w:val="20"/>
          <w:lang w:val="en-US"/>
        </w:rPr>
        <w:t>In conclusion, we observed better MRI outcomes in the ´daily users´ of vitamin D supplements compared to ´non-users´ in patients from the phase 3 pivotal fingolimod studies. Based on our results, vitamin D supplement use can be recommended also to MS patients receiving fingolimod therapy.</w:t>
      </w:r>
    </w:p>
    <w:p w:rsidR="007367AD" w:rsidRDefault="007367AD" w:rsidP="007367AD">
      <w:pPr>
        <w:spacing w:line="360" w:lineRule="auto"/>
        <w:jc w:val="both"/>
        <w:rPr>
          <w:rFonts w:ascii="Times New Roman" w:hAnsi="Times New Roman" w:cs="Times New Roman"/>
          <w:b/>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Author contributions</w:t>
      </w:r>
    </w:p>
    <w:p w:rsidR="007367AD" w:rsidRDefault="007367AD" w:rsidP="007367AD">
      <w:pPr>
        <w:spacing w:line="360" w:lineRule="auto"/>
        <w:jc w:val="both"/>
        <w:rPr>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Kira Hongell contributed to the study design, concept and the design and drafting of the intellectual content of this manuscript. Merja Soilu-Hänninen contributed to the overall study design and concept, and the intellectual content and revising of the manuscript and the overall study supervision. Novartis employees contributed to the data-mining, acquisition of data, data analysis and interpretation and drafting of the intellectual content of this manuscript. Akhilesh Singh contributed to medical writing assistance Rishard Salie to scientific editorial review and coordinating author reviews and Ras Behari Koner contributed to design assistance.</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Ethical standards</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The FREEDOMS studies have been performed in accordance with the ethical standards laid down in the 1964 Declaration of Helsinki and its later amendments. All persons included in these trials have given their informed consent prior to their inclusion in the studies. </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Conflict of interest</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Dr. Kira Hongell has received travel grants and financial funding for participation in international congresses by Novartis, Biogen Idec, Teva and the Finnish Neurological Society, and research funding from the Maire Taponen Foundation and the Cultural Foundation of Åland. Dr. Merja Soilu-Hänninen has obtained lecture fees and travel reimbursements from Bayer, Biogen Idec Finland, Genzyme, Merck, Novartis, Sanofi, Orion and Teva. Diego Silva, Shannon Ritter and Daniela Piani Meier are employees of Novartis.</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b/>
          <w:sz w:val="20"/>
          <w:szCs w:val="20"/>
        </w:rPr>
      </w:pPr>
      <w:r>
        <w:rPr>
          <w:rFonts w:ascii="Times New Roman" w:hAnsi="Times New Roman" w:cs="Times New Roman"/>
          <w:b/>
          <w:sz w:val="20"/>
          <w:szCs w:val="20"/>
        </w:rPr>
        <w:t>REFERENCES</w:t>
      </w:r>
    </w:p>
    <w:p w:rsidR="007367AD" w:rsidRDefault="007367AD" w:rsidP="007367AD">
      <w:pPr>
        <w:spacing w:line="360" w:lineRule="auto"/>
        <w:jc w:val="both"/>
        <w:rPr>
          <w:rFonts w:ascii="Times New Roman" w:hAnsi="Times New Roman" w:cs="Times New Roman"/>
          <w:b/>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Ebers GC. Environmental factors and multiple sclerosis. Lancet Neurol. 2008;7(3):268-277. Doi: 10.1016/S1474-4422(08)70042-5. Review. </w:t>
      </w:r>
      <w:r>
        <w:rPr>
          <w:rFonts w:ascii="Times New Roman" w:hAnsi="Times New Roman" w:cs="Times New Roman"/>
          <w:sz w:val="20"/>
          <w:szCs w:val="20"/>
        </w:rPr>
        <w:t>PMID: 18275928</w:t>
      </w:r>
    </w:p>
    <w:p w:rsidR="007367AD" w:rsidRDefault="007367AD" w:rsidP="007367AD">
      <w:pPr>
        <w:pStyle w:val="ListParagraph"/>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lastRenderedPageBreak/>
        <w:t xml:space="preserve">Ascherio A, Munger KL, Simon KC. Vitamin D and multiple sclerosis. Lancet Neurol. 2010;9(6):599-612. Doi: 10.1016/S1474-4422(10)70086-7. Review. </w:t>
      </w:r>
      <w:r>
        <w:rPr>
          <w:rFonts w:ascii="Times New Roman" w:hAnsi="Times New Roman" w:cs="Times New Roman"/>
          <w:color w:val="000000" w:themeColor="text1"/>
          <w:sz w:val="20"/>
          <w:szCs w:val="20"/>
          <w:lang w:val="en-US"/>
        </w:rPr>
        <w:t>PMID: 20494325</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Munger KL, Zhang SM, O´Reilly E, Hernán MA, Olek MJ, Willet WC, Ascherio A. Vitamin D intake and incidence of multiple sclerosis.</w:t>
      </w:r>
      <w:r w:rsidRPr="0068193B">
        <w:rPr>
          <w:rFonts w:ascii="Times New Roman" w:hAnsi="Times New Roman" w:cs="Times New Roman"/>
          <w:sz w:val="20"/>
          <w:szCs w:val="20"/>
          <w:lang w:val="en-US"/>
        </w:rPr>
        <w:t xml:space="preserve"> Neurology</w:t>
      </w:r>
      <w:r>
        <w:rPr>
          <w:rFonts w:ascii="Times New Roman" w:hAnsi="Times New Roman" w:cs="Times New Roman"/>
          <w:sz w:val="20"/>
          <w:szCs w:val="20"/>
        </w:rPr>
        <w:t xml:space="preserve"> 2004 Jan 13;62(1):60-5</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Van der Mei IA, Ponsonby AL, Dwyer T, Blizzard L, Simmons R, Taylor BV, Butzkueven H, Kilpatrick T. Past exposure to sun, skin phenotype, and risk of multiple sclerosis: case-control study. </w:t>
      </w:r>
      <w:r>
        <w:rPr>
          <w:rFonts w:ascii="Times New Roman" w:hAnsi="Times New Roman" w:cs="Times New Roman"/>
          <w:sz w:val="20"/>
          <w:szCs w:val="20"/>
        </w:rPr>
        <w:t>BMJ 2003</w:t>
      </w:r>
      <w:r w:rsidRPr="0068193B">
        <w:rPr>
          <w:rFonts w:ascii="Times New Roman" w:hAnsi="Times New Roman" w:cs="Times New Roman"/>
          <w:sz w:val="20"/>
          <w:szCs w:val="20"/>
          <w:lang w:val="en-US"/>
        </w:rPr>
        <w:t xml:space="preserve"> Aug</w:t>
      </w:r>
      <w:r>
        <w:rPr>
          <w:rFonts w:ascii="Times New Roman" w:hAnsi="Times New Roman" w:cs="Times New Roman"/>
          <w:sz w:val="20"/>
          <w:szCs w:val="20"/>
        </w:rPr>
        <w:t xml:space="preserve"> 9;327(7410): 316</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Kampman MT, Wilsgaard T, Mellgren SI. </w:t>
      </w:r>
      <w:r>
        <w:rPr>
          <w:rFonts w:ascii="Times New Roman" w:hAnsi="Times New Roman" w:cs="Times New Roman"/>
          <w:sz w:val="20"/>
          <w:szCs w:val="20"/>
          <w:lang w:val="en-US"/>
        </w:rPr>
        <w:t xml:space="preserve">Outdoor activities and diet in childhood and adolescence relate to MS risk above the Arctic cirkle. </w:t>
      </w:r>
      <w:r>
        <w:rPr>
          <w:rFonts w:ascii="Times New Roman" w:hAnsi="Times New Roman" w:cs="Times New Roman"/>
          <w:sz w:val="20"/>
          <w:szCs w:val="20"/>
        </w:rPr>
        <w:t>J Neurol. 2007 Apr;254(4):471-7. Epub 2007 Mar 21. Doi: 10.1007/s00415-006-0395-5. PMID 17377831</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lastRenderedPageBreak/>
        <w:t>Munger KL, Levin LI, Hollis BW, Howard NS, Ascherio A.</w:t>
      </w:r>
      <w:r>
        <w:rPr>
          <w:rFonts w:ascii="Times New Roman" w:hAnsi="Times New Roman" w:cs="Times New Roman"/>
          <w:color w:val="FF0000"/>
          <w:sz w:val="20"/>
          <w:szCs w:val="20"/>
          <w:lang w:val="en-US"/>
        </w:rPr>
        <w:t xml:space="preserve"> </w:t>
      </w:r>
      <w:r>
        <w:rPr>
          <w:rFonts w:ascii="Times New Roman" w:hAnsi="Times New Roman" w:cs="Times New Roman"/>
          <w:sz w:val="20"/>
          <w:szCs w:val="20"/>
          <w:lang w:val="en-US"/>
        </w:rPr>
        <w:t xml:space="preserve">Serum 25-hydroxyvitamin D levels and risk of multiple sclerosis. </w:t>
      </w:r>
      <w:r>
        <w:rPr>
          <w:rFonts w:ascii="Times New Roman" w:hAnsi="Times New Roman" w:cs="Times New Roman"/>
          <w:sz w:val="20"/>
          <w:szCs w:val="20"/>
        </w:rPr>
        <w:t>JAMA 2006 Dec 20;296(23):2832-8. Doi: 10.1001/jama.296.23.2832. PMID 17179460</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Munger KL, Åivo J, Hongell K, Soilu-Hänninen M, Surcel HM, Ascherio A. Vitamin D Status During Pregnancy and Risk of Multiple Sclerosis in Offspring of Women in the Finnish Maternity Cohort. </w:t>
      </w:r>
      <w:r>
        <w:rPr>
          <w:rFonts w:ascii="Times New Roman" w:hAnsi="Times New Roman" w:cs="Times New Roman"/>
          <w:sz w:val="20"/>
          <w:szCs w:val="20"/>
        </w:rPr>
        <w:t xml:space="preserve">JAMA Neurol. 2016 May 1;73(5):515-9. Doi: </w:t>
      </w:r>
      <w:r>
        <w:rPr>
          <w:rFonts w:ascii="Times New Roman" w:hAnsi="Times New Roman" w:cs="Times New Roman"/>
          <w:sz w:val="20"/>
          <w:szCs w:val="20"/>
          <w:lang w:val="en-US"/>
        </w:rPr>
        <w:t>10.1001/jamaneurol.2015.4800. PMID: 26953778</w:t>
      </w:r>
    </w:p>
    <w:p w:rsidR="007367AD" w:rsidRDefault="007367AD" w:rsidP="007367AD">
      <w:pPr>
        <w:pStyle w:val="ListParagraph"/>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Simpson S Jr, Taylor B, Blizzard L, Ponsonby AL, Pittas F, Tremlett H, Dwyer T, Gies P, van der Mei I. Higher 25-hydroxyvitamin D is associated with lower relapse risk in multiple sclerosis. </w:t>
      </w:r>
      <w:r>
        <w:rPr>
          <w:rFonts w:ascii="Times New Roman" w:hAnsi="Times New Roman" w:cs="Times New Roman"/>
          <w:sz w:val="20"/>
          <w:szCs w:val="20"/>
        </w:rPr>
        <w:t xml:space="preserve">Ann Neurol. 2010 Aug;68(2):193-203. </w:t>
      </w:r>
      <w:r>
        <w:rPr>
          <w:rFonts w:ascii="Times New Roman" w:hAnsi="Times New Roman" w:cs="Times New Roman"/>
          <w:sz w:val="20"/>
          <w:szCs w:val="20"/>
          <w:lang w:val="en-US"/>
        </w:rPr>
        <w:t xml:space="preserve">Doi: 10.1002/ana.22043. </w:t>
      </w:r>
      <w:r>
        <w:rPr>
          <w:rFonts w:ascii="Times New Roman" w:hAnsi="Times New Roman" w:cs="Times New Roman"/>
          <w:color w:val="000000" w:themeColor="text1"/>
          <w:sz w:val="20"/>
          <w:szCs w:val="20"/>
          <w:lang w:val="en-US"/>
        </w:rPr>
        <w:t>PMID: 20695012</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color w:val="000000" w:themeColor="text1"/>
          <w:sz w:val="20"/>
          <w:szCs w:val="20"/>
        </w:rPr>
      </w:pPr>
      <w:r>
        <w:rPr>
          <w:rFonts w:ascii="Times New Roman" w:hAnsi="Times New Roman" w:cs="Times New Roman"/>
          <w:sz w:val="20"/>
          <w:szCs w:val="20"/>
          <w:lang w:val="en-US"/>
        </w:rPr>
        <w:t xml:space="preserve">Mowry EM, Waubant E, McCulloch CE, Okuda DT, Evangelista AA, Lincoln RR, Gourraud PA, Brenneman D, Owen MC, Qualley P, Bucci </w:t>
      </w:r>
      <w:r>
        <w:rPr>
          <w:rFonts w:ascii="Times New Roman" w:hAnsi="Times New Roman" w:cs="Times New Roman"/>
          <w:sz w:val="20"/>
          <w:szCs w:val="20"/>
          <w:lang w:val="en-US"/>
        </w:rPr>
        <w:lastRenderedPageBreak/>
        <w:t xml:space="preserve">M, Hauser SL, Pelletier D. Vitamin D status predicts new brain magnetic resonance imaging activity in multiple sclerosis. </w:t>
      </w:r>
      <w:r>
        <w:rPr>
          <w:rFonts w:ascii="Times New Roman" w:hAnsi="Times New Roman" w:cs="Times New Roman"/>
          <w:sz w:val="20"/>
          <w:szCs w:val="20"/>
        </w:rPr>
        <w:t xml:space="preserve">Ann Neurol. 2012 Aug;72(2):234-240. </w:t>
      </w:r>
      <w:r>
        <w:rPr>
          <w:rFonts w:ascii="Times New Roman" w:hAnsi="Times New Roman" w:cs="Times New Roman"/>
          <w:sz w:val="20"/>
          <w:szCs w:val="20"/>
          <w:lang w:val="en-US"/>
        </w:rPr>
        <w:t xml:space="preserve">Doi: 10.1002/ana.23591. </w:t>
      </w:r>
      <w:r>
        <w:rPr>
          <w:rFonts w:ascii="Times New Roman" w:hAnsi="Times New Roman" w:cs="Times New Roman"/>
          <w:color w:val="000000" w:themeColor="text1"/>
          <w:sz w:val="20"/>
          <w:szCs w:val="20"/>
          <w:lang w:val="en-US"/>
        </w:rPr>
        <w:t>PMID: 22926855</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Runia TF, Hop WC, de Rijke YB, Buljevac D, Hintzen RQ. Lower serum D levels are associated with higher relapse risk in multiple sclerosis. </w:t>
      </w:r>
      <w:r>
        <w:rPr>
          <w:rFonts w:ascii="Times New Roman" w:hAnsi="Times New Roman" w:cs="Times New Roman"/>
          <w:sz w:val="20"/>
          <w:szCs w:val="20"/>
        </w:rPr>
        <w:t xml:space="preserve">Neurology. 2012 Jul 17;79(3):261-266. </w:t>
      </w:r>
      <w:r>
        <w:rPr>
          <w:rFonts w:ascii="Times New Roman" w:hAnsi="Times New Roman" w:cs="Times New Roman"/>
          <w:sz w:val="20"/>
          <w:szCs w:val="20"/>
          <w:lang w:val="en-US"/>
        </w:rPr>
        <w:t>Doi: 10.1212/WNL.0b013e31825fdec7. PMID: 22700811</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Løken-Amsrud KI, Lilleås F, Midgard R, Pedersen T, Benth JS, Sandvik L, Torkildsen O, Wergeland S, Myhr KM. Vitamin D and disease activity in multiple sclerosis before and during interferon-</w:t>
      </w:r>
      <w:r>
        <w:rPr>
          <w:rFonts w:ascii="Times New Roman" w:hAnsi="Times New Roman" w:cs="Times New Roman"/>
          <w:sz w:val="20"/>
          <w:szCs w:val="20"/>
        </w:rPr>
        <w:t>β</w:t>
      </w:r>
      <w:r>
        <w:rPr>
          <w:rFonts w:ascii="Times New Roman" w:hAnsi="Times New Roman" w:cs="Times New Roman"/>
          <w:sz w:val="20"/>
          <w:szCs w:val="20"/>
          <w:lang w:val="en-US"/>
        </w:rPr>
        <w:t xml:space="preserve"> treatment. Neurology. 2012 Jul: 79:267-273. Doi: 10.1212/WNL.0b013e31825fdf01. </w:t>
      </w:r>
      <w:r>
        <w:rPr>
          <w:rFonts w:ascii="Times New Roman" w:hAnsi="Times New Roman" w:cs="Times New Roman"/>
          <w:color w:val="000000" w:themeColor="text1"/>
          <w:sz w:val="20"/>
          <w:szCs w:val="20"/>
          <w:lang w:val="en-US"/>
        </w:rPr>
        <w:t>PMID: 22700809</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widowControl w:val="0"/>
        <w:numPr>
          <w:ilvl w:val="0"/>
          <w:numId w:val="2"/>
        </w:num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Rotstein DL, Healy BC, Malik MT, Carruthers RL, Musallam AJ, Kivisakk P, Weiner HL, Glanz B, Chinitis T. Effect of vitamin D on MS activity by disease-modifying therapy class. </w:t>
      </w:r>
      <w:r>
        <w:rPr>
          <w:rFonts w:ascii="Times New Roman" w:hAnsi="Times New Roman" w:cs="Times New Roman"/>
          <w:sz w:val="20"/>
          <w:szCs w:val="20"/>
        </w:rPr>
        <w:t xml:space="preserve">Neurol Neuroimmunol Neuroinflamm. 2015 Oct 29;2(6):e167. Doi: </w:t>
      </w:r>
      <w:r>
        <w:rPr>
          <w:rFonts w:ascii="Times New Roman" w:hAnsi="Times New Roman" w:cs="Times New Roman"/>
          <w:sz w:val="20"/>
          <w:szCs w:val="20"/>
          <w:lang w:val="en-US"/>
        </w:rPr>
        <w:lastRenderedPageBreak/>
        <w:t xml:space="preserve">10.1212/NXI.0000000000000167. </w:t>
      </w:r>
      <w:r>
        <w:rPr>
          <w:rFonts w:ascii="Times New Roman" w:hAnsi="Times New Roman" w:cs="Times New Roman"/>
          <w:color w:val="000000" w:themeColor="text1"/>
          <w:sz w:val="20"/>
          <w:szCs w:val="20"/>
          <w:lang w:val="en-US"/>
        </w:rPr>
        <w:t>PMID: 26568968</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Soilu-Hänninen M, Åivo J, Lindström BM, Elovaara I, Sumelahti ML, Färkkilä M, Tienari P, Atula S, Sarasoja T, Herrala L, Keskinarkaus I, Kruger J, Kallio T, Rocca MA, Filippi M. A randomised, </w:t>
      </w:r>
      <w:r>
        <w:rPr>
          <w:rFonts w:ascii="Times New Roman" w:hAnsi="Times New Roman" w:cs="Times New Roman"/>
          <w:color w:val="000000" w:themeColor="text1"/>
          <w:sz w:val="20"/>
          <w:szCs w:val="20"/>
          <w:lang w:val="en-US"/>
        </w:rPr>
        <w:t>double-blind</w:t>
      </w:r>
      <w:r>
        <w:rPr>
          <w:rFonts w:ascii="Times New Roman" w:hAnsi="Times New Roman" w:cs="Times New Roman"/>
          <w:sz w:val="20"/>
          <w:szCs w:val="20"/>
          <w:lang w:val="en-US"/>
        </w:rPr>
        <w:t xml:space="preserve">, placebo controlled </w:t>
      </w:r>
      <w:r w:rsidR="00AB39BE">
        <w:rPr>
          <w:rFonts w:ascii="Times New Roman" w:hAnsi="Times New Roman" w:cs="Times New Roman"/>
          <w:sz w:val="20"/>
          <w:szCs w:val="20"/>
          <w:lang w:val="en-US"/>
        </w:rPr>
        <w:t>trial with vitamin D3 as an add-</w:t>
      </w:r>
      <w:r>
        <w:rPr>
          <w:rFonts w:ascii="Times New Roman" w:hAnsi="Times New Roman" w:cs="Times New Roman"/>
          <w:sz w:val="20"/>
          <w:szCs w:val="20"/>
          <w:lang w:val="en-US"/>
        </w:rPr>
        <w:t xml:space="preserve">on treatment to interferon </w:t>
      </w:r>
      <w:r>
        <w:rPr>
          <w:rFonts w:ascii="Times New Roman" w:hAnsi="Times New Roman" w:cs="Times New Roman"/>
          <w:sz w:val="20"/>
          <w:szCs w:val="20"/>
        </w:rPr>
        <w:t>β</w:t>
      </w:r>
      <w:r>
        <w:rPr>
          <w:rFonts w:ascii="Times New Roman" w:hAnsi="Times New Roman" w:cs="Times New Roman"/>
          <w:sz w:val="20"/>
          <w:szCs w:val="20"/>
          <w:lang w:val="en-US"/>
        </w:rPr>
        <w:t xml:space="preserve">-1b in patients with multiple sclerosis. </w:t>
      </w:r>
      <w:r>
        <w:rPr>
          <w:rFonts w:ascii="Times New Roman" w:hAnsi="Times New Roman" w:cs="Times New Roman"/>
          <w:sz w:val="20"/>
          <w:szCs w:val="20"/>
        </w:rPr>
        <w:t xml:space="preserve">J Neurol Neurosurg Psychiatry. 2012 May;83:565-571. </w:t>
      </w:r>
      <w:r>
        <w:rPr>
          <w:rFonts w:ascii="Times New Roman" w:hAnsi="Times New Roman" w:cs="Times New Roman"/>
          <w:sz w:val="20"/>
          <w:szCs w:val="20"/>
          <w:lang w:val="en-US"/>
        </w:rPr>
        <w:t xml:space="preserve">Doi: 10.1136/jnnp-2011-301876. </w:t>
      </w:r>
      <w:r>
        <w:rPr>
          <w:rFonts w:ascii="Times New Roman" w:hAnsi="Times New Roman" w:cs="Times New Roman"/>
          <w:color w:val="000000" w:themeColor="text1"/>
          <w:sz w:val="20"/>
          <w:szCs w:val="20"/>
          <w:lang w:val="en-US"/>
        </w:rPr>
        <w:t>PMID: 22362918</w:t>
      </w:r>
    </w:p>
    <w:p w:rsidR="007367AD" w:rsidRDefault="007367AD" w:rsidP="007367AD">
      <w:pPr>
        <w:spacing w:line="360" w:lineRule="auto"/>
        <w:jc w:val="both"/>
        <w:rPr>
          <w:rFonts w:ascii="Times New Roman" w:hAnsi="Times New Roman" w:cs="Times New Roman"/>
          <w:sz w:val="20"/>
          <w:szCs w:val="20"/>
        </w:rPr>
      </w:pPr>
    </w:p>
    <w:p w:rsidR="007367AD" w:rsidRDefault="00C8260E" w:rsidP="007367AD">
      <w:pPr>
        <w:pStyle w:val="ListParagraph"/>
        <w:numPr>
          <w:ilvl w:val="0"/>
          <w:numId w:val="2"/>
        </w:numPr>
        <w:spacing w:line="360" w:lineRule="auto"/>
        <w:jc w:val="both"/>
        <w:rPr>
          <w:rFonts w:ascii="Times New Roman" w:hAnsi="Times New Roman" w:cs="Times New Roman"/>
          <w:sz w:val="20"/>
          <w:szCs w:val="20"/>
        </w:rPr>
      </w:pPr>
      <w:hyperlink r:id="rId7" w:history="1">
        <w:r w:rsidR="007367AD" w:rsidRPr="00AB39BE">
          <w:rPr>
            <w:rStyle w:val="Hyperlink"/>
            <w:rFonts w:ascii="Times New Roman" w:eastAsia="Times New Roman" w:hAnsi="Times New Roman" w:cs="Times New Roman"/>
            <w:color w:val="auto"/>
            <w:sz w:val="20"/>
            <w:szCs w:val="20"/>
            <w:u w:val="none"/>
          </w:rPr>
          <w:t>Grimaldi L</w:t>
        </w:r>
      </w:hyperlink>
      <w:r w:rsidR="007367AD" w:rsidRPr="00AB39BE">
        <w:rPr>
          <w:rFonts w:ascii="Times New Roman" w:eastAsia="Times New Roman" w:hAnsi="Times New Roman" w:cs="Times New Roman"/>
          <w:sz w:val="20"/>
          <w:szCs w:val="20"/>
        </w:rPr>
        <w:t xml:space="preserve">, </w:t>
      </w:r>
      <w:hyperlink r:id="rId8" w:history="1">
        <w:r w:rsidR="007367AD" w:rsidRPr="00AB39BE">
          <w:rPr>
            <w:rStyle w:val="Hyperlink"/>
            <w:rFonts w:ascii="Times New Roman" w:eastAsia="Times New Roman" w:hAnsi="Times New Roman" w:cs="Times New Roman"/>
            <w:color w:val="auto"/>
            <w:sz w:val="20"/>
            <w:szCs w:val="20"/>
            <w:u w:val="none"/>
          </w:rPr>
          <w:t>Barkhof F</w:t>
        </w:r>
      </w:hyperlink>
      <w:r w:rsidR="007367AD" w:rsidRPr="00AB39BE">
        <w:rPr>
          <w:rFonts w:ascii="Times New Roman" w:eastAsia="Times New Roman" w:hAnsi="Times New Roman" w:cs="Times New Roman"/>
          <w:sz w:val="20"/>
          <w:szCs w:val="20"/>
        </w:rPr>
        <w:t xml:space="preserve">, </w:t>
      </w:r>
      <w:hyperlink r:id="rId9" w:history="1">
        <w:r w:rsidR="007367AD" w:rsidRPr="00AB39BE">
          <w:rPr>
            <w:rStyle w:val="Hyperlink"/>
            <w:rFonts w:ascii="Times New Roman" w:eastAsia="Times New Roman" w:hAnsi="Times New Roman" w:cs="Times New Roman"/>
            <w:color w:val="auto"/>
            <w:sz w:val="20"/>
            <w:szCs w:val="20"/>
            <w:u w:val="none"/>
          </w:rPr>
          <w:t>Beelke M</w:t>
        </w:r>
      </w:hyperlink>
      <w:r w:rsidR="007367AD" w:rsidRPr="00AB39BE">
        <w:rPr>
          <w:rFonts w:ascii="Times New Roman" w:eastAsia="Times New Roman" w:hAnsi="Times New Roman" w:cs="Times New Roman"/>
          <w:sz w:val="20"/>
          <w:szCs w:val="20"/>
        </w:rPr>
        <w:t xml:space="preserve">, </w:t>
      </w:r>
      <w:hyperlink r:id="rId10" w:history="1">
        <w:r w:rsidR="007367AD" w:rsidRPr="00AB39BE">
          <w:rPr>
            <w:rStyle w:val="Hyperlink"/>
            <w:rFonts w:ascii="Times New Roman" w:eastAsia="Times New Roman" w:hAnsi="Times New Roman" w:cs="Times New Roman"/>
            <w:color w:val="auto"/>
            <w:sz w:val="20"/>
            <w:szCs w:val="20"/>
            <w:u w:val="none"/>
          </w:rPr>
          <w:t>Burton J</w:t>
        </w:r>
      </w:hyperlink>
      <w:r w:rsidR="007367AD" w:rsidRPr="00AB39BE">
        <w:rPr>
          <w:rFonts w:ascii="Times New Roman" w:eastAsia="Times New Roman" w:hAnsi="Times New Roman" w:cs="Times New Roman"/>
          <w:sz w:val="20"/>
          <w:szCs w:val="20"/>
        </w:rPr>
        <w:t xml:space="preserve">, </w:t>
      </w:r>
      <w:hyperlink r:id="rId11" w:history="1">
        <w:r w:rsidR="007367AD" w:rsidRPr="00AB39BE">
          <w:rPr>
            <w:rStyle w:val="Hyperlink"/>
            <w:rFonts w:ascii="Times New Roman" w:eastAsia="Times New Roman" w:hAnsi="Times New Roman" w:cs="Times New Roman"/>
            <w:color w:val="auto"/>
            <w:sz w:val="20"/>
            <w:szCs w:val="20"/>
            <w:u w:val="none"/>
          </w:rPr>
          <w:t>Holmoy T</w:t>
        </w:r>
      </w:hyperlink>
      <w:r w:rsidR="007367AD" w:rsidRPr="00AB39BE">
        <w:rPr>
          <w:rFonts w:ascii="Times New Roman" w:eastAsia="Times New Roman" w:hAnsi="Times New Roman" w:cs="Times New Roman"/>
          <w:sz w:val="20"/>
          <w:szCs w:val="20"/>
        </w:rPr>
        <w:t xml:space="preserve">, </w:t>
      </w:r>
      <w:hyperlink r:id="rId12" w:history="1">
        <w:r w:rsidR="007367AD" w:rsidRPr="00AB39BE">
          <w:rPr>
            <w:rStyle w:val="Hyperlink"/>
            <w:rFonts w:ascii="Times New Roman" w:eastAsia="Times New Roman" w:hAnsi="Times New Roman" w:cs="Times New Roman"/>
            <w:color w:val="auto"/>
            <w:sz w:val="20"/>
            <w:szCs w:val="20"/>
            <w:u w:val="none"/>
          </w:rPr>
          <w:t>Hupperts R</w:t>
        </w:r>
      </w:hyperlink>
      <w:r w:rsidR="007367AD" w:rsidRPr="00AB39BE">
        <w:rPr>
          <w:rFonts w:ascii="Times New Roman" w:eastAsia="Times New Roman" w:hAnsi="Times New Roman" w:cs="Times New Roman"/>
          <w:sz w:val="20"/>
          <w:szCs w:val="20"/>
        </w:rPr>
        <w:t xml:space="preserve">, </w:t>
      </w:r>
      <w:hyperlink r:id="rId13" w:history="1">
        <w:r w:rsidR="007367AD" w:rsidRPr="00AB39BE">
          <w:rPr>
            <w:rStyle w:val="Hyperlink"/>
            <w:rFonts w:ascii="Times New Roman" w:eastAsia="Times New Roman" w:hAnsi="Times New Roman" w:cs="Times New Roman"/>
            <w:color w:val="auto"/>
            <w:sz w:val="20"/>
            <w:szCs w:val="20"/>
            <w:u w:val="none"/>
          </w:rPr>
          <w:t>Killestein J</w:t>
        </w:r>
      </w:hyperlink>
      <w:r w:rsidR="007367AD" w:rsidRPr="00AB39BE">
        <w:rPr>
          <w:rFonts w:ascii="Times New Roman" w:eastAsia="Times New Roman" w:hAnsi="Times New Roman" w:cs="Times New Roman"/>
          <w:sz w:val="20"/>
          <w:szCs w:val="20"/>
        </w:rPr>
        <w:t xml:space="preserve">, </w:t>
      </w:r>
      <w:hyperlink r:id="rId14" w:history="1">
        <w:r w:rsidR="007367AD" w:rsidRPr="00AB39BE">
          <w:rPr>
            <w:rStyle w:val="Hyperlink"/>
            <w:rFonts w:ascii="Times New Roman" w:eastAsia="Times New Roman" w:hAnsi="Times New Roman" w:cs="Times New Roman"/>
            <w:color w:val="auto"/>
            <w:sz w:val="20"/>
            <w:szCs w:val="20"/>
            <w:u w:val="none"/>
          </w:rPr>
          <w:t>Rieckmann P</w:t>
        </w:r>
      </w:hyperlink>
      <w:r w:rsidR="007367AD" w:rsidRPr="00AB39BE">
        <w:rPr>
          <w:rFonts w:ascii="Times New Roman" w:eastAsia="Times New Roman" w:hAnsi="Times New Roman" w:cs="Times New Roman"/>
          <w:sz w:val="20"/>
          <w:szCs w:val="20"/>
        </w:rPr>
        <w:t xml:space="preserve">, </w:t>
      </w:r>
      <w:hyperlink r:id="rId15" w:history="1">
        <w:r w:rsidR="007367AD" w:rsidRPr="00AB39BE">
          <w:rPr>
            <w:rStyle w:val="Hyperlink"/>
            <w:rFonts w:ascii="Times New Roman" w:eastAsia="Times New Roman" w:hAnsi="Times New Roman" w:cs="Times New Roman"/>
            <w:color w:val="auto"/>
            <w:sz w:val="20"/>
            <w:szCs w:val="20"/>
            <w:u w:val="none"/>
          </w:rPr>
          <w:t>Schluep M</w:t>
        </w:r>
      </w:hyperlink>
      <w:r w:rsidR="007367AD" w:rsidRPr="00AB39BE">
        <w:rPr>
          <w:rFonts w:ascii="Times New Roman" w:eastAsia="Times New Roman" w:hAnsi="Times New Roman" w:cs="Times New Roman"/>
          <w:sz w:val="20"/>
          <w:szCs w:val="20"/>
        </w:rPr>
        <w:t xml:space="preserve">, </w:t>
      </w:r>
      <w:hyperlink r:id="rId16" w:history="1">
        <w:r w:rsidR="007367AD" w:rsidRPr="00AB39BE">
          <w:rPr>
            <w:rStyle w:val="Hyperlink"/>
            <w:rFonts w:ascii="Times New Roman" w:eastAsia="Times New Roman" w:hAnsi="Times New Roman" w:cs="Times New Roman"/>
            <w:color w:val="auto"/>
            <w:sz w:val="20"/>
            <w:szCs w:val="20"/>
            <w:u w:val="none"/>
          </w:rPr>
          <w:t>Smolders J</w:t>
        </w:r>
      </w:hyperlink>
      <w:r w:rsidR="007367AD" w:rsidRPr="00AB39BE">
        <w:rPr>
          <w:rFonts w:ascii="Times New Roman" w:eastAsia="Times New Roman" w:hAnsi="Times New Roman" w:cs="Times New Roman"/>
          <w:sz w:val="20"/>
          <w:szCs w:val="20"/>
        </w:rPr>
        <w:t xml:space="preserve">; </w:t>
      </w:r>
      <w:hyperlink r:id="rId17" w:history="1">
        <w:r w:rsidR="007367AD" w:rsidRPr="00AB39BE">
          <w:rPr>
            <w:rStyle w:val="Hyperlink"/>
            <w:rFonts w:ascii="Times New Roman" w:eastAsia="Times New Roman" w:hAnsi="Times New Roman" w:cs="Times New Roman"/>
            <w:color w:val="auto"/>
            <w:sz w:val="20"/>
            <w:szCs w:val="20"/>
            <w:u w:val="none"/>
          </w:rPr>
          <w:t>SOLAR Study Group</w:t>
        </w:r>
      </w:hyperlink>
      <w:r w:rsidR="007367AD">
        <w:rPr>
          <w:rFonts w:ascii="Times New Roman" w:hAnsi="Times New Roman" w:cs="Times New Roman"/>
          <w:sz w:val="20"/>
          <w:szCs w:val="20"/>
        </w:rPr>
        <w:t xml:space="preserve">. </w:t>
      </w:r>
      <w:r w:rsidR="007367AD">
        <w:rPr>
          <w:rFonts w:ascii="Times New Roman" w:eastAsia="Times New Roman" w:hAnsi="Times New Roman" w:cs="Times New Roman"/>
          <w:bCs/>
          <w:kern w:val="36"/>
          <w:sz w:val="20"/>
          <w:szCs w:val="20"/>
          <w:lang w:val="en-US"/>
        </w:rPr>
        <w:t>A randomized trial of high-dose vitamin D2 in relapsing-remitting multiple sclerosis.</w:t>
      </w:r>
      <w:r w:rsidR="007367AD">
        <w:rPr>
          <w:rFonts w:ascii="Times New Roman" w:hAnsi="Times New Roman" w:cs="Times New Roman"/>
          <w:sz w:val="20"/>
          <w:szCs w:val="20"/>
          <w:lang w:val="en-US"/>
        </w:rPr>
        <w:t xml:space="preserve"> </w:t>
      </w:r>
      <w:r w:rsidR="007367AD">
        <w:rPr>
          <w:rFonts w:ascii="Times New Roman" w:hAnsi="Times New Roman" w:cs="Times New Roman"/>
          <w:sz w:val="20"/>
          <w:szCs w:val="20"/>
        </w:rPr>
        <w:t>Neurology 2012 Mar 13;78(11):841.</w:t>
      </w:r>
      <w:r w:rsidR="007367AD">
        <w:rPr>
          <w:rFonts w:ascii="Times New Roman" w:eastAsia="Times New Roman" w:hAnsi="Times New Roman" w:cs="Times New Roman"/>
          <w:sz w:val="20"/>
          <w:szCs w:val="20"/>
          <w:lang w:val="en-US"/>
        </w:rPr>
        <w:t xml:space="preserve"> Doi: 10.1212/01.wnl.0000413180.13413.ce</w:t>
      </w:r>
    </w:p>
    <w:p w:rsidR="007367AD" w:rsidRDefault="007367AD" w:rsidP="007367AD">
      <w:pPr>
        <w:spacing w:line="360" w:lineRule="auto"/>
        <w:jc w:val="both"/>
        <w:rPr>
          <w:rFonts w:ascii="Times New Roman" w:hAnsi="Times New Roman" w:cs="Times New Roman"/>
          <w:sz w:val="20"/>
          <w:szCs w:val="20"/>
        </w:rPr>
      </w:pPr>
    </w:p>
    <w:p w:rsidR="007367AD" w:rsidRPr="00AB39BE" w:rsidRDefault="00C8260E" w:rsidP="007367AD">
      <w:pPr>
        <w:pStyle w:val="ListParagraph"/>
        <w:numPr>
          <w:ilvl w:val="0"/>
          <w:numId w:val="2"/>
        </w:numPr>
        <w:shd w:val="clear" w:color="auto" w:fill="FFFFFF"/>
        <w:spacing w:line="360" w:lineRule="auto"/>
        <w:jc w:val="both"/>
        <w:rPr>
          <w:rFonts w:ascii="Times New Roman" w:eastAsia="Times New Roman" w:hAnsi="Times New Roman" w:cs="Times New Roman"/>
          <w:sz w:val="20"/>
          <w:szCs w:val="20"/>
          <w:lang w:val="en-US"/>
        </w:rPr>
      </w:pPr>
      <w:hyperlink r:id="rId18" w:history="1">
        <w:r w:rsidR="007367AD" w:rsidRPr="00AB39BE">
          <w:rPr>
            <w:rStyle w:val="Hyperlink"/>
            <w:rFonts w:ascii="Times New Roman" w:eastAsia="Times New Roman" w:hAnsi="Times New Roman" w:cs="Times New Roman"/>
            <w:color w:val="auto"/>
            <w:sz w:val="20"/>
            <w:szCs w:val="20"/>
            <w:u w:val="none"/>
            <w:lang w:val="en-US"/>
          </w:rPr>
          <w:t>Ascherio A</w:t>
        </w:r>
      </w:hyperlink>
      <w:r w:rsidR="007367AD" w:rsidRPr="00AB39BE">
        <w:rPr>
          <w:rFonts w:ascii="Times New Roman" w:eastAsia="Times New Roman" w:hAnsi="Times New Roman" w:cs="Times New Roman"/>
          <w:sz w:val="20"/>
          <w:szCs w:val="20"/>
          <w:lang w:val="en-US"/>
        </w:rPr>
        <w:t xml:space="preserve">, </w:t>
      </w:r>
      <w:hyperlink r:id="rId19" w:history="1">
        <w:r w:rsidR="007367AD" w:rsidRPr="00AB39BE">
          <w:rPr>
            <w:rStyle w:val="Hyperlink"/>
            <w:rFonts w:ascii="Times New Roman" w:eastAsia="Times New Roman" w:hAnsi="Times New Roman" w:cs="Times New Roman"/>
            <w:color w:val="auto"/>
            <w:sz w:val="20"/>
            <w:szCs w:val="20"/>
            <w:u w:val="none"/>
            <w:lang w:val="en-US"/>
          </w:rPr>
          <w:t>Munger KL</w:t>
        </w:r>
      </w:hyperlink>
      <w:r w:rsidR="007367AD" w:rsidRPr="00AB39BE">
        <w:rPr>
          <w:rFonts w:ascii="Times New Roman" w:eastAsia="Times New Roman" w:hAnsi="Times New Roman" w:cs="Times New Roman"/>
          <w:sz w:val="20"/>
          <w:szCs w:val="20"/>
          <w:lang w:val="en-US"/>
        </w:rPr>
        <w:t xml:space="preserve">, </w:t>
      </w:r>
      <w:hyperlink r:id="rId20" w:history="1">
        <w:r w:rsidR="007367AD" w:rsidRPr="00AB39BE">
          <w:rPr>
            <w:rStyle w:val="Hyperlink"/>
            <w:rFonts w:ascii="Times New Roman" w:eastAsia="Times New Roman" w:hAnsi="Times New Roman" w:cs="Times New Roman"/>
            <w:color w:val="auto"/>
            <w:sz w:val="20"/>
            <w:szCs w:val="20"/>
            <w:u w:val="none"/>
            <w:lang w:val="en-US"/>
          </w:rPr>
          <w:t>White R</w:t>
        </w:r>
      </w:hyperlink>
      <w:r w:rsidR="007367AD" w:rsidRPr="00AB39BE">
        <w:rPr>
          <w:rFonts w:ascii="Times New Roman" w:eastAsia="Times New Roman" w:hAnsi="Times New Roman" w:cs="Times New Roman"/>
          <w:sz w:val="20"/>
          <w:szCs w:val="20"/>
          <w:lang w:val="en-US"/>
        </w:rPr>
        <w:t xml:space="preserve">, </w:t>
      </w:r>
      <w:hyperlink r:id="rId21" w:history="1">
        <w:r w:rsidR="007367AD" w:rsidRPr="00AB39BE">
          <w:rPr>
            <w:rStyle w:val="Hyperlink"/>
            <w:rFonts w:ascii="Times New Roman" w:eastAsia="Times New Roman" w:hAnsi="Times New Roman" w:cs="Times New Roman"/>
            <w:color w:val="auto"/>
            <w:sz w:val="20"/>
            <w:szCs w:val="20"/>
            <w:u w:val="none"/>
            <w:lang w:val="en-US"/>
          </w:rPr>
          <w:t>Köchert K</w:t>
        </w:r>
      </w:hyperlink>
      <w:r w:rsidR="007367AD" w:rsidRPr="00AB39BE">
        <w:rPr>
          <w:rFonts w:ascii="Times New Roman" w:eastAsia="Times New Roman" w:hAnsi="Times New Roman" w:cs="Times New Roman"/>
          <w:sz w:val="20"/>
          <w:szCs w:val="20"/>
          <w:lang w:val="en-US"/>
        </w:rPr>
        <w:t xml:space="preserve">, </w:t>
      </w:r>
      <w:hyperlink r:id="rId22" w:history="1">
        <w:r w:rsidR="007367AD" w:rsidRPr="00AB39BE">
          <w:rPr>
            <w:rStyle w:val="Hyperlink"/>
            <w:rFonts w:ascii="Times New Roman" w:eastAsia="Times New Roman" w:hAnsi="Times New Roman" w:cs="Times New Roman"/>
            <w:color w:val="auto"/>
            <w:sz w:val="20"/>
            <w:szCs w:val="20"/>
            <w:u w:val="none"/>
            <w:lang w:val="en-US"/>
          </w:rPr>
          <w:t>Simon KC</w:t>
        </w:r>
      </w:hyperlink>
      <w:r w:rsidR="007367AD" w:rsidRPr="00AB39BE">
        <w:rPr>
          <w:rFonts w:ascii="Times New Roman" w:eastAsia="Times New Roman" w:hAnsi="Times New Roman" w:cs="Times New Roman"/>
          <w:sz w:val="20"/>
          <w:szCs w:val="20"/>
          <w:lang w:val="en-US"/>
        </w:rPr>
        <w:t xml:space="preserve">, </w:t>
      </w:r>
      <w:hyperlink r:id="rId23" w:history="1">
        <w:r w:rsidR="007367AD" w:rsidRPr="00AB39BE">
          <w:rPr>
            <w:rStyle w:val="Hyperlink"/>
            <w:rFonts w:ascii="Times New Roman" w:eastAsia="Times New Roman" w:hAnsi="Times New Roman" w:cs="Times New Roman"/>
            <w:color w:val="auto"/>
            <w:sz w:val="20"/>
            <w:szCs w:val="20"/>
            <w:u w:val="none"/>
            <w:lang w:val="en-US"/>
          </w:rPr>
          <w:t>Polman CH</w:t>
        </w:r>
      </w:hyperlink>
      <w:r w:rsidR="007367AD" w:rsidRPr="00AB39BE">
        <w:rPr>
          <w:rFonts w:ascii="Times New Roman" w:eastAsia="Times New Roman" w:hAnsi="Times New Roman" w:cs="Times New Roman"/>
          <w:sz w:val="20"/>
          <w:szCs w:val="20"/>
          <w:lang w:val="en-US"/>
        </w:rPr>
        <w:t xml:space="preserve">, </w:t>
      </w:r>
      <w:hyperlink r:id="rId24" w:history="1">
        <w:r w:rsidR="007367AD" w:rsidRPr="00AB39BE">
          <w:rPr>
            <w:rStyle w:val="Hyperlink"/>
            <w:rFonts w:ascii="Times New Roman" w:eastAsia="Times New Roman" w:hAnsi="Times New Roman" w:cs="Times New Roman"/>
            <w:color w:val="auto"/>
            <w:sz w:val="20"/>
            <w:szCs w:val="20"/>
            <w:u w:val="none"/>
            <w:lang w:val="en-US"/>
          </w:rPr>
          <w:t>Freedman MS</w:t>
        </w:r>
      </w:hyperlink>
      <w:r w:rsidR="007367AD" w:rsidRPr="00AB39BE">
        <w:rPr>
          <w:rFonts w:ascii="Times New Roman" w:eastAsia="Times New Roman" w:hAnsi="Times New Roman" w:cs="Times New Roman"/>
          <w:sz w:val="20"/>
          <w:szCs w:val="20"/>
          <w:lang w:val="en-US"/>
        </w:rPr>
        <w:t xml:space="preserve">, </w:t>
      </w:r>
      <w:hyperlink r:id="rId25" w:history="1">
        <w:r w:rsidR="007367AD" w:rsidRPr="00AB39BE">
          <w:rPr>
            <w:rStyle w:val="Hyperlink"/>
            <w:rFonts w:ascii="Times New Roman" w:eastAsia="Times New Roman" w:hAnsi="Times New Roman" w:cs="Times New Roman"/>
            <w:color w:val="auto"/>
            <w:sz w:val="20"/>
            <w:szCs w:val="20"/>
            <w:u w:val="none"/>
            <w:lang w:val="en-US"/>
          </w:rPr>
          <w:t>Hartung HP</w:t>
        </w:r>
      </w:hyperlink>
      <w:r w:rsidR="007367AD" w:rsidRPr="00AB39BE">
        <w:rPr>
          <w:rFonts w:ascii="Times New Roman" w:eastAsia="Times New Roman" w:hAnsi="Times New Roman" w:cs="Times New Roman"/>
          <w:sz w:val="20"/>
          <w:szCs w:val="20"/>
          <w:lang w:val="en-US"/>
        </w:rPr>
        <w:t xml:space="preserve">, </w:t>
      </w:r>
      <w:hyperlink r:id="rId26" w:history="1">
        <w:r w:rsidR="007367AD" w:rsidRPr="00AB39BE">
          <w:rPr>
            <w:rStyle w:val="Hyperlink"/>
            <w:rFonts w:ascii="Times New Roman" w:eastAsia="Times New Roman" w:hAnsi="Times New Roman" w:cs="Times New Roman"/>
            <w:color w:val="auto"/>
            <w:sz w:val="20"/>
            <w:szCs w:val="20"/>
            <w:u w:val="none"/>
            <w:lang w:val="en-US"/>
          </w:rPr>
          <w:t>Miller DH</w:t>
        </w:r>
      </w:hyperlink>
      <w:r w:rsidR="007367AD" w:rsidRPr="00AB39BE">
        <w:rPr>
          <w:rFonts w:ascii="Times New Roman" w:eastAsia="Times New Roman" w:hAnsi="Times New Roman" w:cs="Times New Roman"/>
          <w:sz w:val="20"/>
          <w:szCs w:val="20"/>
          <w:lang w:val="en-US"/>
        </w:rPr>
        <w:t xml:space="preserve">, </w:t>
      </w:r>
      <w:hyperlink r:id="rId27" w:history="1">
        <w:r w:rsidR="007367AD" w:rsidRPr="00AB39BE">
          <w:rPr>
            <w:rStyle w:val="Hyperlink"/>
            <w:rFonts w:ascii="Times New Roman" w:eastAsia="Times New Roman" w:hAnsi="Times New Roman" w:cs="Times New Roman"/>
            <w:color w:val="auto"/>
            <w:sz w:val="20"/>
            <w:szCs w:val="20"/>
            <w:u w:val="none"/>
            <w:lang w:val="en-US"/>
          </w:rPr>
          <w:t>Montalbán X</w:t>
        </w:r>
      </w:hyperlink>
      <w:r w:rsidR="007367AD" w:rsidRPr="00AB39BE">
        <w:rPr>
          <w:rFonts w:ascii="Times New Roman" w:eastAsia="Times New Roman" w:hAnsi="Times New Roman" w:cs="Times New Roman"/>
          <w:sz w:val="20"/>
          <w:szCs w:val="20"/>
          <w:lang w:val="en-US"/>
        </w:rPr>
        <w:t xml:space="preserve">, </w:t>
      </w:r>
      <w:hyperlink r:id="rId28" w:history="1">
        <w:r w:rsidR="007367AD" w:rsidRPr="00AB39BE">
          <w:rPr>
            <w:rStyle w:val="Hyperlink"/>
            <w:rFonts w:ascii="Times New Roman" w:eastAsia="Times New Roman" w:hAnsi="Times New Roman" w:cs="Times New Roman"/>
            <w:color w:val="auto"/>
            <w:sz w:val="20"/>
            <w:szCs w:val="20"/>
            <w:u w:val="none"/>
            <w:lang w:val="en-US"/>
          </w:rPr>
          <w:t>Edan G</w:t>
        </w:r>
      </w:hyperlink>
      <w:r w:rsidR="007367AD" w:rsidRPr="00AB39BE">
        <w:rPr>
          <w:rFonts w:ascii="Times New Roman" w:eastAsia="Times New Roman" w:hAnsi="Times New Roman" w:cs="Times New Roman"/>
          <w:sz w:val="20"/>
          <w:szCs w:val="20"/>
          <w:lang w:val="en-US"/>
        </w:rPr>
        <w:t xml:space="preserve">, </w:t>
      </w:r>
      <w:hyperlink r:id="rId29" w:history="1">
        <w:r w:rsidR="007367AD" w:rsidRPr="00AB39BE">
          <w:rPr>
            <w:rStyle w:val="Hyperlink"/>
            <w:rFonts w:ascii="Times New Roman" w:eastAsia="Times New Roman" w:hAnsi="Times New Roman" w:cs="Times New Roman"/>
            <w:color w:val="auto"/>
            <w:sz w:val="20"/>
            <w:szCs w:val="20"/>
            <w:u w:val="none"/>
            <w:lang w:val="en-US"/>
          </w:rPr>
          <w:t>Barkhof F</w:t>
        </w:r>
      </w:hyperlink>
      <w:r w:rsidR="007367AD" w:rsidRPr="00AB39BE">
        <w:rPr>
          <w:rFonts w:ascii="Times New Roman" w:eastAsia="Times New Roman" w:hAnsi="Times New Roman" w:cs="Times New Roman"/>
          <w:sz w:val="20"/>
          <w:szCs w:val="20"/>
          <w:lang w:val="en-US"/>
        </w:rPr>
        <w:t xml:space="preserve">, </w:t>
      </w:r>
      <w:hyperlink r:id="rId30" w:history="1">
        <w:r w:rsidR="007367AD" w:rsidRPr="00AB39BE">
          <w:rPr>
            <w:rStyle w:val="Hyperlink"/>
            <w:rFonts w:ascii="Times New Roman" w:eastAsia="Times New Roman" w:hAnsi="Times New Roman" w:cs="Times New Roman"/>
            <w:color w:val="auto"/>
            <w:sz w:val="20"/>
            <w:szCs w:val="20"/>
            <w:u w:val="none"/>
            <w:lang w:val="en-US"/>
          </w:rPr>
          <w:t>Pleimes D</w:t>
        </w:r>
      </w:hyperlink>
      <w:r w:rsidR="007367AD" w:rsidRPr="00AB39BE">
        <w:rPr>
          <w:rFonts w:ascii="Times New Roman" w:eastAsia="Times New Roman" w:hAnsi="Times New Roman" w:cs="Times New Roman"/>
          <w:sz w:val="20"/>
          <w:szCs w:val="20"/>
          <w:lang w:val="en-US"/>
        </w:rPr>
        <w:t xml:space="preserve">, </w:t>
      </w:r>
      <w:hyperlink r:id="rId31" w:history="1">
        <w:r w:rsidR="007367AD" w:rsidRPr="00AB39BE">
          <w:rPr>
            <w:rStyle w:val="Hyperlink"/>
            <w:rFonts w:ascii="Times New Roman" w:eastAsia="Times New Roman" w:hAnsi="Times New Roman" w:cs="Times New Roman"/>
            <w:color w:val="auto"/>
            <w:sz w:val="20"/>
            <w:szCs w:val="20"/>
            <w:u w:val="none"/>
            <w:lang w:val="en-US"/>
          </w:rPr>
          <w:t>Radü EW</w:t>
        </w:r>
      </w:hyperlink>
      <w:r w:rsidR="007367AD" w:rsidRPr="00AB39BE">
        <w:rPr>
          <w:rFonts w:ascii="Times New Roman" w:eastAsia="Times New Roman" w:hAnsi="Times New Roman" w:cs="Times New Roman"/>
          <w:sz w:val="20"/>
          <w:szCs w:val="20"/>
          <w:lang w:val="en-US"/>
        </w:rPr>
        <w:t xml:space="preserve">, </w:t>
      </w:r>
      <w:hyperlink r:id="rId32" w:history="1">
        <w:r w:rsidR="007367AD" w:rsidRPr="00AB39BE">
          <w:rPr>
            <w:rStyle w:val="Hyperlink"/>
            <w:rFonts w:ascii="Times New Roman" w:eastAsia="Times New Roman" w:hAnsi="Times New Roman" w:cs="Times New Roman"/>
            <w:color w:val="auto"/>
            <w:sz w:val="20"/>
            <w:szCs w:val="20"/>
            <w:u w:val="none"/>
            <w:lang w:val="en-US"/>
          </w:rPr>
          <w:t>Sandbrink R</w:t>
        </w:r>
      </w:hyperlink>
      <w:r w:rsidR="007367AD" w:rsidRPr="00AB39BE">
        <w:rPr>
          <w:rFonts w:ascii="Times New Roman" w:eastAsia="Times New Roman" w:hAnsi="Times New Roman" w:cs="Times New Roman"/>
          <w:sz w:val="20"/>
          <w:szCs w:val="20"/>
          <w:lang w:val="en-US"/>
        </w:rPr>
        <w:t xml:space="preserve">, </w:t>
      </w:r>
      <w:hyperlink r:id="rId33" w:history="1">
        <w:r w:rsidR="007367AD" w:rsidRPr="00AB39BE">
          <w:rPr>
            <w:rStyle w:val="Hyperlink"/>
            <w:rFonts w:ascii="Times New Roman" w:eastAsia="Times New Roman" w:hAnsi="Times New Roman" w:cs="Times New Roman"/>
            <w:color w:val="auto"/>
            <w:sz w:val="20"/>
            <w:szCs w:val="20"/>
            <w:u w:val="none"/>
            <w:lang w:val="en-US"/>
          </w:rPr>
          <w:t>Kappos L</w:t>
        </w:r>
      </w:hyperlink>
      <w:r w:rsidR="007367AD" w:rsidRPr="00AB39BE">
        <w:rPr>
          <w:rFonts w:ascii="Times New Roman" w:eastAsia="Times New Roman" w:hAnsi="Times New Roman" w:cs="Times New Roman"/>
          <w:sz w:val="20"/>
          <w:szCs w:val="20"/>
          <w:lang w:val="en-US"/>
        </w:rPr>
        <w:t xml:space="preserve">, </w:t>
      </w:r>
      <w:hyperlink r:id="rId34" w:history="1">
        <w:r w:rsidR="007367AD" w:rsidRPr="00AB39BE">
          <w:rPr>
            <w:rStyle w:val="Hyperlink"/>
            <w:rFonts w:ascii="Times New Roman" w:eastAsia="Times New Roman" w:hAnsi="Times New Roman" w:cs="Times New Roman"/>
            <w:color w:val="auto"/>
            <w:sz w:val="20"/>
            <w:szCs w:val="20"/>
            <w:u w:val="none"/>
            <w:lang w:val="en-US"/>
          </w:rPr>
          <w:t>Pohl C</w:t>
        </w:r>
      </w:hyperlink>
      <w:r w:rsidR="007367AD" w:rsidRPr="00AB39BE">
        <w:rPr>
          <w:rFonts w:ascii="Times New Roman" w:eastAsia="Times New Roman" w:hAnsi="Times New Roman" w:cs="Times New Roman"/>
          <w:bCs/>
          <w:kern w:val="36"/>
          <w:sz w:val="20"/>
          <w:szCs w:val="20"/>
          <w:lang w:val="en-US"/>
        </w:rPr>
        <w:t xml:space="preserve"> Vitamin D as an early predictor of multiple sclerosis activity and progression.</w:t>
      </w:r>
      <w:r w:rsidR="007367AD" w:rsidRPr="00AB39BE">
        <w:rPr>
          <w:rFonts w:ascii="Times New Roman" w:eastAsia="Times New Roman" w:hAnsi="Times New Roman" w:cs="Times New Roman"/>
          <w:sz w:val="20"/>
          <w:szCs w:val="20"/>
          <w:lang w:val="en-US"/>
        </w:rPr>
        <w:t xml:space="preserve"> </w:t>
      </w:r>
      <w:hyperlink r:id="rId35" w:tooltip="JAMA neurology." w:history="1">
        <w:r w:rsidR="007367AD" w:rsidRPr="00AB39BE">
          <w:rPr>
            <w:rStyle w:val="Hyperlink"/>
            <w:rFonts w:ascii="Times New Roman" w:eastAsia="Times New Roman" w:hAnsi="Times New Roman" w:cs="Times New Roman"/>
            <w:color w:val="auto"/>
            <w:sz w:val="20"/>
            <w:szCs w:val="20"/>
            <w:u w:val="none"/>
            <w:lang w:val="en-US"/>
          </w:rPr>
          <w:t>JAMA Neurol.</w:t>
        </w:r>
      </w:hyperlink>
      <w:r w:rsidR="007367AD" w:rsidRPr="00AB39BE">
        <w:rPr>
          <w:rFonts w:ascii="Times New Roman" w:eastAsia="Times New Roman" w:hAnsi="Times New Roman" w:cs="Times New Roman"/>
          <w:sz w:val="20"/>
          <w:szCs w:val="20"/>
          <w:lang w:val="en-US"/>
        </w:rPr>
        <w:t xml:space="preserve"> 2014 Mar;71(3):306-14. doi: 10.1001/jamaneurol.2013.5993</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Fitzgerald KC et al. Association of vitamin D Levels With Multiple Sclerosis Activity and Progression in patients</w:t>
      </w:r>
      <w:r>
        <w:rPr>
          <w:rFonts w:ascii="Times New Roman" w:hAnsi="Times New Roman" w:cs="Times New Roman"/>
          <w:color w:val="FF0000"/>
          <w:sz w:val="20"/>
          <w:szCs w:val="20"/>
          <w:lang w:val="en-US"/>
        </w:rPr>
        <w:t xml:space="preserve"> </w:t>
      </w:r>
      <w:r>
        <w:rPr>
          <w:rFonts w:ascii="Times New Roman" w:hAnsi="Times New Roman" w:cs="Times New Roman"/>
          <w:sz w:val="20"/>
          <w:szCs w:val="20"/>
          <w:lang w:val="en-US"/>
        </w:rPr>
        <w:t>receiving Interferon Beta-1b. JAMA Neurol 2015;72:1458-1465</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Bhargava P, Cassard S, Steele SU, Azevedo C, Pelletier D, Sugar EA, Waubant E, Mowry EM. The vitamin D to ameliorate multiple sclerosis (VIDAMS) trial: study design for a multicenter, randomized, double-blind controlled trial of vitamin D in multiple sclerosis. Contemp Clin Trials. 2014 Nov;39(2):288-93. Doi: 10.1016/j.cct.2014.10.004. Epub 2014 Oct 12 </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Taylor KL, </w:t>
      </w:r>
      <w:r>
        <w:rPr>
          <w:sz w:val="20"/>
          <w:szCs w:val="20"/>
          <w:lang w:val="en-US"/>
        </w:rPr>
        <w:t xml:space="preserve">Hadgkiss EJ, Jelinek GA, Weiland TJ, Pereira NG, Marck CH, van der Meer DM. Lifestyle factors, demographics and medications associated with depression risk in an international sample of people with </w:t>
      </w:r>
      <w:r>
        <w:rPr>
          <w:sz w:val="20"/>
          <w:szCs w:val="20"/>
          <w:lang w:val="en-US"/>
        </w:rPr>
        <w:lastRenderedPageBreak/>
        <w:t>multiple sclerosis. BMC Psychiatry. 2015 Dec 3;14:327. Doi: 10.1186/s12888-014-0327-3</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D´Alisa S, Miscio G, Baudo S, Simone A, Tesio L, Mauro A. Depression is the main determinant of quality of life in multiple sclerosis: a classification-regression (CART) study. </w:t>
      </w:r>
      <w:r>
        <w:rPr>
          <w:rFonts w:ascii="Times New Roman" w:hAnsi="Times New Roman" w:cs="Times New Roman"/>
          <w:sz w:val="20"/>
          <w:szCs w:val="20"/>
        </w:rPr>
        <w:t>Disabil Rehabil 2006, 28(5):307-314</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Ju SY, Lee YJ, Jeong SN. Serum 25-hydroxyvitamin D levels and the risk of depression: a systematic review and meta-analysis. </w:t>
      </w:r>
      <w:r>
        <w:rPr>
          <w:rFonts w:ascii="Times New Roman" w:hAnsi="Times New Roman" w:cs="Times New Roman"/>
          <w:sz w:val="20"/>
          <w:szCs w:val="20"/>
        </w:rPr>
        <w:t>J Nutr Health Aging. 2013;17(5):447-55. Doi: 10.1007/s12603-012-0418-0</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color w:val="000000" w:themeColor="text1"/>
          <w:sz w:val="20"/>
          <w:szCs w:val="20"/>
          <w:lang w:val="en-US"/>
        </w:rPr>
        <w:t>Kappos L</w:t>
      </w:r>
      <w:r>
        <w:rPr>
          <w:rFonts w:ascii="Times New Roman" w:hAnsi="Times New Roman" w:cs="Times New Roman"/>
          <w:sz w:val="20"/>
          <w:szCs w:val="20"/>
          <w:lang w:val="en-US"/>
        </w:rPr>
        <w:t xml:space="preserve">, Radue E-W, O´Connor P, Polman C, Hohlfeld R, Calabresi P, Selmaj K, Agoropoulou C, Leyk M, Zhang-Auberson L, Burtin P. A Placebo-Controlled Trial of Oral Fingolimod in Relapsing Multiple Sclerosis. </w:t>
      </w:r>
      <w:r>
        <w:rPr>
          <w:rFonts w:ascii="Times New Roman" w:hAnsi="Times New Roman" w:cs="Times New Roman"/>
          <w:sz w:val="20"/>
          <w:szCs w:val="20"/>
        </w:rPr>
        <w:t>N Engl J Med. 2010;362(5):387-401</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Calabresi PA. et al. Radue E-W, Goodin D, Jeffery D, Rammohan K.W, Reder A.T, Vollmer T, Agius M.A, Kappos L, Stites T, Li B, </w:t>
      </w:r>
      <w:r>
        <w:rPr>
          <w:rFonts w:ascii="Times New Roman" w:hAnsi="Times New Roman" w:cs="Times New Roman"/>
          <w:sz w:val="20"/>
          <w:szCs w:val="20"/>
          <w:lang w:val="en-US"/>
        </w:rPr>
        <w:lastRenderedPageBreak/>
        <w:t>Cappiello L, von Rosenstiel P, Lublin F.D. Safety and efficacy of fingolimod in patients with relapsing-remitting multiple sclerosis (FREEDOMS II): A double-blind, randomised, placebo-controlled, phase 3 trial. Lancet Neurol. 2014;13(6):545-556</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James E, Dobson R, Kuhle J, Baker D, Giovanni G, Ramagopalan SV. The effect of vitamin D-related interventions on multiple sclerosis relapses: a meta-analysis. </w:t>
      </w:r>
      <w:r>
        <w:rPr>
          <w:rFonts w:ascii="Times New Roman" w:hAnsi="Times New Roman" w:cs="Times New Roman"/>
          <w:sz w:val="20"/>
          <w:szCs w:val="20"/>
        </w:rPr>
        <w:t>Mult Scler. 2013 Oct;19(12):1571-1579. Doi: 10.1177/1352458513489756. Epub 2013 May 22</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Stewart N, Simpson S Jr, van der Mei I, Ponsonby AL, Blizzard L, Dwyer T, Pittas F, Eyles D, Ko P, Taylor BV. Interferon-</w:t>
      </w:r>
      <w:r>
        <w:rPr>
          <w:rFonts w:ascii="Times New Roman" w:hAnsi="Times New Roman" w:cs="Times New Roman"/>
          <w:sz w:val="20"/>
          <w:szCs w:val="20"/>
          <w:lang w:val="en-US"/>
        </w:rPr>
        <w:sym w:font="Symbol" w:char="F062"/>
      </w:r>
      <w:r>
        <w:rPr>
          <w:rFonts w:ascii="Times New Roman" w:hAnsi="Times New Roman" w:cs="Times New Roman"/>
          <w:sz w:val="20"/>
          <w:szCs w:val="20"/>
          <w:lang w:val="en-US"/>
        </w:rPr>
        <w:t xml:space="preserve"> and serum 25-hydroxyvitamin D interact to modulate relapse risk in MS. Neurology 2012 Jul 17;79(3):254-60. Doi: 10.1212/WNL.0b013e31825fded9. Epub 2012 Jun 13</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Aktas O, Küry P, Kieseier B, Hartung HP. Fingolimod is a potent novel therapy for multiple sclerosis. Nat Rev Neurol. 2010 Jul;6(7):373-82. </w:t>
      </w:r>
      <w:r>
        <w:rPr>
          <w:rFonts w:ascii="Times New Roman" w:hAnsi="Times New Roman" w:cs="Times New Roman"/>
          <w:sz w:val="20"/>
          <w:szCs w:val="20"/>
        </w:rPr>
        <w:t>Doi: 10.1038/nrneurol.2010.76. Epub 2010 Jun 15</w:t>
      </w: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pStyle w:val="ListParagraph"/>
        <w:numPr>
          <w:ilvl w:val="0"/>
          <w:numId w:val="2"/>
        </w:numPr>
        <w:spacing w:line="360" w:lineRule="auto"/>
        <w:jc w:val="both"/>
        <w:rPr>
          <w:rFonts w:ascii="Times New Roman" w:hAnsi="Times New Roman" w:cs="Times New Roman"/>
          <w:sz w:val="20"/>
          <w:szCs w:val="20"/>
        </w:rPr>
      </w:pPr>
      <w:r>
        <w:rPr>
          <w:rFonts w:ascii="Times New Roman" w:hAnsi="Times New Roman" w:cs="Times New Roman"/>
          <w:sz w:val="20"/>
          <w:szCs w:val="20"/>
          <w:lang w:val="en-US"/>
        </w:rPr>
        <w:t xml:space="preserve">Munger KL, Köchert K, Simon KC, Kappos L, Polman CH, Freedman MS. Molecular mechanism underlying the impact of vitamin D on disease activity of MS. Ann Clin Transl Neurol. 2014 Aug; 1(8):605-617. Published online 2014 Aug 22. Doi: 10.1002/acn3.91. </w:t>
      </w:r>
      <w:r>
        <w:rPr>
          <w:rFonts w:ascii="Times New Roman" w:hAnsi="Times New Roman" w:cs="Times New Roman"/>
          <w:sz w:val="20"/>
          <w:szCs w:val="20"/>
        </w:rPr>
        <w:t>PMCID: PMC4180413. NIHMSID: NIHMS625004</w:t>
      </w:r>
    </w:p>
    <w:p w:rsidR="007367AD" w:rsidRDefault="007367AD" w:rsidP="007367AD">
      <w:pPr>
        <w:spacing w:line="360" w:lineRule="auto"/>
        <w:jc w:val="both"/>
        <w:rPr>
          <w:rFonts w:ascii="Times New Roman" w:hAnsi="Times New Roman" w:cs="Times New Roman"/>
          <w:sz w:val="20"/>
          <w:szCs w:val="20"/>
          <w:lang w:val="en-US"/>
        </w:rPr>
      </w:pPr>
    </w:p>
    <w:p w:rsidR="007367AD" w:rsidRDefault="007367AD" w:rsidP="007367AD">
      <w:pPr>
        <w:spacing w:line="360" w:lineRule="auto"/>
        <w:jc w:val="both"/>
        <w:rPr>
          <w:rFonts w:ascii="Times New Roman" w:hAnsi="Times New Roman" w:cs="Times New Roman"/>
          <w:sz w:val="20"/>
          <w:szCs w:val="20"/>
        </w:rPr>
      </w:pPr>
    </w:p>
    <w:p w:rsidR="007367AD" w:rsidRDefault="007367AD" w:rsidP="007367AD">
      <w:pPr>
        <w:spacing w:line="360" w:lineRule="auto"/>
        <w:jc w:val="both"/>
        <w:rPr>
          <w:rFonts w:ascii="Times New Roman" w:hAnsi="Times New Roman" w:cs="Times New Roman"/>
          <w:b/>
          <w:sz w:val="20"/>
          <w:szCs w:val="20"/>
          <w:lang w:val="en-US"/>
        </w:rPr>
      </w:pPr>
      <w:r>
        <w:rPr>
          <w:rFonts w:ascii="Times New Roman" w:hAnsi="Times New Roman" w:cs="Times New Roman"/>
          <w:b/>
          <w:sz w:val="20"/>
          <w:szCs w:val="20"/>
          <w:lang w:val="en-US"/>
        </w:rPr>
        <w:t>Figure legends</w:t>
      </w:r>
    </w:p>
    <w:p w:rsidR="007367AD" w:rsidRDefault="007367AD" w:rsidP="007367AD">
      <w:pPr>
        <w:spacing w:line="360" w:lineRule="auto"/>
        <w:jc w:val="both"/>
        <w:rPr>
          <w:rFonts w:ascii="Times New Roman" w:hAnsi="Times New Roman" w:cs="Times New Roman"/>
          <w:sz w:val="20"/>
          <w:szCs w:val="20"/>
        </w:rPr>
      </w:pPr>
    </w:p>
    <w:p w:rsidR="007367AD" w:rsidRDefault="00AB39BE" w:rsidP="007367AD">
      <w:pPr>
        <w:pStyle w:val="Bullet"/>
        <w:numPr>
          <w:ilvl w:val="0"/>
          <w:numId w:val="0"/>
        </w:numPr>
        <w:spacing w:after="0" w:line="360" w:lineRule="auto"/>
        <w:jc w:val="both"/>
        <w:rPr>
          <w:rFonts w:ascii="Times New Roman" w:hAnsi="Times New Roman" w:cs="Times New Roman"/>
          <w:sz w:val="20"/>
          <w:szCs w:val="20"/>
        </w:rPr>
      </w:pPr>
      <w:r>
        <w:rPr>
          <w:rFonts w:ascii="Times New Roman" w:hAnsi="Times New Roman" w:cs="Times New Roman"/>
          <w:sz w:val="20"/>
          <w:szCs w:val="20"/>
        </w:rPr>
        <w:t>Figure 1.</w:t>
      </w:r>
      <w:r w:rsidR="007367AD">
        <w:rPr>
          <w:rFonts w:ascii="Times New Roman" w:hAnsi="Times New Roman" w:cs="Times New Roman"/>
          <w:sz w:val="20"/>
          <w:szCs w:val="20"/>
        </w:rPr>
        <w:t xml:space="preserve"> Annualized relapse rate at Month 24 by vitamin D use.  Negative binomial regression model adjusted for treatment, vitamin D use, number of relapses in the previous 2 years, baseline EDSS, and region.</w:t>
      </w:r>
    </w:p>
    <w:p w:rsidR="007367AD" w:rsidRDefault="007367AD" w:rsidP="007367AD">
      <w:pPr>
        <w:pStyle w:val="Bullet"/>
        <w:numPr>
          <w:ilvl w:val="0"/>
          <w:numId w:val="0"/>
        </w:numPr>
        <w:spacing w:after="0" w:line="360" w:lineRule="auto"/>
        <w:jc w:val="both"/>
        <w:rPr>
          <w:rFonts w:ascii="Times New Roman" w:hAnsi="Times New Roman" w:cs="Times New Roman"/>
          <w:sz w:val="20"/>
          <w:szCs w:val="20"/>
        </w:rPr>
      </w:pPr>
    </w:p>
    <w:p w:rsidR="007367AD" w:rsidRDefault="007367AD" w:rsidP="007367AD">
      <w:pPr>
        <w:pStyle w:val="Footnote"/>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Figure 2. MRI outcomes by vitamin D use (T2 lesions).  (a) All p values were calculated from a Rank ANCOVA with the following covariates: treatment, vitamin D use, region, baseline volume of T2 lesions and treatment*vitamin D use interaction (b) All p values were derived from a logistic regression model with the following covariates: treatment, vitamin D use, region and </w:t>
      </w:r>
      <w:r>
        <w:rPr>
          <w:rFonts w:ascii="Times New Roman" w:hAnsi="Times New Roman" w:cs="Times New Roman"/>
          <w:sz w:val="20"/>
          <w:szCs w:val="20"/>
        </w:rPr>
        <w:lastRenderedPageBreak/>
        <w:t>baseline volume of T2 lesions treatment*vitamin D use interaction. P values refer to pair-wise comparisons between ‘daily’ or ‘casual’ vitamin D users and ‘non-vitamin D users’. ANCOVA, analysis of covariance; MRI, magnetic resonance imaging</w:t>
      </w:r>
    </w:p>
    <w:p w:rsidR="007367AD" w:rsidRDefault="007367AD" w:rsidP="007367AD">
      <w:pPr>
        <w:pStyle w:val="Footnote"/>
        <w:spacing w:after="0" w:line="360" w:lineRule="auto"/>
        <w:jc w:val="both"/>
        <w:rPr>
          <w:rFonts w:ascii="Times New Roman" w:hAnsi="Times New Roman" w:cs="Times New Roman"/>
          <w:sz w:val="20"/>
          <w:szCs w:val="20"/>
        </w:rPr>
      </w:pPr>
    </w:p>
    <w:p w:rsidR="007367AD" w:rsidRDefault="007367AD" w:rsidP="007367AD">
      <w:pPr>
        <w:pStyle w:val="NormalWeb"/>
        <w:spacing w:before="0" w:beforeAutospacing="0" w:after="0" w:afterAutospacing="0" w:line="360" w:lineRule="auto"/>
        <w:jc w:val="both"/>
        <w:rPr>
          <w:sz w:val="20"/>
          <w:szCs w:val="20"/>
          <w:lang w:val="en-US"/>
        </w:rPr>
      </w:pPr>
      <w:r>
        <w:rPr>
          <w:sz w:val="20"/>
          <w:szCs w:val="20"/>
          <w:lang w:val="en-US"/>
        </w:rPr>
        <w:t xml:space="preserve">Figure 3. MRI outcomes (Gd-enhanced T1 lesions) by vitamin D use. </w:t>
      </w:r>
    </w:p>
    <w:p w:rsidR="007367AD" w:rsidRDefault="007367AD" w:rsidP="007367AD">
      <w:pPr>
        <w:pStyle w:val="NormalWeb"/>
        <w:spacing w:before="0" w:beforeAutospacing="0" w:after="0" w:afterAutospacing="0" w:line="360" w:lineRule="auto"/>
        <w:jc w:val="both"/>
        <w:rPr>
          <w:sz w:val="20"/>
          <w:szCs w:val="20"/>
          <w:lang w:val="en-US"/>
        </w:rPr>
      </w:pPr>
      <w:r>
        <w:rPr>
          <w:sz w:val="20"/>
          <w:szCs w:val="20"/>
          <w:lang w:val="en-US"/>
        </w:rPr>
        <w:t xml:space="preserve"> (a) </w:t>
      </w:r>
      <w:r>
        <w:rPr>
          <w:rFonts w:eastAsiaTheme="minorEastAsia"/>
          <w:bCs/>
          <w:sz w:val="20"/>
          <w:szCs w:val="20"/>
          <w:lang w:val="en-US"/>
        </w:rPr>
        <w:t>Number of Gd-enhanced T1 lesions at Month 12 and 24</w:t>
      </w:r>
      <w:r>
        <w:rPr>
          <w:sz w:val="20"/>
          <w:szCs w:val="20"/>
          <w:lang w:val="en-US"/>
        </w:rPr>
        <w:t>. All p values were calculated from a Rank ANCOVA with the following covariates: treatment, vitamin D use, region and baseline number of Gd-enhanced T1 lesions and treatment*vitamin D use interaction. P values refer to pair-wise comparisons between ‘daily’ or ‘casual’ vitamin D users and ‘non-vitamin D users’.</w:t>
      </w:r>
    </w:p>
    <w:p w:rsidR="007367AD" w:rsidRDefault="007367AD" w:rsidP="007367AD">
      <w:pPr>
        <w:pStyle w:val="NormalWeb"/>
        <w:spacing w:before="0" w:beforeAutospacing="0" w:after="0" w:afterAutospacing="0" w:line="360" w:lineRule="auto"/>
        <w:jc w:val="both"/>
        <w:rPr>
          <w:sz w:val="20"/>
          <w:szCs w:val="20"/>
          <w:lang w:val="en-US"/>
        </w:rPr>
      </w:pPr>
      <w:r>
        <w:rPr>
          <w:rFonts w:eastAsiaTheme="minorEastAsia"/>
          <w:bCs/>
          <w:sz w:val="20"/>
          <w:szCs w:val="20"/>
          <w:lang w:val="en-US"/>
        </w:rPr>
        <w:t xml:space="preserve"> (b) Proportion of patients free of Gd-enhanced T1 lesions at Months 12 and 24. </w:t>
      </w:r>
      <w:r>
        <w:rPr>
          <w:sz w:val="20"/>
          <w:szCs w:val="20"/>
          <w:lang w:val="en-US"/>
        </w:rPr>
        <w:t>All p values were derived from a logistic regression model with the following covariates: treatment, vitamin D use, region, baseline number of Gd-enhanced T1 lesions, and treatme</w:t>
      </w:r>
      <w:r w:rsidR="00AB39BE">
        <w:rPr>
          <w:sz w:val="20"/>
          <w:szCs w:val="20"/>
          <w:lang w:val="en-US"/>
        </w:rPr>
        <w:t xml:space="preserve">nt*vitamin D use interaction. P </w:t>
      </w:r>
      <w:r>
        <w:rPr>
          <w:sz w:val="20"/>
          <w:szCs w:val="20"/>
          <w:lang w:val="en-US"/>
        </w:rPr>
        <w:t>values refer to comparisons between ‘daily’ or ‘casual’ vitamin D users and ‘non-vitamin D users’. ANCOVA analysis of covariance; Gd, gadolinium; MRI, magnetic resonance imaging</w:t>
      </w:r>
    </w:p>
    <w:p w:rsidR="007367AD" w:rsidRDefault="007367AD" w:rsidP="007367AD">
      <w:pPr>
        <w:spacing w:line="360" w:lineRule="auto"/>
        <w:jc w:val="both"/>
        <w:rPr>
          <w:rFonts w:ascii="Times New Roman" w:hAnsi="Times New Roman" w:cs="Times New Roman"/>
          <w:b/>
          <w:sz w:val="20"/>
          <w:szCs w:val="20"/>
          <w:lang w:val="en-US"/>
        </w:rPr>
      </w:pPr>
    </w:p>
    <w:p w:rsidR="007367AD" w:rsidRDefault="007367AD" w:rsidP="007367AD">
      <w:pPr>
        <w:pStyle w:val="Heading1"/>
        <w:spacing w:before="0" w:after="0" w:line="360" w:lineRule="auto"/>
        <w:jc w:val="both"/>
        <w:rPr>
          <w:rFonts w:ascii="Times New Roman" w:hAnsi="Times New Roman" w:cs="Times New Roman"/>
          <w:b w:val="0"/>
          <w:color w:val="auto"/>
          <w:sz w:val="20"/>
          <w:szCs w:val="20"/>
        </w:rPr>
      </w:pPr>
      <w:r>
        <w:rPr>
          <w:rFonts w:ascii="Times New Roman" w:hAnsi="Times New Roman" w:cs="Times New Roman"/>
          <w:b w:val="0"/>
          <w:color w:val="auto"/>
          <w:sz w:val="20"/>
          <w:szCs w:val="20"/>
        </w:rPr>
        <w:lastRenderedPageBreak/>
        <w:t>Figure 4.</w:t>
      </w:r>
      <w:r>
        <w:rPr>
          <w:rFonts w:ascii="Times New Roman" w:hAnsi="Times New Roman" w:cs="Times New Roman"/>
          <w:color w:val="auto"/>
          <w:sz w:val="20"/>
          <w:szCs w:val="20"/>
        </w:rPr>
        <w:t xml:space="preserve">  </w:t>
      </w:r>
      <w:r>
        <w:rPr>
          <w:rFonts w:ascii="Times New Roman" w:hAnsi="Times New Roman" w:cs="Times New Roman"/>
          <w:b w:val="0"/>
          <w:color w:val="auto"/>
          <w:sz w:val="20"/>
          <w:szCs w:val="20"/>
        </w:rPr>
        <w:t>Percent brain volume change from baseline to Months 12 and 24 by vitamin D use. P-values are from a Rank ANCOVA with covariates: treatment, vitamin D use, baseline brain volume, region, and treatment*vitamin D use interaction</w:t>
      </w:r>
    </w:p>
    <w:p w:rsidR="007367AD" w:rsidRDefault="007367AD" w:rsidP="007367AD">
      <w:pPr>
        <w:pStyle w:val="Bullet"/>
        <w:numPr>
          <w:ilvl w:val="0"/>
          <w:numId w:val="0"/>
        </w:numPr>
        <w:spacing w:after="0" w:line="360" w:lineRule="auto"/>
        <w:jc w:val="both"/>
        <w:rPr>
          <w:rFonts w:ascii="Times New Roman" w:hAnsi="Times New Roman" w:cs="Times New Roman"/>
          <w:b/>
          <w:sz w:val="16"/>
          <w:szCs w:val="16"/>
        </w:rPr>
      </w:pPr>
    </w:p>
    <w:p w:rsidR="007367AD" w:rsidRDefault="007367AD" w:rsidP="007367AD">
      <w:pPr>
        <w:pStyle w:val="Bullet"/>
        <w:numPr>
          <w:ilvl w:val="0"/>
          <w:numId w:val="0"/>
        </w:numPr>
        <w:spacing w:after="0" w:line="360" w:lineRule="auto"/>
        <w:jc w:val="both"/>
        <w:rPr>
          <w:rFonts w:ascii="Times New Roman" w:hAnsi="Times New Roman" w:cs="Times New Roman"/>
          <w:b/>
          <w:sz w:val="16"/>
          <w:szCs w:val="16"/>
        </w:rPr>
      </w:pPr>
    </w:p>
    <w:p w:rsidR="007367AD" w:rsidRDefault="007367AD" w:rsidP="007367AD">
      <w:pPr>
        <w:pStyle w:val="Bullet"/>
        <w:numPr>
          <w:ilvl w:val="0"/>
          <w:numId w:val="0"/>
        </w:numPr>
        <w:spacing w:after="0" w:line="360" w:lineRule="auto"/>
        <w:jc w:val="both"/>
        <w:rPr>
          <w:rFonts w:ascii="Times New Roman" w:hAnsi="Times New Roman" w:cs="Times New Roman"/>
          <w:sz w:val="16"/>
          <w:szCs w:val="16"/>
        </w:rPr>
      </w:pPr>
    </w:p>
    <w:p w:rsidR="007367AD" w:rsidRDefault="007367AD" w:rsidP="007367AD">
      <w:pPr>
        <w:pStyle w:val="Bullet"/>
        <w:numPr>
          <w:ilvl w:val="0"/>
          <w:numId w:val="0"/>
        </w:numPr>
        <w:spacing w:after="0" w:line="360" w:lineRule="auto"/>
        <w:jc w:val="both"/>
        <w:rPr>
          <w:sz w:val="16"/>
          <w:szCs w:val="16"/>
        </w:rPr>
      </w:pPr>
    </w:p>
    <w:p w:rsidR="007367AD" w:rsidRDefault="007367AD" w:rsidP="007367AD">
      <w:pPr>
        <w:pStyle w:val="Bullet"/>
        <w:numPr>
          <w:ilvl w:val="0"/>
          <w:numId w:val="0"/>
        </w:numPr>
        <w:spacing w:after="0" w:line="360" w:lineRule="auto"/>
        <w:rPr>
          <w:sz w:val="16"/>
          <w:szCs w:val="16"/>
        </w:rPr>
      </w:pPr>
    </w:p>
    <w:p w:rsidR="007367AD" w:rsidRDefault="007367AD" w:rsidP="007367AD">
      <w:pPr>
        <w:spacing w:line="360" w:lineRule="auto"/>
        <w:rPr>
          <w:b/>
          <w:lang w:val="en-US"/>
        </w:rPr>
      </w:pPr>
    </w:p>
    <w:p w:rsidR="007367AD" w:rsidRDefault="007367AD" w:rsidP="007367AD">
      <w:pPr>
        <w:pStyle w:val="NormalWeb"/>
        <w:spacing w:before="0" w:beforeAutospacing="0" w:after="0" w:afterAutospacing="0" w:line="360" w:lineRule="auto"/>
        <w:rPr>
          <w:sz w:val="16"/>
          <w:szCs w:val="20"/>
          <w:lang w:val="en-US"/>
        </w:rPr>
      </w:pPr>
      <w:r>
        <w:rPr>
          <w:sz w:val="20"/>
          <w:szCs w:val="20"/>
          <w:lang w:val="en-US"/>
        </w:rPr>
        <w:t xml:space="preserve"> </w:t>
      </w:r>
    </w:p>
    <w:p w:rsidR="007367AD" w:rsidRDefault="007367AD" w:rsidP="007367AD">
      <w:pPr>
        <w:pStyle w:val="Bullet"/>
        <w:numPr>
          <w:ilvl w:val="0"/>
          <w:numId w:val="0"/>
        </w:numPr>
        <w:spacing w:after="0" w:line="360" w:lineRule="auto"/>
        <w:rPr>
          <w:sz w:val="16"/>
          <w:szCs w:val="20"/>
        </w:rPr>
      </w:pPr>
    </w:p>
    <w:p w:rsidR="007367AD" w:rsidRDefault="007367AD" w:rsidP="007367AD">
      <w:pPr>
        <w:spacing w:line="360" w:lineRule="auto"/>
        <w:rPr>
          <w:rFonts w:ascii="Times New Roman" w:hAnsi="Times New Roman" w:cs="Times New Roman"/>
          <w:b/>
          <w:sz w:val="20"/>
          <w:szCs w:val="20"/>
          <w:lang w:val="en-US"/>
        </w:rPr>
      </w:pPr>
    </w:p>
    <w:p w:rsidR="007367AD" w:rsidRDefault="007367AD" w:rsidP="007367AD">
      <w:pPr>
        <w:spacing w:line="360" w:lineRule="auto"/>
        <w:rPr>
          <w:b/>
          <w:lang w:val="en-US"/>
        </w:rPr>
      </w:pPr>
    </w:p>
    <w:p w:rsidR="007367AD" w:rsidRDefault="007367AD" w:rsidP="007367AD">
      <w:pPr>
        <w:spacing w:line="360" w:lineRule="auto"/>
        <w:rPr>
          <w:b/>
          <w:lang w:val="en-US"/>
        </w:rPr>
      </w:pPr>
    </w:p>
    <w:p w:rsidR="007367AD" w:rsidRDefault="007367AD" w:rsidP="007367AD">
      <w:pPr>
        <w:spacing w:line="360" w:lineRule="auto"/>
        <w:rPr>
          <w:rFonts w:ascii="Times New Roman" w:hAnsi="Times New Roman" w:cs="Times New Roman"/>
          <w:sz w:val="20"/>
          <w:szCs w:val="20"/>
          <w:lang w:val="en-US"/>
        </w:rPr>
      </w:pPr>
    </w:p>
    <w:p w:rsidR="007367AD" w:rsidRDefault="007367AD" w:rsidP="007367AD">
      <w:pPr>
        <w:spacing w:line="360" w:lineRule="auto"/>
        <w:rPr>
          <w:rFonts w:ascii="Times New Roman" w:hAnsi="Times New Roman" w:cs="Times New Roman"/>
          <w:b/>
          <w:sz w:val="20"/>
          <w:szCs w:val="20"/>
          <w:lang w:val="en-US"/>
        </w:rPr>
      </w:pPr>
    </w:p>
    <w:p w:rsidR="007367AD" w:rsidRDefault="007367AD" w:rsidP="007367AD">
      <w:pPr>
        <w:spacing w:line="360" w:lineRule="auto"/>
        <w:rPr>
          <w:b/>
          <w:lang w:val="en-US"/>
        </w:rPr>
      </w:pPr>
    </w:p>
    <w:p w:rsidR="00DC2F4A" w:rsidRPr="00B77E09" w:rsidRDefault="00DC2F4A">
      <w:pPr>
        <w:rPr>
          <w:lang w:val="en-US"/>
        </w:rPr>
      </w:pPr>
    </w:p>
    <w:sectPr w:rsidR="00DC2F4A" w:rsidRPr="00B77E09" w:rsidSect="00AB39BE">
      <w:pgSz w:w="11906" w:h="16838"/>
      <w:pgMar w:top="1417" w:right="1417" w:bottom="1417" w:left="1417" w:header="708" w:footer="708" w:gutter="0"/>
      <w:lnNumType w:countBy="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DE6002"/>
    <w:multiLevelType w:val="multilevel"/>
    <w:tmpl w:val="AF165D9A"/>
    <w:styleLink w:val="GilenyaList"/>
    <w:lvl w:ilvl="0">
      <w:start w:val="1"/>
      <w:numFmt w:val="bullet"/>
      <w:pStyle w:val="Bullet"/>
      <w:lvlText w:val=""/>
      <w:lvlJc w:val="left"/>
      <w:pPr>
        <w:ind w:left="360" w:hanging="360"/>
      </w:pPr>
      <w:rPr>
        <w:rFonts w:ascii="Symbol" w:hAnsi="Symbol" w:hint="default"/>
        <w:sz w:val="20"/>
      </w:rPr>
    </w:lvl>
    <w:lvl w:ilvl="1">
      <w:start w:val="1"/>
      <w:numFmt w:val="bullet"/>
      <w:lvlText w:val="−"/>
      <w:lvlJc w:val="left"/>
      <w:pPr>
        <w:ind w:left="720" w:hanging="360"/>
      </w:pPr>
      <w:rPr>
        <w:rFonts w:ascii="Arial" w:hAnsi="Arial"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Symbol" w:hAnsi="Symbol" w:hint="default"/>
      </w:rPr>
    </w:lvl>
    <w:lvl w:ilvl="7">
      <w:start w:val="1"/>
      <w:numFmt w:val="bullet"/>
      <w:lvlText w:val="o"/>
      <w:lvlJc w:val="left"/>
      <w:pPr>
        <w:ind w:left="2880" w:hanging="360"/>
      </w:pPr>
      <w:rPr>
        <w:rFonts w:ascii="Courier New" w:hAnsi="Courier New" w:cs="Courier New" w:hint="default"/>
      </w:rPr>
    </w:lvl>
    <w:lvl w:ilvl="8">
      <w:start w:val="1"/>
      <w:numFmt w:val="bullet"/>
      <w:lvlText w:val=""/>
      <w:lvlJc w:val="left"/>
      <w:pPr>
        <w:ind w:left="3240" w:hanging="360"/>
      </w:pPr>
      <w:rPr>
        <w:rFonts w:ascii="Wingdings" w:hAnsi="Wingdings" w:hint="default"/>
      </w:rPr>
    </w:lvl>
  </w:abstractNum>
  <w:abstractNum w:abstractNumId="1" w15:restartNumberingAfterBreak="0">
    <w:nsid w:val="51F4454A"/>
    <w:multiLevelType w:val="hybridMultilevel"/>
    <w:tmpl w:val="F0C8F0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7AD"/>
    <w:rsid w:val="000167FF"/>
    <w:rsid w:val="005E6208"/>
    <w:rsid w:val="0068193B"/>
    <w:rsid w:val="007367AD"/>
    <w:rsid w:val="00AB39BE"/>
    <w:rsid w:val="00B66347"/>
    <w:rsid w:val="00B77E09"/>
    <w:rsid w:val="00C8260E"/>
    <w:rsid w:val="00DC2F4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544F44-195F-43B8-AE41-585778240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67AD"/>
    <w:pPr>
      <w:spacing w:after="0" w:line="240" w:lineRule="auto"/>
    </w:pPr>
    <w:rPr>
      <w:rFonts w:eastAsiaTheme="minorEastAsia"/>
      <w:sz w:val="24"/>
      <w:szCs w:val="24"/>
      <w:lang w:val="fi-FI" w:eastAsia="fi-FI"/>
    </w:rPr>
  </w:style>
  <w:style w:type="paragraph" w:styleId="Heading1">
    <w:name w:val="heading 1"/>
    <w:basedOn w:val="Normal"/>
    <w:next w:val="Normal"/>
    <w:link w:val="Heading1Char"/>
    <w:uiPriority w:val="9"/>
    <w:qFormat/>
    <w:rsid w:val="007367AD"/>
    <w:pPr>
      <w:spacing w:before="240" w:after="120" w:line="276" w:lineRule="auto"/>
      <w:outlineLvl w:val="0"/>
    </w:pPr>
    <w:rPr>
      <w:rFonts w:ascii="Arial" w:eastAsiaTheme="minorHAnsi" w:hAnsi="Arial" w:cs="Arial"/>
      <w:b/>
      <w:color w:val="634329"/>
      <w:sz w:val="32"/>
      <w:szCs w:val="3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67AD"/>
    <w:rPr>
      <w:rFonts w:ascii="Arial" w:hAnsi="Arial" w:cs="Arial"/>
      <w:b/>
      <w:color w:val="634329"/>
      <w:sz w:val="32"/>
      <w:szCs w:val="32"/>
      <w:lang w:val="en-GB"/>
    </w:rPr>
  </w:style>
  <w:style w:type="character" w:styleId="Hyperlink">
    <w:name w:val="Hyperlink"/>
    <w:basedOn w:val="DefaultParagraphFont"/>
    <w:uiPriority w:val="99"/>
    <w:semiHidden/>
    <w:unhideWhenUsed/>
    <w:rsid w:val="007367AD"/>
    <w:rPr>
      <w:color w:val="0563C1" w:themeColor="hyperlink"/>
      <w:u w:val="single"/>
    </w:rPr>
  </w:style>
  <w:style w:type="paragraph" w:styleId="NormalWeb">
    <w:name w:val="Normal (Web)"/>
    <w:basedOn w:val="Normal"/>
    <w:uiPriority w:val="99"/>
    <w:semiHidden/>
    <w:unhideWhenUsed/>
    <w:rsid w:val="007367AD"/>
    <w:pPr>
      <w:spacing w:before="100" w:beforeAutospacing="1" w:after="100" w:afterAutospacing="1"/>
    </w:pPr>
    <w:rPr>
      <w:rFonts w:ascii="Times New Roman" w:eastAsia="Times New Roman" w:hAnsi="Times New Roman" w:cs="Times New Roman"/>
    </w:rPr>
  </w:style>
  <w:style w:type="paragraph" w:styleId="CommentText">
    <w:name w:val="annotation text"/>
    <w:basedOn w:val="Normal"/>
    <w:link w:val="CommentTextChar"/>
    <w:uiPriority w:val="99"/>
    <w:semiHidden/>
    <w:unhideWhenUsed/>
    <w:rsid w:val="007367AD"/>
    <w:rPr>
      <w:sz w:val="20"/>
      <w:szCs w:val="20"/>
    </w:rPr>
  </w:style>
  <w:style w:type="character" w:customStyle="1" w:styleId="CommentTextChar">
    <w:name w:val="Comment Text Char"/>
    <w:basedOn w:val="DefaultParagraphFont"/>
    <w:link w:val="CommentText"/>
    <w:uiPriority w:val="99"/>
    <w:semiHidden/>
    <w:rsid w:val="007367AD"/>
    <w:rPr>
      <w:rFonts w:eastAsiaTheme="minorEastAsia"/>
      <w:sz w:val="20"/>
      <w:szCs w:val="20"/>
      <w:lang w:val="fi-FI" w:eastAsia="fi-FI"/>
    </w:rPr>
  </w:style>
  <w:style w:type="paragraph" w:styleId="ListParagraph">
    <w:name w:val="List Paragraph"/>
    <w:basedOn w:val="Normal"/>
    <w:uiPriority w:val="34"/>
    <w:qFormat/>
    <w:rsid w:val="007367AD"/>
    <w:pPr>
      <w:ind w:left="720"/>
      <w:contextualSpacing/>
    </w:pPr>
  </w:style>
  <w:style w:type="paragraph" w:customStyle="1" w:styleId="Bullet">
    <w:name w:val="Bullet"/>
    <w:basedOn w:val="Normal"/>
    <w:uiPriority w:val="99"/>
    <w:qFormat/>
    <w:rsid w:val="007367AD"/>
    <w:pPr>
      <w:numPr>
        <w:numId w:val="1"/>
      </w:numPr>
      <w:spacing w:after="200" w:line="276" w:lineRule="auto"/>
    </w:pPr>
    <w:rPr>
      <w:rFonts w:ascii="Arial" w:eastAsiaTheme="minorHAnsi" w:hAnsi="Arial" w:cs="Arial"/>
      <w:szCs w:val="22"/>
      <w:lang w:val="en-GB" w:eastAsia="en-US"/>
    </w:rPr>
  </w:style>
  <w:style w:type="paragraph" w:customStyle="1" w:styleId="Footnote">
    <w:name w:val="Footnote"/>
    <w:basedOn w:val="Normal"/>
    <w:uiPriority w:val="99"/>
    <w:qFormat/>
    <w:rsid w:val="007367AD"/>
    <w:pPr>
      <w:spacing w:after="200" w:line="276" w:lineRule="auto"/>
    </w:pPr>
    <w:rPr>
      <w:rFonts w:ascii="Arial" w:eastAsiaTheme="minorHAnsi" w:hAnsi="Arial"/>
      <w:sz w:val="16"/>
      <w:szCs w:val="22"/>
      <w:lang w:val="en-GB" w:eastAsia="en-US"/>
    </w:rPr>
  </w:style>
  <w:style w:type="character" w:customStyle="1" w:styleId="highlight2">
    <w:name w:val="highlight2"/>
    <w:basedOn w:val="DefaultParagraphFont"/>
    <w:rsid w:val="007367AD"/>
  </w:style>
  <w:style w:type="character" w:styleId="Emphasis">
    <w:name w:val="Emphasis"/>
    <w:basedOn w:val="DefaultParagraphFont"/>
    <w:uiPriority w:val="20"/>
    <w:qFormat/>
    <w:rsid w:val="007367AD"/>
    <w:rPr>
      <w:i/>
      <w:iCs/>
    </w:rPr>
  </w:style>
  <w:style w:type="numbering" w:customStyle="1" w:styleId="GilenyaList">
    <w:name w:val="GilenyaList"/>
    <w:uiPriority w:val="99"/>
    <w:rsid w:val="007367AD"/>
    <w:pPr>
      <w:numPr>
        <w:numId w:val="1"/>
      </w:numPr>
    </w:pPr>
  </w:style>
  <w:style w:type="character" w:styleId="LineNumber">
    <w:name w:val="line number"/>
    <w:basedOn w:val="DefaultParagraphFont"/>
    <w:uiPriority w:val="99"/>
    <w:semiHidden/>
    <w:unhideWhenUsed/>
    <w:rsid w:val="00AB3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8622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Barkhof%20F%5BAuthor%5D&amp;cauthor=true&amp;cauthor_uid=22411961" TargetMode="External"/><Relationship Id="rId13" Type="http://schemas.openxmlformats.org/officeDocument/2006/relationships/hyperlink" Target="https://www.ncbi.nlm.nih.gov/pubmed/?term=Killestein%20J%5BAuthor%5D&amp;cauthor=true&amp;cauthor_uid=22411961" TargetMode="External"/><Relationship Id="rId18" Type="http://schemas.openxmlformats.org/officeDocument/2006/relationships/hyperlink" Target="https://www.ncbi.nlm.nih.gov/pubmed/?term=Ascherio%20A%5BAuthor%5D&amp;cauthor=true&amp;cauthor_uid=24445558" TargetMode="External"/><Relationship Id="rId26" Type="http://schemas.openxmlformats.org/officeDocument/2006/relationships/hyperlink" Target="https://www.ncbi.nlm.nih.gov/pubmed/?term=Miller%20DH%5BAuthor%5D&amp;cauthor=true&amp;cauthor_uid=24445558" TargetMode="External"/><Relationship Id="rId3" Type="http://schemas.openxmlformats.org/officeDocument/2006/relationships/styles" Target="styles.xml"/><Relationship Id="rId21" Type="http://schemas.openxmlformats.org/officeDocument/2006/relationships/hyperlink" Target="https://www.ncbi.nlm.nih.gov/pubmed/?term=K%C3%B6chert%20K%5BAuthor%5D&amp;cauthor=true&amp;cauthor_uid=24445558" TargetMode="External"/><Relationship Id="rId34" Type="http://schemas.openxmlformats.org/officeDocument/2006/relationships/hyperlink" Target="https://www.ncbi.nlm.nih.gov/pubmed/?term=Pohl%20C%5BAuthor%5D&amp;cauthor=true&amp;cauthor_uid=24445558" TargetMode="External"/><Relationship Id="rId7" Type="http://schemas.openxmlformats.org/officeDocument/2006/relationships/hyperlink" Target="https://www.ncbi.nlm.nih.gov/pubmed/?term=Grimaldi%20L%5BAuthor%5D&amp;cauthor=true&amp;cauthor_uid=22411961" TargetMode="External"/><Relationship Id="rId12" Type="http://schemas.openxmlformats.org/officeDocument/2006/relationships/hyperlink" Target="https://www.ncbi.nlm.nih.gov/pubmed/?term=Hupperts%20R%5BAuthor%5D&amp;cauthor=true&amp;cauthor_uid=22411961" TargetMode="External"/><Relationship Id="rId17" Type="http://schemas.openxmlformats.org/officeDocument/2006/relationships/hyperlink" Target="https://www.ncbi.nlm.nih.gov/pubmed/?term=SOLAR%20Study%20Group%5BCorporate%20Author%5D" TargetMode="External"/><Relationship Id="rId25" Type="http://schemas.openxmlformats.org/officeDocument/2006/relationships/hyperlink" Target="https://www.ncbi.nlm.nih.gov/pubmed/?term=Hartung%20HP%5BAuthor%5D&amp;cauthor=true&amp;cauthor_uid=24445558" TargetMode="External"/><Relationship Id="rId33" Type="http://schemas.openxmlformats.org/officeDocument/2006/relationships/hyperlink" Target="https://www.ncbi.nlm.nih.gov/pubmed/?term=Kappos%20L%5BAuthor%5D&amp;cauthor=true&amp;cauthor_uid=24445558" TargetMode="External"/><Relationship Id="rId2" Type="http://schemas.openxmlformats.org/officeDocument/2006/relationships/numbering" Target="numbering.xml"/><Relationship Id="rId16" Type="http://schemas.openxmlformats.org/officeDocument/2006/relationships/hyperlink" Target="https://www.ncbi.nlm.nih.gov/pubmed/?term=Smolders%20J%5BAuthor%5D&amp;cauthor=true&amp;cauthor_uid=22411961" TargetMode="External"/><Relationship Id="rId20" Type="http://schemas.openxmlformats.org/officeDocument/2006/relationships/hyperlink" Target="https://www.ncbi.nlm.nih.gov/pubmed/?term=White%20R%5BAuthor%5D&amp;cauthor=true&amp;cauthor_uid=24445558" TargetMode="External"/><Relationship Id="rId29" Type="http://schemas.openxmlformats.org/officeDocument/2006/relationships/hyperlink" Target="https://www.ncbi.nlm.nih.gov/pubmed/?term=Barkhof%20F%5BAuthor%5D&amp;cauthor=true&amp;cauthor_uid=24445558" TargetMode="External"/><Relationship Id="rId1" Type="http://schemas.openxmlformats.org/officeDocument/2006/relationships/customXml" Target="../customXml/item1.xml"/><Relationship Id="rId6" Type="http://schemas.openxmlformats.org/officeDocument/2006/relationships/hyperlink" Target="mailto:kira.hongell@utu.fi" TargetMode="External"/><Relationship Id="rId11" Type="http://schemas.openxmlformats.org/officeDocument/2006/relationships/hyperlink" Target="https://www.ncbi.nlm.nih.gov/pubmed/?term=Holmoy%20T%5BAuthor%5D&amp;cauthor=true&amp;cauthor_uid=22411961" TargetMode="External"/><Relationship Id="rId24" Type="http://schemas.openxmlformats.org/officeDocument/2006/relationships/hyperlink" Target="https://www.ncbi.nlm.nih.gov/pubmed/?term=Freedman%20MS%5BAuthor%5D&amp;cauthor=true&amp;cauthor_uid=24445558" TargetMode="External"/><Relationship Id="rId32" Type="http://schemas.openxmlformats.org/officeDocument/2006/relationships/hyperlink" Target="https://www.ncbi.nlm.nih.gov/pubmed/?term=Sandbrink%20R%5BAuthor%5D&amp;cauthor=true&amp;cauthor_uid=24445558"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pubmed/?term=Schluep%20M%5BAuthor%5D&amp;cauthor=true&amp;cauthor_uid=22411961" TargetMode="External"/><Relationship Id="rId23" Type="http://schemas.openxmlformats.org/officeDocument/2006/relationships/hyperlink" Target="https://www.ncbi.nlm.nih.gov/pubmed/?term=Polman%20CH%5BAuthor%5D&amp;cauthor=true&amp;cauthor_uid=24445558" TargetMode="External"/><Relationship Id="rId28" Type="http://schemas.openxmlformats.org/officeDocument/2006/relationships/hyperlink" Target="https://www.ncbi.nlm.nih.gov/pubmed/?term=Edan%20G%5BAuthor%5D&amp;cauthor=true&amp;cauthor_uid=24445558" TargetMode="External"/><Relationship Id="rId36" Type="http://schemas.openxmlformats.org/officeDocument/2006/relationships/fontTable" Target="fontTable.xml"/><Relationship Id="rId10" Type="http://schemas.openxmlformats.org/officeDocument/2006/relationships/hyperlink" Target="https://www.ncbi.nlm.nih.gov/pubmed/?term=Burton%20J%5BAuthor%5D&amp;cauthor=true&amp;cauthor_uid=22411961" TargetMode="External"/><Relationship Id="rId19" Type="http://schemas.openxmlformats.org/officeDocument/2006/relationships/hyperlink" Target="https://www.ncbi.nlm.nih.gov/pubmed/?term=Munger%20KL%5BAuthor%5D&amp;cauthor=true&amp;cauthor_uid=24445558" TargetMode="External"/><Relationship Id="rId31" Type="http://schemas.openxmlformats.org/officeDocument/2006/relationships/hyperlink" Target="https://www.ncbi.nlm.nih.gov/pubmed/?term=Rad%C3%BC%20EW%5BAuthor%5D&amp;cauthor=true&amp;cauthor_uid=24445558" TargetMode="External"/><Relationship Id="rId4" Type="http://schemas.openxmlformats.org/officeDocument/2006/relationships/settings" Target="settings.xml"/><Relationship Id="rId9" Type="http://schemas.openxmlformats.org/officeDocument/2006/relationships/hyperlink" Target="https://www.ncbi.nlm.nih.gov/pubmed/?term=Beelke%20M%5BAuthor%5D&amp;cauthor=true&amp;cauthor_uid=22411961" TargetMode="External"/><Relationship Id="rId14" Type="http://schemas.openxmlformats.org/officeDocument/2006/relationships/hyperlink" Target="https://www.ncbi.nlm.nih.gov/pubmed/?term=Rieckmann%20P%5BAuthor%5D&amp;cauthor=true&amp;cauthor_uid=22411961" TargetMode="External"/><Relationship Id="rId22" Type="http://schemas.openxmlformats.org/officeDocument/2006/relationships/hyperlink" Target="https://www.ncbi.nlm.nih.gov/pubmed/?term=Simon%20KC%5BAuthor%5D&amp;cauthor=true&amp;cauthor_uid=24445558" TargetMode="External"/><Relationship Id="rId27" Type="http://schemas.openxmlformats.org/officeDocument/2006/relationships/hyperlink" Target="https://www.ncbi.nlm.nih.gov/pubmed/?term=Montalb%C3%A1n%20X%5BAuthor%5D&amp;cauthor=true&amp;cauthor_uid=24445558" TargetMode="External"/><Relationship Id="rId30" Type="http://schemas.openxmlformats.org/officeDocument/2006/relationships/hyperlink" Target="https://www.ncbi.nlm.nih.gov/pubmed/?term=Pleimes%20D%5BAuthor%5D&amp;cauthor=true&amp;cauthor_uid=24445558" TargetMode="External"/><Relationship Id="rId35" Type="http://schemas.openxmlformats.org/officeDocument/2006/relationships/hyperlink" Target="https://www.ncbi.nlm.nih.gov/pubmed/24445558"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6A7086-212D-4393-97F8-4797A0CF0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3750</Words>
  <Characters>30383</Characters>
  <Application>Microsoft Office Word</Application>
  <DocSecurity>0</DocSecurity>
  <Lines>253</Lines>
  <Paragraphs>68</Paragraphs>
  <ScaleCrop>false</ScaleCrop>
  <HeadingPairs>
    <vt:vector size="6" baseType="variant">
      <vt:variant>
        <vt:lpstr>Title</vt:lpstr>
      </vt:variant>
      <vt:variant>
        <vt:i4>1</vt:i4>
      </vt:variant>
      <vt:variant>
        <vt:lpstr>Otsikko</vt:lpstr>
      </vt:variant>
      <vt:variant>
        <vt:i4>1</vt:i4>
      </vt:variant>
      <vt:variant>
        <vt:lpstr>Rubrik</vt:lpstr>
      </vt:variant>
      <vt:variant>
        <vt:i4>1</vt:i4>
      </vt:variant>
    </vt:vector>
  </HeadingPairs>
  <TitlesOfParts>
    <vt:vector size="3" baseType="lpstr">
      <vt:lpstr/>
      <vt:lpstr/>
      <vt:lpstr/>
    </vt:vector>
  </TitlesOfParts>
  <Company>Region Skåne</Company>
  <LinksUpToDate>false</LinksUpToDate>
  <CharactersWithSpaces>34065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UMAS Neurologen 01</dc:creator>
  <cp:keywords/>
  <dc:description/>
  <cp:lastModifiedBy>Kimmo Niukko</cp:lastModifiedBy>
  <cp:revision>2</cp:revision>
  <dcterms:created xsi:type="dcterms:W3CDTF">2018-01-10T09:06:00Z</dcterms:created>
  <dcterms:modified xsi:type="dcterms:W3CDTF">2018-01-10T09:06:00Z</dcterms:modified>
</cp:coreProperties>
</file>