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E43B0" w:rsidRPr="009E43B0" w:rsidRDefault="009E43B0" w:rsidP="00BF7C98">
      <w:pPr>
        <w:spacing w:line="360" w:lineRule="auto"/>
        <w:jc w:val="center"/>
        <w:rPr>
          <w:i/>
          <w:u w:val="single"/>
        </w:rPr>
      </w:pPr>
      <w:bookmarkStart w:id="0" w:name="_GoBack"/>
      <w:bookmarkEnd w:id="0"/>
      <w:r w:rsidRPr="009E43B0">
        <w:rPr>
          <w:bCs/>
          <w:u w:val="single"/>
        </w:rPr>
        <w:t xml:space="preserve">“What is it to Withdraw?”: </w:t>
      </w:r>
      <w:r w:rsidR="00D45D56">
        <w:rPr>
          <w:bCs/>
          <w:u w:val="single"/>
        </w:rPr>
        <w:t>Klamath and Navajo</w:t>
      </w:r>
      <w:r>
        <w:rPr>
          <w:bCs/>
          <w:u w:val="single"/>
        </w:rPr>
        <w:t xml:space="preserve"> tribal councils</w:t>
      </w:r>
      <w:r w:rsidR="00D45D56">
        <w:rPr>
          <w:bCs/>
          <w:u w:val="single"/>
        </w:rPr>
        <w:t>’ tactics in negotiating Termination policy</w:t>
      </w:r>
      <w:r>
        <w:rPr>
          <w:bCs/>
          <w:u w:val="single"/>
        </w:rPr>
        <w:t>, 1949-1964</w:t>
      </w:r>
    </w:p>
    <w:p w:rsidR="00D9146A" w:rsidRDefault="009E43B0" w:rsidP="009E43B0">
      <w:pPr>
        <w:spacing w:line="360" w:lineRule="auto"/>
        <w:ind w:firstLine="284"/>
        <w:jc w:val="center"/>
      </w:pPr>
      <w:r>
        <w:rPr>
          <w:i/>
        </w:rPr>
        <w:t>“If you terminate the Indians, then what is it to withdraw?</w:t>
      </w:r>
      <w:r w:rsidR="003D0480">
        <w:rPr>
          <w:i/>
        </w:rPr>
        <w:t xml:space="preserve"> […] The government wants to terminate. How are you going to withdraw, or how are you going to remain?</w:t>
      </w:r>
      <w:r>
        <w:rPr>
          <w:i/>
        </w:rPr>
        <w:t>”</w:t>
      </w:r>
      <w:r>
        <w:rPr>
          <w:i/>
        </w:rPr>
        <w:br/>
      </w:r>
      <w:r>
        <w:t>Unnamed Member of Klamath Tribe</w:t>
      </w:r>
      <w:r w:rsidR="00D9146A">
        <w:rPr>
          <w:rStyle w:val="FootnoteReference"/>
        </w:rPr>
        <w:footnoteReference w:id="1"/>
      </w:r>
    </w:p>
    <w:p w:rsidR="00D9146A" w:rsidRDefault="00D9146A" w:rsidP="007548D6">
      <w:pPr>
        <w:spacing w:line="360" w:lineRule="auto"/>
        <w:ind w:firstLine="284"/>
      </w:pPr>
      <w:r>
        <w:t>On 25 January 1958, the General Council of the Klamath tribe convened to discuss “proposed amendments to the Klamath Termination Act” with a representative of the Department of the Interior, Louis Sigler.</w:t>
      </w:r>
      <w:r>
        <w:rPr>
          <w:rStyle w:val="FootnoteReference"/>
        </w:rPr>
        <w:footnoteReference w:id="2"/>
      </w:r>
      <w:r>
        <w:t xml:space="preserve"> The Klamath Termination Act (PL 587), signed into law in August 1954, provided for the removal of the Klamath tribe’s federal trust status. The Act was developed in accordance with House Concurrent Resolution 108. Passed the previous year, in HCR 108 the House of Representatives and Senate declared that the aim of federal Indian policy was to “make the Indians within the territorial limits of the United States subject to the same laws and entitled to the same privileges and responsibilities as are applicable to other citizens of the United States.”</w:t>
      </w:r>
      <w:r>
        <w:rPr>
          <w:rStyle w:val="FootnoteReference"/>
        </w:rPr>
        <w:footnoteReference w:id="3"/>
      </w:r>
      <w:r>
        <w:t xml:space="preserve"> T</w:t>
      </w:r>
      <w:r w:rsidRPr="00E71615">
        <w:t>his resolution</w:t>
      </w:r>
      <w:r>
        <w:t xml:space="preserve"> was quickly followed up with Public Law 280, allowing</w:t>
      </w:r>
      <w:r w:rsidRPr="00E71615">
        <w:t xml:space="preserve"> states to extend their civil and criminal jurisdiction over tribal reservation lands without the consent of the tribes in question.</w:t>
      </w:r>
      <w:r>
        <w:rPr>
          <w:rStyle w:val="FootnoteReference"/>
        </w:rPr>
        <w:footnoteReference w:id="4"/>
      </w:r>
      <w:r>
        <w:t xml:space="preserve"> HCR 108 and PL 280 specifically listed the Klamath tribe and the state of Oregon, respectively, as among the first areas in which to implement these new policies. Despite the Klamath having thus been included in plans for federal termination from the very beginning, the minutes of the January 1958 Klamath General Council meeting  unequivocally attest to the fact that the broad tribal membership did not have a strong understanding of the basic concepts of the policy, let alone how it would be implemented.</w:t>
      </w:r>
    </w:p>
    <w:p w:rsidR="00D9146A" w:rsidRDefault="00D9146A" w:rsidP="003A401E">
      <w:pPr>
        <w:spacing w:line="360" w:lineRule="auto"/>
        <w:ind w:firstLine="284"/>
      </w:pPr>
      <w:r>
        <w:t xml:space="preserve">Less than nine months later Chairman Paul Jones read out a statement by Secretary of the Interior Fred Seaton to the Navajo Tribal Council: “It is absolutely unthinkable to me as your Secretary of the Interior that consideration would be given to forcing upon an Indian tribe a so-called termination plan which did not have the understanding and acceptance of a clear majority </w:t>
      </w:r>
      <w:r>
        <w:lastRenderedPageBreak/>
        <w:t>of the members affected.”</w:t>
      </w:r>
      <w:r>
        <w:rPr>
          <w:rStyle w:val="FootnoteReference"/>
        </w:rPr>
        <w:footnoteReference w:id="5"/>
      </w:r>
      <w:r>
        <w:t xml:space="preserve"> Unlike the Klamath, federal officials never seriously planned to terminate the Navajo tribe’s federal trust status in the short-term. Thus, while Klamath tribal members were still grappling with the complexities of the Termination Act imposed upon them, the Interior Department assured other tribes that the policy was entirely voluntary. </w:t>
      </w:r>
    </w:p>
    <w:p w:rsidR="00D9146A" w:rsidRDefault="006460C3" w:rsidP="005B2284">
      <w:pPr>
        <w:spacing w:line="360" w:lineRule="auto"/>
        <w:ind w:firstLine="284"/>
      </w:pPr>
      <w:r>
        <w:t>The significant differences</w:t>
      </w:r>
      <w:r w:rsidR="00D9146A">
        <w:t xml:space="preserve"> in these accounts of federal-tribal interactions in the Klamath a</w:t>
      </w:r>
      <w:r>
        <w:t>nd Navajo tribal councils raise</w:t>
      </w:r>
      <w:r w:rsidR="00D9146A">
        <w:t xml:space="preserve"> the critical question of how termination was interpreted by members of different tribes – both those set for the removal of federal trust status in the short-term, and those federal officials did not </w:t>
      </w:r>
      <w:r w:rsidR="00E662AC">
        <w:t xml:space="preserve">consider ready. This article </w:t>
      </w:r>
      <w:r w:rsidR="00D9146A">
        <w:t>explore</w:t>
      </w:r>
      <w:r w:rsidR="00E662AC">
        <w:t>s</w:t>
      </w:r>
      <w:r w:rsidR="00D9146A">
        <w:t xml:space="preserve"> the ways in which the Navajo and Klamath tribal councils responded to federal rhetoric surrounding Termination, comparing the two to examine how tribes situated in different stages of the federal government’s plans negotiated and shaped the ways in which the </w:t>
      </w:r>
      <w:r w:rsidR="00261F4A">
        <w:t xml:space="preserve">policy was carried out. It </w:t>
      </w:r>
      <w:r w:rsidR="00D9146A">
        <w:t>argue</w:t>
      </w:r>
      <w:r w:rsidR="00261F4A">
        <w:t>s</w:t>
      </w:r>
      <w:r w:rsidR="00D9146A">
        <w:t xml:space="preserve"> that in the early years of Termination, well-established council members of both the Navajo and Klamath tribes initially harnessed federal rhetoric </w:t>
      </w:r>
      <w:r w:rsidR="0063029B">
        <w:t xml:space="preserve">in an attempt to </w:t>
      </w:r>
      <w:r w:rsidR="00C77523">
        <w:t>address</w:t>
      </w:r>
      <w:r w:rsidR="00955ABC">
        <w:t xml:space="preserve"> the economic and social</w:t>
      </w:r>
      <w:r w:rsidR="00085201">
        <w:t xml:space="preserve"> needs</w:t>
      </w:r>
      <w:r w:rsidR="00955ABC">
        <w:t xml:space="preserve"> of their tribe</w:t>
      </w:r>
      <w:r w:rsidR="0063029B">
        <w:t>. However,</w:t>
      </w:r>
      <w:r w:rsidR="00D9146A">
        <w:t xml:space="preserve"> </w:t>
      </w:r>
      <w:r w:rsidR="00955ABC">
        <w:t>Klamath and Navajo</w:t>
      </w:r>
      <w:r w:rsidR="00D9146A">
        <w:t xml:space="preserve"> approaches</w:t>
      </w:r>
      <w:r w:rsidR="0063029B">
        <w:t xml:space="preserve"> to </w:t>
      </w:r>
      <w:r w:rsidR="00955ABC">
        <w:t>Termination</w:t>
      </w:r>
      <w:r w:rsidR="00D9146A">
        <w:t xml:space="preserve"> significantly diverged once official federal legislation was passed and a </w:t>
      </w:r>
      <w:r w:rsidR="0063029B">
        <w:t>clearer sense of what it</w:t>
      </w:r>
      <w:r w:rsidR="00D9146A">
        <w:t xml:space="preserve"> would entail in practice was obtained.</w:t>
      </w:r>
      <w:r w:rsidR="00E92FEB">
        <w:t xml:space="preserve"> Though </w:t>
      </w:r>
      <w:r w:rsidR="00A64E83">
        <w:t>Termination was supposedly aimed at</w:t>
      </w:r>
      <w:r w:rsidR="00E92FEB">
        <w:t xml:space="preserve"> ‘free</w:t>
      </w:r>
      <w:r w:rsidR="00A64E83">
        <w:t>ing</w:t>
      </w:r>
      <w:r w:rsidR="00E92FEB">
        <w:t>’ those tribes ‘ready’ to support themselves, in practice</w:t>
      </w:r>
      <w:r w:rsidR="00A64E83">
        <w:t xml:space="preserve"> federal officials granted</w:t>
      </w:r>
      <w:r w:rsidR="00E92FEB">
        <w:t xml:space="preserve"> those considered most ‘acculturated’</w:t>
      </w:r>
      <w:r w:rsidR="00A64E83">
        <w:t xml:space="preserve"> the least space to shape the implementation of the policy.</w:t>
      </w:r>
    </w:p>
    <w:p w:rsidR="00D9146A" w:rsidRPr="00A61133" w:rsidRDefault="00D9146A" w:rsidP="009D6D3C">
      <w:pPr>
        <w:spacing w:line="360" w:lineRule="auto"/>
        <w:ind w:firstLine="284"/>
      </w:pPr>
      <w:r>
        <w:t>Scholars and Native communities alike widely accept that Termination was ultimately disastrous, leading to psychological trauma, impoverishment and a widespread loss of lands among terminated tribes. The ineffectiveness of the policy in achieving its aims of legal assimilation has been conclusively demonst</w:t>
      </w:r>
      <w:r w:rsidR="00F20E35">
        <w:t xml:space="preserve">rated </w:t>
      </w:r>
      <w:r>
        <w:t>by historians Donald Fixico and Kenneth Philp.</w:t>
      </w:r>
      <w:r>
        <w:rPr>
          <w:rStyle w:val="FootnoteReference"/>
        </w:rPr>
        <w:footnoteReference w:id="6"/>
      </w:r>
      <w:r>
        <w:t xml:space="preserve"> An increasing number of tribal case studies have also documented the specific ways in which termination was implemented in various contexts and the devastating impacts it had on tribes including the Menominee, western Oregon Siletz and the Confederated Tribes of the Coos, Lower Umpqua and Siuslaw.</w:t>
      </w:r>
      <w:r>
        <w:rPr>
          <w:rStyle w:val="FootnoteReference"/>
        </w:rPr>
        <w:footnoteReference w:id="7"/>
      </w:r>
      <w:r>
        <w:t xml:space="preserve"> Moreover, in recent years some Native scholars have tracked the successful </w:t>
      </w:r>
      <w:r>
        <w:lastRenderedPageBreak/>
        <w:t>resistance of their tribes to terminationist policies, underscoring the political conflicts these communities navigated in opposing federal impositions.</w:t>
      </w:r>
      <w:r>
        <w:rPr>
          <w:rStyle w:val="FootnoteReference"/>
        </w:rPr>
        <w:footnoteReference w:id="8"/>
      </w:r>
      <w:r>
        <w:t xml:space="preserve"> Most notably, historia</w:t>
      </w:r>
      <w:r w:rsidR="00046928">
        <w:t>n Laurie Arnold has examined</w:t>
      </w:r>
      <w:r>
        <w:t xml:space="preserve"> intratribal conflicts among the Colville Confederated Tribes, of which she is a member. While most scholarship to date largely overlooks BIA-administered tribal councils – the arena in which federal officials and tribal members most explicitly interacted – Arnold draws on tribal council files and other archival sources to examine the ways in which varying Colville tribal members envisioned termination and how successive plans and legislative proposals were discussed.</w:t>
      </w:r>
      <w:r>
        <w:rPr>
          <w:rStyle w:val="FootnoteReference"/>
        </w:rPr>
        <w:footnoteReference w:id="9"/>
      </w:r>
      <w:r>
        <w:t xml:space="preserve"> Further such research is required to more broadly examine the ways in which termination was implemented on a tribally-specific basis, as well</w:t>
      </w:r>
      <w:r w:rsidR="00383EDA">
        <w:t xml:space="preserve"> as how tribal councils</w:t>
      </w:r>
      <w:r>
        <w:t xml:space="preserve"> influenced the development of the policy. </w:t>
      </w:r>
    </w:p>
    <w:p w:rsidR="00D9146A" w:rsidRDefault="0090567F" w:rsidP="00C538E1">
      <w:pPr>
        <w:spacing w:line="360" w:lineRule="auto"/>
        <w:ind w:firstLine="284"/>
      </w:pPr>
      <w:r>
        <w:t xml:space="preserve">Here, </w:t>
      </w:r>
      <w:r w:rsidR="000D16E3">
        <w:t>the specificity of tribal case studies and the broad scope of federal policy research w</w:t>
      </w:r>
      <w:r w:rsidR="00E043BE">
        <w:t>ill be balanced through a comparison of</w:t>
      </w:r>
      <w:r w:rsidR="000D16E3">
        <w:t xml:space="preserve"> how members of the Klamath and Navajo tribal councils negoti</w:t>
      </w:r>
      <w:r w:rsidR="003B2E22">
        <w:t>ated Termination</w:t>
      </w:r>
      <w:r w:rsidR="000D16E3">
        <w:t xml:space="preserve">. </w:t>
      </w:r>
      <w:r w:rsidR="009C7821">
        <w:t>These tribes</w:t>
      </w:r>
      <w:r w:rsidR="00EF6D8C">
        <w:t xml:space="preserve"> faced contrasting situations in this period</w:t>
      </w:r>
      <w:r w:rsidR="0003613F">
        <w:t xml:space="preserve"> –</w:t>
      </w:r>
      <w:r w:rsidR="00EF6D8C">
        <w:t xml:space="preserve"> </w:t>
      </w:r>
      <w:r w:rsidR="00A3680A">
        <w:t xml:space="preserve">Klamath federal trust status was terminated in </w:t>
      </w:r>
      <w:r w:rsidR="00335D47">
        <w:t>1961, whereas</w:t>
      </w:r>
      <w:r w:rsidR="007422AE">
        <w:t xml:space="preserve"> federal officials presented</w:t>
      </w:r>
      <w:r w:rsidR="00A3680A">
        <w:t xml:space="preserve"> the Navajo as requiring several more decades to prepare</w:t>
      </w:r>
      <w:r w:rsidR="007422AE">
        <w:t xml:space="preserve"> for Termination</w:t>
      </w:r>
      <w:r w:rsidR="00A3680A">
        <w:t>.</w:t>
      </w:r>
      <w:r w:rsidR="00E7415E">
        <w:t xml:space="preserve"> </w:t>
      </w:r>
      <w:r w:rsidR="00D27AAF">
        <w:t xml:space="preserve">This </w:t>
      </w:r>
      <w:r w:rsidR="000D16E3">
        <w:t xml:space="preserve">approach will demonstrate the central role of Native political actors in shaping the </w:t>
      </w:r>
      <w:r w:rsidR="00DA4AEB">
        <w:t>implementation of federal policy</w:t>
      </w:r>
      <w:r w:rsidR="000D16E3">
        <w:t>.</w:t>
      </w:r>
      <w:r w:rsidR="003B2E22">
        <w:t xml:space="preserve"> </w:t>
      </w:r>
      <w:r w:rsidR="000D16E3">
        <w:t>Historian Daniel Cobb’s 2002 contention</w:t>
      </w:r>
      <w:r w:rsidR="00D9146A">
        <w:t xml:space="preserve"> that American Indian policy history has been on the </w:t>
      </w:r>
      <w:r w:rsidR="000D16E3">
        <w:t>decline</w:t>
      </w:r>
      <w:r w:rsidR="00D9146A">
        <w:t xml:space="preserve"> remains valid, </w:t>
      </w:r>
      <w:r w:rsidR="000D16E3">
        <w:t>as</w:t>
      </w:r>
      <w:r w:rsidR="003B2E22">
        <w:t xml:space="preserve"> few studies </w:t>
      </w:r>
      <w:r w:rsidR="001708E4">
        <w:t>in Native American hist</w:t>
      </w:r>
      <w:r w:rsidR="00E043BE">
        <w:t>ory</w:t>
      </w:r>
      <w:r w:rsidR="001708E4">
        <w:t xml:space="preserve"> </w:t>
      </w:r>
      <w:r w:rsidR="00E043BE">
        <w:t xml:space="preserve">have in the last decade </w:t>
      </w:r>
      <w:r w:rsidR="001708E4">
        <w:t>explicitly focus</w:t>
      </w:r>
      <w:r w:rsidR="00E043BE">
        <w:t>ed</w:t>
      </w:r>
      <w:r w:rsidR="001708E4">
        <w:t xml:space="preserve"> on federal policy</w:t>
      </w:r>
      <w:r w:rsidR="003B2E22">
        <w:t xml:space="preserve"> –</w:t>
      </w:r>
      <w:r w:rsidR="001708E4">
        <w:t xml:space="preserve"> and even fewer on Termination</w:t>
      </w:r>
      <w:r w:rsidR="003B2E22">
        <w:t>.</w:t>
      </w:r>
      <w:r w:rsidR="000D16E3">
        <w:rPr>
          <w:rStyle w:val="FootnoteReference"/>
        </w:rPr>
        <w:footnoteReference w:id="10"/>
      </w:r>
      <w:r w:rsidR="000D16E3">
        <w:t xml:space="preserve"> </w:t>
      </w:r>
      <w:r w:rsidR="00C71575">
        <w:t>B</w:t>
      </w:r>
      <w:r w:rsidR="00A22F06">
        <w:t>y centring</w:t>
      </w:r>
      <w:r w:rsidR="00C71575">
        <w:t xml:space="preserve"> on Klamath and Navajo tribal council members and their role in the development of federal policy in the mid-twentieth century, this article will demonstrate the way</w:t>
      </w:r>
      <w:r w:rsidR="00D57989">
        <w:t xml:space="preserve">s in which </w:t>
      </w:r>
      <w:r w:rsidR="00025C97">
        <w:t>foreg</w:t>
      </w:r>
      <w:r w:rsidR="00503FAD">
        <w:t>rounding Native political action</w:t>
      </w:r>
      <w:r w:rsidR="00D57989">
        <w:t xml:space="preserve"> can </w:t>
      </w:r>
      <w:r w:rsidR="00C71575">
        <w:t xml:space="preserve">revitalise the study of Indian policy history. </w:t>
      </w:r>
      <w:r w:rsidR="00301F67">
        <w:t xml:space="preserve">This comparative approach </w:t>
      </w:r>
      <w:r w:rsidR="00046928">
        <w:t>demonstrate</w:t>
      </w:r>
      <w:r w:rsidR="00301F67">
        <w:t>s</w:t>
      </w:r>
      <w:r w:rsidR="00D9146A">
        <w:t xml:space="preserve"> </w:t>
      </w:r>
      <w:r w:rsidR="00301F67">
        <w:t>how much</w:t>
      </w:r>
      <w:r w:rsidR="00D9146A">
        <w:t xml:space="preserve"> tribal members </w:t>
      </w:r>
      <w:r w:rsidR="0086767A">
        <w:t>could</w:t>
      </w:r>
      <w:r w:rsidR="00D9146A">
        <w:t xml:space="preserve"> shape the implementation of federal policy in</w:t>
      </w:r>
      <w:r w:rsidR="00E043BE">
        <w:t xml:space="preserve"> the</w:t>
      </w:r>
      <w:r w:rsidR="00D9146A">
        <w:t xml:space="preserve"> </w:t>
      </w:r>
      <w:r w:rsidR="00E043BE">
        <w:t>drastically contrasting contexts brought about by</w:t>
      </w:r>
      <w:r w:rsidR="00F724F0">
        <w:t xml:space="preserve"> the Bureau of Indian Affairs’ plans for Termination</w:t>
      </w:r>
      <w:r w:rsidR="00D9146A">
        <w:t>.</w:t>
      </w:r>
      <w:r w:rsidR="003B2E22">
        <w:t xml:space="preserve"> </w:t>
      </w:r>
      <w:r w:rsidR="00E043BE">
        <w:t>Rather than focusing on administrato</w:t>
      </w:r>
      <w:r w:rsidR="00046928">
        <w:t>rs or legislation, this perspective</w:t>
      </w:r>
      <w:r w:rsidR="00C10940">
        <w:t xml:space="preserve"> highlights</w:t>
      </w:r>
      <w:r w:rsidR="00E043BE">
        <w:t xml:space="preserve"> Native agency in</w:t>
      </w:r>
      <w:r w:rsidR="007974F1">
        <w:t xml:space="preserve"> processes of</w:t>
      </w:r>
      <w:r w:rsidR="00046928">
        <w:t xml:space="preserve"> implementing</w:t>
      </w:r>
      <w:r w:rsidR="007974F1">
        <w:t xml:space="preserve"> federal</w:t>
      </w:r>
      <w:r w:rsidR="00046928">
        <w:t xml:space="preserve"> policy</w:t>
      </w:r>
      <w:r w:rsidR="00E043BE">
        <w:t>.</w:t>
      </w:r>
    </w:p>
    <w:p w:rsidR="00F94302" w:rsidRDefault="00D004EB" w:rsidP="00D57989">
      <w:pPr>
        <w:spacing w:line="360" w:lineRule="auto"/>
        <w:ind w:firstLine="284"/>
      </w:pPr>
      <w:r>
        <w:lastRenderedPageBreak/>
        <w:t>In exploring</w:t>
      </w:r>
      <w:r w:rsidR="00D57989">
        <w:t xml:space="preserve"> the role of tribal </w:t>
      </w:r>
      <w:r w:rsidR="00CA4665">
        <w:t>members</w:t>
      </w:r>
      <w:r w:rsidR="00D57989">
        <w:t xml:space="preserve"> in shaping federal Indian policy, the minutes of tribal council meetings</w:t>
      </w:r>
      <w:r w:rsidR="00C969DA">
        <w:t xml:space="preserve"> are</w:t>
      </w:r>
      <w:r w:rsidR="00CA4665">
        <w:t xml:space="preserve"> critical</w:t>
      </w:r>
      <w:r w:rsidR="00C969DA">
        <w:t xml:space="preserve"> and </w:t>
      </w:r>
      <w:r w:rsidR="00D57989">
        <w:t>available to historians</w:t>
      </w:r>
      <w:r w:rsidR="00F740B0">
        <w:t>. These minutes allow</w:t>
      </w:r>
      <w:r w:rsidR="00CA4665">
        <w:t xml:space="preserve"> for an exam</w:t>
      </w:r>
      <w:r w:rsidR="00F740B0">
        <w:t>ination of discussions both between tribal members and</w:t>
      </w:r>
      <w:r w:rsidR="00CA4665">
        <w:t xml:space="preserve"> BIA officials</w:t>
      </w:r>
      <w:r w:rsidR="00F740B0">
        <w:t xml:space="preserve">, as well as amongst </w:t>
      </w:r>
      <w:r w:rsidR="00CA4665">
        <w:t>Native council representatives and the broader membership of a tribe</w:t>
      </w:r>
      <w:r w:rsidR="00D57989">
        <w:t xml:space="preserve">. </w:t>
      </w:r>
      <w:r w:rsidR="00F94302">
        <w:t xml:space="preserve">While the Navajo and Klamath are geographically, culturally and economically disparate groups, the governmental structures of each is </w:t>
      </w:r>
      <w:r w:rsidR="00923123">
        <w:t xml:space="preserve">heavily </w:t>
      </w:r>
      <w:r w:rsidR="00F94302">
        <w:t>shaped by the BIA and both must by necessity function within the parameters of federal structures.</w:t>
      </w:r>
      <w:r w:rsidR="00B708AF">
        <w:t xml:space="preserve"> </w:t>
      </w:r>
      <w:r w:rsidR="00F740B0">
        <w:t xml:space="preserve">As a result, scholars have </w:t>
      </w:r>
      <w:r w:rsidR="00CF1BD9">
        <w:t xml:space="preserve">rarely turned to council minutes for an </w:t>
      </w:r>
      <w:r w:rsidR="002D01E2">
        <w:t>insight into tribal</w:t>
      </w:r>
      <w:r w:rsidR="00CF1BD9">
        <w:t xml:space="preserve"> perspectives</w:t>
      </w:r>
      <w:r w:rsidR="00B708AF">
        <w:t>. Indeed,</w:t>
      </w:r>
      <w:r w:rsidR="00F94302">
        <w:t xml:space="preserve"> Native activists have, particularly since the 1960s, accused tribal councils of being </w:t>
      </w:r>
      <w:r w:rsidR="00B708AF">
        <w:t xml:space="preserve">overly </w:t>
      </w:r>
      <w:r w:rsidR="00F94302">
        <w:t>influenced by the federal government</w:t>
      </w:r>
      <w:r w:rsidR="00B708AF">
        <w:t>,</w:t>
      </w:r>
      <w:r w:rsidR="00F94302">
        <w:t xml:space="preserve"> and criticised the BIA-imposed Euro-American parliamentary governing systems councils maintained.</w:t>
      </w:r>
      <w:r w:rsidR="00F94302">
        <w:rPr>
          <w:rStyle w:val="FootnoteReference"/>
        </w:rPr>
        <w:footnoteReference w:id="11"/>
      </w:r>
      <w:r w:rsidR="00F94302">
        <w:t xml:space="preserve"> For many tribes such systems were adopted through the 1934 Indian Reorganization Act, which created tribal constitutions based on a set BIA model. Some chairmen of tribes were even appointed by the Interior Department rather than chosen by tribal members.</w:t>
      </w:r>
      <w:r w:rsidR="00F94302">
        <w:rPr>
          <w:rStyle w:val="FootnoteReference"/>
        </w:rPr>
        <w:footnoteReference w:id="12"/>
      </w:r>
      <w:r w:rsidR="00F94302">
        <w:t xml:space="preserve"> </w:t>
      </w:r>
      <w:r w:rsidR="00485154">
        <w:t xml:space="preserve">Tribal councils in the mid-twentieth century </w:t>
      </w:r>
      <w:r w:rsidR="008978EF">
        <w:t>were certainly not</w:t>
      </w:r>
      <w:r w:rsidR="00485154">
        <w:t xml:space="preserve"> freely operating, independent political organisations.</w:t>
      </w:r>
    </w:p>
    <w:p w:rsidR="003A259E" w:rsidRDefault="00DF4885" w:rsidP="00F94302">
      <w:pPr>
        <w:spacing w:line="360" w:lineRule="auto"/>
        <w:ind w:firstLine="284"/>
      </w:pPr>
      <w:r>
        <w:t xml:space="preserve">However, </w:t>
      </w:r>
      <w:r w:rsidR="00B54A5D">
        <w:t>both the Klamath and Navajo</w:t>
      </w:r>
      <w:r w:rsidR="00F94302">
        <w:t xml:space="preserve"> tribes rejected the IRA and elected their own council representatives</w:t>
      </w:r>
      <w:r w:rsidR="00BD2ACA">
        <w:t xml:space="preserve"> throughout</w:t>
      </w:r>
      <w:r w:rsidR="00B54A5D">
        <w:t xml:space="preserve"> most of</w:t>
      </w:r>
      <w:r w:rsidR="00BD2ACA">
        <w:t xml:space="preserve"> the twentieth century</w:t>
      </w:r>
      <w:r w:rsidR="00F94302">
        <w:t>.</w:t>
      </w:r>
      <w:r w:rsidR="00F94302">
        <w:rPr>
          <w:rStyle w:val="FootnoteReference"/>
        </w:rPr>
        <w:footnoteReference w:id="13"/>
      </w:r>
      <w:r w:rsidR="00F94302">
        <w:t xml:space="preserve"> </w:t>
      </w:r>
      <w:r w:rsidR="00BA4533">
        <w:t>B</w:t>
      </w:r>
      <w:r w:rsidR="00F94302">
        <w:t>oth tribes had existing treaty agreements with the federal government signed in 1864 and 1868 respectively, creating reservations on limited sections of traditional tribal homelands.</w:t>
      </w:r>
      <w:r w:rsidR="00F94302">
        <w:rPr>
          <w:rStyle w:val="FootnoteReference"/>
        </w:rPr>
        <w:footnoteReference w:id="14"/>
      </w:r>
      <w:r w:rsidR="00F94302">
        <w:t xml:space="preserve"> </w:t>
      </w:r>
      <w:r w:rsidR="0042607C">
        <w:t>To prese</w:t>
      </w:r>
      <w:r w:rsidR="0038065D">
        <w:t>rve control, committees of</w:t>
      </w:r>
      <w:r w:rsidR="00260171">
        <w:t xml:space="preserve"> these</w:t>
      </w:r>
      <w:r w:rsidR="00A16B86">
        <w:t xml:space="preserve"> </w:t>
      </w:r>
      <w:r w:rsidR="00260171">
        <w:t>two councils limited membership. F</w:t>
      </w:r>
      <w:r w:rsidR="00F94302">
        <w:t>or instance the Navajo Tribal Council barred non-council representatives from executive sessions and the Klamath Executive Committee only included ten members of the tribe.</w:t>
      </w:r>
      <w:r w:rsidR="00F94302" w:rsidRPr="00536F51">
        <w:rPr>
          <w:rStyle w:val="FootnoteReference"/>
        </w:rPr>
        <w:t xml:space="preserve"> </w:t>
      </w:r>
      <w:r w:rsidR="00F94302">
        <w:rPr>
          <w:rStyle w:val="FootnoteReference"/>
        </w:rPr>
        <w:footnoteReference w:id="15"/>
      </w:r>
      <w:r w:rsidR="008978EF">
        <w:t xml:space="preserve"> Nevertheless</w:t>
      </w:r>
      <w:r w:rsidR="00F94302">
        <w:t xml:space="preserve">, most council meetings were open to all and attended by a wide variety of tribal members. The Navajo Tribal Council was open to visitors in addition to the diverse body of seventy-four elected council representatives, while all enrolled </w:t>
      </w:r>
      <w:r w:rsidR="00F94302">
        <w:lastRenderedPageBreak/>
        <w:t>Klamaths were members of their General Council.</w:t>
      </w:r>
      <w:r w:rsidR="00F94302">
        <w:rPr>
          <w:rStyle w:val="FootnoteReference"/>
        </w:rPr>
        <w:footnoteReference w:id="16"/>
      </w:r>
      <w:r w:rsidR="00E87E01">
        <w:t xml:space="preserve"> </w:t>
      </w:r>
      <w:r w:rsidR="00F94302">
        <w:t xml:space="preserve">As a result, the minutes of these non-committee council meetings contain voices of dissent and direct challenges to tribal council leaders and elected representatives. </w:t>
      </w:r>
    </w:p>
    <w:p w:rsidR="00E31D45" w:rsidRDefault="00F94302" w:rsidP="00F94302">
      <w:pPr>
        <w:spacing w:line="360" w:lineRule="auto"/>
        <w:ind w:firstLine="284"/>
      </w:pPr>
      <w:r>
        <w:t>A careful reading of such minutes thus offers insight into the complexity and variety of tribal responses to Indian policy. Comparing the statements and negotiations of members of these two tribes dur</w:t>
      </w:r>
      <w:r w:rsidR="003A259E">
        <w:t>ing the Termination period</w:t>
      </w:r>
      <w:r>
        <w:t xml:space="preserve"> reveals the different tactics with which Native individuals and groups manoeuvre within colonialist confines, drawing on their distinct historical and cultural contexts. </w:t>
      </w:r>
      <w:r w:rsidR="00DA4E81">
        <w:t xml:space="preserve"> While tribal councils were in this period</w:t>
      </w:r>
      <w:r w:rsidR="00BC09D7">
        <w:t xml:space="preserve"> undeniably controlled and monitored</w:t>
      </w:r>
      <w:r w:rsidR="00DA4E81">
        <w:t xml:space="preserve"> by the federal government, </w:t>
      </w:r>
      <w:r w:rsidR="00326C7D">
        <w:t>council members</w:t>
      </w:r>
      <w:r w:rsidR="00DA4E81">
        <w:t xml:space="preserve"> skilfully </w:t>
      </w:r>
      <w:r w:rsidR="005826D6">
        <w:t>navigated this system</w:t>
      </w:r>
      <w:r w:rsidR="00DA4E81">
        <w:t xml:space="preserve"> to resist further erosions of tribal self-government. </w:t>
      </w:r>
      <w:r>
        <w:t>Tribal council minutes are thus an invaluable, but oft-neglected, source for examining intratribal</w:t>
      </w:r>
      <w:r w:rsidR="00E31D45">
        <w:t xml:space="preserve"> and federal-Native interactions. As such, these sources hold the potential to offer a new avenue into an Indian-centred study of federal policy history.</w:t>
      </w:r>
    </w:p>
    <w:p w:rsidR="00F94302" w:rsidRDefault="00F94302" w:rsidP="00F94302">
      <w:pPr>
        <w:spacing w:line="360" w:lineRule="auto"/>
        <w:ind w:firstLine="284"/>
      </w:pPr>
      <w:r>
        <w:t>Significantly, English was the primary language of communication in tribal councils, which both limited the ability of less formally educated members to participate, and allowed tribal members to exclude BIA officials by communicating in their own languages. Indeed, the minutes of both councils include many notes stating the tribe’s own language was used, and proclamations that the tribal language should be used for all members to understand. In the case of both the Klamath and Navajo, stenographers were non-Native administrative staff – though the Navajo council handled the hiring process themselves.</w:t>
      </w:r>
      <w:r>
        <w:rPr>
          <w:rStyle w:val="FootnoteReference"/>
        </w:rPr>
        <w:footnoteReference w:id="17"/>
      </w:r>
      <w:r>
        <w:t xml:space="preserve"> </w:t>
      </w:r>
      <w:r w:rsidR="009A52EE">
        <w:t>T</w:t>
      </w:r>
      <w:r>
        <w:t>h</w:t>
      </w:r>
      <w:r w:rsidR="009A52EE">
        <w:t>ese stenographers understood little of the</w:t>
      </w:r>
      <w:r>
        <w:t xml:space="preserve"> langu</w:t>
      </w:r>
      <w:r w:rsidR="00E36D57">
        <w:t>age of their tribal employers</w:t>
      </w:r>
      <w:r>
        <w:t>, though the Navajo council does appear to have appointed a Navajo-to-English interpreter in most meetings.</w:t>
      </w:r>
      <w:r>
        <w:rPr>
          <w:rStyle w:val="FootnoteReference"/>
        </w:rPr>
        <w:footnoteReference w:id="18"/>
      </w:r>
      <w:r>
        <w:t xml:space="preserve"> Tribal council leaders on occasion responded to speakers in the tribal language, but – particularly in the Klamath case – did not always translate these comments into English for the BIA record. Though this selective practice of translation conceals the statements of some tribal members, reading into the context of these instances can reveal additional layers of communication that occurred in meetings and display strategies used by tribal members in navigating BIA policy.</w:t>
      </w:r>
    </w:p>
    <w:p w:rsidR="00F94302" w:rsidRDefault="00F94302" w:rsidP="00B15448">
      <w:pPr>
        <w:spacing w:line="360" w:lineRule="auto"/>
        <w:ind w:firstLine="284"/>
      </w:pPr>
      <w:r>
        <w:lastRenderedPageBreak/>
        <w:t>That English was the main language of communication does not mean that tribal elites blindly absorbed BIA ideology.  In speaking English, at council meetings tribal members imbued the rhetoric of Termination with their own meanings.  Tribal council minutes, available both in tribal archives and microform collections retained from BIA files, are therefore valuable for exploring varying</w:t>
      </w:r>
      <w:r w:rsidR="00E34077">
        <w:t xml:space="preserve"> </w:t>
      </w:r>
      <w:r>
        <w:t>forms of</w:t>
      </w:r>
      <w:r w:rsidR="00E34077">
        <w:t xml:space="preserve"> both</w:t>
      </w:r>
      <w:r>
        <w:t xml:space="preserve"> Native American compliance with, and resistance </w:t>
      </w:r>
      <w:r w:rsidR="00555620">
        <w:t>to, the BIA. This article</w:t>
      </w:r>
      <w:r w:rsidR="00040936">
        <w:t xml:space="preserve"> </w:t>
      </w:r>
      <w:r w:rsidR="00F06F0F">
        <w:t>examine</w:t>
      </w:r>
      <w:r w:rsidR="00555620">
        <w:t>s</w:t>
      </w:r>
      <w:r w:rsidR="00A306CE">
        <w:t xml:space="preserve"> discussions surrounding federal policy</w:t>
      </w:r>
      <w:r>
        <w:t xml:space="preserve"> in the two tribal councils in turn – starting with the Klamath case and moving on to the Navajo – to demonstrate how these negotiation</w:t>
      </w:r>
      <w:r w:rsidR="0084297B">
        <w:t xml:space="preserve">s developed within each context. It begins with </w:t>
      </w:r>
      <w:r>
        <w:t>di</w:t>
      </w:r>
      <w:r w:rsidR="004C0FBA">
        <w:t xml:space="preserve">scussions preceding HCR 108 </w:t>
      </w:r>
      <w:r w:rsidR="0084297B">
        <w:t>and ends in</w:t>
      </w:r>
      <w:r w:rsidR="004C0FBA">
        <w:t xml:space="preserve"> the mid-1960s, a few years after the Klamath Termination Act was enacted</w:t>
      </w:r>
      <w:r>
        <w:t xml:space="preserve">. </w:t>
      </w:r>
      <w:r w:rsidR="00B15448">
        <w:t xml:space="preserve"> </w:t>
      </w:r>
      <w:r w:rsidR="0084297B">
        <w:t>Using these council minutes, we can see a policy history of</w:t>
      </w:r>
      <w:r w:rsidR="00884DF1">
        <w:t xml:space="preserve"> the Termination era</w:t>
      </w:r>
      <w:r w:rsidR="0084297B">
        <w:t xml:space="preserve"> with </w:t>
      </w:r>
      <w:r w:rsidR="00B15448">
        <w:t>Native Americans as the primary actors.</w:t>
      </w:r>
    </w:p>
    <w:p w:rsidR="00D9146A" w:rsidRDefault="00D9146A" w:rsidP="006B5064">
      <w:pPr>
        <w:spacing w:line="360" w:lineRule="auto"/>
        <w:ind w:firstLine="284"/>
      </w:pPr>
      <w:r>
        <w:t>The positions of the Navajo and Klamath tribes were est</w:t>
      </w:r>
      <w:r w:rsidR="00884DF1">
        <w:t xml:space="preserve">ablished early on in the plans for Termination, </w:t>
      </w:r>
      <w:r w:rsidR="005D1A33">
        <w:t>an idea that began</w:t>
      </w:r>
      <w:r w:rsidR="00884DF1">
        <w:t xml:space="preserve"> at the end of WWII</w:t>
      </w:r>
      <w:r>
        <w:t xml:space="preserve">. </w:t>
      </w:r>
      <w:r w:rsidRPr="00090188">
        <w:t>In January 1947, the Senate Civil Service Committee coerced the reluctant William Zimmerman, Acting Commissioner of Indian Affairs, into creating a list of tribes</w:t>
      </w:r>
      <w:r>
        <w:t xml:space="preserve"> categorised</w:t>
      </w:r>
      <w:r w:rsidRPr="00090188">
        <w:t xml:space="preserve"> according to their ‘readiness’ for the removal of trust status.</w:t>
      </w:r>
      <w:r>
        <w:rPr>
          <w:rStyle w:val="FootnoteReference"/>
        </w:rPr>
        <w:footnoteReference w:id="19"/>
      </w:r>
      <w:r w:rsidRPr="00090188">
        <w:t xml:space="preserve">  Zimmerman established a set of four criteria for ranking tribes according to their</w:t>
      </w:r>
      <w:r>
        <w:t xml:space="preserve"> level of “acculturation”,</w:t>
      </w:r>
      <w:r w:rsidRPr="00090188">
        <w:t xml:space="preserve"> </w:t>
      </w:r>
      <w:r>
        <w:t>including the degree to which a</w:t>
      </w:r>
      <w:r w:rsidRPr="00090188">
        <w:t xml:space="preserve"> tribe was assimilated with surrounding non-Native communities, th</w:t>
      </w:r>
      <w:r>
        <w:t>eir economic position, willingness</w:t>
      </w:r>
      <w:r w:rsidRPr="00090188">
        <w:t xml:space="preserve"> to give up federal aid, and the agreement and ability of the stat</w:t>
      </w:r>
      <w:r>
        <w:t>e to assume responsibility.</w:t>
      </w:r>
      <w:r>
        <w:rPr>
          <w:rStyle w:val="FootnoteReference"/>
        </w:rPr>
        <w:footnoteReference w:id="20"/>
      </w:r>
      <w:r>
        <w:t xml:space="preserve"> Zimmerman accordingly divided federally recognised tribes into three groups: ‘predominantly acculturated population’, ‘semi-acculturated population’ and ‘predominantly Indian population’. This became the template by which the termination of specific tribes was justified. Tribes targeted for withdrawal were largely selected from the ‘predominantly acculturated’ category.</w:t>
      </w:r>
      <w:r>
        <w:rPr>
          <w:rStyle w:val="FootnoteReference"/>
        </w:rPr>
        <w:footnoteReference w:id="21"/>
      </w:r>
      <w:r>
        <w:t xml:space="preserve"> The Klamath and Navajo presented opposite ends of this spectrum, with the Klamath labelled as ‘predominantly acculturated’ and the Navajo ‘predominantly Indian’. </w:t>
      </w:r>
    </w:p>
    <w:p w:rsidR="00D9146A" w:rsidRDefault="00D9146A" w:rsidP="006B5064">
      <w:pPr>
        <w:spacing w:line="360" w:lineRule="auto"/>
        <w:ind w:firstLine="284"/>
      </w:pPr>
      <w:r>
        <w:t>Lists like Zimmerman’s harked back to earlier social evolutionary models of societal development from ‘savagery’ to ‘civilization’, though this language was now reframed as “full American citizenship”. These ideas of ‘civilization’, propagated so widely during the turn-of-the-century assimilation campaign, continued to play a significant role, as BIA officials’ evaluations of a tribe’s level of ‘acculturation’ determined where</w:t>
      </w:r>
      <w:r w:rsidR="001C7E5F">
        <w:t xml:space="preserve"> in the Termination plan they</w:t>
      </w:r>
      <w:r>
        <w:t xml:space="preserve"> would fall. The significance of economic factors in defining ‘acculturation’ and ‘progress’ is clear in Zimmerman’s criteria. The Klamath were supposedly economically stable enough to be considered ‘predominantly acculturated’, </w:t>
      </w:r>
      <w:r w:rsidR="00030B99">
        <w:t>so that</w:t>
      </w:r>
      <w:r>
        <w:t xml:space="preserve"> having sufficient finances to pay for some of the tribe’s own services signified an adoption of American capitalist values.</w:t>
      </w:r>
      <w:r>
        <w:rPr>
          <w:rStyle w:val="FootnoteReference"/>
        </w:rPr>
        <w:footnoteReference w:id="22"/>
      </w:r>
      <w:r>
        <w:t xml:space="preserve"> On the oth</w:t>
      </w:r>
      <w:r w:rsidR="005A4ABF">
        <w:t>er hand the Navajo, with</w:t>
      </w:r>
      <w:r>
        <w:t xml:space="preserve"> widely acknowledged poverty and lack of </w:t>
      </w:r>
      <w:r w:rsidR="001C7E5F">
        <w:t xml:space="preserve">formal </w:t>
      </w:r>
      <w:r>
        <w:t xml:space="preserve">schooling, were consistently labelled ‘predominantly Indian’. These relative categorisations </w:t>
      </w:r>
      <w:r w:rsidR="005A4ABF">
        <w:t>used economic success as</w:t>
      </w:r>
      <w:r>
        <w:t xml:space="preserve"> a cultural trait, implying that a tribe could not be both f</w:t>
      </w:r>
      <w:r w:rsidR="00F1567F">
        <w:t>inancially stable and ‘Indian’.</w:t>
      </w:r>
      <w:r w:rsidR="00777B35">
        <w:t xml:space="preserve"> Strikingly</w:t>
      </w:r>
      <w:r w:rsidR="00A57EE5">
        <w:t xml:space="preserve">, these labels also limited the ability of supposedly ‘predominantly acculturated’ tribes like the Klamath to shape federal policy, while the Navajo and other groups deemed ‘predominantly Indian’ by the BIA had more </w:t>
      </w:r>
      <w:r w:rsidR="00D301CB">
        <w:t>space to negotiate the terms of eventual Termination.</w:t>
      </w:r>
    </w:p>
    <w:p w:rsidR="00D9146A" w:rsidRDefault="00D9146A" w:rsidP="006479AF">
      <w:pPr>
        <w:spacing w:line="360" w:lineRule="auto"/>
        <w:ind w:firstLine="284"/>
      </w:pPr>
      <w:r>
        <w:t>In the early 1950s, the BIA presented t</w:t>
      </w:r>
      <w:r w:rsidR="00F241EB">
        <w:t>he Klamath as being assimilated into</w:t>
      </w:r>
      <w:r>
        <w:t xml:space="preserve"> surrounding white communities and economically self</w:t>
      </w:r>
      <w:r w:rsidR="00F241EB">
        <w:t>-sufficient due to the wealth in</w:t>
      </w:r>
      <w:r>
        <w:t xml:space="preserve"> timber resources the tribe held on its trust lands.</w:t>
      </w:r>
      <w:r>
        <w:rPr>
          <w:rStyle w:val="FootnoteReference"/>
        </w:rPr>
        <w:footnoteReference w:id="23"/>
      </w:r>
      <w:r>
        <w:t xml:space="preserve"> The impacts of termination on the Klamath are well-docum</w:t>
      </w:r>
      <w:r w:rsidR="00F241EB">
        <w:t>ented:</w:t>
      </w:r>
      <w:r>
        <w:t xml:space="preserve"> high unemployment, deep poverty and escalating health problems for former tribal members.</w:t>
      </w:r>
      <w:r>
        <w:rPr>
          <w:rStyle w:val="FootnoteReference"/>
        </w:rPr>
        <w:footnoteReference w:id="24"/>
      </w:r>
      <w:r>
        <w:t xml:space="preserve"> While the devastation of terminati</w:t>
      </w:r>
      <w:r w:rsidR="00F241EB">
        <w:t>on has been documented</w:t>
      </w:r>
      <w:r>
        <w:t>, Klamat</w:t>
      </w:r>
      <w:r w:rsidR="008264BE">
        <w:t>h interpretations of</w:t>
      </w:r>
      <w:r w:rsidR="00BC7CD5">
        <w:t xml:space="preserve"> policy rhetoric</w:t>
      </w:r>
      <w:r w:rsidR="008264BE">
        <w:t xml:space="preserve"> </w:t>
      </w:r>
      <w:r>
        <w:t xml:space="preserve">have </w:t>
      </w:r>
      <w:r w:rsidR="00F241EB">
        <w:t>barely been</w:t>
      </w:r>
      <w:r>
        <w:t xml:space="preserve"> explored. The intricately documented minutes of the tribe’s General Council and Executive Committee offer a fresh insight into how members of a tribe immediately pegged for Termina</w:t>
      </w:r>
      <w:r w:rsidR="00973482">
        <w:t>tion conceived of the policy</w:t>
      </w:r>
      <w:r>
        <w:t>, and how this changed over time.</w:t>
      </w:r>
    </w:p>
    <w:p w:rsidR="00D9146A" w:rsidRDefault="00D9146A" w:rsidP="00924F34">
      <w:pPr>
        <w:spacing w:line="360" w:lineRule="auto"/>
        <w:ind w:firstLine="284"/>
      </w:pPr>
      <w:r>
        <w:t>Though the Klamath tribal council rejected the IRA in the 1930s, its tribal government had been functional since at least the assimilation era and was heavily linked to the BIA.</w:t>
      </w:r>
      <w:r>
        <w:rPr>
          <w:rStyle w:val="FootnoteReference"/>
        </w:rPr>
        <w:footnoteReference w:id="25"/>
      </w:r>
      <w:r>
        <w:t xml:space="preserve"> Following the end of WWII, the Klamath General Council – open to all tribal members – was focused on reorganising the</w:t>
      </w:r>
      <w:r w:rsidR="00310C35">
        <w:t xml:space="preserve"> structures of their government. A</w:t>
      </w:r>
      <w:r>
        <w:t xml:space="preserve"> draft constitution</w:t>
      </w:r>
      <w:r w:rsidR="00310C35">
        <w:t xml:space="preserve"> was regularly discussed</w:t>
      </w:r>
      <w:r>
        <w:t xml:space="preserve"> and in 1950</w:t>
      </w:r>
      <w:r w:rsidR="00310C35">
        <w:t xml:space="preserve"> the council</w:t>
      </w:r>
      <w:r>
        <w:t xml:space="preserve"> </w:t>
      </w:r>
      <w:r w:rsidR="0031066B">
        <w:t>re-</w:t>
      </w:r>
      <w:r>
        <w:t>established a ten-member Executive Committee to facilitate rapid decision-making on behalf of the tribe.</w:t>
      </w:r>
      <w:r>
        <w:rPr>
          <w:rStyle w:val="FootnoteReference"/>
        </w:rPr>
        <w:footnoteReference w:id="26"/>
      </w:r>
      <w:r>
        <w:t xml:space="preserve"> Concurrently, a largely off-reservation group of tribal members, led by former superintende</w:t>
      </w:r>
      <w:r w:rsidR="00A7764E">
        <w:t>nt</w:t>
      </w:r>
      <w:r>
        <w:t xml:space="preserve"> Wade Crawford, pushed for the termination of trust status and division of assets on an individual basis.</w:t>
      </w:r>
      <w:r>
        <w:rPr>
          <w:rStyle w:val="FootnoteReference"/>
        </w:rPr>
        <w:footnoteReference w:id="27"/>
      </w:r>
      <w:r w:rsidR="00310C35">
        <w:t xml:space="preserve"> Crawford evidently had some supporters; he acted as an </w:t>
      </w:r>
      <w:r>
        <w:t xml:space="preserve">elected representative of the </w:t>
      </w:r>
      <w:r w:rsidR="00BF5A31">
        <w:t xml:space="preserve">Klamath </w:t>
      </w:r>
      <w:r w:rsidR="0067224E">
        <w:t>tribe to Washington, D.C.</w:t>
      </w:r>
      <w:r>
        <w:t xml:space="preserve"> un</w:t>
      </w:r>
      <w:r w:rsidR="00D953AA">
        <w:t>til the early 1950s</w:t>
      </w:r>
      <w:r>
        <w:t xml:space="preserve">. </w:t>
      </w:r>
    </w:p>
    <w:p w:rsidR="00D9146A" w:rsidRDefault="00D9146A" w:rsidP="00924F34">
      <w:pPr>
        <w:spacing w:line="360" w:lineRule="auto"/>
        <w:ind w:firstLine="284"/>
      </w:pPr>
      <w:r>
        <w:t>Before HCR 108 was passed, the Klamath tribal council even considered and discussed draft legislat</w:t>
      </w:r>
      <w:r w:rsidR="002A5FB4">
        <w:t>ion which would have allowed</w:t>
      </w:r>
      <w:r>
        <w:t xml:space="preserve"> individuals to withdraw their membership from the tribe and take their share of communal assets. Two years after drafting his infamous termination plan, Assistant BIA Commissioner Zimmerman visited Oregon and met with the tribe’s Business and Specia</w:t>
      </w:r>
      <w:r w:rsidR="001A439C">
        <w:t xml:space="preserve">l Member committees, </w:t>
      </w:r>
      <w:r>
        <w:t>which requested that he discuss the Klamath draft constitution and options for withdrawal legislation.</w:t>
      </w:r>
      <w:r>
        <w:rPr>
          <w:rStyle w:val="FootnoteReference"/>
        </w:rPr>
        <w:footnoteReference w:id="28"/>
      </w:r>
      <w:r w:rsidR="002A5FB4">
        <w:t xml:space="preserve"> Zimmerman was</w:t>
      </w:r>
      <w:r>
        <w:t xml:space="preserve"> reluctant to speak about Klamath issues, stating the purpose of his visit was “not to express my views” but to “hear what you people think”. Klamath representatives were more than willing to voice their frustration and demand comment from the Assistant Commissioner. Seldon Kirk, the long</w:t>
      </w:r>
      <w:r w:rsidR="00F241EB">
        <w:t>-standing Klamath chairman, made</w:t>
      </w:r>
      <w:r>
        <w:t xml:space="preserve"> an impassioned speech decrying BIA categorisations of ‘competency’ in determining whether Klamaths were ready to withdraw from the tribe:</w:t>
      </w:r>
    </w:p>
    <w:p w:rsidR="00D9146A" w:rsidRDefault="00D9146A" w:rsidP="003441C3">
      <w:pPr>
        <w:spacing w:line="360" w:lineRule="auto"/>
        <w:ind w:left="567" w:right="567"/>
      </w:pPr>
      <w:r>
        <w:t>“Where do you get that word competent? We never heard of it. The Indian a long time ago had no education, knew nothing whatever of civilization, but he was taking care of himself, feeding himself. He was competent. […] How long do we have to go, how long are we going to be under the protection of the United States government. We ask for special legislation in Congress and they say it is up to you Indians yourselves.”</w:t>
      </w:r>
      <w:r>
        <w:rPr>
          <w:rStyle w:val="FootnoteReference"/>
        </w:rPr>
        <w:footnoteReference w:id="29"/>
      </w:r>
      <w:r>
        <w:t xml:space="preserve"> </w:t>
      </w:r>
    </w:p>
    <w:p w:rsidR="00D9146A" w:rsidRDefault="00D9146A" w:rsidP="003441C3">
      <w:pPr>
        <w:spacing w:line="360" w:lineRule="auto"/>
      </w:pPr>
      <w:r>
        <w:t>Kirk, a respected tribal elder known for his oratorical skills</w:t>
      </w:r>
      <w:r w:rsidR="00DF7DE2">
        <w:t>, came</w:t>
      </w:r>
      <w:r>
        <w:t xml:space="preserve"> from a family of Klamath leaders. Having spent three years at Indian boarding schools in Carlisle and Phoenix, Ki</w:t>
      </w:r>
      <w:r w:rsidR="008E0F9D">
        <w:t>rk was employed</w:t>
      </w:r>
      <w:r>
        <w:t xml:space="preserve"> as a police officer and carpenter for the BIA’s Klamath Agency.</w:t>
      </w:r>
      <w:r>
        <w:rPr>
          <w:rStyle w:val="FootnoteReference"/>
        </w:rPr>
        <w:footnoteReference w:id="30"/>
      </w:r>
      <w:r>
        <w:t xml:space="preserve"> Undoubtedly experience</w:t>
      </w:r>
      <w:r w:rsidR="003A2775">
        <w:t>d in navigating these bureaucratic</w:t>
      </w:r>
      <w:r>
        <w:t xml:space="preserve"> systems, his </w:t>
      </w:r>
      <w:r w:rsidR="008E0F9D">
        <w:t>speech made in front</w:t>
      </w:r>
      <w:r>
        <w:t xml:space="preserve"> of Zimmerman communicated both faith in Klama</w:t>
      </w:r>
      <w:r w:rsidR="003A2775">
        <w:t>th self-governing abilities</w:t>
      </w:r>
      <w:r>
        <w:t xml:space="preserve"> and frustration with federal paternalism.</w:t>
      </w:r>
    </w:p>
    <w:p w:rsidR="00D9146A" w:rsidRPr="006D264A" w:rsidRDefault="00D9146A" w:rsidP="006D264A">
      <w:pPr>
        <w:spacing w:line="360" w:lineRule="auto"/>
        <w:ind w:firstLine="284"/>
      </w:pPr>
      <w:r>
        <w:t xml:space="preserve">At this point in time, the Klamath tribe had </w:t>
      </w:r>
      <w:r w:rsidR="00EF2BA7">
        <w:t>many reasons to complain about</w:t>
      </w:r>
      <w:r>
        <w:t xml:space="preserve"> federal control. Throughout council meetings in 1949 and 1950, Klamath tribal members lodged complaints against the reservation superintendent Raymond Bitney and his staff, citing failure to cooperate with tribal committees, rudeness, and even “physical combats with the individual Indians.”</w:t>
      </w:r>
      <w:r>
        <w:rPr>
          <w:rStyle w:val="FootnoteReference"/>
        </w:rPr>
        <w:footnoteReference w:id="31"/>
      </w:r>
      <w:r>
        <w:t xml:space="preserve"> Tribal members also reported that Bitney declared himself their “legal guardian” and withheld per capita payments for arbitrary reasons.</w:t>
      </w:r>
      <w:r>
        <w:rPr>
          <w:rStyle w:val="FootnoteReference"/>
        </w:rPr>
        <w:footnoteReference w:id="32"/>
      </w:r>
      <w:r>
        <w:t xml:space="preserve"> Relations with the superintendent and his staff were particularly strained at this time, but Klamath struggles against BIA paternalism had much deeper roots than Bitney’s involvement. The paternalism inherent in Klamath-BIA relations is evident in the very structure of the Klamath Agency and manner in which it developed since the early 1900s. While the Klamath had held community meetings since at least the late 1800s, the BIA was heavily involv</w:t>
      </w:r>
      <w:r w:rsidR="00E40B25">
        <w:t xml:space="preserve">ed in institutionalising </w:t>
      </w:r>
      <w:r w:rsidR="00177239">
        <w:t>the Klamath General Council</w:t>
      </w:r>
      <w:r w:rsidR="00E40B25">
        <w:t>.</w:t>
      </w:r>
      <w:r w:rsidR="000F6D6A">
        <w:t xml:space="preserve"> BIA efforts resulted in</w:t>
      </w:r>
      <w:r w:rsidR="00E40B25">
        <w:t xml:space="preserve"> the 1908 f</w:t>
      </w:r>
      <w:r w:rsidR="00177239">
        <w:t>ormation of an</w:t>
      </w:r>
      <w:r w:rsidR="00E40B25">
        <w:t xml:space="preserve"> </w:t>
      </w:r>
      <w:r w:rsidR="000F6D6A">
        <w:t>Executive Committee</w:t>
      </w:r>
      <w:r>
        <w:t>, as well as its expansi</w:t>
      </w:r>
      <w:r w:rsidR="003A2775">
        <w:t xml:space="preserve">on into a Business Committee in 1929, backed by </w:t>
      </w:r>
      <w:r>
        <w:t xml:space="preserve">a </w:t>
      </w:r>
      <w:r w:rsidR="003A2775">
        <w:t>Constitution and By-laws</w:t>
      </w:r>
      <w:r>
        <w:t>. By 1947, the Klamath council employed only fifteen tribal members, while the BIA superint</w:t>
      </w:r>
      <w:r w:rsidR="000F2C3B">
        <w:t>endent had a staff of 123 on his</w:t>
      </w:r>
      <w:r>
        <w:t xml:space="preserve"> payroll.</w:t>
      </w:r>
      <w:r w:rsidRPr="007E19FC">
        <w:rPr>
          <w:rStyle w:val="FootnoteReference"/>
        </w:rPr>
        <w:t xml:space="preserve"> </w:t>
      </w:r>
      <w:r>
        <w:rPr>
          <w:rStyle w:val="FootnoteReference"/>
        </w:rPr>
        <w:footnoteReference w:id="33"/>
      </w:r>
      <w:r>
        <w:t xml:space="preserve"> As such, rather than being the root of paternalism on the Klamath reservation, Bitney essentially embodied the paternalism the tribe had encountered in interacting with the BIA for the past century. His proclivity for autocratic control pushed Klamaths toward supportin</w:t>
      </w:r>
      <w:r w:rsidR="00C817EE">
        <w:t xml:space="preserve">g the alteration of their </w:t>
      </w:r>
      <w:r>
        <w:t xml:space="preserve">federal </w:t>
      </w:r>
      <w:r w:rsidR="00C817EE">
        <w:t xml:space="preserve">trust </w:t>
      </w:r>
      <w:r>
        <w:t>status.</w:t>
      </w:r>
    </w:p>
    <w:p w:rsidR="00D9146A" w:rsidRDefault="00C817EE" w:rsidP="00F42F6E">
      <w:pPr>
        <w:spacing w:line="360" w:lineRule="auto"/>
        <w:ind w:firstLine="284"/>
      </w:pPr>
      <w:r>
        <w:t>B</w:t>
      </w:r>
      <w:r w:rsidR="00423FCE">
        <w:t>efore</w:t>
      </w:r>
      <w:r w:rsidR="000D68E8">
        <w:t xml:space="preserve"> the Klamath Termination Act</w:t>
      </w:r>
      <w:r w:rsidR="00423FCE">
        <w:t xml:space="preserve"> </w:t>
      </w:r>
      <w:r w:rsidR="000D68E8">
        <w:t>(</w:t>
      </w:r>
      <w:r w:rsidR="00423FCE">
        <w:t>PL 587</w:t>
      </w:r>
      <w:r w:rsidR="000D68E8">
        <w:t>)</w:t>
      </w:r>
      <w:r w:rsidR="00423FCE">
        <w:t xml:space="preserve"> was passed, the Klamath General Council </w:t>
      </w:r>
      <w:r>
        <w:t>indeed concurred that consolidating tribal authority require</w:t>
      </w:r>
      <w:r w:rsidR="007E499B">
        <w:t>d a change to its</w:t>
      </w:r>
      <w:r>
        <w:t xml:space="preserve"> relationship</w:t>
      </w:r>
      <w:r w:rsidR="007E499B">
        <w:t xml:space="preserve"> with the federal government</w:t>
      </w:r>
      <w:r w:rsidR="00423FCE">
        <w:t>, as Kirk’s 1949 speech indicates. The tribal council minutes thus challenge scholarship</w:t>
      </w:r>
      <w:r w:rsidR="00AF570B">
        <w:t xml:space="preserve"> to date, which</w:t>
      </w:r>
      <w:r w:rsidR="00824E11">
        <w:t xml:space="preserve"> presents</w:t>
      </w:r>
      <w:r w:rsidR="00423FCE">
        <w:t xml:space="preserve"> Wade Crawford as the main driving force behind altering federal trust status in the early 1950s. </w:t>
      </w:r>
      <w:r w:rsidR="00824E11">
        <w:t>Rather, i</w:t>
      </w:r>
      <w:r w:rsidR="00D9146A">
        <w:t>n this atmosphere, the vague federal promises of a new Indian policy providing ‘freedom’ and ‘full citizenship’ may have appeared particularly appealing to Klamath tribal members. Boyd Jackson, an elected representative of the tribal council who had been heavily involved in tribal politics for some decades, has been rightfu</w:t>
      </w:r>
      <w:r>
        <w:t>lly characterised by scholars</w:t>
      </w:r>
      <w:r w:rsidR="00D9146A">
        <w:t xml:space="preserve"> as the l</w:t>
      </w:r>
      <w:r>
        <w:t>eader of Klamath opposition to T</w:t>
      </w:r>
      <w:r w:rsidR="00D9146A">
        <w:t>ermination.</w:t>
      </w:r>
      <w:r w:rsidR="00D9146A">
        <w:rPr>
          <w:rStyle w:val="FootnoteReference"/>
        </w:rPr>
        <w:footnoteReference w:id="34"/>
      </w:r>
      <w:r w:rsidR="00D9146A">
        <w:t xml:space="preserve"> Yet before HCR 108 and PL 587 were pass</w:t>
      </w:r>
      <w:r w:rsidR="007E499B">
        <w:t>ed, Jackson spoke</w:t>
      </w:r>
      <w:r w:rsidR="005D4A02">
        <w:t xml:space="preserve"> with tentative optimism</w:t>
      </w:r>
      <w:r w:rsidR="00D9146A">
        <w:t xml:space="preserve"> about the plans of new BIA Commi</w:t>
      </w:r>
      <w:r w:rsidR="005B7E95">
        <w:t>ssioner Dillon Myer – a key proponent of Termination legislation</w:t>
      </w:r>
      <w:r w:rsidR="00D9146A">
        <w:t xml:space="preserve">. Speaking to the Klamath General Council, Jackson stated: </w:t>
      </w:r>
    </w:p>
    <w:p w:rsidR="00D9146A" w:rsidRDefault="00D9146A" w:rsidP="004738B4">
      <w:pPr>
        <w:spacing w:line="360" w:lineRule="auto"/>
        <w:ind w:left="567" w:right="567"/>
      </w:pPr>
      <w:r>
        <w:t>“[…] now the Commissioner has taken the position that he intends to extend to you the handling of your own business as fast as you can administer your ability to handle such parts of the business, if not all. […] it is up to us to […] work out our own problems so we will become an asset to our own members.”</w:t>
      </w:r>
      <w:r>
        <w:rPr>
          <w:rStyle w:val="FootnoteReference"/>
        </w:rPr>
        <w:footnoteReference w:id="35"/>
      </w:r>
      <w:r>
        <w:t xml:space="preserve"> </w:t>
      </w:r>
    </w:p>
    <w:p w:rsidR="00D9146A" w:rsidRPr="009F43AE" w:rsidRDefault="00D9146A" w:rsidP="002464DA">
      <w:pPr>
        <w:spacing w:line="360" w:lineRule="auto"/>
      </w:pPr>
      <w:r>
        <w:t>Jackson expressed hope that the council might be able to gain further control over tribal administration as a result of shifts in federal policy, declaring that “[…] Members of Congress […] are interested to do something that is going to get us on our feet and stand on our own […].”</w:t>
      </w:r>
      <w:r>
        <w:rPr>
          <w:rStyle w:val="FootnoteReference"/>
        </w:rPr>
        <w:footnoteReference w:id="36"/>
      </w:r>
      <w:r>
        <w:t xml:space="preserve"> Myer’s vague promises of letting tribes ‘handle their own business’ thus did not communicate to tribes the intention of the federal government to legally assimilate them into wider American society – rather Klamath representatives, like Jackson, at this early stage interpreted such rhetoric as creating space for the improvement of Klamath status </w:t>
      </w:r>
      <w:r>
        <w:rPr>
          <w:i/>
        </w:rPr>
        <w:t>as a tribe</w:t>
      </w:r>
      <w:r>
        <w:t xml:space="preserve">. Indeed, Jackson went on in this meeting to outline his ideas for setting up timber mills at Chiloquin and Sprague River, as well as the development of a “Tribal Herd” of livestock and “some form of taxation” among the Klamath to “take care of the needs of the needy”. </w:t>
      </w:r>
    </w:p>
    <w:p w:rsidR="00D9146A" w:rsidRDefault="00D9146A" w:rsidP="0065581F">
      <w:pPr>
        <w:spacing w:line="360" w:lineRule="auto"/>
        <w:ind w:firstLine="284"/>
      </w:pPr>
      <w:r>
        <w:t>While Jackson advocated developing the area’s economy to consolidate the tribe’s position, he did not oppose the individual withdrawal bill that Crawford so strongly supported in this pre-PL 587 period. In 1945, Crawford had lobbied in Washington on behalf of a bill which would have liquidated all Klamath assets and divided them up amongst tribal members; while the Klamath General Council voted 95 to 4 against it, the bill gained some support in Congress.</w:t>
      </w:r>
      <w:r>
        <w:rPr>
          <w:rStyle w:val="FootnoteReference"/>
        </w:rPr>
        <w:footnoteReference w:id="37"/>
      </w:r>
      <w:r>
        <w:t xml:space="preserve"> The voluntary withdrawal bill subsequently developed by the General Council appeased individual members wishing to leave the tribe with their share of assets, whilst </w:t>
      </w:r>
      <w:r w:rsidR="00C401B4">
        <w:t xml:space="preserve">also allowing for the </w:t>
      </w:r>
      <w:r>
        <w:t>Klamath tribe to maintain federal trust status. In 1951, Jackson justified his support for the bill to the General Council: “I am one of the members that hopes to remain here and be an active member of the Klamath Tribe, and will do anything I can to protect the interests of the Klamath Tribe, and a member that wants to withdraw has got to know once and for all that he is going to withdraw the hard way so far as I am concerned.”</w:t>
      </w:r>
      <w:r>
        <w:rPr>
          <w:rStyle w:val="FootnoteReference"/>
        </w:rPr>
        <w:footnoteReference w:id="38"/>
      </w:r>
      <w:r>
        <w:t xml:space="preserve"> Jackson went on to oppose Crawford’s suggestion that withdrawing members should be allowed to take their share of assets in land, instead asserting that only cash payments should be made i</w:t>
      </w:r>
      <w:r w:rsidR="00C401B4">
        <w:t>n order to maintain a cohesive tribal land base</w:t>
      </w:r>
      <w:r>
        <w:t>. J</w:t>
      </w:r>
      <w:r w:rsidR="001C3CD8">
        <w:t>ackson evidently supported</w:t>
      </w:r>
      <w:r w:rsidR="00B06631">
        <w:t xml:space="preserve"> in order to avoid the total dissolution of</w:t>
      </w:r>
      <w:r w:rsidR="0009571F">
        <w:t xml:space="preserve"> the tribe</w:t>
      </w:r>
      <w:r>
        <w:t>.</w:t>
      </w:r>
    </w:p>
    <w:p w:rsidR="00D9146A" w:rsidRDefault="00D9146A" w:rsidP="00257CA6">
      <w:pPr>
        <w:spacing w:line="360" w:lineRule="auto"/>
        <w:ind w:firstLine="284"/>
      </w:pPr>
      <w:r>
        <w:t>However, the BIA r</w:t>
      </w:r>
      <w:r w:rsidR="0026326A">
        <w:t xml:space="preserve">efused to accept </w:t>
      </w:r>
      <w:r>
        <w:t>the voluntary withdrawal bill, despite the Klamath council editing and resubmitting multiple versions throughout the early 1950s. In late July 1953 – just days before HCR 108 was passed – Jac</w:t>
      </w:r>
      <w:r w:rsidR="00B06631">
        <w:t>kson wrote from D.C.</w:t>
      </w:r>
      <w:r>
        <w:t xml:space="preserve"> to the Executive Committee stating that Congress was no longer interested in the</w:t>
      </w:r>
      <w:r w:rsidR="0026326A">
        <w:t xml:space="preserve"> voluntary withdrawal bill but had instead</w:t>
      </w:r>
      <w:r>
        <w:t xml:space="preserve"> </w:t>
      </w:r>
      <w:r w:rsidR="0026326A">
        <w:t>“</w:t>
      </w:r>
      <w:r>
        <w:t>decided to recommend termination of Federal Supervision.”</w:t>
      </w:r>
      <w:r>
        <w:rPr>
          <w:rStyle w:val="FootnoteReference"/>
        </w:rPr>
        <w:footnoteReference w:id="39"/>
      </w:r>
      <w:r>
        <w:t xml:space="preserve"> Jackson di</w:t>
      </w:r>
      <w:r w:rsidR="0009571F">
        <w:t>d not comment on Termination in this short letter, merely following this announcement by stating:</w:t>
      </w:r>
      <w:r>
        <w:t xml:space="preserve"> “Hence, we will have to rehash our planning.” The ten-member Executive Committee met regularly between 1953 and 1954 to discuss how to adapt the voluntary withdrawal bill to meet new federal demands for wholescale Termination whilst still maintaining the council’s agreed outcomes. </w:t>
      </w:r>
    </w:p>
    <w:p w:rsidR="00D9146A" w:rsidRDefault="00D9146A" w:rsidP="00257CA6">
      <w:pPr>
        <w:spacing w:line="360" w:lineRule="auto"/>
        <w:ind w:firstLine="284"/>
      </w:pPr>
      <w:r>
        <w:t>Unfortunately in this period most Klamath trib</w:t>
      </w:r>
      <w:r w:rsidR="00EB3A5C">
        <w:t xml:space="preserve">al council minutes </w:t>
      </w:r>
      <w:r>
        <w:t>did not include word-for-word transcriptions, but rather brief agenda outlines and discussion summaries. In January 1954, the Executive Committee apparently met to discuss the BIA’s dra</w:t>
      </w:r>
      <w:r w:rsidR="00B06631">
        <w:t>ft Klamath Termination Act</w:t>
      </w:r>
      <w:r>
        <w:t>. Here the minutes state: “The question of the word ‘termination’ was discussed by the members, thereupon the Committee agreed to delete the word termination from the Agenda, and insert in its stead the words ‘Enabling Legislation’.”</w:t>
      </w:r>
      <w:r>
        <w:rPr>
          <w:rStyle w:val="FootnoteReference"/>
        </w:rPr>
        <w:footnoteReference w:id="40"/>
      </w:r>
      <w:r>
        <w:t xml:space="preserve"> While the abbreviated transcript does not </w:t>
      </w:r>
      <w:r w:rsidR="0009571F">
        <w:t>detail</w:t>
      </w:r>
      <w:r w:rsidR="0026326A">
        <w:t xml:space="preserve"> the justifications for this</w:t>
      </w:r>
      <w:r>
        <w:t xml:space="preserve">, it is clear that the Executive Committee continued throughout 1953 and 1954 to negotiate the terms of Termination – even contesting the very use of the word – in an attempt to assert some control over the matter of federal withdrawal. </w:t>
      </w:r>
    </w:p>
    <w:p w:rsidR="00D9146A" w:rsidRDefault="00D9146A" w:rsidP="00257CA6">
      <w:pPr>
        <w:spacing w:line="360" w:lineRule="auto"/>
        <w:ind w:firstLine="284"/>
      </w:pPr>
      <w:r>
        <w:t>In a meeting the following month, the Executive Committee passed a resolution titled “Resolution Supporting Conditional Acceptance of the Eventual Termination of Federal Supervision over the Property of the Klamath Tribe and Other Ramifications.”</w:t>
      </w:r>
      <w:r>
        <w:rPr>
          <w:rStyle w:val="FootnoteReference"/>
        </w:rPr>
        <w:footnoteReference w:id="41"/>
      </w:r>
      <w:r>
        <w:t xml:space="preserve"> While the title appeared to indicate acceptance of Termination, the resolution stated cle</w:t>
      </w:r>
      <w:r w:rsidR="0009571F">
        <w:t>arly that this</w:t>
      </w:r>
      <w:r w:rsidR="00B06631">
        <w:t xml:space="preserve"> </w:t>
      </w:r>
      <w:r>
        <w:t>hinged on the Secretary of the Interior examining the provisions of all tribal treaties, as promised in HCR 108. Klamath rights under the Treaty of 1864 were clearly prioritized, describing the treaty as “a document held sacred by the Klamath and Modoc Tribes and the Yahooskin Band of Snake Indians, parties who hold themselves bound in honor, as a Sovereign Power.”</w:t>
      </w:r>
      <w:r>
        <w:rPr>
          <w:rStyle w:val="FootnoteReference"/>
        </w:rPr>
        <w:footnoteReference w:id="42"/>
      </w:r>
      <w:r>
        <w:t xml:space="preserve"> The resolution thus suggested tentative approval if Congress would meet with representatives of the Executive Committee to discuss amendments for “enabling legislation […] to </w:t>
      </w:r>
      <w:r>
        <w:rPr>
          <w:i/>
        </w:rPr>
        <w:t xml:space="preserve">eventually </w:t>
      </w:r>
      <w:r>
        <w:t>terminate Federal supervision over the property of the Klamath Tribe”.</w:t>
      </w:r>
      <w:r w:rsidR="009C0874">
        <w:rPr>
          <w:rStyle w:val="FootnoteReference"/>
        </w:rPr>
        <w:footnoteReference w:id="43"/>
      </w:r>
      <w:r>
        <w:t xml:space="preserve"> It also referred explicitly to the rejected Voluntary Withdrawal Bill, to evidence that the triba</w:t>
      </w:r>
      <w:r w:rsidR="0009571F">
        <w:t>l council had been working toward altering trust status on its own terms</w:t>
      </w:r>
      <w:r>
        <w:t xml:space="preserve">. While the </w:t>
      </w:r>
      <w:r w:rsidR="00B06631">
        <w:t xml:space="preserve">Executive Committee’s </w:t>
      </w:r>
      <w:r>
        <w:t>amendments are not attached to these minutes, this resolution clearly indicates that maintaining Klamath, Modoc and Yahoo</w:t>
      </w:r>
      <w:r w:rsidR="0095607F">
        <w:t>skin identity and sovereignty were</w:t>
      </w:r>
      <w:r>
        <w:t xml:space="preserve"> key concern</w:t>
      </w:r>
      <w:r w:rsidR="0095607F">
        <w:t>s</w:t>
      </w:r>
      <w:r>
        <w:t xml:space="preserve"> even as Congress pushed Termination legislation forward.</w:t>
      </w:r>
    </w:p>
    <w:p w:rsidR="00D9146A" w:rsidRDefault="00D9146A" w:rsidP="00BF31D5">
      <w:pPr>
        <w:spacing w:line="360" w:lineRule="auto"/>
        <w:ind w:firstLine="284"/>
      </w:pPr>
      <w:r>
        <w:t>The resolution also referred to a Klamath General Council meeting held 14-15 January that year, in which a “representative of the Commissioner of Indian affairs and the Secretary of the Interior” read and explained the proposed Termination bill to tribal members. Fixico has claimed that in this meeting the Senate Subcommittee on Indian Affairs, led by Senator Arthur Watkins “deliberately withheld a $2.6 million judgment from the Klamath”.</w:t>
      </w:r>
      <w:r>
        <w:rPr>
          <w:rStyle w:val="FootnoteReference"/>
        </w:rPr>
        <w:footnoteReference w:id="44"/>
      </w:r>
      <w:r>
        <w:t xml:space="preserve"> This</w:t>
      </w:r>
      <w:r w:rsidR="009E76B2">
        <w:t xml:space="preserve"> meeting is not included in the microform</w:t>
      </w:r>
      <w:r w:rsidR="00B06631">
        <w:t xml:space="preserve"> collection of tribal council minutes</w:t>
      </w:r>
      <w:r w:rsidR="009E76B2">
        <w:t xml:space="preserve"> from federal records</w:t>
      </w:r>
      <w:r w:rsidR="004425C4">
        <w:t>, n</w:t>
      </w:r>
      <w:r w:rsidR="00FB1DD0">
        <w:t xml:space="preserve">or </w:t>
      </w:r>
      <w:r>
        <w:t xml:space="preserve">could </w:t>
      </w:r>
      <w:r w:rsidR="00FB1DD0">
        <w:t xml:space="preserve">any reference to this </w:t>
      </w:r>
      <w:r>
        <w:t>be found i</w:t>
      </w:r>
      <w:r w:rsidR="009E76B2">
        <w:t>n</w:t>
      </w:r>
      <w:r w:rsidR="004425C4">
        <w:t xml:space="preserve"> later meetings. Nevertheless,</w:t>
      </w:r>
      <w:r>
        <w:t xml:space="preserve"> if evidence of misconduct were contained in these minutes it would explain why they have been omitted from the federal record. As such</w:t>
      </w:r>
      <w:r w:rsidR="003F76E7">
        <w:t>,</w:t>
      </w:r>
      <w:r>
        <w:t xml:space="preserve"> the ways in which the draft Termination Act was explained to the broader tribal membership is also unclear. Minutes from a December 1953 General Council meeting, however, demonstrate that the wider Klamath membership was unsure about what was happening. The minutes note calls for “interpretation”, comments made “in the Klamath language” and quotes a Mrs. Lobert as stating “we do not know what has been presented; let us know what is being done; let our representatives explain these matters and we will be free to vote.”</w:t>
      </w:r>
      <w:r>
        <w:rPr>
          <w:rStyle w:val="FootnoteReference"/>
        </w:rPr>
        <w:footnoteReference w:id="45"/>
      </w:r>
      <w:r>
        <w:t xml:space="preserve"> </w:t>
      </w:r>
    </w:p>
    <w:p w:rsidR="0046771C" w:rsidRDefault="00D9146A" w:rsidP="0046771C">
      <w:pPr>
        <w:spacing w:line="360" w:lineRule="auto"/>
        <w:ind w:firstLine="284"/>
      </w:pPr>
      <w:r>
        <w:t>Members of the Kla</w:t>
      </w:r>
      <w:r w:rsidR="00EF63F8">
        <w:t>math Tribes today also</w:t>
      </w:r>
      <w:r w:rsidR="00AB1D23">
        <w:t xml:space="preserve"> describe</w:t>
      </w:r>
      <w:r w:rsidR="003F76E7">
        <w:t xml:space="preserve"> the period as marked by </w:t>
      </w:r>
      <w:r>
        <w:t>uncerta</w:t>
      </w:r>
      <w:r w:rsidR="00AB1D23">
        <w:t>inty</w:t>
      </w:r>
      <w:r>
        <w:t>. Gordon Bettles, former director of culture and heritage for the Klamath Tribes, was four years old in 1954, the year PL 587 was passed. He recalls his mother, Priscilla Bettles, crying after a council meeting and the next day telling him “the stupid council, that stupid council they voted to terminate us.”</w:t>
      </w:r>
      <w:r>
        <w:rPr>
          <w:rStyle w:val="FootnoteReference"/>
        </w:rPr>
        <w:footnoteReference w:id="46"/>
      </w:r>
      <w:r>
        <w:t xml:space="preserve"> This sense of confusion and helplessness among tribal members is evident in the minutes of Klamath General Council meetings throughout the rest of the 1950s. </w:t>
      </w:r>
      <w:r w:rsidR="0047446D">
        <w:t>The efforts of council delegates to retain some say in the Termination process were met with federal coercion. A July 1954</w:t>
      </w:r>
      <w:r>
        <w:t xml:space="preserve"> </w:t>
      </w:r>
      <w:r w:rsidR="0047446D">
        <w:t>report from Klamath Washington delegates to the council</w:t>
      </w:r>
      <w:r>
        <w:t xml:space="preserve"> </w:t>
      </w:r>
      <w:r w:rsidR="0047446D">
        <w:t xml:space="preserve">specified that </w:t>
      </w:r>
      <w:r>
        <w:t>Congressional amendments to the draft Termination bill</w:t>
      </w:r>
      <w:r w:rsidR="0047446D">
        <w:t xml:space="preserve"> were accepted, because they</w:t>
      </w:r>
      <w:r w:rsidR="00FF2004">
        <w:t xml:space="preserve"> </w:t>
      </w:r>
      <w:r>
        <w:t>incorporated some aspects of t</w:t>
      </w:r>
      <w:r w:rsidR="0047446D">
        <w:t>he voluntary withdrawal bill that had been</w:t>
      </w:r>
      <w:r>
        <w:t xml:space="preserve"> “approved by a majority vote of the tribe.”</w:t>
      </w:r>
      <w:r>
        <w:rPr>
          <w:rStyle w:val="FootnoteReference"/>
        </w:rPr>
        <w:footnoteReference w:id="47"/>
      </w:r>
      <w:r w:rsidR="0047446D">
        <w:t xml:space="preserve"> </w:t>
      </w:r>
      <w:r w:rsidR="00FC2FC4">
        <w:t xml:space="preserve">The report also </w:t>
      </w:r>
      <w:r w:rsidR="0047446D">
        <w:t>stated</w:t>
      </w:r>
      <w:r>
        <w:t xml:space="preserve"> that federal officials were intentionally withholding per capita payments: “Despite our most persistent efforts, we have been forced to conclude that it is extremely unlikely that a per capita payment can be enacted during this Congress unless it is merged with and passed as a part of the termination bill.”</w:t>
      </w:r>
      <w:r>
        <w:rPr>
          <w:rStyle w:val="FootnoteReference"/>
        </w:rPr>
        <w:footnoteReference w:id="48"/>
      </w:r>
      <w:r>
        <w:t xml:space="preserve"> </w:t>
      </w:r>
      <w:r w:rsidR="003F76E7">
        <w:t>Though</w:t>
      </w:r>
      <w:r w:rsidR="00FF2004">
        <w:t xml:space="preserve"> attempting to negotiate amendments to Termination </w:t>
      </w:r>
      <w:r w:rsidR="00374C92">
        <w:t>to avoid</w:t>
      </w:r>
      <w:r w:rsidR="00FF2004">
        <w:t xml:space="preserve"> the total d</w:t>
      </w:r>
      <w:r w:rsidR="003F76E7">
        <w:t xml:space="preserve">issolution of the tribe, </w:t>
      </w:r>
      <w:r w:rsidR="00FF2004">
        <w:t>council representatives Boyd Jackson and Jesse Kirk were thus</w:t>
      </w:r>
      <w:r w:rsidR="00FF2004" w:rsidRPr="000E4280">
        <w:rPr>
          <w:i/>
        </w:rPr>
        <w:t xml:space="preserve"> </w:t>
      </w:r>
      <w:r w:rsidR="000E4280" w:rsidRPr="000E4280">
        <w:rPr>
          <w:i/>
        </w:rPr>
        <w:t>blackmailed</w:t>
      </w:r>
      <w:r w:rsidR="00FF2004">
        <w:t xml:space="preserve"> into accepting the federal government’s version of withdrawal. I</w:t>
      </w:r>
      <w:r w:rsidR="00461227">
        <w:t>n addition, though the Klamath General Council recalled Crawford as a Washington representative in the early 1950s</w:t>
      </w:r>
      <w:r w:rsidR="00FF2004">
        <w:t xml:space="preserve">, he persistently attended </w:t>
      </w:r>
      <w:r>
        <w:t>Senate and Congress Indian Subcommittee hea</w:t>
      </w:r>
      <w:r w:rsidR="002060CC">
        <w:t>rings and lobbied</w:t>
      </w:r>
      <w:r w:rsidR="00FF2004">
        <w:t xml:space="preserve"> for Termination</w:t>
      </w:r>
      <w:r w:rsidR="00461227">
        <w:t>. Federal officials pointed to Crawford’s statements as evidence that</w:t>
      </w:r>
      <w:r>
        <w:t xml:space="preserve"> Klamath</w:t>
      </w:r>
      <w:r w:rsidR="00FF2004">
        <w:t>s</w:t>
      </w:r>
      <w:r>
        <w:t xml:space="preserve"> supported the policy.</w:t>
      </w:r>
      <w:r>
        <w:rPr>
          <w:rStyle w:val="FootnoteReference"/>
        </w:rPr>
        <w:footnoteReference w:id="49"/>
      </w:r>
      <w:r w:rsidR="001017EE">
        <w:t xml:space="preserve"> As a result, i</w:t>
      </w:r>
      <w:r>
        <w:t>n August 1954 the Klamath Termination Act was passed.</w:t>
      </w:r>
    </w:p>
    <w:p w:rsidR="0017070D" w:rsidRDefault="009421C5" w:rsidP="0017070D">
      <w:pPr>
        <w:spacing w:line="360" w:lineRule="auto"/>
        <w:ind w:firstLine="284"/>
        <w:jc w:val="center"/>
      </w:pPr>
      <w:r>
        <w:t xml:space="preserve">1955 </w:t>
      </w:r>
      <w:r w:rsidR="0017070D">
        <w:t>KLAMATH COUNCIL MEMBERS IMAGE HERE</w:t>
      </w:r>
    </w:p>
    <w:p w:rsidR="00D9146A" w:rsidRDefault="00834BE9" w:rsidP="00BF31D5">
      <w:pPr>
        <w:spacing w:line="360" w:lineRule="auto"/>
        <w:ind w:firstLine="284"/>
      </w:pPr>
      <w:r>
        <w:t>From this point on, federal officials</w:t>
      </w:r>
      <w:r w:rsidR="00D9146A">
        <w:t xml:space="preserve"> </w:t>
      </w:r>
      <w:r>
        <w:t>repeatedly thwarted the tribal council’s attempts</w:t>
      </w:r>
      <w:r w:rsidR="00D9146A">
        <w:t xml:space="preserve"> to maintain some say in their own affairs</w:t>
      </w:r>
      <w:r w:rsidR="00A041C1">
        <w:t>, laying bare</w:t>
      </w:r>
      <w:r>
        <w:t xml:space="preserve"> the</w:t>
      </w:r>
      <w:r w:rsidR="006C1503">
        <w:t xml:space="preserve"> underlying</w:t>
      </w:r>
      <w:r>
        <w:t xml:space="preserve"> paternalist nature of Termination</w:t>
      </w:r>
      <w:r w:rsidR="00D9146A">
        <w:t>. In a January 1955 meeting with Assistant BIA Commissioner Barton Greenwood, Klamath tribal members objected to the instatement of local Oregonian businessmen as Management Specialists, who under the provisions of PL 587 were to value Klama</w:t>
      </w:r>
      <w:r w:rsidR="007951C3">
        <w:t>th lands and resources to prepa</w:t>
      </w:r>
      <w:r w:rsidR="00D9146A">
        <w:t>re for dividing this among withdrawing and remaining tribal members. Greenwood’s response pandered to federal claims of Termination as voluntary, but displayed no interest in hearing tribal members’ opinions on the matter: “As I said before, I am sure the Secretary [of the Interior] wants instructions from you. However, […] he could proceed even without your consent.”</w:t>
      </w:r>
      <w:r w:rsidR="00D9146A">
        <w:rPr>
          <w:rStyle w:val="FootnoteReference"/>
        </w:rPr>
        <w:footnoteReference w:id="50"/>
      </w:r>
      <w:r w:rsidR="007C6749">
        <w:t xml:space="preserve"> Despite the BIA categorising the Klamath as</w:t>
      </w:r>
      <w:r w:rsidR="004019D6">
        <w:t xml:space="preserve"> ready to manage their own affairs, in practice </w:t>
      </w:r>
      <w:r w:rsidR="007C6749">
        <w:t>the ‘predominantly Indian’ label established the tribe on a non-negotiable timeline for Termination and severely limited the tribal council’s capacity to self-govern</w:t>
      </w:r>
      <w:r w:rsidR="004019D6">
        <w:t>.</w:t>
      </w:r>
    </w:p>
    <w:p w:rsidR="00D9146A" w:rsidRDefault="00470867" w:rsidP="00316D06">
      <w:pPr>
        <w:spacing w:line="360" w:lineRule="auto"/>
        <w:ind w:firstLine="284"/>
      </w:pPr>
      <w:r>
        <w:t>Once their</w:t>
      </w:r>
      <w:r w:rsidR="00D9146A">
        <w:t xml:space="preserve"> lack of power became clear, tribal members increasingly </w:t>
      </w:r>
      <w:r>
        <w:t>objected very directly</w:t>
      </w:r>
      <w:r w:rsidR="00527E86">
        <w:t xml:space="preserve"> to Termination. A striking example is </w:t>
      </w:r>
      <w:r w:rsidR="00F11344">
        <w:t>an unn</w:t>
      </w:r>
      <w:r w:rsidR="00B64BD4">
        <w:t>amed female tribal member’s impassioned speech given during a late 1</w:t>
      </w:r>
      <w:r w:rsidR="00F11344">
        <w:t>957</w:t>
      </w:r>
      <w:r w:rsidR="00B64BD4">
        <w:t xml:space="preserve"> meeting</w:t>
      </w:r>
      <w:r w:rsidR="00D9146A">
        <w:t>: “[…] this public law is a means of robbing us of what we have left. We are not facing a troop of soldiers, it is just that little pamphlet that is taking from us what we own.”</w:t>
      </w:r>
      <w:r w:rsidR="00D9146A">
        <w:rPr>
          <w:rStyle w:val="FootnoteReference"/>
        </w:rPr>
        <w:footnoteReference w:id="51"/>
      </w:r>
      <w:r w:rsidR="00D9146A">
        <w:t xml:space="preserve"> Supporters of Crawford</w:t>
      </w:r>
      <w:r w:rsidR="003F76E7">
        <w:t xml:space="preserve"> also spoke out in this meeting. A</w:t>
      </w:r>
      <w:r w:rsidR="00D9146A">
        <w:t xml:space="preserve"> tribal member vi</w:t>
      </w:r>
      <w:r w:rsidR="003F76E7">
        <w:t>siting from California declared</w:t>
      </w:r>
      <w:r w:rsidR="00D9146A">
        <w:t xml:space="preserve"> herself a “Klamath Indian, but an American</w:t>
      </w:r>
      <w:r w:rsidR="004019D6">
        <w:t xml:space="preserve"> first”, demonstrating that particularly so</w:t>
      </w:r>
      <w:r w:rsidR="00B30380">
        <w:t>me off-reservation tribal members</w:t>
      </w:r>
      <w:r w:rsidR="00D9146A">
        <w:t xml:space="preserve"> continued to support Termination throughout this tumultuous period.</w:t>
      </w:r>
      <w:r w:rsidR="00D9146A">
        <w:rPr>
          <w:rStyle w:val="FootnoteReference"/>
        </w:rPr>
        <w:footnoteReference w:id="52"/>
      </w:r>
      <w:r w:rsidR="00D9146A">
        <w:t xml:space="preserve"> But most significantly, there was no </w:t>
      </w:r>
      <w:r w:rsidR="003F76E7">
        <w:t>more discussion</w:t>
      </w:r>
      <w:r w:rsidR="00D9146A">
        <w:t xml:space="preserve"> of moulding Termination legislation to Klamath needs, but rather delaying the process as long as possible – or repealing it altogether.</w:t>
      </w:r>
    </w:p>
    <w:p w:rsidR="00D62E3C" w:rsidRDefault="008D4E9A" w:rsidP="00D62E3C">
      <w:pPr>
        <w:spacing w:line="360" w:lineRule="auto"/>
        <w:ind w:firstLine="284"/>
      </w:pPr>
      <w:r>
        <w:t>In fact, many tribal members remained confused as to what the process of Termination involved and what it meant. At the January 1958 meeting described at the beginning of this article, an unnamed member of t</w:t>
      </w:r>
      <w:r w:rsidR="003F76E7">
        <w:t>he tribe asked directly</w:t>
      </w:r>
      <w:r>
        <w:t>: “What is it to withdraw?” This attests to the fact that there was confusion among the general membership of the tribe over the very central concepts of removing federal trust status</w:t>
      </w:r>
      <w:r w:rsidR="00B56361">
        <w:t xml:space="preserve">. </w:t>
      </w:r>
      <w:r w:rsidR="00F757AB">
        <w:t>Mor</w:t>
      </w:r>
      <w:r w:rsidR="003F76E7">
        <w:t>eover, t</w:t>
      </w:r>
      <w:r w:rsidR="00B56361">
        <w:t>his statement was made less than four months before all Klamath tribal members had to choose w</w:t>
      </w:r>
      <w:r w:rsidR="00D9146A">
        <w:t xml:space="preserve">hether </w:t>
      </w:r>
      <w:r w:rsidR="00B56361">
        <w:t>to personally</w:t>
      </w:r>
      <w:r w:rsidR="00D9146A">
        <w:t xml:space="preserve"> remain members of the tribal collective – to be managed by a private trustee – or to take their share of assets in cash and withdraw. </w:t>
      </w:r>
      <w:r w:rsidR="003F76E7">
        <w:t xml:space="preserve">In April 1958 </w:t>
      </w:r>
      <w:r w:rsidR="00D9146A">
        <w:t xml:space="preserve">78% of tribal members elected to withdraw from the tribe, leaving only 474 </w:t>
      </w:r>
      <w:r w:rsidR="003F33D0">
        <w:t>remaining</w:t>
      </w:r>
      <w:r w:rsidR="003F76E7">
        <w:t>. Later in the January</w:t>
      </w:r>
      <w:r w:rsidR="00D62E3C">
        <w:t xml:space="preserve"> </w:t>
      </w:r>
      <w:r w:rsidR="00D9146A">
        <w:t>meeting, a Mrs Lang similarly questioned what was planned for remaining members: “If I stay in and not withdraw, who is going to take care of me. […] Is the government going to send someone to sit in a swivel chair?”</w:t>
      </w:r>
      <w:r w:rsidR="00D9146A">
        <w:rPr>
          <w:rStyle w:val="FootnoteReference"/>
        </w:rPr>
        <w:footnoteReference w:id="53"/>
      </w:r>
      <w:r w:rsidR="00D62E3C">
        <w:t xml:space="preserve"> Mrs</w:t>
      </w:r>
      <w:r w:rsidR="00D9146A">
        <w:t xml:space="preserve"> L</w:t>
      </w:r>
      <w:r w:rsidR="008B57B5">
        <w:t xml:space="preserve">ang’s sarcastic comment </w:t>
      </w:r>
      <w:r w:rsidR="00364DBB">
        <w:t>highlighted</w:t>
      </w:r>
      <w:r w:rsidR="00D9146A">
        <w:t xml:space="preserve"> that the outcome was cleare</w:t>
      </w:r>
      <w:r w:rsidR="000B78EC">
        <w:t>r for those electing to withdraw</w:t>
      </w:r>
      <w:r w:rsidR="00D9146A">
        <w:t>: “Those who want to withdraw, they are supposed</w:t>
      </w:r>
      <w:r w:rsidR="00D62E3C">
        <w:t xml:space="preserve"> to take their money and land.” While a</w:t>
      </w:r>
      <w:r w:rsidR="00D62E3C" w:rsidRPr="001E5724">
        <w:t xml:space="preserve">nthropologist Patrick Haynal </w:t>
      </w:r>
      <w:r w:rsidR="00933785">
        <w:t>is hence justified</w:t>
      </w:r>
      <w:r w:rsidR="00D62E3C">
        <w:t xml:space="preserve"> in stating that</w:t>
      </w:r>
      <w:r w:rsidR="00494B4B">
        <w:t xml:space="preserve"> most Klamaths</w:t>
      </w:r>
      <w:r w:rsidR="00D62E3C" w:rsidRPr="001E5724">
        <w:t xml:space="preserve"> chose to withdraw becaus</w:t>
      </w:r>
      <w:r w:rsidR="00D62E3C">
        <w:t>e the “alternative was unclear”, these General Council minutes furthermore show that tribal members were still uncertain of the meaning of Termination mere months before taking part in this critical vote.</w:t>
      </w:r>
      <w:r w:rsidR="00D62E3C">
        <w:rPr>
          <w:rStyle w:val="FootnoteReference"/>
        </w:rPr>
        <w:footnoteReference w:id="54"/>
      </w:r>
    </w:p>
    <w:p w:rsidR="00D9146A" w:rsidRDefault="00D9146A" w:rsidP="003205DF">
      <w:pPr>
        <w:spacing w:line="360" w:lineRule="auto"/>
        <w:ind w:firstLine="284"/>
      </w:pPr>
      <w:r>
        <w:t xml:space="preserve">Furthermore, the minutes show that tribal members struggled to </w:t>
      </w:r>
      <w:r w:rsidR="00060627">
        <w:t>communicate with Louis Sigler, the</w:t>
      </w:r>
      <w:r>
        <w:t xml:space="preserve"> Department of the Interior representat</w:t>
      </w:r>
      <w:r w:rsidR="00060627">
        <w:t>ive present</w:t>
      </w:r>
      <w:r w:rsidR="008952C6">
        <w:t xml:space="preserve"> at the January meeting</w:t>
      </w:r>
      <w:r>
        <w:t>. The minutes state that a tribal member “speaking in the indian [sic] language requested an interpreter” and that the matter was discussed “between members of the audience and the Chairman, which was conducted in the indian [sic] language.”</w:t>
      </w:r>
      <w:r>
        <w:rPr>
          <w:rStyle w:val="FootnoteReference"/>
        </w:rPr>
        <w:footnoteReference w:id="55"/>
      </w:r>
      <w:r>
        <w:t xml:space="preserve">  Later Mrs Lang translated the comments of tribal member Maud Pompey, who claimed that “there are quite a number of us who don’t really understand it – and a lot of business is carried out without interpretation to us older members.” These statements from Klamath tribal members just months before having to choose whether to withdraw or remain, support the 1956 Stanford Research Institute survey</w:t>
      </w:r>
      <w:r w:rsidR="003220EA">
        <w:t>,</w:t>
      </w:r>
      <w:r>
        <w:t xml:space="preserve"> which found that only fourteen out of one hundred interviewed tribal members believed the tribe had requested Termination.</w:t>
      </w:r>
      <w:r>
        <w:rPr>
          <w:rStyle w:val="FootnoteReference"/>
        </w:rPr>
        <w:footnoteReference w:id="56"/>
      </w:r>
      <w:r>
        <w:t xml:space="preserve"> Both the survey’s findings and thes</w:t>
      </w:r>
      <w:r w:rsidR="003220EA">
        <w:t xml:space="preserve">e statements declaring confusion </w:t>
      </w:r>
      <w:r>
        <w:t>challenge federal claims that Termination was voluntary. Tribal members could not possibly consent to a policy that so many did not fully comprehend.</w:t>
      </w:r>
      <w:r w:rsidR="003220EA">
        <w:t xml:space="preserve"> Not only was </w:t>
      </w:r>
      <w:r w:rsidR="008952C6">
        <w:t>t</w:t>
      </w:r>
      <w:r w:rsidR="003220EA">
        <w:t>he Klamath General Council</w:t>
      </w:r>
      <w:r w:rsidR="008952C6">
        <w:t xml:space="preserve"> no longer</w:t>
      </w:r>
      <w:r w:rsidR="003220EA">
        <w:t xml:space="preserve"> able to</w:t>
      </w:r>
      <w:r w:rsidR="008952C6">
        <w:t xml:space="preserve"> negotiate the terms of Termination</w:t>
      </w:r>
      <w:r w:rsidR="003220EA">
        <w:t xml:space="preserve"> after PL 587</w:t>
      </w:r>
      <w:r w:rsidR="00214B36">
        <w:t xml:space="preserve"> was passed</w:t>
      </w:r>
      <w:r w:rsidR="003220EA">
        <w:t xml:space="preserve">, </w:t>
      </w:r>
      <w:r w:rsidR="00B4166F">
        <w:t>the BIA</w:t>
      </w:r>
      <w:r w:rsidR="008952C6">
        <w:t xml:space="preserve"> offered little explanation of what they were</w:t>
      </w:r>
      <w:r w:rsidR="00B4166F">
        <w:t xml:space="preserve"> to the broad membership of the tribe</w:t>
      </w:r>
      <w:r w:rsidR="008952C6">
        <w:t>.</w:t>
      </w:r>
    </w:p>
    <w:p w:rsidR="00D9146A" w:rsidRDefault="001F1077" w:rsidP="00BF31D5">
      <w:pPr>
        <w:spacing w:line="360" w:lineRule="auto"/>
        <w:ind w:firstLine="284"/>
      </w:pPr>
      <w:r>
        <w:t>After the 1958 electio</w:t>
      </w:r>
      <w:r w:rsidR="00B36B09">
        <w:t>n, discussion continued to</w:t>
      </w:r>
      <w:r>
        <w:t xml:space="preserve"> be held in the Klamath language. This was usually</w:t>
      </w:r>
      <w:r w:rsidR="00D9146A">
        <w:t xml:space="preserve"> not due to a lack of English skills, but rather in order to shut non-Klamaths out of these discussions. In June 1959 Delford Lang, a key Klamath political figure throughout t</w:t>
      </w:r>
      <w:r>
        <w:t>he Termination period, spoke</w:t>
      </w:r>
      <w:r w:rsidR="00D9146A">
        <w:t xml:space="preserve"> extensiv</w:t>
      </w:r>
      <w:r>
        <w:t>ely in “the Klamath language” about</w:t>
      </w:r>
      <w:r w:rsidR="00D9146A">
        <w:t xml:space="preserve"> a report by Jackson which called for Termination to be delayed for as long as possible. Lang only briefly commented on this in English, outlining the need for the Klamath tribe to maintain legal counsel: “We are going to court. That is why we need attorneys. That is why we need representatives to go to Washington to plead to the Secretary, Congressman, Senators.”</w:t>
      </w:r>
      <w:r w:rsidR="00D9146A">
        <w:rPr>
          <w:rStyle w:val="FootnoteReference"/>
        </w:rPr>
        <w:footnoteReference w:id="57"/>
      </w:r>
      <w:r w:rsidR="00D9146A">
        <w:t xml:space="preserve"> The minutes note that a BIA representative and Manageme</w:t>
      </w:r>
      <w:r w:rsidR="008225B7">
        <w:t>nt Specialist were – as with all Klamath</w:t>
      </w:r>
      <w:r>
        <w:t xml:space="preserve"> council meetings – present at this meeting</w:t>
      </w:r>
      <w:r w:rsidR="00D9146A">
        <w:t>. This potential Klamath court case ag</w:t>
      </w:r>
      <w:r w:rsidR="008225B7">
        <w:t xml:space="preserve">ainst the federal </w:t>
      </w:r>
      <w:r>
        <w:t>government</w:t>
      </w:r>
      <w:r w:rsidR="00D9146A">
        <w:t xml:space="preserve"> was followed by discussion in Klamath</w:t>
      </w:r>
      <w:r>
        <w:t xml:space="preserve"> with no English translation</w:t>
      </w:r>
      <w:r w:rsidR="00D9146A">
        <w:t>. These conversations thus demonstrate the agency of Klamath tribal council members in excluding outsiders from the conversation when necessary.</w:t>
      </w:r>
    </w:p>
    <w:p w:rsidR="003F33D0" w:rsidRDefault="00D9146A" w:rsidP="00095AA1">
      <w:pPr>
        <w:spacing w:line="360" w:lineRule="auto"/>
        <w:ind w:firstLine="284"/>
      </w:pPr>
      <w:r>
        <w:t>Therefore, though the Klamath were categorized by the BIA as ‘predominantly acculturated’, council discussions show that tribal members maintained use of the Klamath language throughout the period, particularly when planning resistance to termination. Klamath tribal repres</w:t>
      </w:r>
      <w:r w:rsidR="0046771C">
        <w:t>entatives initially tried to mo</w:t>
      </w:r>
      <w:r w:rsidR="005979C8">
        <w:t xml:space="preserve">ld the policy to gain more </w:t>
      </w:r>
      <w:r>
        <w:t xml:space="preserve">control of tribal administration and do away with BIA paternalism, but discussions shifted to vocal protest once it became clear the council would have little say in the </w:t>
      </w:r>
      <w:r w:rsidR="008F4149">
        <w:t xml:space="preserve">Termination </w:t>
      </w:r>
      <w:r>
        <w:t xml:space="preserve">process. </w:t>
      </w:r>
      <w:r w:rsidR="00922226">
        <w:t>The federal government’s categorisation of the tribe as ready to manage its own affairs in practice constricted</w:t>
      </w:r>
      <w:r w:rsidR="008F4149">
        <w:t xml:space="preserve"> the agency of Klamath political actors</w:t>
      </w:r>
      <w:r w:rsidR="00922226">
        <w:t xml:space="preserve"> –</w:t>
      </w:r>
      <w:r w:rsidR="008F4149">
        <w:t xml:space="preserve"> </w:t>
      </w:r>
      <w:r w:rsidR="00922226">
        <w:t>like Jackson, Lang and Kirk –</w:t>
      </w:r>
      <w:r w:rsidR="00C26963">
        <w:t xml:space="preserve"> who clearl</w:t>
      </w:r>
      <w:r w:rsidR="00922226">
        <w:t>y wished to maintain a cohesive and</w:t>
      </w:r>
      <w:r w:rsidR="00C26963">
        <w:t xml:space="preserve"> sovereign tribal government.</w:t>
      </w:r>
    </w:p>
    <w:p w:rsidR="00D9146A" w:rsidRDefault="00D9146A" w:rsidP="00095AA1">
      <w:pPr>
        <w:spacing w:line="360" w:lineRule="auto"/>
        <w:ind w:firstLine="284"/>
      </w:pPr>
      <w:r>
        <w:t>In contrast, the</w:t>
      </w:r>
      <w:r w:rsidR="00D354DD">
        <w:t xml:space="preserve"> minutes of the</w:t>
      </w:r>
      <w:r>
        <w:t xml:space="preserve"> Navajo Tribal Council </w:t>
      </w:r>
      <w:r w:rsidR="00D354DD">
        <w:t xml:space="preserve">demonstrate that the tribe was able to exercise considerable agency in negotiating its relationship with the federal policy of Termination. The tribe </w:t>
      </w:r>
      <w:r>
        <w:t>was consistently labelled ‘predominantly Indian’ by the BIA, due to their undeniable poverty, poor health and lack of formal schooling.</w:t>
      </w:r>
      <w:r>
        <w:rPr>
          <w:rStyle w:val="FootnoteReference"/>
        </w:rPr>
        <w:footnoteReference w:id="58"/>
      </w:r>
      <w:r>
        <w:t xml:space="preserve">  The tribe’s difficulties were well-known in both the press and government circles, with Congress passing the Navajo-Hopi Long Range Rehabilitation Bill in 1950</w:t>
      </w:r>
      <w:r w:rsidR="00214449">
        <w:t xml:space="preserve">, providing </w:t>
      </w:r>
      <w:r w:rsidR="00B84050">
        <w:t>$</w:t>
      </w:r>
      <w:r w:rsidR="00214449">
        <w:t>8</w:t>
      </w:r>
      <w:r w:rsidR="00B84050">
        <w:t>8</w:t>
      </w:r>
      <w:r w:rsidR="00214449">
        <w:t xml:space="preserve"> millio</w:t>
      </w:r>
      <w:r w:rsidR="00B84050">
        <w:t>n</w:t>
      </w:r>
      <w:r w:rsidR="00214449">
        <w:t xml:space="preserve"> to the tribes over a ten year period</w:t>
      </w:r>
      <w:r w:rsidR="00B84050">
        <w:t>, for the development of infrastructure including educational and health facilities</w:t>
      </w:r>
      <w:r>
        <w:t>.</w:t>
      </w:r>
      <w:r>
        <w:rPr>
          <w:rStyle w:val="FootnoteReference"/>
        </w:rPr>
        <w:footnoteReference w:id="59"/>
      </w:r>
      <w:r>
        <w:t xml:space="preserve"> Unlike the Klamath, the Navajo weathered the Termination period relatively well, partially due to government aid and a lucrative spell in the value of many of the tribe’s natural resources, like coal and uranium. Indeed, instead of ever being seriously considered for Termination, the ‘predominantly Indian’ tribe’s council consolidated its role as governing body and tripled its budget. Historian Peter Iverson has gone so far as to say that “[…] the termination movement helped inspire a Navajo nationalist movement.”</w:t>
      </w:r>
      <w:r>
        <w:rPr>
          <w:rStyle w:val="FootnoteReference"/>
        </w:rPr>
        <w:footnoteReference w:id="60"/>
      </w:r>
    </w:p>
    <w:p w:rsidR="00284E5D" w:rsidRPr="008471E1" w:rsidRDefault="00D9146A" w:rsidP="00284E5D">
      <w:pPr>
        <w:spacing w:line="360" w:lineRule="auto"/>
        <w:ind w:firstLine="284"/>
      </w:pPr>
      <w:r w:rsidRPr="008471E1">
        <w:t>Historian Andrew Needham has recently presented a more measured account of the expansion of the Navajo tribal government in the period, both linking it to the construction of Southwest energy infrastructure and emphasising the tribe’s lack of power over energy production.</w:t>
      </w:r>
      <w:r w:rsidRPr="008471E1">
        <w:rPr>
          <w:rStyle w:val="FootnoteReference"/>
        </w:rPr>
        <w:footnoteReference w:id="61"/>
      </w:r>
      <w:r w:rsidRPr="008471E1">
        <w:t xml:space="preserve"> Both Needham and Iverson prioritize other archival sources over tribal council minutes, de</w:t>
      </w:r>
      <w:r w:rsidR="008471E1" w:rsidRPr="008471E1">
        <w:t xml:space="preserve">spite detailed conversations surrounding both federal legislation and local programs </w:t>
      </w:r>
      <w:r w:rsidRPr="008471E1">
        <w:t>being recorde</w:t>
      </w:r>
      <w:r w:rsidR="00F6106A" w:rsidRPr="008471E1">
        <w:t>d in</w:t>
      </w:r>
      <w:r w:rsidR="008471E1" w:rsidRPr="008471E1">
        <w:t xml:space="preserve"> these files. </w:t>
      </w:r>
      <w:r w:rsidRPr="008471E1">
        <w:t>Nav</w:t>
      </w:r>
      <w:r w:rsidR="00F6106A" w:rsidRPr="008471E1">
        <w:t xml:space="preserve">ajo Tribal Council minutes </w:t>
      </w:r>
      <w:r w:rsidRPr="008471E1">
        <w:t>demonstrate how varied representatives within the council harnessed the language of federal policy to drive their own agenda, just as Klamath representatives attempted to</w:t>
      </w:r>
      <w:r w:rsidR="00B56E71">
        <w:t xml:space="preserve"> do</w:t>
      </w:r>
      <w:r w:rsidRPr="008471E1">
        <w:t xml:space="preserve"> before PL 587 was passed. As a result of the termination period, the Navajo and Klamath tribes effectively reversed their positions relative to tribal political strength and economic well-being. Comparing their tribal council minutes shows that without the pressure of immediate Ter</w:t>
      </w:r>
      <w:r w:rsidR="008471E1" w:rsidRPr="008471E1">
        <w:t xml:space="preserve">mination, the Navajo continued to harness </w:t>
      </w:r>
      <w:r w:rsidR="008471E1">
        <w:t>the rhetoric of Termination to t</w:t>
      </w:r>
      <w:r w:rsidR="008471E1" w:rsidRPr="008471E1">
        <w:t>heir own ends t</w:t>
      </w:r>
      <w:r w:rsidR="008471E1">
        <w:t>h</w:t>
      </w:r>
      <w:r w:rsidRPr="008471E1">
        <w:t>roughout the period, never expli</w:t>
      </w:r>
      <w:r w:rsidR="008471E1">
        <w:t>citly ruling out the removal of trust status at a later date</w:t>
      </w:r>
      <w:r w:rsidRPr="008471E1">
        <w:t>.</w:t>
      </w:r>
      <w:r w:rsidR="00DF05FC">
        <w:t xml:space="preserve"> The label of ‘predominantly Indian’ allowed the Navajo some space for political manoeuvre, as the BIA had no set plan of how to prepare tribes in this category for Termination in a matter of decades.</w:t>
      </w:r>
    </w:p>
    <w:p w:rsidR="00D9146A" w:rsidRDefault="0087277B" w:rsidP="0087277B">
      <w:pPr>
        <w:spacing w:line="360" w:lineRule="auto"/>
        <w:ind w:firstLine="284"/>
      </w:pPr>
      <w:r>
        <w:t xml:space="preserve">There was, however, a failed </w:t>
      </w:r>
      <w:r w:rsidR="00D714EA">
        <w:t xml:space="preserve">attempt </w:t>
      </w:r>
      <w:r>
        <w:t xml:space="preserve">to alter </w:t>
      </w:r>
      <w:r w:rsidR="000802E6">
        <w:t>the Navajo trust relationship</w:t>
      </w:r>
      <w:r w:rsidR="00D9146A">
        <w:t xml:space="preserve"> in the</w:t>
      </w:r>
      <w:r w:rsidR="000802E6">
        <w:t xml:space="preserve"> early</w:t>
      </w:r>
      <w:r w:rsidR="00D9146A">
        <w:t xml:space="preserve"> Termination period. In 1949 Representative Antonio Fernandez of New Mexico attempted to amend the Navajo-Hopi Rehabilitation Bill to extend state criminal jurisdiction over reservation lands – a clear precursor to PL 280.</w:t>
      </w:r>
      <w:r w:rsidR="00D9146A">
        <w:rPr>
          <w:rStyle w:val="FootnoteReference"/>
        </w:rPr>
        <w:footnoteReference w:id="62"/>
      </w:r>
      <w:r w:rsidR="00D9146A">
        <w:t xml:space="preserve"> </w:t>
      </w:r>
      <w:r w:rsidR="00351CE7">
        <w:t>The tribal council discussed the a</w:t>
      </w:r>
      <w:r w:rsidR="000F5BB3">
        <w:t>mendment</w:t>
      </w:r>
      <w:r w:rsidR="00D9146A">
        <w:t xml:space="preserve"> at length at an October 1949 special session organised by the tribal council in order to allow space for comment from tribal members.</w:t>
      </w:r>
      <w:r w:rsidR="00D9146A">
        <w:rPr>
          <w:rStyle w:val="FootnoteReference"/>
        </w:rPr>
        <w:footnoteReference w:id="63"/>
      </w:r>
      <w:r w:rsidR="00D9146A">
        <w:t xml:space="preserve"> In a previous meeting, the Navajo council had accepted the addition in order to hasten the acceptance of the Rehabilitation Bill, but the Advisory Committee called a special session to reintroduce the matter and eradicate it. The Advisory Committee, established in 1947, was led by long-standing Navajo tribal council members – those that Iverson terms the “Old Guard” – like Chairman Sam Ahkeah and former Vice-Chairman Howard Gorman. They depicted the Fernandez Amendment as a threat to unprepared Navajo tribal members, </w:t>
      </w:r>
      <w:r w:rsidR="00AC51D6">
        <w:t>asserting that</w:t>
      </w:r>
      <w:r w:rsidR="00D9146A">
        <w:t xml:space="preserve"> problems of illiteracy</w:t>
      </w:r>
      <w:r w:rsidR="00AC51D6">
        <w:t xml:space="preserve"> and poverty required attention</w:t>
      </w:r>
      <w:r w:rsidR="00D9146A">
        <w:t xml:space="preserve"> before tribal members could operate under state jurisdiction. </w:t>
      </w:r>
    </w:p>
    <w:p w:rsidR="00D9146A" w:rsidRDefault="00D9146A" w:rsidP="001C09F3">
      <w:pPr>
        <w:spacing w:line="360" w:lineRule="auto"/>
        <w:ind w:firstLine="284"/>
      </w:pPr>
      <w:r>
        <w:t>Long-term Advisory Committee member Zhealy Tso expressed his misgivings over state civil and criminal juri</w:t>
      </w:r>
      <w:r w:rsidR="004B31FE">
        <w:t>sdiction</w:t>
      </w:r>
      <w:r w:rsidR="00AC51D6">
        <w:t xml:space="preserve"> in terms of ‘childhood’</w:t>
      </w:r>
      <w:r>
        <w:t>: “But before we are able to stand on our feet, while still as children, not steady on our feet, many things are added on to this bill that we feel we are unable to take for the good benefit of our Navajo people.”</w:t>
      </w:r>
      <w:r>
        <w:rPr>
          <w:rStyle w:val="FootnoteReference"/>
        </w:rPr>
        <w:footnoteReference w:id="64"/>
      </w:r>
      <w:r>
        <w:t xml:space="preserve"> Tso here appeared to </w:t>
      </w:r>
      <w:r w:rsidR="004B31FE">
        <w:t>conform to the image of</w:t>
      </w:r>
      <w:r>
        <w:t xml:space="preserve"> “backwardness” propagated by the BIA in defining the Navajo as ‘predominantly Indian’ and thus n</w:t>
      </w:r>
      <w:r w:rsidR="004B31FE">
        <w:t>ot ready for Termination. Tso, a b</w:t>
      </w:r>
      <w:r>
        <w:t xml:space="preserve">oarding-school educated Chinle resident and former </w:t>
      </w:r>
      <w:r w:rsidR="004B31FE">
        <w:t xml:space="preserve">council </w:t>
      </w:r>
      <w:r>
        <w:t>Vic</w:t>
      </w:r>
      <w:r w:rsidR="004B31FE">
        <w:t>e-Chairman</w:t>
      </w:r>
      <w:r>
        <w:t>, had been involved in tribal politics since</w:t>
      </w:r>
      <w:r w:rsidR="004B31FE">
        <w:t xml:space="preserve"> the 1920s, when the BIA first founded the Navajo council as a body to rubberstamp oil leases</w:t>
      </w:r>
      <w:r>
        <w:t>.</w:t>
      </w:r>
      <w:r>
        <w:rPr>
          <w:rStyle w:val="FootnoteReference"/>
        </w:rPr>
        <w:footnoteReference w:id="65"/>
      </w:r>
      <w:r>
        <w:t xml:space="preserve"> His position of leadership within Navajo political circles was thus facilitated by BIA backing. Nevertheless, Tso here also commended Navajo resistance to BIA coercion, stating the Navajo as “a nation” had weathered the storms of stock reduction and “former commissioner Collier” attempting to “force the Navajos to accept the Reorganization Act.”</w:t>
      </w:r>
      <w:r>
        <w:rPr>
          <w:rStyle w:val="FootnoteReference"/>
        </w:rPr>
        <w:footnoteReference w:id="66"/>
      </w:r>
      <w:r w:rsidRPr="00282EC1">
        <w:t xml:space="preserve"> </w:t>
      </w:r>
      <w:r>
        <w:t>Taking into account Tso’s personal and cultural context instead indicates that his statement was a conscious tactical manoeuvre, rather than evidence of his having internalized social evolutionary ideology. By speaking in these terms, Tso balanced good relations with the BIA and the wishes of Navajos eager to eradicate federal involvement, particularly afte</w:t>
      </w:r>
      <w:r w:rsidR="004B31FE">
        <w:t xml:space="preserve">r the disasters of New Deal </w:t>
      </w:r>
      <w:r>
        <w:t>livestock reduction. Building on Diné scholar Larry Emerson’s claims that Navajo resistance to federal policy did not cease to exist between 1868 and the 1960s, Tso’s statement exemplifies the subtle inversion of federal policy characteristic of tribal delegates’ statements in the mid-twentieth century.</w:t>
      </w:r>
      <w:r>
        <w:rPr>
          <w:rStyle w:val="FootnoteReference"/>
        </w:rPr>
        <w:footnoteReference w:id="67"/>
      </w:r>
      <w:r>
        <w:t xml:space="preserve"> </w:t>
      </w:r>
    </w:p>
    <w:p w:rsidR="00570CA6" w:rsidRDefault="00570CA6" w:rsidP="00570CA6">
      <w:pPr>
        <w:spacing w:line="360" w:lineRule="auto"/>
        <w:ind w:firstLine="284"/>
        <w:jc w:val="center"/>
      </w:pPr>
      <w:r>
        <w:t>1951 NAVAJO TRIBAL COUNCIL IMAGE HERE</w:t>
      </w:r>
    </w:p>
    <w:p w:rsidR="00D9146A" w:rsidRDefault="001C75A8" w:rsidP="007C6836">
      <w:pPr>
        <w:spacing w:line="360" w:lineRule="auto"/>
        <w:ind w:firstLine="284"/>
      </w:pPr>
      <w:r>
        <w:t>Navajo representatives employed similar tactics to oppose</w:t>
      </w:r>
      <w:r w:rsidR="00D9146A">
        <w:t xml:space="preserve"> early 1950s terminationist policies. In a July 1953 meeting – just days before HCR 108 was passed – the tribal council discussed a draft bill put forward by Congress to allow individual members of any federally recognised tribe declared ‘competent’ by the BIA to withdraw their tribal membership and gain money and property held in trust for them. The council prepared a resolution opposing this bill, and Navajo representative Sam Gorman commented: “We have not got to the point </w:t>
      </w:r>
      <w:r w:rsidR="00D9146A" w:rsidRPr="00677D01">
        <w:rPr>
          <w:i/>
        </w:rPr>
        <w:t>as yet</w:t>
      </w:r>
      <w:r w:rsidR="00D9146A">
        <w:t xml:space="preserve"> where we can consider ourselves competent for withdrawal or for any limitations lifted as far as the Navajo Tribe is concerned.”</w:t>
      </w:r>
      <w:r w:rsidR="00D9146A">
        <w:rPr>
          <w:rStyle w:val="FootnoteReference"/>
        </w:rPr>
        <w:footnoteReference w:id="68"/>
      </w:r>
      <w:r w:rsidR="00D9146A">
        <w:t xml:space="preserve"> </w:t>
      </w:r>
      <w:r w:rsidR="00D9146A" w:rsidRPr="00AB3F4A">
        <w:t xml:space="preserve">Though Gorman here opposed allowing individual Natives to withdraw from their tribe, his statement did not explicitly reject the concept of withdrawal altogether. Rather, he specifically argued that the bill was not appropriate for the Navajo tribe </w:t>
      </w:r>
      <w:r w:rsidR="00D9146A" w:rsidRPr="00AB3F4A">
        <w:rPr>
          <w:i/>
        </w:rPr>
        <w:t>at the current time</w:t>
      </w:r>
      <w:r w:rsidR="00D9146A" w:rsidRPr="00AB3F4A">
        <w:t xml:space="preserve">. Inherent in this argument is the assumption that the tribe </w:t>
      </w:r>
      <w:r w:rsidR="00D9146A" w:rsidRPr="00AB3F4A">
        <w:rPr>
          <w:i/>
        </w:rPr>
        <w:t>would</w:t>
      </w:r>
      <w:r w:rsidR="00D9146A" w:rsidRPr="00AB3F4A">
        <w:t xml:space="preserve"> be ready at an indefinite point in the future. Critically, this statement was made at a point when Termination appeared as a potential threat to the sovereignty of the tribe. Gorman here demonstrated an ability to harness the rhetoric of Termination to oppose withdrawal, appearing to accept the belief that the tribe was lower on a scale of Euro-American societal development</w:t>
      </w:r>
      <w:r w:rsidR="00D9146A">
        <w:t xml:space="preserve"> in order to oppose immediate attempts to eradicate Navajo federal trust status</w:t>
      </w:r>
      <w:r w:rsidR="00D9146A" w:rsidRPr="00AB3F4A">
        <w:t xml:space="preserve">. </w:t>
      </w:r>
    </w:p>
    <w:p w:rsidR="00D9146A" w:rsidRDefault="00D9146A" w:rsidP="008D6DF5">
      <w:pPr>
        <w:spacing w:line="360" w:lineRule="auto"/>
        <w:ind w:firstLine="284"/>
      </w:pPr>
      <w:r w:rsidRPr="00AB3F4A">
        <w:t>The council’s public support for eventual federal withdrawal encouraged the government to provide the Navajo with</w:t>
      </w:r>
      <w:r>
        <w:t xml:space="preserve"> resources and programs</w:t>
      </w:r>
      <w:r w:rsidRPr="00AB3F4A">
        <w:t xml:space="preserve"> aimed at preparing for Termination, leading to</w:t>
      </w:r>
      <w:r w:rsidR="00CB00DF">
        <w:t xml:space="preserve"> </w:t>
      </w:r>
      <w:r w:rsidRPr="00AB3F4A">
        <w:t>economic and educational development.</w:t>
      </w:r>
      <w:r>
        <w:rPr>
          <w:rStyle w:val="FootnoteReference"/>
        </w:rPr>
        <w:footnoteReference w:id="69"/>
      </w:r>
      <w:r>
        <w:t xml:space="preserve"> Tribal council discussions furthermore indicate that Navajo representatives’ understandings of progress were quite different to the government’s focus on progression toward an indiv</w:t>
      </w:r>
      <w:r w:rsidR="007528D6">
        <w:t>idual</w:t>
      </w:r>
      <w:r w:rsidR="00431AC2">
        <w:t>ist system</w:t>
      </w:r>
      <w:r w:rsidR="00CB00DF">
        <w:t>. For instance, i</w:t>
      </w:r>
      <w:r>
        <w:t>n a 1958 meeting council member Roger Davis welcomed visiting government officials on behalf of the tribe, describing the progress seen on the Navajo reservation:</w:t>
      </w:r>
    </w:p>
    <w:p w:rsidR="00D9146A" w:rsidRDefault="00D9146A" w:rsidP="008D6DF5">
      <w:pPr>
        <w:spacing w:line="360" w:lineRule="auto"/>
        <w:ind w:left="567" w:right="567"/>
      </w:pPr>
      <w:r>
        <w:t>“Education has gone forward, water development has gone forward, the</w:t>
      </w:r>
      <w:r w:rsidR="00CB00DF">
        <w:t xml:space="preserve"> </w:t>
      </w:r>
      <w:r>
        <w:t>health standpoint of our people has been better, road improvement […]. We would like to have these gentlemen know that since they have been in the Washington office they have had in mind this great race of ours, the Navajo people and other Indian races of our Country.”</w:t>
      </w:r>
      <w:r>
        <w:rPr>
          <w:rStyle w:val="FootnoteReference"/>
        </w:rPr>
        <w:footnoteReference w:id="70"/>
      </w:r>
    </w:p>
    <w:p w:rsidR="00D9146A" w:rsidRDefault="00D9146A" w:rsidP="00366829">
      <w:pPr>
        <w:spacing w:line="360" w:lineRule="auto"/>
      </w:pPr>
      <w:r>
        <w:t>Davis, elected representative since 1939, strongly commended the administration for progress in socio-economic terms: better living standards and infrastructure throughout the reservation. He did not mention present or future federal withdrawal. Instead Davis encoded the ideas of advancement and progress with meanings relevant to</w:t>
      </w:r>
      <w:r w:rsidR="0076120B">
        <w:t xml:space="preserve"> the needs of the Navajo tribe</w:t>
      </w:r>
      <w:r>
        <w:t>, referring specifically to “this great race of ours”.</w:t>
      </w:r>
    </w:p>
    <w:p w:rsidR="00D9146A" w:rsidRDefault="00D9146A" w:rsidP="00C3742A">
      <w:pPr>
        <w:spacing w:line="360" w:lineRule="auto"/>
        <w:ind w:firstLine="284"/>
      </w:pPr>
      <w:r>
        <w:t>Significantly, the government officials Davis here commended were Senator Clinton Anderson (D-New Mexico) and Congressman Stewart Udal</w:t>
      </w:r>
      <w:r w:rsidR="003735A3">
        <w:t>l (D-Arizona). While Udall later beca</w:t>
      </w:r>
      <w:r>
        <w:t>me Secretary of the Interior and support</w:t>
      </w:r>
      <w:r w:rsidR="003735A3">
        <w:t>ed</w:t>
      </w:r>
      <w:r>
        <w:t xml:space="preserve"> expanding President Johnson’s War on Poverty programs to reservations, Anderson</w:t>
      </w:r>
      <w:r w:rsidR="003735A3">
        <w:t xml:space="preserve"> was a committed Terminationist. I</w:t>
      </w:r>
      <w:r>
        <w:t>n 1961</w:t>
      </w:r>
      <w:r w:rsidR="003735A3">
        <w:t xml:space="preserve"> Anderson </w:t>
      </w:r>
      <w:r w:rsidR="00C51577">
        <w:t xml:space="preserve">even </w:t>
      </w:r>
      <w:r w:rsidR="003735A3">
        <w:t>supported</w:t>
      </w:r>
      <w:r>
        <w:t xml:space="preserve"> a Comptroller General’s report which reco</w:t>
      </w:r>
      <w:r w:rsidR="00EE42CE">
        <w:t xml:space="preserve">mmended terminating tribes with or </w:t>
      </w:r>
      <w:r>
        <w:t>without their consent.</w:t>
      </w:r>
      <w:r>
        <w:rPr>
          <w:rStyle w:val="FootnoteReference"/>
        </w:rPr>
        <w:footnoteReference w:id="71"/>
      </w:r>
      <w:r>
        <w:t xml:space="preserve"> Nevertheless, Navajo Chairman Paul Jones supported Davis’ comments in this meeting, presenting a resolution to commend</w:t>
      </w:r>
      <w:r w:rsidR="00680C5C">
        <w:t xml:space="preserve"> Anderson and Udall</w:t>
      </w:r>
      <w:r>
        <w:t xml:space="preserve"> for their success in securing congressional support for Navajo road construction and irrigation projects. Anderson expressed his appreciation of the council’s commendations, praising the Navajo for implementing sensible economic development plans: “We know what you can do when you determine to do well by yourselves – you are not only the largest but you are going to be the richest tribe America has ever known.”</w:t>
      </w:r>
      <w:r>
        <w:rPr>
          <w:rStyle w:val="FootnoteReference"/>
        </w:rPr>
        <w:footnoteReference w:id="72"/>
      </w:r>
      <w:r>
        <w:t xml:space="preserve"> Anderson did not mention Termination in his speech to the ‘predominantly Indian’ Navajo Tribal Council, but this patronizing statement indicates he considered infrastructural development a means of supporting the economic growth of the tribe – a clear prerequisite to Termination according to Zimmerman’s criteria.</w:t>
      </w:r>
    </w:p>
    <w:p w:rsidR="00D9146A" w:rsidRDefault="00D9146A" w:rsidP="00DA25DD">
      <w:pPr>
        <w:spacing w:line="360" w:lineRule="auto"/>
        <w:ind w:firstLine="284"/>
      </w:pPr>
      <w:r>
        <w:t>In his examination of the Navajo Tribal Council’s motivations for engaging with energ</w:t>
      </w:r>
      <w:r w:rsidR="00C51577">
        <w:t>y resource development</w:t>
      </w:r>
      <w:r>
        <w:t>, Needham claims Chairman Paul Jones (1955-1963) viewed tribal business development as a necessary means of protecting against “the inevitable withdrawal of federal support and possible termination”.</w:t>
      </w:r>
      <w:r>
        <w:rPr>
          <w:rStyle w:val="FootnoteReference"/>
        </w:rPr>
        <w:footnoteReference w:id="73"/>
      </w:r>
      <w:r>
        <w:t xml:space="preserve"> However, Navajo Tribal Council minutes demonstra</w:t>
      </w:r>
      <w:r w:rsidR="00C51577">
        <w:t>te</w:t>
      </w:r>
      <w:r>
        <w:t xml:space="preserve"> Navajo representatives </w:t>
      </w:r>
      <w:r w:rsidR="00C51577">
        <w:t>subtly resisted the erosion of their federal trust status by consciously deploying terminationist concepts</w:t>
      </w:r>
      <w:r>
        <w:t xml:space="preserve">. As Udall and Anderson’s successful backing of Navajo bills in Congress attests, presenting the tribe as </w:t>
      </w:r>
      <w:r w:rsidR="00F13E4C">
        <w:t xml:space="preserve">being </w:t>
      </w:r>
      <w:r>
        <w:t>on a trajectory toward eventua</w:t>
      </w:r>
      <w:r w:rsidR="0076120B">
        <w:t>l T</w:t>
      </w:r>
      <w:r>
        <w:t>ermination furthermore helped the tribe secure funds for infrastructural and economic development. These findings complicate Needham’s argument; council minutes ind</w:t>
      </w:r>
      <w:r w:rsidR="0076120B">
        <w:t>icate that rather than viewing T</w:t>
      </w:r>
      <w:r>
        <w:t>ermination as inevitable, Navajo leaders were adept at turning the rhetoric of withdrawal to their advantage.</w:t>
      </w:r>
    </w:p>
    <w:p w:rsidR="00D9146A" w:rsidRDefault="00D9146A" w:rsidP="001E3463">
      <w:pPr>
        <w:spacing w:line="360" w:lineRule="auto"/>
        <w:ind w:firstLine="284"/>
      </w:pPr>
      <w:r>
        <w:t>Furthermore, tribal council members continued to prioritise Navajo identity and cultural traditions throughout the 1950s, even in discussions of “progress” or “de</w:t>
      </w:r>
      <w:r w:rsidR="00D95959">
        <w:t>velopment”. For instance, in this</w:t>
      </w:r>
      <w:r>
        <w:t xml:space="preserve"> meeting with Udall and Anderson, Annie Wauneka, the second ever female delegate of the Navajo Tribal Council, expressed her appreciation of the federal representatives by situating them within the Navajo clan system: “We Navajos have a way and have tradition as to how to recognize a friend and someone that we can support. This is done through what we know as a Clan System.”</w:t>
      </w:r>
      <w:r>
        <w:rPr>
          <w:rStyle w:val="FootnoteReference"/>
        </w:rPr>
        <w:footnoteReference w:id="74"/>
      </w:r>
      <w:r>
        <w:t xml:space="preserve">  Wauneka wished to know details of Udall’s race so that she could ascribe the correct Diné term to him, in order to “go back to [her] people and inform them that we have such a man as our sincere friend.”</w:t>
      </w:r>
      <w:r>
        <w:rPr>
          <w:rStyle w:val="FootnoteReference"/>
        </w:rPr>
        <w:footnoteReference w:id="75"/>
      </w:r>
      <w:r>
        <w:t xml:space="preserve"> Wauneka, the daughter of well-respected for</w:t>
      </w:r>
      <w:r w:rsidR="008458FF">
        <w:t xml:space="preserve">mer council chairman </w:t>
      </w:r>
      <w:r>
        <w:t>Chee Dodge, was an active political force within the tribe throughout her thirty year</w:t>
      </w:r>
      <w:r w:rsidR="008458FF">
        <w:t>s on the council. Having spent her life on Navajo lands</w:t>
      </w:r>
      <w:r>
        <w:t>, Wauneka was able to operate according to Diné values even in interacting with federal officials.</w:t>
      </w:r>
      <w:r>
        <w:rPr>
          <w:rStyle w:val="FootnoteReference"/>
        </w:rPr>
        <w:footnoteReference w:id="76"/>
      </w:r>
      <w:r>
        <w:t xml:space="preserve"> Her wish to locate Udall and Anderson within the Diné clan system attests to these qualities, and her refusal to acculturate into Euro-American society. </w:t>
      </w:r>
    </w:p>
    <w:p w:rsidR="00D9146A" w:rsidRDefault="00D9146A" w:rsidP="00BC20E7">
      <w:pPr>
        <w:spacing w:line="360" w:lineRule="auto"/>
        <w:ind w:firstLine="284"/>
      </w:pPr>
      <w:r>
        <w:t>As a woman, Wauneka furthermore contended with the tension between “matricentered” Diné society and BIA structures.</w:t>
      </w:r>
      <w:r>
        <w:rPr>
          <w:rStyle w:val="FootnoteReference"/>
        </w:rPr>
        <w:footnoteReference w:id="77"/>
      </w:r>
      <w:r>
        <w:t xml:space="preserve"> While Wauneka herself maintained Diné cultural values in both her political work and personal life, the fact she was the only woman on the tribal council attests to the essentially patriarchal Euro-American s</w:t>
      </w:r>
      <w:r w:rsidR="00F13E4C">
        <w:t>tructures imposed</w:t>
      </w:r>
      <w:r>
        <w:t xml:space="preserve"> by the BIA. The paternalist attitude of federal officials continued to impact on the tribal council even as representatives worked to gain more autonomy over their affairs throughout the termination period. This is most explicitly evident in a 1960 speech by Commissioner of Indian Affairs Glenn Emmons to the Navajo Tribal Council, in which he aligned his relationship with the tribe to that of a father and child: “I hope I haven’t bored you too much, but I am trying to speak as a father who has lots of love and affection for his family, and for his children, not as if I were someone who was an outsider, and we didn’t have mutual faith in each other.”</w:t>
      </w:r>
      <w:r>
        <w:rPr>
          <w:rStyle w:val="FootnoteReference"/>
        </w:rPr>
        <w:footnoteReference w:id="78"/>
      </w:r>
      <w:r>
        <w:t xml:space="preserve"> Emmons undoubtedly had a close relationship with the Navajo; the tribal council vocally supported the appointment of the Gallup-native as BIA Commissioner.</w:t>
      </w:r>
      <w:r>
        <w:rPr>
          <w:rStyle w:val="FootnoteReference"/>
        </w:rPr>
        <w:footnoteReference w:id="79"/>
      </w:r>
      <w:r>
        <w:t xml:space="preserve"> Emmons grew up in the vicinity of the Navajo reservation and cultivated personal relationships with tribal members, meaning he was likely aware of the cultural significance of family and the clan system to the Navajo. According to the Diné value of </w:t>
      </w:r>
      <w:r>
        <w:rPr>
          <w:i/>
        </w:rPr>
        <w:t>k’é</w:t>
      </w:r>
      <w:r>
        <w:t>, an individual is bound in solidarity to their family, clan, people, environment, plants, animals, and all of heavenly creation.</w:t>
      </w:r>
      <w:r>
        <w:rPr>
          <w:rStyle w:val="FootnoteReference"/>
        </w:rPr>
        <w:footnoteReference w:id="80"/>
      </w:r>
      <w:r>
        <w:t xml:space="preserve"> In the context of the tribal council meeting, Emmons’ statement thus took on additional significance, assuming a reciprocal respect between the Commissioner and council delegates.</w:t>
      </w:r>
    </w:p>
    <w:p w:rsidR="00D9146A" w:rsidRDefault="00D9146A" w:rsidP="00BC20E7">
      <w:pPr>
        <w:spacing w:line="360" w:lineRule="auto"/>
        <w:ind w:firstLine="284"/>
      </w:pPr>
      <w:r>
        <w:t xml:space="preserve"> While Diné cultural values provide necessary context for understanding Emmons’s statement, the underlying message remains inherently paternalistic; the Commissioner presumed he knew better than the council. Following this final statement, Emmons promptly left the council chamber and did not return to answer questions. His actions thus contradicted his claims</w:t>
      </w:r>
      <w:r w:rsidR="00680C5C">
        <w:t xml:space="preserve"> of reciprocity with the Navajo</w:t>
      </w:r>
      <w:r>
        <w:t>. Wauneka highlighted this irony, demanding</w:t>
      </w:r>
      <w:r w:rsidR="001A4348">
        <w:t xml:space="preserve"> that Emmons comment on reports of </w:t>
      </w:r>
      <w:r>
        <w:t xml:space="preserve">abuse in a Flagstaff </w:t>
      </w:r>
      <w:r w:rsidR="001A4348">
        <w:t xml:space="preserve">BIA </w:t>
      </w:r>
      <w:r>
        <w:t>school.</w:t>
      </w:r>
      <w:r>
        <w:rPr>
          <w:rStyle w:val="FootnoteReference"/>
        </w:rPr>
        <w:footnoteReference w:id="81"/>
      </w:r>
      <w:r>
        <w:t xml:space="preserve"> Wauneka drew on Emmons’s analogy of fatherhood to criticise him, stating: “I wanted to ask Mr. Emmons to hear this, inasmuch as he told us he was talking to us as a father talking to his family, but now he has left the Hall. […] I guess I better stop because it seems I am not talking to anyone in particular.”</w:t>
      </w:r>
      <w:r>
        <w:rPr>
          <w:rStyle w:val="FootnoteReference"/>
        </w:rPr>
        <w:footnoteReference w:id="82"/>
      </w:r>
      <w:r>
        <w:t xml:space="preserve"> This presents a counter-example to the earlier childhood imagery employed by council members like Zhealy Tso in subtly resisting Terminationist policy, demonstrating that tribal members – particularly the famously outspok</w:t>
      </w:r>
      <w:r w:rsidR="00166B5D">
        <w:t>en Wauneka – did openly criticize</w:t>
      </w:r>
      <w:r>
        <w:t xml:space="preserve"> the BIA when necessary.</w:t>
      </w:r>
    </w:p>
    <w:p w:rsidR="00D9146A" w:rsidRDefault="00A4159C" w:rsidP="00C11267">
      <w:pPr>
        <w:spacing w:line="360" w:lineRule="auto"/>
        <w:ind w:firstLine="284"/>
      </w:pPr>
      <w:r>
        <w:t>As Emmons spoke to the Navajo in clearly</w:t>
      </w:r>
      <w:r w:rsidR="00D9146A">
        <w:t xml:space="preserve"> paternalist te</w:t>
      </w:r>
      <w:r w:rsidR="001F4A60">
        <w:t>rms, the Klamath tribe was due to be terminated just months later in</w:t>
      </w:r>
      <w:r w:rsidR="00D9146A">
        <w:t xml:space="preserve"> 1961. Emmons even mentioned the Klamath in speaking to the Navajo </w:t>
      </w:r>
      <w:r w:rsidR="001F4A60">
        <w:t>council, listing them</w:t>
      </w:r>
      <w:r w:rsidR="00D9146A">
        <w:t xml:space="preserve"> among examples of tribes that had “foolishly” spent their tribal income and warning the Navajo against doing the same.</w:t>
      </w:r>
      <w:r w:rsidR="00D9146A">
        <w:rPr>
          <w:rStyle w:val="FootnoteReference"/>
        </w:rPr>
        <w:footnoteReference w:id="83"/>
      </w:r>
      <w:r w:rsidR="00D9146A">
        <w:t xml:space="preserve">  Emmons thus falsely implied that the Klamath had chosen Termination and planned their economic management. This reinforced the message from Secretary of the Interior Seaton communicated to the</w:t>
      </w:r>
      <w:r w:rsidR="001F4A60">
        <w:t xml:space="preserve"> Navajo Tribal Council in 1958 – </w:t>
      </w:r>
      <w:r w:rsidR="00D9146A">
        <w:t xml:space="preserve">that Termination </w:t>
      </w:r>
      <w:r w:rsidR="00F66940">
        <w:t>had always been</w:t>
      </w:r>
      <w:r w:rsidR="00D9146A">
        <w:t xml:space="preserve"> voluntary. As the Klamath General Council minutes show, that was certainly not the case. While the Navajo Tribal Council did not openly challenge Emmons on this point about Terminated tribes, Wauneka’s criticism of Emmons is significant in that it demonstrates that tribal members did not take BIA statements at face value.</w:t>
      </w:r>
    </w:p>
    <w:p w:rsidR="00D9146A" w:rsidRDefault="000C62A7" w:rsidP="00A80054">
      <w:pPr>
        <w:spacing w:line="360" w:lineRule="auto"/>
        <w:ind w:firstLine="284"/>
      </w:pPr>
      <w:r>
        <w:t>T</w:t>
      </w:r>
      <w:r w:rsidR="00D9146A">
        <w:t>he early 1960s presented a political turni</w:t>
      </w:r>
      <w:r w:rsidR="00CA3AE4">
        <w:t xml:space="preserve">ng point for the Navajo </w:t>
      </w:r>
      <w:r w:rsidR="007C5436">
        <w:t xml:space="preserve">council. </w:t>
      </w:r>
      <w:r w:rsidR="00D9146A">
        <w:t>Raymond Nakai,</w:t>
      </w:r>
      <w:r w:rsidR="00680C5C">
        <w:t xml:space="preserve"> a new figure in tribal politics,</w:t>
      </w:r>
      <w:r w:rsidR="00D9146A">
        <w:t xml:space="preserve"> was elected chairman in 1963. Nakai pushed against the tactics of “Old Guard” tribal council members, pledging in his campaign to introduce a tribal constitution and further legitimize the council as the governing body of the tribe.</w:t>
      </w:r>
      <w:r w:rsidR="00D9146A">
        <w:rPr>
          <w:rStyle w:val="FootnoteReference"/>
        </w:rPr>
        <w:footnoteReference w:id="84"/>
      </w:r>
      <w:r w:rsidR="00D9146A">
        <w:t xml:space="preserve"> Indeed in his inaugural speech, following English and Diné language introductions, Nakai spoke of sovereignty. Promising to lead the “Navajo Nation” in adopting a written Constitution, Nakai declared: “I shall never voluntarily surrender the ancient sovereignty of the Navajo people, (applause) or barter it away bit by bit, to private interests or other governments […].”</w:t>
      </w:r>
      <w:r w:rsidR="00D9146A">
        <w:rPr>
          <w:rStyle w:val="FootnoteReference"/>
        </w:rPr>
        <w:footnoteReference w:id="85"/>
      </w:r>
      <w:r w:rsidR="00D9146A">
        <w:t xml:space="preserve"> This explicit statement of Navajo rights to</w:t>
      </w:r>
      <w:r w:rsidR="00166B5D">
        <w:t xml:space="preserve"> self-deter</w:t>
      </w:r>
      <w:r w:rsidR="00330273">
        <w:t>mination</w:t>
      </w:r>
      <w:r w:rsidR="00166B5D">
        <w:t xml:space="preserve"> </w:t>
      </w:r>
      <w:r w:rsidR="00D9146A">
        <w:t>contrasts starkly to the early 1950s references to the tribe as “not yet” ready for Termination. Nakai, a popular radio presenter in Flagstaff, sparked a shift in tribal affairs and consternation among established council representatives. That he was popularly ele</w:t>
      </w:r>
      <w:r w:rsidR="00330273">
        <w:t>cted at this point</w:t>
      </w:r>
      <w:r w:rsidR="00D9146A">
        <w:t xml:space="preserve"> indicates a deep-rooted dissatisfactio</w:t>
      </w:r>
      <w:r w:rsidR="00330273">
        <w:t>n in tribal politics among the broader tribal membership</w:t>
      </w:r>
      <w:r w:rsidR="00D9146A">
        <w:t>. From the early 1960s and Nakai’s inauguration onwards, self-determination became the main focus of tribal discussions. Though disagreements were rife about how further control over</w:t>
      </w:r>
      <w:r w:rsidR="00330273">
        <w:t xml:space="preserve"> tribal affairs was to be attained</w:t>
      </w:r>
      <w:r w:rsidR="00D9146A">
        <w:t>, Termination was no longer spoken of as inevitable.</w:t>
      </w:r>
    </w:p>
    <w:p w:rsidR="00681E85" w:rsidRDefault="00D9146A" w:rsidP="00840478">
      <w:pPr>
        <w:spacing w:line="360" w:lineRule="auto"/>
        <w:ind w:firstLine="284"/>
      </w:pPr>
      <w:r>
        <w:t>A shift in federal Indian policy away from fast-paced Termination could account for this change in Navajo tribal council discussions. In his exposition of the development of Navajo tribal energy industries, Needham claims that Termination was effectively finished by the late 19</w:t>
      </w:r>
      <w:r w:rsidR="00710C28">
        <w:t>50s due to increasing criticism</w:t>
      </w:r>
      <w:r>
        <w:t>. Ho</w:t>
      </w:r>
      <w:r w:rsidR="00703B5A">
        <w:t xml:space="preserve">wever, he erroneously claims that no </w:t>
      </w:r>
      <w:r>
        <w:t>tribes were terminated after the 1958 California Rancheria Termination Act.</w:t>
      </w:r>
      <w:r>
        <w:rPr>
          <w:rStyle w:val="FootnoteReference"/>
        </w:rPr>
        <w:footnoteReference w:id="86"/>
      </w:r>
      <w:r>
        <w:t xml:space="preserve"> In actual fact, the Nebraska Ponca were the final tribe to be terminated, with their 1962 Termination Act ending trust status in 1966. Moreover, the Oklahoma Choctaw Termination Act was very nearly realized in 1970, being repealed just one day before it was set to take effect.</w:t>
      </w:r>
      <w:r>
        <w:rPr>
          <w:rStyle w:val="FootnoteReference"/>
        </w:rPr>
        <w:footnoteReference w:id="87"/>
      </w:r>
      <w:r w:rsidR="00CA3AE4">
        <w:t xml:space="preserve"> </w:t>
      </w:r>
      <w:r>
        <w:t>Navajo tribal members</w:t>
      </w:r>
      <w:r w:rsidR="00E52B20">
        <w:t xml:space="preserve"> certainly</w:t>
      </w:r>
      <w:r>
        <w:t xml:space="preserve"> did not forget about Termination and continued to view it as a threat even into the mid-1960s. In a 1962 meeting council representative Ned Plummer (Crownpoint, New Mexico), asked the tribal superintendent Glenn Landbloom to comment on potential changes to Public Law 280, stating “I think we should be better informed on that.”</w:t>
      </w:r>
      <w:r>
        <w:rPr>
          <w:rStyle w:val="FootnoteReference"/>
        </w:rPr>
        <w:footnoteReference w:id="88"/>
      </w:r>
      <w:r>
        <w:t xml:space="preserve"> </w:t>
      </w:r>
    </w:p>
    <w:p w:rsidR="00D9146A" w:rsidRDefault="00681E85" w:rsidP="00840478">
      <w:pPr>
        <w:spacing w:line="360" w:lineRule="auto"/>
        <w:ind w:firstLine="284"/>
      </w:pPr>
      <w:r>
        <w:t>Tribal members continued to express concerns about losing federal trust status as late as December 1964.</w:t>
      </w:r>
      <w:r w:rsidR="00D9146A">
        <w:t xml:space="preserve"> James Moloney, a non</w:t>
      </w:r>
      <w:r>
        <w:t xml:space="preserve">-delegate present at a meeting that month, </w:t>
      </w:r>
      <w:r w:rsidR="00D9146A">
        <w:t>spoke out criticising the council for not properly representing the wishes of their Navajo constituents: “It would be a shame if the bureau should release us of our responsibility. They are still our guardians and we are in their trusteeship. If they should release us to the state, I don’t think this Tribe would prosper at all under that administration […].”</w:t>
      </w:r>
      <w:r w:rsidR="00D9146A">
        <w:rPr>
          <w:rStyle w:val="FootnoteReference"/>
        </w:rPr>
        <w:footnoteReference w:id="89"/>
      </w:r>
      <w:r w:rsidR="008644FA">
        <w:t>Moloney’s statement presents an important example of the range of voices available in tribal council minutes. W</w:t>
      </w:r>
      <w:r w:rsidR="00D9146A">
        <w:t xml:space="preserve">hile </w:t>
      </w:r>
      <w:r w:rsidR="008644FA">
        <w:t>council representatives often purposely</w:t>
      </w:r>
      <w:r w:rsidR="00D9146A">
        <w:t xml:space="preserve"> left the option of Termination in the futur</w:t>
      </w:r>
      <w:r w:rsidR="008644FA">
        <w:t>e open, other tribal members spoke explicitly spoke out against</w:t>
      </w:r>
      <w:r w:rsidR="00D9146A">
        <w:t xml:space="preserve"> changes to federal trust status.</w:t>
      </w:r>
      <w:r w:rsidR="008644FA">
        <w:t xml:space="preserve"> </w:t>
      </w:r>
    </w:p>
    <w:p w:rsidR="00D9146A" w:rsidRPr="00C919DB" w:rsidRDefault="00D9146A" w:rsidP="00DA5831">
      <w:pPr>
        <w:spacing w:line="360" w:lineRule="auto"/>
        <w:ind w:firstLine="284"/>
      </w:pPr>
      <w:r>
        <w:t xml:space="preserve">Only in the mid-1960s, as the effects of Termination on tribes like the Klamath became more publically apparent did more vocal opposition to the policy occur in Navajo tribal council meetings. Due to being faced immediately with Termination, Klamath tribal members </w:t>
      </w:r>
      <w:r w:rsidR="0032340D">
        <w:t xml:space="preserve">began to vocally oppose the removal of trust status </w:t>
      </w:r>
      <w:r>
        <w:t>as early as in 1954 and 1955, referring to the Treaty of 1864’s guarantee of land for the Klamath, Modoc and Yahooskin Paiute people</w:t>
      </w:r>
      <w:r w:rsidR="00EF34BE">
        <w:t>s</w:t>
      </w:r>
      <w:r>
        <w:t>.</w:t>
      </w:r>
      <w:r>
        <w:rPr>
          <w:rStyle w:val="FootnoteReference"/>
        </w:rPr>
        <w:footnoteReference w:id="90"/>
      </w:r>
      <w:r>
        <w:t xml:space="preserve"> Rather than indicating that Klamath tribal members were more opposed to Termination than the Navajo, the strength of Klamath statements is indicative of the difference in situations faced by the two tribes. The Navajo, with Termination not set for a specific point in the future, could play </w:t>
      </w:r>
      <w:r w:rsidR="00F66940">
        <w:t xml:space="preserve">up federal rhetoric </w:t>
      </w:r>
      <w:r w:rsidR="001E6B5C">
        <w:t>of degrees of ‘acculturation’</w:t>
      </w:r>
      <w:r>
        <w:t xml:space="preserve"> to oppose wi</w:t>
      </w:r>
      <w:r w:rsidR="00E858F8">
        <w:t xml:space="preserve">thdrawal of the tribe’s trust </w:t>
      </w:r>
      <w:r>
        <w:t>status, whilst maintaining good federal relations and benefitting from development policies. Klamath tribal members, with PL 587 already passed and a faction of the tribe still supporting withdrawal, did not have the space to manoeuvre against Termination in any way other than through staunch, aggressive opposition.</w:t>
      </w:r>
      <w:r w:rsidR="001E6B5C">
        <w:t xml:space="preserve"> These questionable labels imposed by the federal government hence acted to limit the agency of ‘predominantly acculturated’ tribes, whilst allowing more space for ‘predominantly Indian’ tribes to manoeuvre politically.</w:t>
      </w:r>
    </w:p>
    <w:p w:rsidR="00D9146A" w:rsidRDefault="00D9146A" w:rsidP="00B33CE9">
      <w:pPr>
        <w:spacing w:line="360" w:lineRule="auto"/>
        <w:ind w:firstLine="284"/>
      </w:pPr>
      <w:r>
        <w:t>Navajo socio-economic growth</w:t>
      </w:r>
      <w:r w:rsidRPr="005214BA">
        <w:t xml:space="preserve">, in </w:t>
      </w:r>
      <w:r>
        <w:t>a period when</w:t>
      </w:r>
      <w:r w:rsidRPr="005214BA">
        <w:t xml:space="preserve"> policy </w:t>
      </w:r>
      <w:r>
        <w:t>aimed at</w:t>
      </w:r>
      <w:r w:rsidRPr="005214BA">
        <w:t xml:space="preserve"> trust status remov</w:t>
      </w:r>
      <w:r>
        <w:t>al, hinged</w:t>
      </w:r>
      <w:r w:rsidR="00176579">
        <w:t xml:space="preserve"> on their ability to deploy</w:t>
      </w:r>
      <w:r w:rsidRPr="005214BA">
        <w:t xml:space="preserve"> the rhetoric of ‘developm</w:t>
      </w:r>
      <w:r>
        <w:t>ent’ and ‘progress’ and imbue</w:t>
      </w:r>
      <w:r w:rsidRPr="005214BA">
        <w:t xml:space="preserve"> it wit</w:t>
      </w:r>
      <w:r w:rsidR="001E6B5C">
        <w:t>h meanings relevant to themselves</w:t>
      </w:r>
      <w:r w:rsidRPr="005214BA">
        <w:t xml:space="preserve">. In the early 1950s, the Klamath, too, were </w:t>
      </w:r>
      <w:r>
        <w:t>exercising this agency,</w:t>
      </w:r>
      <w:r w:rsidRPr="005214BA">
        <w:t xml:space="preserve"> considering options for a “voluntary”, individually-</w:t>
      </w:r>
      <w:r>
        <w:t>based withdrawal bill that may</w:t>
      </w:r>
      <w:r w:rsidRPr="005214BA">
        <w:t xml:space="preserve"> have avoided the Termination of the entire tribe. But after PL 587 was passed, official governmen</w:t>
      </w:r>
      <w:r>
        <w:t>t definitions of ‘withdrawal’ and ‘T</w:t>
      </w:r>
      <w:r w:rsidRPr="005214BA">
        <w:t>ermination’ could no longer be</w:t>
      </w:r>
      <w:r>
        <w:t xml:space="preserve"> contested or re-coded</w:t>
      </w:r>
      <w:r w:rsidRPr="005214BA">
        <w:t xml:space="preserve"> by Klamath members, as they had very real, immediate implications for the future of the tribe.</w:t>
      </w:r>
      <w:r>
        <w:t xml:space="preserve"> Instead, o</w:t>
      </w:r>
      <w:r w:rsidRPr="005214BA">
        <w:t>utright and vocal resistance, coupled with clear expressions of a lack of unde</w:t>
      </w:r>
      <w:r>
        <w:t>rstanding of the Termination process, emerged in</w:t>
      </w:r>
      <w:r w:rsidRPr="005214BA">
        <w:t xml:space="preserve"> Klamath G</w:t>
      </w:r>
      <w:r>
        <w:t xml:space="preserve">eneral Council meetings. </w:t>
      </w:r>
      <w:r w:rsidRPr="005214BA">
        <w:t xml:space="preserve">Once PL 587 had passed, it no longer mattered how the Klamath interpreted the </w:t>
      </w:r>
      <w:r>
        <w:t>federal rhetoric of Termination; the</w:t>
      </w:r>
      <w:r w:rsidRPr="005214BA">
        <w:t xml:space="preserve"> tribe had to deal with the consequences of losing federal trust status</w:t>
      </w:r>
      <w:r>
        <w:t xml:space="preserve"> as Congress defined it</w:t>
      </w:r>
      <w:r w:rsidRPr="005214BA">
        <w:t>. In such a position, vocal and explicit opposition to withdrawal and the paternalism inherent in the process was the only viable option of protest.</w:t>
      </w:r>
    </w:p>
    <w:p w:rsidR="00D9146A" w:rsidRDefault="00E858F8" w:rsidP="00B33CE9">
      <w:pPr>
        <w:spacing w:line="360" w:lineRule="auto"/>
        <w:ind w:firstLine="284"/>
      </w:pPr>
      <w:r>
        <w:t>Statements describing the</w:t>
      </w:r>
      <w:r w:rsidR="00D9146A">
        <w:t xml:space="preserve"> Termination Act </w:t>
      </w:r>
      <w:r>
        <w:t>as “robbing” the Klamath people</w:t>
      </w:r>
      <w:r w:rsidR="00D9146A">
        <w:t xml:space="preserve"> unfortunately made little impact, being both entirely ignored in government circles at the time and overlooked in historiography to date.  Both Klamath and Navajo tribal councils, despite </w:t>
      </w:r>
      <w:r>
        <w:t>being placed at opposite ends of federal withdrawal plans,</w:t>
      </w:r>
      <w:r w:rsidR="003938AA">
        <w:t xml:space="preserve"> spoke about federal policy</w:t>
      </w:r>
      <w:r>
        <w:t xml:space="preserve"> throughout the period</w:t>
      </w:r>
      <w:r w:rsidR="003938AA">
        <w:t>. Before Termination</w:t>
      </w:r>
      <w:r w:rsidR="00D9146A">
        <w:t xml:space="preserve"> legislation was passed, neither council</w:t>
      </w:r>
      <w:r w:rsidR="003938AA">
        <w:t xml:space="preserve"> explicitly rejected the idea of altering trust status</w:t>
      </w:r>
      <w:r w:rsidR="00A75351">
        <w:t>. Instead, members of both councils</w:t>
      </w:r>
      <w:r w:rsidR="00D9146A">
        <w:t xml:space="preserve"> attempted to adapt it to the benefit of the</w:t>
      </w:r>
      <w:r w:rsidR="00B81B2D">
        <w:t>ir</w:t>
      </w:r>
      <w:r w:rsidR="00D9146A">
        <w:t xml:space="preserve"> tribe, with the Klamath hoping to gain further control over tribal affairs and the Navajo wishing to secure federal funding to support infrastructural development. This subtle resistance was shaped by the strong links both tribal councils had to the BIA, depending on the bureau for </w:t>
      </w:r>
      <w:r w:rsidR="00176579">
        <w:t>their legitimacy as representing</w:t>
      </w:r>
      <w:r w:rsidR="00D9146A">
        <w:t xml:space="preserve"> their tribes. Due to the power structures inherent in this relationship, openly opposing federal policy was a risky venture for council representatives, with the Klamath o</w:t>
      </w:r>
      <w:r w:rsidR="00875CEA">
        <w:t>nly turning to vocal opposition when it</w:t>
      </w:r>
      <w:r w:rsidR="00B81B2D">
        <w:t xml:space="preserve"> became clear just how little say they had over the Termination process.</w:t>
      </w:r>
    </w:p>
    <w:p w:rsidR="00D9146A" w:rsidRDefault="00D9146A" w:rsidP="001B05BC">
      <w:pPr>
        <w:spacing w:line="360" w:lineRule="auto"/>
        <w:ind w:firstLine="284"/>
      </w:pPr>
      <w:r>
        <w:t>Indeed, the clearest opposition to Termination tended to come from tribal members who were not elected tribal representatives – like unnamed Klamath speakers or James Moloney (Navajo). All members could attend general council meetings of both tribes, and – as this article has shown – not only elite, government-backed male leaders spoke. The fre</w:t>
      </w:r>
      <w:r w:rsidR="00195480">
        <w:t>quency with which unnamed individual</w:t>
      </w:r>
      <w:r>
        <w:t xml:space="preserve">s – particularly in the Klamath General Council – spoke up in meetings equally demonstrates that councils granted space for ordinary tribal members to express their concerns about Termination. Furthermore, out of the tribal council delegates of both tribes here considered, only Wade Crawford continued to </w:t>
      </w:r>
      <w:r w:rsidR="00195480">
        <w:t xml:space="preserve">consistently </w:t>
      </w:r>
      <w:r>
        <w:t>support federal policy after Termination legislation was passed. Instead, tribal councils largely exercised explicit and implicit methods of opposition to it throughout the period. Whether the BIA listened to these voices is another matter altogether. Heedless of the objections of many tribal members, the</w:t>
      </w:r>
      <w:r w:rsidR="00195480">
        <w:t xml:space="preserve"> Klamath</w:t>
      </w:r>
      <w:r>
        <w:t xml:space="preserve"> tribe was terminated with devastating results. In contrast, the Navajo tribe weathered this era fairly well, avoiding aspects of withdrawal to instead work with federal officials and gain greater self-determination as Termination waned in the 1960s. </w:t>
      </w:r>
      <w:r w:rsidR="006648FC">
        <w:t xml:space="preserve">Though neither council had comprehensive control over the implementation of federal policy on their tribe, </w:t>
      </w:r>
      <w:r w:rsidR="00F65D50">
        <w:t xml:space="preserve">the federal blueprint for Termination </w:t>
      </w:r>
      <w:r w:rsidR="006648FC">
        <w:t>had a significantly shaped the extent to which Native political actors could impact on it. As the BIA held no clear</w:t>
      </w:r>
      <w:r w:rsidR="00F65D50">
        <w:t xml:space="preserve"> plans for how ‘predominantly Indian’ tribes were to be prepared for the eventual re</w:t>
      </w:r>
      <w:r w:rsidR="006648FC">
        <w:t xml:space="preserve">moval of trust status, </w:t>
      </w:r>
      <w:r w:rsidR="00AD1094">
        <w:t>the council representatives of such tribes</w:t>
      </w:r>
      <w:r w:rsidR="00F65D50">
        <w:t xml:space="preserve"> </w:t>
      </w:r>
      <w:r w:rsidR="006648FC">
        <w:t>were able to harness the rhetoric of ‘progress’ to their advantage.</w:t>
      </w:r>
    </w:p>
    <w:p w:rsidR="00B33CE9" w:rsidRDefault="00D9146A" w:rsidP="00B33CE9">
      <w:pPr>
        <w:spacing w:line="360" w:lineRule="auto"/>
        <w:ind w:firstLine="284"/>
      </w:pPr>
      <w:r>
        <w:t>Termination had very real consequences for tribes like the Klamath, which lost their trust status. Though restored in 1986, the Klamath Tribes today still struggle with the economic, social and psychological legacies of having not officially ‘existed’ for fifteen years.</w:t>
      </w:r>
      <w:r>
        <w:rPr>
          <w:rStyle w:val="FootnoteReference"/>
        </w:rPr>
        <w:footnoteReference w:id="91"/>
      </w:r>
      <w:r>
        <w:t xml:space="preserve"> </w:t>
      </w:r>
      <w:r w:rsidR="00B33CE9">
        <w:t xml:space="preserve">The Navajo, though strengthening political and judicial structures of a sovereign nation in this period, nevertheless </w:t>
      </w:r>
      <w:r w:rsidR="00A45FA3">
        <w:t xml:space="preserve">subtly </w:t>
      </w:r>
      <w:r w:rsidR="00B33CE9">
        <w:t xml:space="preserve">opposed the withdrawal of services throughout, </w:t>
      </w:r>
      <w:r w:rsidR="00C02B70">
        <w:t>speaking more openly of</w:t>
      </w:r>
      <w:r w:rsidR="00A15944">
        <w:t xml:space="preserve"> sovereignty </w:t>
      </w:r>
      <w:r w:rsidR="00C02B70">
        <w:t>but remaining wary of Termination in the 1960s</w:t>
      </w:r>
      <w:r w:rsidR="00B33CE9">
        <w:t xml:space="preserve">. </w:t>
      </w:r>
      <w:r w:rsidR="001B05BC">
        <w:t>Examining how tribal counci</w:t>
      </w:r>
      <w:r w:rsidR="009B35CC">
        <w:t>ls navigated federal Indian</w:t>
      </w:r>
      <w:r w:rsidR="001B05BC">
        <w:t xml:space="preserve"> policy enlightens our understanding of </w:t>
      </w:r>
      <w:r w:rsidR="009B35CC">
        <w:t>its development</w:t>
      </w:r>
      <w:r w:rsidR="001B05BC">
        <w:t xml:space="preserve"> on a </w:t>
      </w:r>
      <w:r w:rsidR="003C61DE">
        <w:t>local and nation</w:t>
      </w:r>
      <w:r w:rsidR="009B35CC">
        <w:t>al level, with tribal representatives in BIA-monitored meetings attempting to mould</w:t>
      </w:r>
      <w:r w:rsidR="003C61DE">
        <w:t xml:space="preserve"> federal policy to their own purposes – as far as conceivably possible. </w:t>
      </w:r>
      <w:r w:rsidR="00B33CE9">
        <w:t xml:space="preserve">Only by weaving tribally-specific research into policy history can the implications of </w:t>
      </w:r>
      <w:r w:rsidR="00B71828">
        <w:t>federal</w:t>
      </w:r>
      <w:r w:rsidR="00337FEB">
        <w:t xml:space="preserve"> legislation</w:t>
      </w:r>
      <w:r w:rsidR="00B33CE9">
        <w:t xml:space="preserve"> and reactions to it among Native American communities be better understood. </w:t>
      </w:r>
      <w:r w:rsidR="00924277">
        <w:t xml:space="preserve">Tribal council minutes, when read critically, offer </w:t>
      </w:r>
      <w:r w:rsidR="00075807">
        <w:t>astute</w:t>
      </w:r>
      <w:r w:rsidR="00924277">
        <w:t xml:space="preserve"> insight into how Native political actors negotiated Indian policy with federal officials, as well as </w:t>
      </w:r>
      <w:r w:rsidR="00820C59">
        <w:t xml:space="preserve">evidence of how </w:t>
      </w:r>
      <w:r w:rsidR="00924277">
        <w:t>intratribal decision-making</w:t>
      </w:r>
      <w:r w:rsidR="00820C59">
        <w:t xml:space="preserve"> worked in different contexts</w:t>
      </w:r>
      <w:r w:rsidR="00924277">
        <w:t xml:space="preserve">. </w:t>
      </w:r>
      <w:r w:rsidR="00B33CE9">
        <w:t>A criti</w:t>
      </w:r>
      <w:r w:rsidR="0014753E">
        <w:t>cal examination of sour</w:t>
      </w:r>
      <w:r w:rsidR="009B35CC">
        <w:t>ces like tribal council minutes</w:t>
      </w:r>
      <w:r w:rsidR="00B33CE9">
        <w:t xml:space="preserve"> shed fresh light on the ways in which Native Americans negotiated federal policy, </w:t>
      </w:r>
      <w:r w:rsidR="00661AB0">
        <w:t>and demonstrates why these voices should not be ignored</w:t>
      </w:r>
      <w:r w:rsidR="00B33CE9">
        <w:t>.</w:t>
      </w:r>
    </w:p>
    <w:p w:rsidR="00B33CE9" w:rsidRDefault="00B33CE9" w:rsidP="00672A08">
      <w:pPr>
        <w:spacing w:line="360" w:lineRule="auto"/>
        <w:ind w:firstLine="284"/>
      </w:pPr>
    </w:p>
    <w:p w:rsidR="004E27A1" w:rsidRDefault="004E27A1" w:rsidP="002A7C44">
      <w:pPr>
        <w:spacing w:line="360" w:lineRule="auto"/>
        <w:ind w:firstLine="284"/>
      </w:pPr>
    </w:p>
    <w:p w:rsidR="002A7C44" w:rsidRDefault="002A7C44" w:rsidP="002A7C44">
      <w:pPr>
        <w:spacing w:line="360" w:lineRule="auto"/>
        <w:ind w:firstLine="284"/>
      </w:pPr>
    </w:p>
    <w:sectPr w:rsidR="002A7C44">
      <w:headerReference w:type="default" r:id="rId7"/>
      <w:footerReference w:type="default" r:id="rId8"/>
      <w:endnotePr>
        <w:numFmt w:val="decimal"/>
      </w:endnotePr>
      <w:pgSz w:w="11906" w:h="16838"/>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4290F" w:rsidRDefault="0044290F" w:rsidP="009E43B0">
      <w:pPr>
        <w:spacing w:before="0" w:after="0" w:line="240" w:lineRule="auto"/>
      </w:pPr>
      <w:r>
        <w:separator/>
      </w:r>
    </w:p>
  </w:endnote>
  <w:endnote w:type="continuationSeparator" w:id="0">
    <w:p w:rsidR="0044290F" w:rsidRDefault="0044290F" w:rsidP="009E43B0">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01767430"/>
      <w:docPartObj>
        <w:docPartGallery w:val="Page Numbers (Bottom of Page)"/>
        <w:docPartUnique/>
      </w:docPartObj>
    </w:sdtPr>
    <w:sdtEndPr/>
    <w:sdtContent>
      <w:p w:rsidR="00C0599F" w:rsidRDefault="00C0599F">
        <w:pPr>
          <w:pStyle w:val="Footer"/>
          <w:jc w:val="right"/>
        </w:pPr>
        <w:r>
          <w:fldChar w:fldCharType="begin"/>
        </w:r>
        <w:r>
          <w:instrText>PAGE   \* MERGEFORMAT</w:instrText>
        </w:r>
        <w:r>
          <w:fldChar w:fldCharType="separate"/>
        </w:r>
        <w:r w:rsidR="00B72739" w:rsidRPr="00B72739">
          <w:rPr>
            <w:noProof/>
            <w:lang w:val="fi-FI"/>
          </w:rPr>
          <w:t>1</w:t>
        </w:r>
        <w:r>
          <w:fldChar w:fldCharType="end"/>
        </w:r>
      </w:p>
    </w:sdtContent>
  </w:sdt>
  <w:p w:rsidR="00C0599F" w:rsidRDefault="00C0599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4290F" w:rsidRDefault="0044290F" w:rsidP="009E43B0">
      <w:pPr>
        <w:spacing w:before="0" w:after="0" w:line="240" w:lineRule="auto"/>
      </w:pPr>
      <w:r>
        <w:separator/>
      </w:r>
    </w:p>
  </w:footnote>
  <w:footnote w:type="continuationSeparator" w:id="0">
    <w:p w:rsidR="0044290F" w:rsidRDefault="0044290F" w:rsidP="009E43B0">
      <w:pPr>
        <w:spacing w:before="0" w:after="0" w:line="240" w:lineRule="auto"/>
      </w:pPr>
      <w:r>
        <w:continuationSeparator/>
      </w:r>
    </w:p>
  </w:footnote>
  <w:footnote w:id="1">
    <w:p w:rsidR="00D9146A" w:rsidRPr="00664B4A" w:rsidRDefault="00D9146A">
      <w:pPr>
        <w:pStyle w:val="FootnoteText"/>
      </w:pPr>
      <w:r>
        <w:rPr>
          <w:rStyle w:val="FootnoteReference"/>
        </w:rPr>
        <w:footnoteRef/>
      </w:r>
      <w:r>
        <w:t xml:space="preserve"> Klamath General Council, 25 January 1958, </w:t>
      </w:r>
      <w:r>
        <w:rPr>
          <w:i/>
        </w:rPr>
        <w:t xml:space="preserve">Major Council Meetings of American Indian Tribes, 1957-1970, Part Two, Section II </w:t>
      </w:r>
      <w:r>
        <w:t xml:space="preserve">(microfilm, held: Arizona State University), Reel X (Hereafter cited as: </w:t>
      </w:r>
      <w:r>
        <w:rPr>
          <w:i/>
        </w:rPr>
        <w:t>MCMAIT, 2/II</w:t>
      </w:r>
      <w:r>
        <w:t>).</w:t>
      </w:r>
    </w:p>
  </w:footnote>
  <w:footnote w:id="2">
    <w:p w:rsidR="00D9146A" w:rsidRPr="00B3129B" w:rsidRDefault="00D9146A">
      <w:pPr>
        <w:pStyle w:val="FootnoteText"/>
      </w:pPr>
      <w:r>
        <w:rPr>
          <w:rStyle w:val="FootnoteReference"/>
        </w:rPr>
        <w:footnoteRef/>
      </w:r>
      <w:r>
        <w:t xml:space="preserve"> </w:t>
      </w:r>
      <w:r w:rsidR="00F10ED0">
        <w:t>The Klamath Tribes today use the plural form to reflect their Klamath, Modoc and Yahooskin membership</w:t>
      </w:r>
      <w:r>
        <w:t>.</w:t>
      </w:r>
      <w:r w:rsidR="00F10ED0">
        <w:t xml:space="preserve"> Here, the form “</w:t>
      </w:r>
      <w:r w:rsidR="00F20E35">
        <w:t xml:space="preserve">the </w:t>
      </w:r>
      <w:r w:rsidR="00F10ED0">
        <w:t xml:space="preserve">Klamath tribe” will be used </w:t>
      </w:r>
      <w:r w:rsidR="00F20E35">
        <w:t>to reflect the phrase</w:t>
      </w:r>
      <w:r w:rsidR="00F10ED0">
        <w:t xml:space="preserve"> commonly used by tribal members before Termination.</w:t>
      </w:r>
    </w:p>
  </w:footnote>
  <w:footnote w:id="3">
    <w:p w:rsidR="00D9146A" w:rsidRPr="00441E47" w:rsidRDefault="00D9146A">
      <w:pPr>
        <w:pStyle w:val="FootnoteText"/>
      </w:pPr>
      <w:r>
        <w:rPr>
          <w:rStyle w:val="FootnoteReference"/>
        </w:rPr>
        <w:footnoteRef/>
      </w:r>
      <w:r>
        <w:t xml:space="preserve"> ‘House Concurrent Resolution 108’, in Francis Paul Prucha (ed.),</w:t>
      </w:r>
      <w:r>
        <w:rPr>
          <w:i/>
        </w:rPr>
        <w:t xml:space="preserve"> Documents of United States Indian Policy </w:t>
      </w:r>
      <w:r>
        <w:t>(Lincoln, 1990), 234.</w:t>
      </w:r>
    </w:p>
  </w:footnote>
  <w:footnote w:id="4">
    <w:p w:rsidR="00D9146A" w:rsidRPr="00AF3C24" w:rsidRDefault="00D9146A">
      <w:pPr>
        <w:pStyle w:val="FootnoteText"/>
      </w:pPr>
      <w:r>
        <w:rPr>
          <w:rStyle w:val="FootnoteReference"/>
        </w:rPr>
        <w:footnoteRef/>
      </w:r>
      <w:r>
        <w:t xml:space="preserve"> </w:t>
      </w:r>
      <w:r w:rsidRPr="00AF3C24">
        <w:t>Ibid, 234-5.</w:t>
      </w:r>
    </w:p>
  </w:footnote>
  <w:footnote w:id="5">
    <w:p w:rsidR="00D9146A" w:rsidRPr="00C9130C" w:rsidRDefault="00D9146A">
      <w:pPr>
        <w:pStyle w:val="FootnoteText"/>
      </w:pPr>
      <w:r>
        <w:rPr>
          <w:rStyle w:val="FootnoteReference"/>
        </w:rPr>
        <w:footnoteRef/>
      </w:r>
      <w:r>
        <w:t xml:space="preserve"> </w:t>
      </w:r>
      <w:r w:rsidRPr="00C9130C">
        <w:t>Navajo Tribal Council,</w:t>
      </w:r>
      <w:r>
        <w:t xml:space="preserve"> 6 October 1958,</w:t>
      </w:r>
      <w:r w:rsidRPr="00C9130C">
        <w:t xml:space="preserve"> </w:t>
      </w:r>
      <w:r>
        <w:rPr>
          <w:i/>
        </w:rPr>
        <w:t>Major Council Meetings of American Indian Tribes, 1957-1970</w:t>
      </w:r>
      <w:r>
        <w:t xml:space="preserve">, </w:t>
      </w:r>
      <w:r>
        <w:rPr>
          <w:i/>
        </w:rPr>
        <w:t>Part 2, Section I</w:t>
      </w:r>
      <w:r>
        <w:t xml:space="preserve"> (microfilm, held: Arizona State University), Reel III (hereafter cited as: </w:t>
      </w:r>
      <w:r>
        <w:rPr>
          <w:i/>
        </w:rPr>
        <w:t>MCMAIT, 2/I</w:t>
      </w:r>
      <w:r>
        <w:t>).</w:t>
      </w:r>
    </w:p>
  </w:footnote>
  <w:footnote w:id="6">
    <w:p w:rsidR="00D9146A" w:rsidRPr="0039007D" w:rsidRDefault="00D9146A">
      <w:pPr>
        <w:pStyle w:val="FootnoteText"/>
      </w:pPr>
      <w:r>
        <w:rPr>
          <w:rStyle w:val="FootnoteReference"/>
        </w:rPr>
        <w:footnoteRef/>
      </w:r>
      <w:r>
        <w:t xml:space="preserve"> Donald Fixico, </w:t>
      </w:r>
      <w:r>
        <w:rPr>
          <w:i/>
        </w:rPr>
        <w:t>Termination and Relocation</w:t>
      </w:r>
      <w:r w:rsidR="00F20E35">
        <w:rPr>
          <w:i/>
        </w:rPr>
        <w:t>: Federal Indian Policy, 1945-1960</w:t>
      </w:r>
      <w:r>
        <w:t xml:space="preserve"> (Albuquerque, 1989); Kenneth Philp, </w:t>
      </w:r>
      <w:r>
        <w:rPr>
          <w:i/>
        </w:rPr>
        <w:t>Termination Revisited</w:t>
      </w:r>
      <w:r w:rsidR="00F20E35">
        <w:rPr>
          <w:i/>
        </w:rPr>
        <w:t>: American Indians on the Trail to Self-Determination, 1933-1953</w:t>
      </w:r>
      <w:r>
        <w:t xml:space="preserve"> (Lincoln, 1999).</w:t>
      </w:r>
    </w:p>
  </w:footnote>
  <w:footnote w:id="7">
    <w:p w:rsidR="00D9146A" w:rsidRPr="00804D72" w:rsidRDefault="00D9146A">
      <w:pPr>
        <w:pStyle w:val="FootnoteText"/>
      </w:pPr>
      <w:r>
        <w:rPr>
          <w:rStyle w:val="FootnoteReference"/>
        </w:rPr>
        <w:footnoteRef/>
      </w:r>
      <w:r>
        <w:t xml:space="preserve"> These include Nicholas Peroff, </w:t>
      </w:r>
      <w:r>
        <w:rPr>
          <w:i/>
        </w:rPr>
        <w:t>Menominee Drums: Tribal Termination and Restoration, 1954-1974</w:t>
      </w:r>
      <w:r>
        <w:t xml:space="preserve"> (Norman, 1982); Charles Wilkinson, </w:t>
      </w:r>
      <w:r>
        <w:rPr>
          <w:i/>
        </w:rPr>
        <w:t>The People Are Dancing Again: the history of the Siletz tribe of western Oregon</w:t>
      </w:r>
      <w:r>
        <w:t xml:space="preserve"> (Seattle, 2010); David Beck, </w:t>
      </w:r>
      <w:r>
        <w:rPr>
          <w:i/>
        </w:rPr>
        <w:t>Seeking Recognition: The Termination and Restoration of the Coos, Lower Umpqua, and Siuslaw Indians, 1855-1984</w:t>
      </w:r>
      <w:r>
        <w:t xml:space="preserve"> (Lincoln, 2009).</w:t>
      </w:r>
    </w:p>
  </w:footnote>
  <w:footnote w:id="8">
    <w:p w:rsidR="00D9146A" w:rsidRPr="00191255" w:rsidRDefault="00D9146A">
      <w:pPr>
        <w:pStyle w:val="FootnoteText"/>
      </w:pPr>
      <w:r>
        <w:rPr>
          <w:rStyle w:val="FootnoteReference"/>
        </w:rPr>
        <w:footnoteRef/>
      </w:r>
      <w:r>
        <w:t xml:space="preserve"> Key works include Edward Valandra, </w:t>
      </w:r>
      <w:r>
        <w:rPr>
          <w:i/>
        </w:rPr>
        <w:t xml:space="preserve">Not Without Our Consent: Lakota Resistance to Termination, 1950-59 </w:t>
      </w:r>
      <w:r>
        <w:t xml:space="preserve">(Urbana, 2006); Valerie Lambert, </w:t>
      </w:r>
      <w:r>
        <w:rPr>
          <w:i/>
        </w:rPr>
        <w:t>Choctaw Nation: A Story of American Indian Resurgence</w:t>
      </w:r>
      <w:r>
        <w:t xml:space="preserve"> (Lincoln, 2007); Laurie Arnold, </w:t>
      </w:r>
      <w:r>
        <w:rPr>
          <w:i/>
        </w:rPr>
        <w:t xml:space="preserve">Bartering with the Bones of Their Dead: The Colville Confederated Tribes and Termination </w:t>
      </w:r>
      <w:r>
        <w:t>(Seattle, 2012).</w:t>
      </w:r>
    </w:p>
  </w:footnote>
  <w:footnote w:id="9">
    <w:p w:rsidR="00D9146A" w:rsidRPr="00FB5584" w:rsidRDefault="00D9146A">
      <w:pPr>
        <w:pStyle w:val="FootnoteText"/>
      </w:pPr>
      <w:r>
        <w:rPr>
          <w:rStyle w:val="FootnoteReference"/>
        </w:rPr>
        <w:footnoteRef/>
      </w:r>
      <w:r>
        <w:t xml:space="preserve"> See Chapter 2 on Colville tribal council discussions of the 1961 termination bill: Arnold, </w:t>
      </w:r>
      <w:r>
        <w:rPr>
          <w:i/>
        </w:rPr>
        <w:t>Bartering with the Bones</w:t>
      </w:r>
      <w:r>
        <w:t>, 33-49.</w:t>
      </w:r>
    </w:p>
  </w:footnote>
  <w:footnote w:id="10">
    <w:p w:rsidR="000D16E3" w:rsidRPr="00F418FA" w:rsidRDefault="000D16E3" w:rsidP="000D16E3">
      <w:pPr>
        <w:pStyle w:val="FootnoteText"/>
      </w:pPr>
      <w:r>
        <w:rPr>
          <w:rStyle w:val="FootnoteReference"/>
        </w:rPr>
        <w:footnoteRef/>
      </w:r>
      <w:r>
        <w:t xml:space="preserve"> Daniel Cobb, ‘”Us Indians Understand the Basics”: Oklahoma Indians and the Politics of Community Action, 1967-1970’, </w:t>
      </w:r>
      <w:r>
        <w:rPr>
          <w:i/>
        </w:rPr>
        <w:t>Western Historical Quarterly</w:t>
      </w:r>
      <w:r>
        <w:t>, 33:1 (Spring, 2002): 44-5.</w:t>
      </w:r>
    </w:p>
  </w:footnote>
  <w:footnote w:id="11">
    <w:p w:rsidR="00F94302" w:rsidRPr="003D1F8B" w:rsidRDefault="00F94302" w:rsidP="00F94302">
      <w:pPr>
        <w:pStyle w:val="FootnoteText"/>
      </w:pPr>
      <w:r>
        <w:rPr>
          <w:rStyle w:val="FootnoteReference"/>
        </w:rPr>
        <w:footnoteRef/>
      </w:r>
      <w:r w:rsidR="00764989">
        <w:t xml:space="preserve"> See criticisms</w:t>
      </w:r>
      <w:r>
        <w:t xml:space="preserve"> expressed by young Native participants of the early 1960s annual Workshop on American Indian Affairs, Daniel Cobb, </w:t>
      </w:r>
      <w:r>
        <w:rPr>
          <w:i/>
        </w:rPr>
        <w:t>Native Activism in Cold War America: The Struggle for Sovereignty</w:t>
      </w:r>
      <w:r>
        <w:t xml:space="preserve"> (Lawrence, 2006), 71-9.</w:t>
      </w:r>
    </w:p>
  </w:footnote>
  <w:footnote w:id="12">
    <w:p w:rsidR="00F94302" w:rsidRPr="00FC7A06" w:rsidRDefault="00F94302" w:rsidP="00F94302">
      <w:pPr>
        <w:pStyle w:val="FootnoteText"/>
      </w:pPr>
      <w:r>
        <w:rPr>
          <w:rStyle w:val="FootnoteReference"/>
        </w:rPr>
        <w:footnoteRef/>
      </w:r>
      <w:r>
        <w:t xml:space="preserve"> From 1906 onwards the US president appointed, for instance, the Oklahoma Choctaw chairman. Lambert, </w:t>
      </w:r>
      <w:r>
        <w:rPr>
          <w:i/>
        </w:rPr>
        <w:t>Choctaw Nation</w:t>
      </w:r>
      <w:r>
        <w:t>, 57.</w:t>
      </w:r>
    </w:p>
  </w:footnote>
  <w:footnote w:id="13">
    <w:p w:rsidR="00F94302" w:rsidRPr="00AC1EA3" w:rsidRDefault="00F94302" w:rsidP="00F94302">
      <w:pPr>
        <w:pStyle w:val="FootnoteText"/>
      </w:pPr>
      <w:r>
        <w:rPr>
          <w:rStyle w:val="FootnoteReference"/>
        </w:rPr>
        <w:footnoteRef/>
      </w:r>
      <w:r>
        <w:t xml:space="preserve"> David Wilkins, </w:t>
      </w:r>
      <w:r>
        <w:rPr>
          <w:i/>
        </w:rPr>
        <w:t>The Navajo Political Experience</w:t>
      </w:r>
      <w:r w:rsidR="00764989">
        <w:t xml:space="preserve"> </w:t>
      </w:r>
      <w:r>
        <w:t xml:space="preserve">(Lanham, 2003), 86; Theodore Stern, </w:t>
      </w:r>
      <w:r>
        <w:rPr>
          <w:i/>
        </w:rPr>
        <w:t xml:space="preserve">The Klamath Tribe: A People and their Reservation </w:t>
      </w:r>
      <w:r>
        <w:t>(Seattle, 1966), 249.</w:t>
      </w:r>
    </w:p>
  </w:footnote>
  <w:footnote w:id="14">
    <w:p w:rsidR="00F94302" w:rsidRPr="00A332FF" w:rsidRDefault="00F94302" w:rsidP="00F94302">
      <w:pPr>
        <w:pStyle w:val="FootnoteText"/>
      </w:pPr>
      <w:r>
        <w:rPr>
          <w:rStyle w:val="FootnoteReference"/>
        </w:rPr>
        <w:footnoteRef/>
      </w:r>
      <w:r>
        <w:t xml:space="preserve"> Wilkins, </w:t>
      </w:r>
      <w:r>
        <w:rPr>
          <w:i/>
        </w:rPr>
        <w:t>Navajo Political Experience</w:t>
      </w:r>
      <w:r>
        <w:t xml:space="preserve">, 14 and Stern, </w:t>
      </w:r>
      <w:r>
        <w:rPr>
          <w:i/>
        </w:rPr>
        <w:t>Klamath Tribe</w:t>
      </w:r>
      <w:r>
        <w:t>, 74.</w:t>
      </w:r>
    </w:p>
  </w:footnote>
  <w:footnote w:id="15">
    <w:p w:rsidR="00F94302" w:rsidRPr="00FC7A06" w:rsidRDefault="00F94302" w:rsidP="00F94302">
      <w:pPr>
        <w:pStyle w:val="FootnoteText"/>
      </w:pPr>
      <w:r>
        <w:rPr>
          <w:rStyle w:val="FootnoteReference"/>
        </w:rPr>
        <w:footnoteRef/>
      </w:r>
      <w:r>
        <w:t xml:space="preserve"> For a full list of Klamath Executive Committee members, see: Klamath Executive Committee, 14 and 16 December 1953, </w:t>
      </w:r>
      <w:r>
        <w:rPr>
          <w:i/>
        </w:rPr>
        <w:t>Major Council Meetings of American Indian Tribes, 1914-1956, Part One, Section II</w:t>
      </w:r>
      <w:r>
        <w:t xml:space="preserve"> (microfilm, held: Arizona State University), Reel XIX (hereafter cited as: </w:t>
      </w:r>
      <w:r>
        <w:rPr>
          <w:i/>
        </w:rPr>
        <w:t>MCMAIT, 1/II)</w:t>
      </w:r>
      <w:r>
        <w:t xml:space="preserve">; For discussions about restricting attendance in Navajo Executive sessions, see: Navajo Tribal Council, 11-22 January 1960, </w:t>
      </w:r>
      <w:r>
        <w:rPr>
          <w:i/>
        </w:rPr>
        <w:t>MCMAIT, 2/I</w:t>
      </w:r>
      <w:r>
        <w:t>, Reel III.</w:t>
      </w:r>
    </w:p>
  </w:footnote>
  <w:footnote w:id="16">
    <w:p w:rsidR="00F94302" w:rsidRPr="00FC7A06" w:rsidRDefault="00F94302" w:rsidP="00F94302">
      <w:pPr>
        <w:pStyle w:val="FootnoteText"/>
      </w:pPr>
      <w:r>
        <w:rPr>
          <w:rStyle w:val="FootnoteReference"/>
        </w:rPr>
        <w:footnoteRef/>
      </w:r>
      <w:r>
        <w:t xml:space="preserve"> Klamath Vice-President Delford Lang made clear that all Klamaths were expected to attend council meetings, stating “We are all Indian people on the Reservation.” See: Klamath General Council, 20 October 1955, </w:t>
      </w:r>
      <w:r>
        <w:rPr>
          <w:i/>
        </w:rPr>
        <w:t>MCMAIT, 1/II</w:t>
      </w:r>
      <w:r>
        <w:t>, Reel XX.</w:t>
      </w:r>
    </w:p>
  </w:footnote>
  <w:footnote w:id="17">
    <w:p w:rsidR="00F94302" w:rsidRPr="00FC7A06" w:rsidRDefault="00F94302" w:rsidP="00F94302">
      <w:pPr>
        <w:pStyle w:val="FootnoteText"/>
      </w:pPr>
      <w:r>
        <w:rPr>
          <w:rStyle w:val="FootnoteReference"/>
        </w:rPr>
        <w:footnoteRef/>
      </w:r>
      <w:r>
        <w:t xml:space="preserve"> For example, stenographers were interviewed by the council in a 17-21 November 1958 meeting. See: Navajo Tribal Council, 17-21 November 1958, </w:t>
      </w:r>
      <w:r>
        <w:rPr>
          <w:i/>
        </w:rPr>
        <w:t>MCMAIT, 2/I</w:t>
      </w:r>
      <w:r>
        <w:t>, Reel II.</w:t>
      </w:r>
    </w:p>
  </w:footnote>
  <w:footnote w:id="18">
    <w:p w:rsidR="00F94302" w:rsidRPr="00FC7A06" w:rsidRDefault="00F94302" w:rsidP="00F94302">
      <w:pPr>
        <w:pStyle w:val="FootnoteText"/>
      </w:pPr>
      <w:r>
        <w:rPr>
          <w:rStyle w:val="FootnoteReference"/>
        </w:rPr>
        <w:footnoteRef/>
      </w:r>
      <w:r>
        <w:t xml:space="preserve"> See stenographers note at end of Navajo Tribal Council, 8-17 May 1963, </w:t>
      </w:r>
      <w:r>
        <w:rPr>
          <w:i/>
        </w:rPr>
        <w:t>MCMAIT, 2/I</w:t>
      </w:r>
      <w:r>
        <w:t>, Reel IX.</w:t>
      </w:r>
    </w:p>
  </w:footnote>
  <w:footnote w:id="19">
    <w:p w:rsidR="00D9146A" w:rsidRPr="000951C5" w:rsidRDefault="00D9146A" w:rsidP="006B5064">
      <w:pPr>
        <w:pStyle w:val="FootnoteText"/>
      </w:pPr>
      <w:r>
        <w:rPr>
          <w:rStyle w:val="FootnoteReference"/>
        </w:rPr>
        <w:footnoteRef/>
      </w:r>
      <w:r>
        <w:t xml:space="preserve"> </w:t>
      </w:r>
      <w:r w:rsidRPr="000A049C">
        <w:t xml:space="preserve">Philp, </w:t>
      </w:r>
      <w:r w:rsidRPr="000A049C">
        <w:rPr>
          <w:i/>
        </w:rPr>
        <w:t>Termination Revisited</w:t>
      </w:r>
      <w:r>
        <w:t>,</w:t>
      </w:r>
      <w:r w:rsidRPr="000A049C">
        <w:t xml:space="preserve"> 70.</w:t>
      </w:r>
    </w:p>
  </w:footnote>
  <w:footnote w:id="20">
    <w:p w:rsidR="00D9146A" w:rsidRPr="000951C5" w:rsidRDefault="00D9146A" w:rsidP="006B5064">
      <w:pPr>
        <w:pStyle w:val="FootnoteText"/>
      </w:pPr>
      <w:r>
        <w:rPr>
          <w:rStyle w:val="FootnoteReference"/>
        </w:rPr>
        <w:footnoteRef/>
      </w:r>
      <w:r>
        <w:t xml:space="preserve"> Ibid., 71; Valandra, </w:t>
      </w:r>
      <w:r>
        <w:rPr>
          <w:i/>
        </w:rPr>
        <w:t>Not Without Our Consent</w:t>
      </w:r>
      <w:r>
        <w:t>, 30-1.</w:t>
      </w:r>
    </w:p>
  </w:footnote>
  <w:footnote w:id="21">
    <w:p w:rsidR="00D9146A" w:rsidRPr="000951C5" w:rsidRDefault="00D9146A" w:rsidP="006B5064">
      <w:pPr>
        <w:pStyle w:val="FootnoteText"/>
      </w:pPr>
      <w:r>
        <w:rPr>
          <w:rStyle w:val="FootnoteReference"/>
        </w:rPr>
        <w:footnoteRef/>
      </w:r>
      <w:r>
        <w:t xml:space="preserve"> Fixico, </w:t>
      </w:r>
      <w:r>
        <w:rPr>
          <w:i/>
        </w:rPr>
        <w:t>Termination and Relocation</w:t>
      </w:r>
      <w:r>
        <w:t xml:space="preserve">, 33. For an assessment of Zimmerman’s list, see </w:t>
      </w:r>
      <w:r w:rsidRPr="003F4A6B">
        <w:t xml:space="preserve">Philp, </w:t>
      </w:r>
      <w:r w:rsidRPr="003F4A6B">
        <w:rPr>
          <w:i/>
        </w:rPr>
        <w:t>Termination Revisited</w:t>
      </w:r>
      <w:r>
        <w:t>,</w:t>
      </w:r>
      <w:r w:rsidRPr="003F4A6B">
        <w:t xml:space="preserve"> 7</w:t>
      </w:r>
      <w:r>
        <w:t>1-</w:t>
      </w:r>
      <w:r w:rsidRPr="003F4A6B">
        <w:t>5.</w:t>
      </w:r>
      <w:r>
        <w:t xml:space="preserve"> Notably, withdrawal acts were passed for some ‘semi-acculturated’ or ‘predominantly Indian’ tribes, including the Wyandotte and Oklahoma Choctaw.</w:t>
      </w:r>
    </w:p>
  </w:footnote>
  <w:footnote w:id="22">
    <w:p w:rsidR="00D9146A" w:rsidRPr="00F636CF" w:rsidRDefault="00D9146A" w:rsidP="006B5064">
      <w:pPr>
        <w:pStyle w:val="FootnoteText"/>
      </w:pPr>
      <w:r>
        <w:rPr>
          <w:rStyle w:val="FootnoteReference"/>
        </w:rPr>
        <w:footnoteRef/>
      </w:r>
      <w:r>
        <w:t xml:space="preserve"> Susan Hood, ‘Termination of the Klamath Indian Tribe of Oregon’, </w:t>
      </w:r>
      <w:r>
        <w:rPr>
          <w:i/>
        </w:rPr>
        <w:t>Ethnohistory</w:t>
      </w:r>
      <w:r>
        <w:t xml:space="preserve"> 19:4 (Autumun 1972): 381.</w:t>
      </w:r>
    </w:p>
  </w:footnote>
  <w:footnote w:id="23">
    <w:p w:rsidR="00D9146A" w:rsidRPr="00191CA3" w:rsidRDefault="00D9146A">
      <w:pPr>
        <w:pStyle w:val="FootnoteText"/>
      </w:pPr>
      <w:r>
        <w:rPr>
          <w:rStyle w:val="FootnoteReference"/>
        </w:rPr>
        <w:footnoteRef/>
      </w:r>
      <w:r>
        <w:t xml:space="preserve"> Donald </w:t>
      </w:r>
      <w:r w:rsidRPr="00C86581">
        <w:t xml:space="preserve">Fixico, </w:t>
      </w:r>
      <w:r>
        <w:rPr>
          <w:i/>
        </w:rPr>
        <w:t xml:space="preserve">The </w:t>
      </w:r>
      <w:r w:rsidRPr="00C86581">
        <w:rPr>
          <w:i/>
        </w:rPr>
        <w:t>Invasion of Indian Country</w:t>
      </w:r>
      <w:r>
        <w:rPr>
          <w:i/>
        </w:rPr>
        <w:t xml:space="preserve"> in the Twentieth Century </w:t>
      </w:r>
      <w:r>
        <w:t>(Niwot, 1998),</w:t>
      </w:r>
      <w:r w:rsidRPr="00C86581">
        <w:t xml:space="preserve"> </w:t>
      </w:r>
      <w:r>
        <w:t>82.</w:t>
      </w:r>
    </w:p>
  </w:footnote>
  <w:footnote w:id="24">
    <w:p w:rsidR="00D9146A" w:rsidRPr="00CB3A3C" w:rsidRDefault="00D9146A" w:rsidP="006479AF">
      <w:pPr>
        <w:pStyle w:val="FootnoteText"/>
      </w:pPr>
      <w:r>
        <w:rPr>
          <w:rStyle w:val="FootnoteReference"/>
        </w:rPr>
        <w:footnoteRef/>
      </w:r>
      <w:r>
        <w:t xml:space="preserve"> </w:t>
      </w:r>
      <w:r w:rsidRPr="00CB3A3C">
        <w:t xml:space="preserve">For more information on Klamath Termination, see Fixico, </w:t>
      </w:r>
      <w:r w:rsidRPr="009A241E">
        <w:rPr>
          <w:i/>
        </w:rPr>
        <w:t>Invasion of Indian Country</w:t>
      </w:r>
      <w:r w:rsidRPr="00CB3A3C">
        <w:t xml:space="preserve">, 79-102; Haynal, ‘Termination and Tribal Survival’: 270-301 and Ulrich, </w:t>
      </w:r>
      <w:r w:rsidRPr="009A241E">
        <w:rPr>
          <w:i/>
        </w:rPr>
        <w:t>American Indian Nations</w:t>
      </w:r>
      <w:r>
        <w:t>, 45-70,</w:t>
      </w:r>
      <w:r w:rsidRPr="00CB3A3C">
        <w:t xml:space="preserve"> 193-202.</w:t>
      </w:r>
    </w:p>
  </w:footnote>
  <w:footnote w:id="25">
    <w:p w:rsidR="00D9146A" w:rsidRPr="009A241E" w:rsidRDefault="00D9146A">
      <w:pPr>
        <w:pStyle w:val="FootnoteText"/>
      </w:pPr>
      <w:r>
        <w:rPr>
          <w:rStyle w:val="FootnoteReference"/>
        </w:rPr>
        <w:footnoteRef/>
      </w:r>
      <w:r>
        <w:t xml:space="preserve"> Stern, </w:t>
      </w:r>
      <w:r>
        <w:rPr>
          <w:i/>
        </w:rPr>
        <w:t>Klamath Tribe</w:t>
      </w:r>
      <w:r>
        <w:t>, 236.</w:t>
      </w:r>
    </w:p>
  </w:footnote>
  <w:footnote w:id="26">
    <w:p w:rsidR="00D9146A" w:rsidRPr="008651E6" w:rsidRDefault="00D9146A">
      <w:pPr>
        <w:pStyle w:val="FootnoteText"/>
      </w:pPr>
      <w:r>
        <w:rPr>
          <w:rStyle w:val="FootnoteReference"/>
        </w:rPr>
        <w:footnoteRef/>
      </w:r>
      <w:r w:rsidR="00310C35">
        <w:t xml:space="preserve"> The Executive Committee was initially established in 1908, and later turned into a Business Committee.</w:t>
      </w:r>
      <w:r>
        <w:t xml:space="preserve"> See debates surrounding </w:t>
      </w:r>
      <w:r w:rsidR="00310C35">
        <w:t>the re-</w:t>
      </w:r>
      <w:r>
        <w:t xml:space="preserve">establishment of the Executive Committee: Klamath General Council, 19-20 October and 2 November 1950, </w:t>
      </w:r>
      <w:r>
        <w:rPr>
          <w:i/>
        </w:rPr>
        <w:t>MCMAIT 1/II</w:t>
      </w:r>
      <w:r>
        <w:t>, Reel XVIII.</w:t>
      </w:r>
    </w:p>
  </w:footnote>
  <w:footnote w:id="27">
    <w:p w:rsidR="00D9146A" w:rsidRPr="006A6170" w:rsidRDefault="00D9146A">
      <w:pPr>
        <w:pStyle w:val="FootnoteText"/>
      </w:pPr>
      <w:r>
        <w:rPr>
          <w:rStyle w:val="FootnoteReference"/>
        </w:rPr>
        <w:footnoteRef/>
      </w:r>
      <w:r>
        <w:t xml:space="preserve"> Haynal, ‘Termination and Tribal Survival’, 276.</w:t>
      </w:r>
    </w:p>
  </w:footnote>
  <w:footnote w:id="28">
    <w:p w:rsidR="00D9146A" w:rsidRPr="00AF16C0" w:rsidRDefault="00D9146A">
      <w:pPr>
        <w:pStyle w:val="FootnoteText"/>
      </w:pPr>
      <w:r>
        <w:rPr>
          <w:rStyle w:val="FootnoteReference"/>
        </w:rPr>
        <w:footnoteRef/>
      </w:r>
      <w:r>
        <w:t xml:space="preserve"> Tribal Business Committee, 8 and 12-13 December 1949, </w:t>
      </w:r>
      <w:r>
        <w:rPr>
          <w:i/>
        </w:rPr>
        <w:t>MCMAIT 1/II</w:t>
      </w:r>
      <w:r>
        <w:t>, Reel XVIII.</w:t>
      </w:r>
    </w:p>
  </w:footnote>
  <w:footnote w:id="29">
    <w:p w:rsidR="00D9146A" w:rsidRPr="003441C3" w:rsidRDefault="00D9146A">
      <w:pPr>
        <w:pStyle w:val="FootnoteText"/>
      </w:pPr>
      <w:r>
        <w:rPr>
          <w:rStyle w:val="FootnoteReference"/>
        </w:rPr>
        <w:footnoteRef/>
      </w:r>
      <w:r>
        <w:t xml:space="preserve"> Ibid.</w:t>
      </w:r>
    </w:p>
  </w:footnote>
  <w:footnote w:id="30">
    <w:p w:rsidR="00D9146A" w:rsidRPr="00332FC3" w:rsidRDefault="00D9146A">
      <w:pPr>
        <w:pStyle w:val="FootnoteText"/>
      </w:pPr>
      <w:r>
        <w:rPr>
          <w:rStyle w:val="FootnoteReference"/>
        </w:rPr>
        <w:footnoteRef/>
      </w:r>
      <w:r>
        <w:t xml:space="preserve"> Seldon Kirk Student File, Carlisle Indian School, 1913, </w:t>
      </w:r>
      <w:hyperlink r:id="rId1" w:history="1">
        <w:r w:rsidRPr="00534298">
          <w:rPr>
            <w:lang w:val="en-US"/>
          </w:rPr>
          <w:t>http://carlisleindian.dickinson.edu/student_files/seldon-e-kirk-student-file</w:t>
        </w:r>
      </w:hyperlink>
      <w:r>
        <w:rPr>
          <w:lang w:val="en-US"/>
        </w:rPr>
        <w:t xml:space="preserve"> (viewed: 25.9.2015)</w:t>
      </w:r>
      <w:r>
        <w:t xml:space="preserve">; Stern, </w:t>
      </w:r>
      <w:r>
        <w:rPr>
          <w:i/>
        </w:rPr>
        <w:t>Klamath Tribe</w:t>
      </w:r>
      <w:r>
        <w:t xml:space="preserve">, 243. </w:t>
      </w:r>
    </w:p>
  </w:footnote>
  <w:footnote w:id="31">
    <w:p w:rsidR="00D9146A" w:rsidRPr="00CA074E" w:rsidRDefault="00D9146A">
      <w:pPr>
        <w:pStyle w:val="FootnoteText"/>
      </w:pPr>
      <w:r>
        <w:rPr>
          <w:rStyle w:val="FootnoteReference"/>
        </w:rPr>
        <w:footnoteRef/>
      </w:r>
      <w:r>
        <w:t xml:space="preserve"> Klamath General Council, 11 August 1949, </w:t>
      </w:r>
      <w:r>
        <w:rPr>
          <w:i/>
        </w:rPr>
        <w:t>MCMAIT 1/II</w:t>
      </w:r>
      <w:r>
        <w:t>, Reel XVIII.</w:t>
      </w:r>
    </w:p>
  </w:footnote>
  <w:footnote w:id="32">
    <w:p w:rsidR="00D9146A" w:rsidRPr="00C32C78" w:rsidRDefault="00D9146A">
      <w:pPr>
        <w:pStyle w:val="FootnoteText"/>
      </w:pPr>
      <w:r>
        <w:rPr>
          <w:rStyle w:val="FootnoteReference"/>
        </w:rPr>
        <w:footnoteRef/>
      </w:r>
      <w:r>
        <w:t xml:space="preserve"> See for instance: Klamath General Council, 17 November 1949, </w:t>
      </w:r>
      <w:r>
        <w:rPr>
          <w:i/>
        </w:rPr>
        <w:t>MCMAIT 1/II</w:t>
      </w:r>
      <w:r>
        <w:t xml:space="preserve">, Reel XVIII; Klamath Business Committee and Tribal Special Member Committee, 8 and 12-13 December 1949, </w:t>
      </w:r>
      <w:r>
        <w:rPr>
          <w:i/>
        </w:rPr>
        <w:t>MCMAIT 1/II</w:t>
      </w:r>
      <w:r>
        <w:t xml:space="preserve">, Reel XVIII; Klamath General Council, 6-7 July 1950, </w:t>
      </w:r>
      <w:r>
        <w:rPr>
          <w:i/>
        </w:rPr>
        <w:t>MCMAIT 1/II</w:t>
      </w:r>
      <w:r>
        <w:t>, Reel XVIII.</w:t>
      </w:r>
    </w:p>
  </w:footnote>
  <w:footnote w:id="33">
    <w:p w:rsidR="00D9146A" w:rsidRPr="00DE5B0D" w:rsidRDefault="00D9146A" w:rsidP="007E19FC">
      <w:pPr>
        <w:pStyle w:val="FootnoteText"/>
      </w:pPr>
      <w:r>
        <w:rPr>
          <w:rStyle w:val="FootnoteReference"/>
        </w:rPr>
        <w:footnoteRef/>
      </w:r>
      <w:r>
        <w:t xml:space="preserve"> Stern, </w:t>
      </w:r>
      <w:r>
        <w:rPr>
          <w:i/>
        </w:rPr>
        <w:t>The Klamath Tribe</w:t>
      </w:r>
      <w:r>
        <w:t>, 236-237.</w:t>
      </w:r>
    </w:p>
  </w:footnote>
  <w:footnote w:id="34">
    <w:p w:rsidR="00D9146A" w:rsidRPr="008D04D1" w:rsidRDefault="00D9146A">
      <w:pPr>
        <w:pStyle w:val="FootnoteText"/>
      </w:pPr>
      <w:r>
        <w:rPr>
          <w:rStyle w:val="FootnoteReference"/>
        </w:rPr>
        <w:footnoteRef/>
      </w:r>
      <w:r>
        <w:t xml:space="preserve"> Haynal, ‘Termination and Tribal Survival’: 275.</w:t>
      </w:r>
    </w:p>
  </w:footnote>
  <w:footnote w:id="35">
    <w:p w:rsidR="00D9146A" w:rsidRPr="004E1484" w:rsidRDefault="00D9146A">
      <w:pPr>
        <w:pStyle w:val="FootnoteText"/>
      </w:pPr>
      <w:r>
        <w:rPr>
          <w:rStyle w:val="FootnoteReference"/>
        </w:rPr>
        <w:footnoteRef/>
      </w:r>
      <w:r>
        <w:t xml:space="preserve"> Klamath General Council, 6-7 July 1950,</w:t>
      </w:r>
      <w:r>
        <w:rPr>
          <w:i/>
        </w:rPr>
        <w:t xml:space="preserve"> MCMAIT 1/II</w:t>
      </w:r>
      <w:r>
        <w:t>, Reel XVIII.</w:t>
      </w:r>
    </w:p>
  </w:footnote>
  <w:footnote w:id="36">
    <w:p w:rsidR="00D9146A" w:rsidRPr="00B71EB1" w:rsidRDefault="00D9146A">
      <w:pPr>
        <w:pStyle w:val="FootnoteText"/>
      </w:pPr>
      <w:r>
        <w:rPr>
          <w:rStyle w:val="FootnoteReference"/>
        </w:rPr>
        <w:footnoteRef/>
      </w:r>
      <w:r>
        <w:t xml:space="preserve"> Ibid.</w:t>
      </w:r>
    </w:p>
  </w:footnote>
  <w:footnote w:id="37">
    <w:p w:rsidR="00D9146A" w:rsidRPr="007A7A61" w:rsidRDefault="00D9146A">
      <w:pPr>
        <w:pStyle w:val="FootnoteText"/>
      </w:pPr>
      <w:r>
        <w:rPr>
          <w:rStyle w:val="FootnoteReference"/>
        </w:rPr>
        <w:footnoteRef/>
      </w:r>
      <w:r>
        <w:t xml:space="preserve"> Haynal, ‘Termination and Tribal Survival’: 276.</w:t>
      </w:r>
    </w:p>
  </w:footnote>
  <w:footnote w:id="38">
    <w:p w:rsidR="00D9146A" w:rsidRPr="008F6E69" w:rsidRDefault="00D9146A">
      <w:pPr>
        <w:pStyle w:val="FootnoteText"/>
      </w:pPr>
      <w:r>
        <w:rPr>
          <w:rStyle w:val="FootnoteReference"/>
        </w:rPr>
        <w:footnoteRef/>
      </w:r>
      <w:r>
        <w:t xml:space="preserve"> Klamath General Council, 30-31 August and 6 September 1951, </w:t>
      </w:r>
      <w:r>
        <w:rPr>
          <w:i/>
        </w:rPr>
        <w:t>MCMAIT 1/II</w:t>
      </w:r>
      <w:r>
        <w:t>, Reel XIX.</w:t>
      </w:r>
    </w:p>
  </w:footnote>
  <w:footnote w:id="39">
    <w:p w:rsidR="00D9146A" w:rsidRPr="009068B7" w:rsidRDefault="00D9146A">
      <w:pPr>
        <w:pStyle w:val="FootnoteText"/>
      </w:pPr>
      <w:r>
        <w:rPr>
          <w:rStyle w:val="FootnoteReference"/>
        </w:rPr>
        <w:footnoteRef/>
      </w:r>
      <w:r>
        <w:t xml:space="preserve"> Klamath Executive Committee, 29 July 1953, </w:t>
      </w:r>
      <w:r>
        <w:rPr>
          <w:i/>
        </w:rPr>
        <w:t>MCMAIT 1/II</w:t>
      </w:r>
      <w:r>
        <w:t>, Reel XIX.</w:t>
      </w:r>
    </w:p>
  </w:footnote>
  <w:footnote w:id="40">
    <w:p w:rsidR="00D9146A" w:rsidRPr="005D44F0" w:rsidRDefault="00D9146A">
      <w:pPr>
        <w:pStyle w:val="FootnoteText"/>
      </w:pPr>
      <w:r>
        <w:rPr>
          <w:rStyle w:val="FootnoteReference"/>
        </w:rPr>
        <w:footnoteRef/>
      </w:r>
      <w:r>
        <w:t xml:space="preserve"> Klamath Executive Committee, 26 January 1954, </w:t>
      </w:r>
      <w:r>
        <w:rPr>
          <w:i/>
        </w:rPr>
        <w:t>MCMAIT 1/II</w:t>
      </w:r>
      <w:r>
        <w:t>, Reel XIX.</w:t>
      </w:r>
    </w:p>
  </w:footnote>
  <w:footnote w:id="41">
    <w:p w:rsidR="00D9146A" w:rsidRPr="00A460B0" w:rsidRDefault="00D9146A">
      <w:pPr>
        <w:pStyle w:val="FootnoteText"/>
      </w:pPr>
      <w:r>
        <w:rPr>
          <w:rStyle w:val="FootnoteReference"/>
        </w:rPr>
        <w:footnoteRef/>
      </w:r>
      <w:r>
        <w:t xml:space="preserve"> Klamath Executive Committee, 4 and 9 February, </w:t>
      </w:r>
      <w:r>
        <w:rPr>
          <w:i/>
        </w:rPr>
        <w:t>MCMAIT 1/II</w:t>
      </w:r>
      <w:r>
        <w:t>, Reel XIX.</w:t>
      </w:r>
    </w:p>
  </w:footnote>
  <w:footnote w:id="42">
    <w:p w:rsidR="00D9146A" w:rsidRPr="00D51C4E" w:rsidRDefault="00D9146A">
      <w:pPr>
        <w:pStyle w:val="FootnoteText"/>
      </w:pPr>
      <w:r>
        <w:rPr>
          <w:rStyle w:val="FootnoteReference"/>
        </w:rPr>
        <w:footnoteRef/>
      </w:r>
      <w:r>
        <w:t xml:space="preserve"> Ibid.</w:t>
      </w:r>
    </w:p>
  </w:footnote>
  <w:footnote w:id="43">
    <w:p w:rsidR="009C0874" w:rsidRPr="009C0874" w:rsidRDefault="009C0874">
      <w:pPr>
        <w:pStyle w:val="FootnoteText"/>
      </w:pPr>
      <w:r>
        <w:rPr>
          <w:rStyle w:val="FootnoteReference"/>
        </w:rPr>
        <w:footnoteRef/>
      </w:r>
      <w:r>
        <w:t xml:space="preserve"> Ibid. Emphasis added.</w:t>
      </w:r>
    </w:p>
  </w:footnote>
  <w:footnote w:id="44">
    <w:p w:rsidR="00D9146A" w:rsidRPr="005E01C0" w:rsidRDefault="00D9146A">
      <w:pPr>
        <w:pStyle w:val="FootnoteText"/>
      </w:pPr>
      <w:r>
        <w:rPr>
          <w:rStyle w:val="FootnoteReference"/>
        </w:rPr>
        <w:footnoteRef/>
      </w:r>
      <w:r>
        <w:t xml:space="preserve"> Fixico, </w:t>
      </w:r>
      <w:r>
        <w:rPr>
          <w:i/>
        </w:rPr>
        <w:t>Invasion of Indian Country</w:t>
      </w:r>
      <w:r>
        <w:t>, 85.</w:t>
      </w:r>
    </w:p>
  </w:footnote>
  <w:footnote w:id="45">
    <w:p w:rsidR="00D9146A" w:rsidRPr="000062FC" w:rsidRDefault="00D9146A">
      <w:pPr>
        <w:pStyle w:val="FootnoteText"/>
      </w:pPr>
      <w:r>
        <w:rPr>
          <w:rStyle w:val="FootnoteReference"/>
        </w:rPr>
        <w:footnoteRef/>
      </w:r>
      <w:r>
        <w:t xml:space="preserve"> Klamath General Council, 21-22 December 1953, </w:t>
      </w:r>
      <w:r>
        <w:rPr>
          <w:i/>
        </w:rPr>
        <w:t>MCMAIT 1/II</w:t>
      </w:r>
      <w:r>
        <w:t>, Reel XIX.</w:t>
      </w:r>
    </w:p>
  </w:footnote>
  <w:footnote w:id="46">
    <w:p w:rsidR="00D9146A" w:rsidRPr="00E748EF" w:rsidRDefault="00D9146A">
      <w:pPr>
        <w:pStyle w:val="FootnoteText"/>
      </w:pPr>
      <w:r>
        <w:rPr>
          <w:rStyle w:val="FootnoteReference"/>
        </w:rPr>
        <w:footnoteRef/>
      </w:r>
      <w:r>
        <w:t xml:space="preserve"> Gordon Bettles, Interview with author, Eugene, Oregon, 29 October 2015.</w:t>
      </w:r>
    </w:p>
  </w:footnote>
  <w:footnote w:id="47">
    <w:p w:rsidR="00D9146A" w:rsidRPr="00A80F91" w:rsidRDefault="00D9146A">
      <w:pPr>
        <w:pStyle w:val="FootnoteText"/>
      </w:pPr>
      <w:r>
        <w:rPr>
          <w:rStyle w:val="FootnoteReference"/>
        </w:rPr>
        <w:footnoteRef/>
      </w:r>
      <w:r>
        <w:t xml:space="preserve"> Klamath General Council, 29-30 July 1954, </w:t>
      </w:r>
      <w:r>
        <w:rPr>
          <w:i/>
        </w:rPr>
        <w:t>MCMAIT 1/II</w:t>
      </w:r>
      <w:r>
        <w:t>, Reel XIX.</w:t>
      </w:r>
    </w:p>
  </w:footnote>
  <w:footnote w:id="48">
    <w:p w:rsidR="00D9146A" w:rsidRPr="00183396" w:rsidRDefault="00D9146A">
      <w:pPr>
        <w:pStyle w:val="FootnoteText"/>
      </w:pPr>
      <w:r>
        <w:rPr>
          <w:rStyle w:val="FootnoteReference"/>
        </w:rPr>
        <w:footnoteRef/>
      </w:r>
      <w:r>
        <w:t xml:space="preserve"> Ibid.</w:t>
      </w:r>
    </w:p>
  </w:footnote>
  <w:footnote w:id="49">
    <w:p w:rsidR="00D9146A" w:rsidRPr="007E5387" w:rsidRDefault="00D9146A">
      <w:pPr>
        <w:pStyle w:val="FootnoteText"/>
      </w:pPr>
      <w:r>
        <w:rPr>
          <w:rStyle w:val="FootnoteReference"/>
        </w:rPr>
        <w:footnoteRef/>
      </w:r>
      <w:r>
        <w:t xml:space="preserve"> Haynal, ‘Termination and Tribal Survival’: 279.</w:t>
      </w:r>
    </w:p>
  </w:footnote>
  <w:footnote w:id="50">
    <w:p w:rsidR="00D9146A" w:rsidRPr="009C0754" w:rsidRDefault="00D9146A">
      <w:pPr>
        <w:pStyle w:val="FootnoteText"/>
      </w:pPr>
      <w:r>
        <w:rPr>
          <w:rStyle w:val="FootnoteReference"/>
        </w:rPr>
        <w:footnoteRef/>
      </w:r>
      <w:r>
        <w:t xml:space="preserve"> Klamath General Council, 5 January 1955, </w:t>
      </w:r>
      <w:r>
        <w:rPr>
          <w:i/>
        </w:rPr>
        <w:t>MCMAIT 1/II</w:t>
      </w:r>
      <w:r>
        <w:t>, Reel XX.</w:t>
      </w:r>
    </w:p>
  </w:footnote>
  <w:footnote w:id="51">
    <w:p w:rsidR="00D9146A" w:rsidRPr="009A495B" w:rsidRDefault="00D9146A">
      <w:pPr>
        <w:pStyle w:val="FootnoteText"/>
      </w:pPr>
      <w:r>
        <w:rPr>
          <w:rStyle w:val="FootnoteReference"/>
        </w:rPr>
        <w:footnoteRef/>
      </w:r>
      <w:r>
        <w:t xml:space="preserve"> Klamath General Council, 16 November 1957, </w:t>
      </w:r>
      <w:r>
        <w:rPr>
          <w:i/>
        </w:rPr>
        <w:t>MCMAIT 2/II</w:t>
      </w:r>
      <w:r>
        <w:t>, Reel X.</w:t>
      </w:r>
    </w:p>
  </w:footnote>
  <w:footnote w:id="52">
    <w:p w:rsidR="00D9146A" w:rsidRPr="00316D06" w:rsidRDefault="00D9146A">
      <w:pPr>
        <w:pStyle w:val="FootnoteText"/>
      </w:pPr>
      <w:r>
        <w:rPr>
          <w:rStyle w:val="FootnoteReference"/>
        </w:rPr>
        <w:footnoteRef/>
      </w:r>
      <w:r>
        <w:t xml:space="preserve"> Ibid.</w:t>
      </w:r>
    </w:p>
  </w:footnote>
  <w:footnote w:id="53">
    <w:p w:rsidR="00D9146A" w:rsidRPr="00AB534E" w:rsidRDefault="00D9146A">
      <w:pPr>
        <w:pStyle w:val="FootnoteText"/>
      </w:pPr>
      <w:r>
        <w:rPr>
          <w:rStyle w:val="FootnoteReference"/>
        </w:rPr>
        <w:footnoteRef/>
      </w:r>
      <w:r w:rsidR="0081334C">
        <w:t xml:space="preserve"> This could be Lulu Lang, the mother of long-standing Executive Committee member Delford Lang.</w:t>
      </w:r>
      <w:r>
        <w:t xml:space="preserve"> Klamath General Council, 25 January 1958, </w:t>
      </w:r>
      <w:r>
        <w:rPr>
          <w:i/>
        </w:rPr>
        <w:t>MCMAIT 2/II</w:t>
      </w:r>
      <w:r>
        <w:t>, Reel X.</w:t>
      </w:r>
      <w:r w:rsidR="0081334C">
        <w:t xml:space="preserve"> </w:t>
      </w:r>
    </w:p>
  </w:footnote>
  <w:footnote w:id="54">
    <w:p w:rsidR="00D62E3C" w:rsidRPr="001E5724" w:rsidRDefault="00D62E3C" w:rsidP="00D62E3C">
      <w:pPr>
        <w:pStyle w:val="FootnoteText"/>
      </w:pPr>
      <w:r>
        <w:rPr>
          <w:rStyle w:val="FootnoteReference"/>
        </w:rPr>
        <w:footnoteRef/>
      </w:r>
      <w:r>
        <w:t xml:space="preserve"> Haynal, ‘Termination and Tribal Survival, 281.</w:t>
      </w:r>
    </w:p>
  </w:footnote>
  <w:footnote w:id="55">
    <w:p w:rsidR="00D9146A" w:rsidRPr="001D2DF1" w:rsidRDefault="00D9146A">
      <w:pPr>
        <w:pStyle w:val="FootnoteText"/>
      </w:pPr>
      <w:r>
        <w:rPr>
          <w:rStyle w:val="FootnoteReference"/>
        </w:rPr>
        <w:footnoteRef/>
      </w:r>
      <w:r>
        <w:t xml:space="preserve"> Ibid.</w:t>
      </w:r>
    </w:p>
  </w:footnote>
  <w:footnote w:id="56">
    <w:p w:rsidR="00D9146A" w:rsidRPr="007D5898" w:rsidRDefault="00D9146A" w:rsidP="003205DF">
      <w:pPr>
        <w:pStyle w:val="FootnoteText"/>
      </w:pPr>
      <w:r>
        <w:rPr>
          <w:rStyle w:val="FootnoteReference"/>
        </w:rPr>
        <w:footnoteRef/>
      </w:r>
      <w:r>
        <w:t xml:space="preserve"> Fixico, </w:t>
      </w:r>
      <w:r>
        <w:rPr>
          <w:i/>
        </w:rPr>
        <w:t>Invasion of Indian Country</w:t>
      </w:r>
      <w:r>
        <w:t>, 88.</w:t>
      </w:r>
    </w:p>
  </w:footnote>
  <w:footnote w:id="57">
    <w:p w:rsidR="00D9146A" w:rsidRPr="00710294" w:rsidRDefault="00D9146A">
      <w:pPr>
        <w:pStyle w:val="FootnoteText"/>
      </w:pPr>
      <w:r>
        <w:rPr>
          <w:rStyle w:val="FootnoteReference"/>
        </w:rPr>
        <w:footnoteRef/>
      </w:r>
      <w:r>
        <w:t xml:space="preserve"> Klamath General Council, 11 June 1959, </w:t>
      </w:r>
      <w:r>
        <w:rPr>
          <w:i/>
        </w:rPr>
        <w:t>MCMAIT 2/II</w:t>
      </w:r>
      <w:r>
        <w:t>, Reel X.</w:t>
      </w:r>
    </w:p>
  </w:footnote>
  <w:footnote w:id="58">
    <w:p w:rsidR="00D9146A" w:rsidRPr="008D21C1" w:rsidRDefault="00D9146A">
      <w:pPr>
        <w:pStyle w:val="FootnoteText"/>
      </w:pPr>
      <w:r>
        <w:rPr>
          <w:rStyle w:val="FootnoteReference"/>
        </w:rPr>
        <w:footnoteRef/>
      </w:r>
      <w:r>
        <w:t xml:space="preserve"> </w:t>
      </w:r>
      <w:r w:rsidRPr="008D21C1">
        <w:t xml:space="preserve">Alison Bernstein, </w:t>
      </w:r>
      <w:r w:rsidRPr="009A241E">
        <w:rPr>
          <w:i/>
        </w:rPr>
        <w:t>Ame</w:t>
      </w:r>
      <w:r>
        <w:rPr>
          <w:i/>
        </w:rPr>
        <w:t>rican Indians and World War II:</w:t>
      </w:r>
      <w:r w:rsidRPr="009A241E">
        <w:rPr>
          <w:i/>
        </w:rPr>
        <w:t xml:space="preserve"> Toward a New Era in Indian Affairs</w:t>
      </w:r>
      <w:r w:rsidRPr="008D21C1">
        <w:t xml:space="preserve"> (Norman, 1991), 151-2.</w:t>
      </w:r>
    </w:p>
  </w:footnote>
  <w:footnote w:id="59">
    <w:p w:rsidR="00D9146A" w:rsidRPr="003A31D2" w:rsidRDefault="00D9146A">
      <w:pPr>
        <w:pStyle w:val="FootnoteText"/>
      </w:pPr>
      <w:r>
        <w:rPr>
          <w:rStyle w:val="FootnoteReference"/>
        </w:rPr>
        <w:footnoteRef/>
      </w:r>
      <w:r>
        <w:t xml:space="preserve"> </w:t>
      </w:r>
      <w:r w:rsidRPr="008E2DC8">
        <w:t xml:space="preserve">For </w:t>
      </w:r>
      <w:r>
        <w:t>an in-depth study of</w:t>
      </w:r>
      <w:r w:rsidRPr="008E2DC8">
        <w:t xml:space="preserve"> Navajo history, see Peter Iverson, </w:t>
      </w:r>
      <w:r>
        <w:rPr>
          <w:i/>
        </w:rPr>
        <w:t>Diné: A History of the Navajos</w:t>
      </w:r>
      <w:r>
        <w:t xml:space="preserve"> (Albuquerque, 2002).</w:t>
      </w:r>
    </w:p>
  </w:footnote>
  <w:footnote w:id="60">
    <w:p w:rsidR="00D9146A" w:rsidRPr="00610C3C" w:rsidRDefault="00D9146A" w:rsidP="00095AA1">
      <w:pPr>
        <w:pStyle w:val="FootnoteText"/>
      </w:pPr>
      <w:r>
        <w:rPr>
          <w:rStyle w:val="FootnoteReference"/>
        </w:rPr>
        <w:footnoteRef/>
      </w:r>
      <w:r>
        <w:t xml:space="preserve"> Ibid., </w:t>
      </w:r>
      <w:r w:rsidRPr="006A60DB">
        <w:t>193.</w:t>
      </w:r>
    </w:p>
  </w:footnote>
  <w:footnote w:id="61">
    <w:p w:rsidR="00D9146A" w:rsidRPr="00E375EE" w:rsidRDefault="00D9146A">
      <w:pPr>
        <w:pStyle w:val="FootnoteText"/>
      </w:pPr>
      <w:r>
        <w:rPr>
          <w:rStyle w:val="FootnoteReference"/>
        </w:rPr>
        <w:footnoteRef/>
      </w:r>
      <w:r>
        <w:t xml:space="preserve"> Andrew Needham, </w:t>
      </w:r>
      <w:r>
        <w:rPr>
          <w:i/>
        </w:rPr>
        <w:t xml:space="preserve">Power Lines: Phoenix and the Making of the Modern Southwest </w:t>
      </w:r>
      <w:r>
        <w:t>(Princeton, 2014), 17.</w:t>
      </w:r>
    </w:p>
  </w:footnote>
  <w:footnote w:id="62">
    <w:p w:rsidR="00D9146A" w:rsidRPr="00862F4E" w:rsidRDefault="00D9146A">
      <w:pPr>
        <w:pStyle w:val="FootnoteText"/>
      </w:pPr>
      <w:r>
        <w:rPr>
          <w:rStyle w:val="FootnoteReference"/>
        </w:rPr>
        <w:footnoteRef/>
      </w:r>
      <w:r>
        <w:t xml:space="preserve"> </w:t>
      </w:r>
      <w:r w:rsidRPr="00862F4E">
        <w:t xml:space="preserve">Philp, </w:t>
      </w:r>
      <w:r w:rsidRPr="00862F4E">
        <w:rPr>
          <w:i/>
        </w:rPr>
        <w:t>Termination Revisited</w:t>
      </w:r>
      <w:r w:rsidRPr="00862F4E">
        <w:t>, 63.</w:t>
      </w:r>
    </w:p>
  </w:footnote>
  <w:footnote w:id="63">
    <w:p w:rsidR="00D9146A" w:rsidRPr="00C76C44" w:rsidRDefault="00D9146A">
      <w:pPr>
        <w:pStyle w:val="FootnoteText"/>
      </w:pPr>
      <w:r>
        <w:rPr>
          <w:rStyle w:val="FootnoteReference"/>
        </w:rPr>
        <w:footnoteRef/>
      </w:r>
      <w:r>
        <w:t xml:space="preserve"> </w:t>
      </w:r>
      <w:r w:rsidRPr="00C76C44">
        <w:t xml:space="preserve">Navajo Tribal Council, 11-14 October 1949, </w:t>
      </w:r>
      <w:r w:rsidRPr="00C76C44">
        <w:rPr>
          <w:i/>
        </w:rPr>
        <w:t>MCMAIT, 1914-1957</w:t>
      </w:r>
      <w:r>
        <w:rPr>
          <w:i/>
        </w:rPr>
        <w:t>, Part One, Section I</w:t>
      </w:r>
      <w:r>
        <w:t xml:space="preserve"> (microfilm, held: Durham University Library), Reel V (hereafter cited as: </w:t>
      </w:r>
      <w:r>
        <w:rPr>
          <w:i/>
        </w:rPr>
        <w:t>MCMAIT, 1/I</w:t>
      </w:r>
      <w:r>
        <w:t>).</w:t>
      </w:r>
    </w:p>
  </w:footnote>
  <w:footnote w:id="64">
    <w:p w:rsidR="00D9146A" w:rsidRPr="000C543A" w:rsidRDefault="00D9146A">
      <w:pPr>
        <w:pStyle w:val="FootnoteText"/>
      </w:pPr>
      <w:r>
        <w:rPr>
          <w:rStyle w:val="FootnoteReference"/>
        </w:rPr>
        <w:footnoteRef/>
      </w:r>
      <w:r>
        <w:t xml:space="preserve"> Ibid, Reel V.</w:t>
      </w:r>
    </w:p>
  </w:footnote>
  <w:footnote w:id="65">
    <w:p w:rsidR="00D9146A" w:rsidRPr="000C543A" w:rsidRDefault="00D9146A">
      <w:pPr>
        <w:pStyle w:val="FootnoteText"/>
      </w:pPr>
      <w:r>
        <w:rPr>
          <w:rStyle w:val="FootnoteReference"/>
        </w:rPr>
        <w:footnoteRef/>
      </w:r>
      <w:r>
        <w:t xml:space="preserve"> </w:t>
      </w:r>
      <w:r w:rsidRPr="000C543A">
        <w:t xml:space="preserve">Iverson, </w:t>
      </w:r>
      <w:r w:rsidRPr="000C543A">
        <w:rPr>
          <w:i/>
        </w:rPr>
        <w:t>Diné</w:t>
      </w:r>
      <w:r w:rsidRPr="000C543A">
        <w:t>, 134.</w:t>
      </w:r>
    </w:p>
  </w:footnote>
  <w:footnote w:id="66">
    <w:p w:rsidR="00D9146A" w:rsidRPr="00E061DC" w:rsidRDefault="00D9146A" w:rsidP="00D46430">
      <w:pPr>
        <w:pStyle w:val="FootnoteText"/>
      </w:pPr>
      <w:r>
        <w:rPr>
          <w:rStyle w:val="FootnoteReference"/>
        </w:rPr>
        <w:footnoteRef/>
      </w:r>
      <w:r>
        <w:t xml:space="preserve"> </w:t>
      </w:r>
      <w:r w:rsidRPr="00E061DC">
        <w:t xml:space="preserve">Navajo Tribal Council, </w:t>
      </w:r>
      <w:r w:rsidRPr="00E061DC">
        <w:rPr>
          <w:i/>
        </w:rPr>
        <w:t>MCMAIT 1/I</w:t>
      </w:r>
      <w:r>
        <w:t>, Reel V. Tso’s statement shows that tribal council representatives presented themselves as a nation long before the official title of Navajo Nation was adopted in April 1969.</w:t>
      </w:r>
    </w:p>
  </w:footnote>
  <w:footnote w:id="67">
    <w:p w:rsidR="00D9146A" w:rsidRPr="001A52EB" w:rsidRDefault="00D9146A" w:rsidP="00714142">
      <w:pPr>
        <w:pStyle w:val="FootnoteText"/>
      </w:pPr>
      <w:r>
        <w:rPr>
          <w:rStyle w:val="FootnoteReference"/>
        </w:rPr>
        <w:footnoteRef/>
      </w:r>
      <w:r>
        <w:t xml:space="preserve"> Larry Emerson, ‘Diné Culture, Decolonization, and the Politics of Hózhó’, in Lloyd Lee (ed.), </w:t>
      </w:r>
      <w:r>
        <w:rPr>
          <w:i/>
        </w:rPr>
        <w:t xml:space="preserve">Diné Perspectives: Revitalizing and Reclaiming Navajo Thought </w:t>
      </w:r>
      <w:r>
        <w:t xml:space="preserve"> (Tucson, 2014), 54.</w:t>
      </w:r>
    </w:p>
  </w:footnote>
  <w:footnote w:id="68">
    <w:p w:rsidR="00D9146A" w:rsidRPr="00677D01" w:rsidRDefault="00D9146A">
      <w:pPr>
        <w:pStyle w:val="FootnoteText"/>
      </w:pPr>
      <w:r>
        <w:rPr>
          <w:rStyle w:val="FootnoteReference"/>
        </w:rPr>
        <w:footnoteRef/>
      </w:r>
      <w:r>
        <w:t xml:space="preserve"> </w:t>
      </w:r>
      <w:r w:rsidRPr="00677D01">
        <w:t xml:space="preserve">Navajo Tribal Council, 20-31 July 1953, </w:t>
      </w:r>
      <w:r w:rsidRPr="00677D01">
        <w:rPr>
          <w:i/>
        </w:rPr>
        <w:t>MCMAIT, 1/I</w:t>
      </w:r>
      <w:r w:rsidRPr="00677D01">
        <w:t xml:space="preserve">, Reel VIII. </w:t>
      </w:r>
      <w:r w:rsidR="005D7B07">
        <w:t xml:space="preserve">Emphasis added. </w:t>
      </w:r>
      <w:r w:rsidRPr="00677D01">
        <w:t>70 out of 74 council representatives vote</w:t>
      </w:r>
      <w:r>
        <w:t>d in support of the resolution.</w:t>
      </w:r>
    </w:p>
  </w:footnote>
  <w:footnote w:id="69">
    <w:p w:rsidR="00D9146A" w:rsidRPr="006E4FB7" w:rsidRDefault="00D9146A">
      <w:pPr>
        <w:pStyle w:val="FootnoteText"/>
      </w:pPr>
      <w:r>
        <w:rPr>
          <w:rStyle w:val="FootnoteReference"/>
        </w:rPr>
        <w:footnoteRef/>
      </w:r>
      <w:r>
        <w:t xml:space="preserve"> </w:t>
      </w:r>
      <w:r w:rsidRPr="006E4FB7">
        <w:t>For details of socio-e</w:t>
      </w:r>
      <w:r>
        <w:t>conomic gains made</w:t>
      </w:r>
      <w:r w:rsidRPr="006E4FB7">
        <w:t xml:space="preserve"> in the 1950s, see: Iverson, </w:t>
      </w:r>
      <w:r>
        <w:rPr>
          <w:i/>
        </w:rPr>
        <w:t>Diné</w:t>
      </w:r>
      <w:r>
        <w:t>, 180-226.</w:t>
      </w:r>
    </w:p>
  </w:footnote>
  <w:footnote w:id="70">
    <w:p w:rsidR="00D9146A" w:rsidRPr="008D6DF5" w:rsidRDefault="00D9146A">
      <w:pPr>
        <w:pStyle w:val="FootnoteText"/>
      </w:pPr>
      <w:r>
        <w:rPr>
          <w:rStyle w:val="FootnoteReference"/>
        </w:rPr>
        <w:footnoteRef/>
      </w:r>
      <w:r>
        <w:t xml:space="preserve"> Navajo Tribal Council, 13 October 1958, </w:t>
      </w:r>
      <w:r>
        <w:rPr>
          <w:i/>
        </w:rPr>
        <w:t>MCMAIT 2/I</w:t>
      </w:r>
      <w:r>
        <w:t>, Reel I.</w:t>
      </w:r>
    </w:p>
  </w:footnote>
  <w:footnote w:id="71">
    <w:p w:rsidR="00D9146A" w:rsidRPr="004C3444" w:rsidRDefault="00D9146A">
      <w:pPr>
        <w:pStyle w:val="FootnoteText"/>
      </w:pPr>
      <w:r>
        <w:rPr>
          <w:rStyle w:val="FootnoteReference"/>
        </w:rPr>
        <w:footnoteRef/>
      </w:r>
      <w:r>
        <w:t xml:space="preserve"> </w:t>
      </w:r>
      <w:r w:rsidRPr="004C3444">
        <w:t xml:space="preserve">Thomas Clarkin, </w:t>
      </w:r>
      <w:r w:rsidRPr="004C3444">
        <w:rPr>
          <w:i/>
        </w:rPr>
        <w:t>Federal Indian Policy in the Kennedy and Johnson Administrations, 1961-1969</w:t>
      </w:r>
      <w:r>
        <w:t xml:space="preserve"> (Albuquerque, 2001), 37.</w:t>
      </w:r>
    </w:p>
  </w:footnote>
  <w:footnote w:id="72">
    <w:p w:rsidR="00D9146A" w:rsidRPr="00045FA2" w:rsidRDefault="00D9146A">
      <w:pPr>
        <w:pStyle w:val="FootnoteText"/>
      </w:pPr>
      <w:r>
        <w:rPr>
          <w:rStyle w:val="FootnoteReference"/>
        </w:rPr>
        <w:footnoteRef/>
      </w:r>
      <w:r>
        <w:t xml:space="preserve"> </w:t>
      </w:r>
      <w:r w:rsidRPr="00045FA2">
        <w:t xml:space="preserve">Navajo Tribal Council, 13 October 1958, </w:t>
      </w:r>
      <w:r>
        <w:rPr>
          <w:i/>
        </w:rPr>
        <w:t>MCMAIT 2</w:t>
      </w:r>
      <w:r w:rsidRPr="00045FA2">
        <w:rPr>
          <w:i/>
        </w:rPr>
        <w:t>/II</w:t>
      </w:r>
      <w:r w:rsidRPr="00045FA2">
        <w:t xml:space="preserve">, Reel </w:t>
      </w:r>
      <w:r>
        <w:t>I.</w:t>
      </w:r>
    </w:p>
  </w:footnote>
  <w:footnote w:id="73">
    <w:p w:rsidR="00D9146A" w:rsidRPr="00F71938" w:rsidRDefault="00D9146A">
      <w:pPr>
        <w:pStyle w:val="FootnoteText"/>
      </w:pPr>
      <w:r>
        <w:rPr>
          <w:rStyle w:val="FootnoteReference"/>
        </w:rPr>
        <w:footnoteRef/>
      </w:r>
      <w:r>
        <w:t xml:space="preserve"> </w:t>
      </w:r>
      <w:r w:rsidRPr="00F71938">
        <w:t xml:space="preserve">Needham, </w:t>
      </w:r>
      <w:r w:rsidRPr="00F71938">
        <w:rPr>
          <w:i/>
        </w:rPr>
        <w:t>Power Lines</w:t>
      </w:r>
      <w:r w:rsidRPr="00F71938">
        <w:t>, 146.</w:t>
      </w:r>
    </w:p>
  </w:footnote>
  <w:footnote w:id="74">
    <w:p w:rsidR="00D9146A" w:rsidRPr="002D64AE" w:rsidRDefault="00D9146A">
      <w:pPr>
        <w:pStyle w:val="FootnoteText"/>
      </w:pPr>
      <w:r>
        <w:rPr>
          <w:rStyle w:val="FootnoteReference"/>
        </w:rPr>
        <w:footnoteRef/>
      </w:r>
      <w:r>
        <w:t xml:space="preserve"> Navajo Tribal Council, 13 October 1958, </w:t>
      </w:r>
      <w:r>
        <w:rPr>
          <w:i/>
        </w:rPr>
        <w:t>MCMAIT 2/II</w:t>
      </w:r>
      <w:r>
        <w:t>, Reel I.</w:t>
      </w:r>
    </w:p>
  </w:footnote>
  <w:footnote w:id="75">
    <w:p w:rsidR="00D9146A" w:rsidRPr="008F6F1D" w:rsidRDefault="00D9146A">
      <w:pPr>
        <w:pStyle w:val="FootnoteText"/>
      </w:pPr>
      <w:r>
        <w:rPr>
          <w:rStyle w:val="FootnoteReference"/>
        </w:rPr>
        <w:footnoteRef/>
      </w:r>
      <w:r>
        <w:t xml:space="preserve"> </w:t>
      </w:r>
      <w:r w:rsidRPr="008F6F1D">
        <w:t>Ibid.</w:t>
      </w:r>
    </w:p>
  </w:footnote>
  <w:footnote w:id="76">
    <w:p w:rsidR="00D9146A" w:rsidRPr="00AB4AA7" w:rsidRDefault="00D9146A">
      <w:pPr>
        <w:pStyle w:val="FootnoteText"/>
      </w:pPr>
      <w:r>
        <w:rPr>
          <w:rStyle w:val="FootnoteReference"/>
        </w:rPr>
        <w:footnoteRef/>
      </w:r>
      <w:r>
        <w:t xml:space="preserve"> For a detailed account of Wauneka’s political life and achievements, see Carolyn Niethammer, </w:t>
      </w:r>
      <w:r>
        <w:rPr>
          <w:i/>
        </w:rPr>
        <w:t>I’ll Go and Do More: Annie Dodge Wauneka, Navajo Leader and Activist</w:t>
      </w:r>
      <w:r>
        <w:t xml:space="preserve"> (Lincoln, 2001).</w:t>
      </w:r>
    </w:p>
  </w:footnote>
  <w:footnote w:id="77">
    <w:p w:rsidR="00D9146A" w:rsidRPr="00BE4CCF" w:rsidRDefault="00D9146A">
      <w:pPr>
        <w:pStyle w:val="FootnoteText"/>
      </w:pPr>
      <w:r>
        <w:rPr>
          <w:rStyle w:val="FootnoteReference"/>
        </w:rPr>
        <w:footnoteRef/>
      </w:r>
      <w:r>
        <w:t xml:space="preserve"> In Diné society families and clans are organized around women, who hold a strong socio-economic position as the owners of livestock and heads of household. Marsha Weisiger terms this a “matricentered” society, see: Marsha Weisiger, ‘Gendered Injustice: Navajo Livestock Reduction in the New Deal Era’, </w:t>
      </w:r>
      <w:r>
        <w:rPr>
          <w:i/>
        </w:rPr>
        <w:t>Western Historical Quarterly</w:t>
      </w:r>
      <w:r>
        <w:t>, 34:4 (Winter 2007): 441-2.</w:t>
      </w:r>
    </w:p>
  </w:footnote>
  <w:footnote w:id="78">
    <w:p w:rsidR="00D9146A" w:rsidRPr="00094FBF" w:rsidRDefault="00D9146A">
      <w:pPr>
        <w:pStyle w:val="FootnoteText"/>
      </w:pPr>
      <w:r>
        <w:rPr>
          <w:rStyle w:val="FootnoteReference"/>
        </w:rPr>
        <w:footnoteRef/>
      </w:r>
      <w:r>
        <w:t xml:space="preserve"> Navajo Tribal Council, 16-19 August 1960, </w:t>
      </w:r>
      <w:r>
        <w:rPr>
          <w:i/>
        </w:rPr>
        <w:t>MCMAIT 2/II</w:t>
      </w:r>
      <w:r>
        <w:t>, Reel IV.</w:t>
      </w:r>
    </w:p>
  </w:footnote>
  <w:footnote w:id="79">
    <w:p w:rsidR="00D9146A" w:rsidRPr="00216F25" w:rsidRDefault="00D9146A">
      <w:pPr>
        <w:pStyle w:val="FootnoteText"/>
      </w:pPr>
      <w:r>
        <w:rPr>
          <w:rStyle w:val="FootnoteReference"/>
        </w:rPr>
        <w:footnoteRef/>
      </w:r>
      <w:r>
        <w:t xml:space="preserve"> </w:t>
      </w:r>
      <w:r w:rsidRPr="00216F25">
        <w:t xml:space="preserve">Francis Paul Prucha, </w:t>
      </w:r>
      <w:r w:rsidRPr="00216F25">
        <w:rPr>
          <w:i/>
        </w:rPr>
        <w:t>The Great Father: The United States Government and the American Indians</w:t>
      </w:r>
      <w:r w:rsidRPr="00216F25">
        <w:t xml:space="preserve"> (Lincoln, 1995), 1041.</w:t>
      </w:r>
    </w:p>
  </w:footnote>
  <w:footnote w:id="80">
    <w:p w:rsidR="00D9146A" w:rsidRPr="00AF43DD" w:rsidRDefault="00D9146A" w:rsidP="00B26877">
      <w:pPr>
        <w:pStyle w:val="FootnoteText"/>
      </w:pPr>
      <w:r>
        <w:rPr>
          <w:rStyle w:val="FootnoteReference"/>
        </w:rPr>
        <w:footnoteRef/>
      </w:r>
      <w:r>
        <w:t xml:space="preserve"> Wilkins, </w:t>
      </w:r>
      <w:r>
        <w:rPr>
          <w:i/>
        </w:rPr>
        <w:t>Navajo Political Experience</w:t>
      </w:r>
      <w:r>
        <w:t>, 10.</w:t>
      </w:r>
    </w:p>
  </w:footnote>
  <w:footnote w:id="81">
    <w:p w:rsidR="00D9146A" w:rsidRPr="00F23300" w:rsidRDefault="00D9146A">
      <w:pPr>
        <w:pStyle w:val="FootnoteText"/>
      </w:pPr>
      <w:r>
        <w:rPr>
          <w:rStyle w:val="FootnoteReference"/>
        </w:rPr>
        <w:footnoteRef/>
      </w:r>
      <w:r>
        <w:t xml:space="preserve"> Students were reportedly whipped and stabbed. </w:t>
      </w:r>
      <w:r w:rsidRPr="00F23300">
        <w:t xml:space="preserve">Navajo Tribal Council, 16-19 August 1960, </w:t>
      </w:r>
      <w:r w:rsidRPr="00F23300">
        <w:rPr>
          <w:i/>
        </w:rPr>
        <w:t>MCMAIT 2/II</w:t>
      </w:r>
      <w:r>
        <w:t>, Reel IV.</w:t>
      </w:r>
    </w:p>
  </w:footnote>
  <w:footnote w:id="82">
    <w:p w:rsidR="00D9146A" w:rsidRPr="0009090C" w:rsidRDefault="00D9146A">
      <w:pPr>
        <w:pStyle w:val="FootnoteText"/>
      </w:pPr>
      <w:r>
        <w:rPr>
          <w:rStyle w:val="FootnoteReference"/>
        </w:rPr>
        <w:footnoteRef/>
      </w:r>
      <w:r>
        <w:t xml:space="preserve"> </w:t>
      </w:r>
      <w:r w:rsidRPr="0009090C">
        <w:t>Ibid.</w:t>
      </w:r>
    </w:p>
  </w:footnote>
  <w:footnote w:id="83">
    <w:p w:rsidR="00D9146A" w:rsidRPr="0009090C" w:rsidRDefault="00D9146A" w:rsidP="00C11267">
      <w:pPr>
        <w:pStyle w:val="FootnoteText"/>
      </w:pPr>
      <w:r>
        <w:rPr>
          <w:rStyle w:val="FootnoteReference"/>
        </w:rPr>
        <w:footnoteRef/>
      </w:r>
      <w:r>
        <w:t xml:space="preserve"> </w:t>
      </w:r>
      <w:r w:rsidRPr="0009090C">
        <w:t>Ibid.</w:t>
      </w:r>
    </w:p>
  </w:footnote>
  <w:footnote w:id="84">
    <w:p w:rsidR="00D9146A" w:rsidRPr="00E007D3" w:rsidRDefault="00D9146A">
      <w:pPr>
        <w:pStyle w:val="FootnoteText"/>
      </w:pPr>
      <w:r>
        <w:rPr>
          <w:rStyle w:val="FootnoteReference"/>
        </w:rPr>
        <w:footnoteRef/>
      </w:r>
      <w:r>
        <w:t xml:space="preserve"> Nakai did not successfully fulfil this pledge as Chairman (1963-1970). To date the Navajo government has no constitution. Wilkins, </w:t>
      </w:r>
      <w:r>
        <w:rPr>
          <w:i/>
        </w:rPr>
        <w:t>Navajo Political Experience</w:t>
      </w:r>
      <w:r>
        <w:t>, 107.</w:t>
      </w:r>
    </w:p>
  </w:footnote>
  <w:footnote w:id="85">
    <w:p w:rsidR="00D9146A" w:rsidRPr="00CD3283" w:rsidRDefault="00D9146A">
      <w:pPr>
        <w:pStyle w:val="FootnoteText"/>
      </w:pPr>
      <w:r>
        <w:rPr>
          <w:rStyle w:val="FootnoteReference"/>
        </w:rPr>
        <w:footnoteRef/>
      </w:r>
      <w:r>
        <w:t xml:space="preserve"> Navajo Tribal Council, 13 April – 8 May 1963, </w:t>
      </w:r>
      <w:r>
        <w:rPr>
          <w:i/>
        </w:rPr>
        <w:t>MCMAIT 2/II</w:t>
      </w:r>
      <w:r>
        <w:t>, Reel IX.</w:t>
      </w:r>
    </w:p>
  </w:footnote>
  <w:footnote w:id="86">
    <w:p w:rsidR="00D9146A" w:rsidRPr="00873089" w:rsidRDefault="00D9146A">
      <w:pPr>
        <w:pStyle w:val="FootnoteText"/>
      </w:pPr>
      <w:r>
        <w:rPr>
          <w:rStyle w:val="FootnoteReference"/>
        </w:rPr>
        <w:footnoteRef/>
      </w:r>
      <w:r>
        <w:t xml:space="preserve"> Needham, </w:t>
      </w:r>
      <w:r>
        <w:rPr>
          <w:i/>
        </w:rPr>
        <w:t>Power Lines</w:t>
      </w:r>
      <w:r>
        <w:t>, 144.</w:t>
      </w:r>
    </w:p>
  </w:footnote>
  <w:footnote w:id="87">
    <w:p w:rsidR="00D9146A" w:rsidRPr="00D86BFF" w:rsidRDefault="00D9146A">
      <w:pPr>
        <w:pStyle w:val="FootnoteText"/>
      </w:pPr>
      <w:r>
        <w:rPr>
          <w:rStyle w:val="FootnoteReference"/>
        </w:rPr>
        <w:footnoteRef/>
      </w:r>
      <w:r>
        <w:t xml:space="preserve"> See Ulrich, </w:t>
      </w:r>
      <w:r>
        <w:rPr>
          <w:i/>
        </w:rPr>
        <w:t>American Indian Nations</w:t>
      </w:r>
      <w:r>
        <w:t xml:space="preserve">, 135 and Lambert, </w:t>
      </w:r>
      <w:r>
        <w:rPr>
          <w:i/>
        </w:rPr>
        <w:t>Choctaw Nation</w:t>
      </w:r>
      <w:r>
        <w:t>, 3.</w:t>
      </w:r>
    </w:p>
  </w:footnote>
  <w:footnote w:id="88">
    <w:p w:rsidR="00D9146A" w:rsidRPr="004E3A6F" w:rsidRDefault="00D9146A">
      <w:pPr>
        <w:pStyle w:val="FootnoteText"/>
      </w:pPr>
      <w:r>
        <w:rPr>
          <w:rStyle w:val="FootnoteReference"/>
        </w:rPr>
        <w:footnoteRef/>
      </w:r>
      <w:r>
        <w:t xml:space="preserve"> Navajo Tribal Council, 12-23 February 1962, </w:t>
      </w:r>
      <w:r>
        <w:rPr>
          <w:i/>
        </w:rPr>
        <w:t>MCMAIT 2/II</w:t>
      </w:r>
      <w:r>
        <w:t>, Reel VII.</w:t>
      </w:r>
    </w:p>
  </w:footnote>
  <w:footnote w:id="89">
    <w:p w:rsidR="00D9146A" w:rsidRPr="0048227C" w:rsidRDefault="00D9146A">
      <w:pPr>
        <w:pStyle w:val="FootnoteText"/>
      </w:pPr>
      <w:r>
        <w:rPr>
          <w:rStyle w:val="FootnoteReference"/>
        </w:rPr>
        <w:footnoteRef/>
      </w:r>
      <w:r>
        <w:t xml:space="preserve"> Navajo Tribal Council, 7-14 December 1964, </w:t>
      </w:r>
      <w:r>
        <w:rPr>
          <w:i/>
        </w:rPr>
        <w:t>MCMAIT 2/II</w:t>
      </w:r>
      <w:r>
        <w:t>, Reel XI.</w:t>
      </w:r>
    </w:p>
  </w:footnote>
  <w:footnote w:id="90">
    <w:p w:rsidR="00D9146A" w:rsidRPr="00AA76AC" w:rsidRDefault="00D9146A">
      <w:pPr>
        <w:pStyle w:val="FootnoteText"/>
      </w:pPr>
      <w:r>
        <w:rPr>
          <w:rStyle w:val="FootnoteReference"/>
        </w:rPr>
        <w:footnoteRef/>
      </w:r>
      <w:r>
        <w:t xml:space="preserve"> </w:t>
      </w:r>
      <w:r w:rsidRPr="00AA76AC">
        <w:t>Hayn</w:t>
      </w:r>
      <w:r>
        <w:t>al, ’Termination and Tribal Sur</w:t>
      </w:r>
      <w:r w:rsidRPr="00AA76AC">
        <w:t>vival’: 271.</w:t>
      </w:r>
    </w:p>
  </w:footnote>
  <w:footnote w:id="91">
    <w:p w:rsidR="00D9146A" w:rsidRPr="0009090C" w:rsidRDefault="00D9146A">
      <w:pPr>
        <w:pStyle w:val="FootnoteText"/>
      </w:pPr>
      <w:r>
        <w:rPr>
          <w:rStyle w:val="FootnoteReference"/>
        </w:rPr>
        <w:footnoteRef/>
      </w:r>
      <w:r>
        <w:t xml:space="preserve"> </w:t>
      </w:r>
      <w:r w:rsidRPr="0009090C">
        <w:t xml:space="preserve">Ulrich, </w:t>
      </w:r>
      <w:r w:rsidRPr="0009090C">
        <w:rPr>
          <w:i/>
        </w:rPr>
        <w:t>American Indian Nations</w:t>
      </w:r>
      <w:r w:rsidRPr="0009090C">
        <w:t>, 196.</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F7C98" w:rsidRPr="008600E1" w:rsidRDefault="008600E1" w:rsidP="00BF7C98">
    <w:pPr>
      <w:pStyle w:val="Header"/>
      <w:tabs>
        <w:tab w:val="clear" w:pos="4819"/>
        <w:tab w:val="clear" w:pos="9638"/>
        <w:tab w:val="left" w:pos="8295"/>
      </w:tabs>
      <w:rPr>
        <w:lang w:val="fi-FI"/>
      </w:rPr>
    </w:pPr>
    <w:r>
      <w:rPr>
        <w:lang w:val="fi-FI"/>
      </w:rPr>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20"/>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3F5B"/>
    <w:rsid w:val="00005528"/>
    <w:rsid w:val="000062FC"/>
    <w:rsid w:val="00006D65"/>
    <w:rsid w:val="0000720D"/>
    <w:rsid w:val="00024846"/>
    <w:rsid w:val="00025C97"/>
    <w:rsid w:val="0002613A"/>
    <w:rsid w:val="00030B99"/>
    <w:rsid w:val="00031D86"/>
    <w:rsid w:val="0003435A"/>
    <w:rsid w:val="00035DAC"/>
    <w:rsid w:val="0003613F"/>
    <w:rsid w:val="00036801"/>
    <w:rsid w:val="00037415"/>
    <w:rsid w:val="00040936"/>
    <w:rsid w:val="0004272A"/>
    <w:rsid w:val="0004557B"/>
    <w:rsid w:val="00045FA2"/>
    <w:rsid w:val="00046928"/>
    <w:rsid w:val="00046DEE"/>
    <w:rsid w:val="00051484"/>
    <w:rsid w:val="000540CA"/>
    <w:rsid w:val="00055BBE"/>
    <w:rsid w:val="000571EE"/>
    <w:rsid w:val="00057A39"/>
    <w:rsid w:val="00060627"/>
    <w:rsid w:val="00061319"/>
    <w:rsid w:val="0006219F"/>
    <w:rsid w:val="000641D6"/>
    <w:rsid w:val="00070B1B"/>
    <w:rsid w:val="00075807"/>
    <w:rsid w:val="00076255"/>
    <w:rsid w:val="00077405"/>
    <w:rsid w:val="000802E6"/>
    <w:rsid w:val="00081EC5"/>
    <w:rsid w:val="00085201"/>
    <w:rsid w:val="00085A52"/>
    <w:rsid w:val="000905D3"/>
    <w:rsid w:val="0009090C"/>
    <w:rsid w:val="00094FBF"/>
    <w:rsid w:val="00095131"/>
    <w:rsid w:val="000951C5"/>
    <w:rsid w:val="0009571F"/>
    <w:rsid w:val="00095AA1"/>
    <w:rsid w:val="00096F65"/>
    <w:rsid w:val="00097667"/>
    <w:rsid w:val="000A0864"/>
    <w:rsid w:val="000A3A9E"/>
    <w:rsid w:val="000A6856"/>
    <w:rsid w:val="000B14CD"/>
    <w:rsid w:val="000B221F"/>
    <w:rsid w:val="000B78EC"/>
    <w:rsid w:val="000C1265"/>
    <w:rsid w:val="000C12EF"/>
    <w:rsid w:val="000C299A"/>
    <w:rsid w:val="000C4228"/>
    <w:rsid w:val="000C543A"/>
    <w:rsid w:val="000C62A7"/>
    <w:rsid w:val="000D0B40"/>
    <w:rsid w:val="000D0C9C"/>
    <w:rsid w:val="000D16E3"/>
    <w:rsid w:val="000D195B"/>
    <w:rsid w:val="000D388A"/>
    <w:rsid w:val="000D4DAC"/>
    <w:rsid w:val="000D5437"/>
    <w:rsid w:val="000D629E"/>
    <w:rsid w:val="000D68E8"/>
    <w:rsid w:val="000D7B40"/>
    <w:rsid w:val="000E066A"/>
    <w:rsid w:val="000E4280"/>
    <w:rsid w:val="000E5DF0"/>
    <w:rsid w:val="000E63A9"/>
    <w:rsid w:val="000E677C"/>
    <w:rsid w:val="000E7EA2"/>
    <w:rsid w:val="000F17F6"/>
    <w:rsid w:val="000F2C3B"/>
    <w:rsid w:val="000F3356"/>
    <w:rsid w:val="000F4C60"/>
    <w:rsid w:val="000F5BA1"/>
    <w:rsid w:val="000F5BB3"/>
    <w:rsid w:val="000F680F"/>
    <w:rsid w:val="000F6D6A"/>
    <w:rsid w:val="001007CE"/>
    <w:rsid w:val="001017EE"/>
    <w:rsid w:val="0010199D"/>
    <w:rsid w:val="00102A03"/>
    <w:rsid w:val="00104541"/>
    <w:rsid w:val="00110F55"/>
    <w:rsid w:val="00112F54"/>
    <w:rsid w:val="00113E9D"/>
    <w:rsid w:val="00120193"/>
    <w:rsid w:val="00120E6C"/>
    <w:rsid w:val="00120EEF"/>
    <w:rsid w:val="00140617"/>
    <w:rsid w:val="00141E6B"/>
    <w:rsid w:val="001453C4"/>
    <w:rsid w:val="001466C6"/>
    <w:rsid w:val="0014753E"/>
    <w:rsid w:val="00147716"/>
    <w:rsid w:val="001505CB"/>
    <w:rsid w:val="00156C7E"/>
    <w:rsid w:val="0016008B"/>
    <w:rsid w:val="00161105"/>
    <w:rsid w:val="00162B67"/>
    <w:rsid w:val="00164AEA"/>
    <w:rsid w:val="00165329"/>
    <w:rsid w:val="00166B5D"/>
    <w:rsid w:val="0017070D"/>
    <w:rsid w:val="001708E4"/>
    <w:rsid w:val="00171DCD"/>
    <w:rsid w:val="00173D68"/>
    <w:rsid w:val="001755AF"/>
    <w:rsid w:val="00176579"/>
    <w:rsid w:val="00176948"/>
    <w:rsid w:val="00177239"/>
    <w:rsid w:val="00177B5C"/>
    <w:rsid w:val="00180D16"/>
    <w:rsid w:val="00181406"/>
    <w:rsid w:val="001814D1"/>
    <w:rsid w:val="00183396"/>
    <w:rsid w:val="0018675B"/>
    <w:rsid w:val="00191255"/>
    <w:rsid w:val="00191CA3"/>
    <w:rsid w:val="00191D13"/>
    <w:rsid w:val="001943EB"/>
    <w:rsid w:val="00195480"/>
    <w:rsid w:val="00197E24"/>
    <w:rsid w:val="001A4348"/>
    <w:rsid w:val="001A439C"/>
    <w:rsid w:val="001A46D1"/>
    <w:rsid w:val="001A470C"/>
    <w:rsid w:val="001A52EB"/>
    <w:rsid w:val="001A5F43"/>
    <w:rsid w:val="001B046F"/>
    <w:rsid w:val="001B05BC"/>
    <w:rsid w:val="001B1AB9"/>
    <w:rsid w:val="001B20FF"/>
    <w:rsid w:val="001B58DA"/>
    <w:rsid w:val="001B6C16"/>
    <w:rsid w:val="001C09F3"/>
    <w:rsid w:val="001C1602"/>
    <w:rsid w:val="001C3251"/>
    <w:rsid w:val="001C3CD8"/>
    <w:rsid w:val="001C4F53"/>
    <w:rsid w:val="001C5EA1"/>
    <w:rsid w:val="001C75A8"/>
    <w:rsid w:val="001C7E5F"/>
    <w:rsid w:val="001D0404"/>
    <w:rsid w:val="001D0C18"/>
    <w:rsid w:val="001D2440"/>
    <w:rsid w:val="001D2DF1"/>
    <w:rsid w:val="001D46DB"/>
    <w:rsid w:val="001D4EDC"/>
    <w:rsid w:val="001D57B1"/>
    <w:rsid w:val="001D65E5"/>
    <w:rsid w:val="001D741D"/>
    <w:rsid w:val="001E0B5B"/>
    <w:rsid w:val="001E1DFC"/>
    <w:rsid w:val="001E33A3"/>
    <w:rsid w:val="001E3463"/>
    <w:rsid w:val="001E5724"/>
    <w:rsid w:val="001E60C9"/>
    <w:rsid w:val="001E6B5C"/>
    <w:rsid w:val="001E6E6D"/>
    <w:rsid w:val="001F1077"/>
    <w:rsid w:val="001F2B5C"/>
    <w:rsid w:val="001F2FF6"/>
    <w:rsid w:val="001F4A60"/>
    <w:rsid w:val="002045BA"/>
    <w:rsid w:val="002051B7"/>
    <w:rsid w:val="00205E37"/>
    <w:rsid w:val="002060CC"/>
    <w:rsid w:val="0021062D"/>
    <w:rsid w:val="0021163D"/>
    <w:rsid w:val="00211DBA"/>
    <w:rsid w:val="00214449"/>
    <w:rsid w:val="00214B36"/>
    <w:rsid w:val="002150FD"/>
    <w:rsid w:val="00216F25"/>
    <w:rsid w:val="00217978"/>
    <w:rsid w:val="002210EE"/>
    <w:rsid w:val="0022378A"/>
    <w:rsid w:val="00223876"/>
    <w:rsid w:val="002251B0"/>
    <w:rsid w:val="0023411A"/>
    <w:rsid w:val="00234C7F"/>
    <w:rsid w:val="00235690"/>
    <w:rsid w:val="0023585D"/>
    <w:rsid w:val="002365DF"/>
    <w:rsid w:val="00243C9B"/>
    <w:rsid w:val="002450F3"/>
    <w:rsid w:val="002464DA"/>
    <w:rsid w:val="002538F7"/>
    <w:rsid w:val="00253B2D"/>
    <w:rsid w:val="00254954"/>
    <w:rsid w:val="00255C65"/>
    <w:rsid w:val="0025647A"/>
    <w:rsid w:val="00257CA6"/>
    <w:rsid w:val="00260171"/>
    <w:rsid w:val="002617B8"/>
    <w:rsid w:val="00261F4A"/>
    <w:rsid w:val="002626B2"/>
    <w:rsid w:val="0026326A"/>
    <w:rsid w:val="00264D45"/>
    <w:rsid w:val="00282EC1"/>
    <w:rsid w:val="00283A2F"/>
    <w:rsid w:val="002849F6"/>
    <w:rsid w:val="00284E5D"/>
    <w:rsid w:val="00285E4D"/>
    <w:rsid w:val="00285F89"/>
    <w:rsid w:val="00286986"/>
    <w:rsid w:val="002928F3"/>
    <w:rsid w:val="00292EA8"/>
    <w:rsid w:val="002933F2"/>
    <w:rsid w:val="0029594F"/>
    <w:rsid w:val="002A1CD4"/>
    <w:rsid w:val="002A22E8"/>
    <w:rsid w:val="002A322F"/>
    <w:rsid w:val="002A3E9A"/>
    <w:rsid w:val="002A5FB4"/>
    <w:rsid w:val="002A6FDF"/>
    <w:rsid w:val="002A7C44"/>
    <w:rsid w:val="002B3B0E"/>
    <w:rsid w:val="002B48DF"/>
    <w:rsid w:val="002C0E37"/>
    <w:rsid w:val="002C11C1"/>
    <w:rsid w:val="002C1D88"/>
    <w:rsid w:val="002C4FBD"/>
    <w:rsid w:val="002C5637"/>
    <w:rsid w:val="002C60F7"/>
    <w:rsid w:val="002C7F28"/>
    <w:rsid w:val="002D01E2"/>
    <w:rsid w:val="002D64AE"/>
    <w:rsid w:val="002D6713"/>
    <w:rsid w:val="002D6E44"/>
    <w:rsid w:val="002E1486"/>
    <w:rsid w:val="002E48E4"/>
    <w:rsid w:val="002E6ADF"/>
    <w:rsid w:val="002E6FAD"/>
    <w:rsid w:val="002F01AC"/>
    <w:rsid w:val="002F0DC4"/>
    <w:rsid w:val="002F24A0"/>
    <w:rsid w:val="002F3DC4"/>
    <w:rsid w:val="00300A90"/>
    <w:rsid w:val="00301F67"/>
    <w:rsid w:val="0030241A"/>
    <w:rsid w:val="003026A1"/>
    <w:rsid w:val="00303FBB"/>
    <w:rsid w:val="0031066B"/>
    <w:rsid w:val="00310C35"/>
    <w:rsid w:val="0031349B"/>
    <w:rsid w:val="0031358A"/>
    <w:rsid w:val="00314709"/>
    <w:rsid w:val="00314AEF"/>
    <w:rsid w:val="00315906"/>
    <w:rsid w:val="003163ED"/>
    <w:rsid w:val="003165C7"/>
    <w:rsid w:val="00316D06"/>
    <w:rsid w:val="003205DF"/>
    <w:rsid w:val="003220EA"/>
    <w:rsid w:val="003220FB"/>
    <w:rsid w:val="0032340D"/>
    <w:rsid w:val="00323F0D"/>
    <w:rsid w:val="00326C7D"/>
    <w:rsid w:val="00330273"/>
    <w:rsid w:val="00331C6F"/>
    <w:rsid w:val="00332FC3"/>
    <w:rsid w:val="00333351"/>
    <w:rsid w:val="00335D47"/>
    <w:rsid w:val="00336275"/>
    <w:rsid w:val="003377B0"/>
    <w:rsid w:val="00337BE1"/>
    <w:rsid w:val="00337FEB"/>
    <w:rsid w:val="003441C3"/>
    <w:rsid w:val="00346BE4"/>
    <w:rsid w:val="0035100F"/>
    <w:rsid w:val="00351CE7"/>
    <w:rsid w:val="00354EA2"/>
    <w:rsid w:val="00354ED9"/>
    <w:rsid w:val="00361506"/>
    <w:rsid w:val="00361EC7"/>
    <w:rsid w:val="00364944"/>
    <w:rsid w:val="00364DBB"/>
    <w:rsid w:val="00364FFB"/>
    <w:rsid w:val="00366829"/>
    <w:rsid w:val="00370A97"/>
    <w:rsid w:val="00371D0A"/>
    <w:rsid w:val="003735A3"/>
    <w:rsid w:val="003748B8"/>
    <w:rsid w:val="00374A90"/>
    <w:rsid w:val="00374C92"/>
    <w:rsid w:val="0038065D"/>
    <w:rsid w:val="003816C8"/>
    <w:rsid w:val="00381BF5"/>
    <w:rsid w:val="003838FA"/>
    <w:rsid w:val="00383EDA"/>
    <w:rsid w:val="00384C68"/>
    <w:rsid w:val="00386BEB"/>
    <w:rsid w:val="0039007D"/>
    <w:rsid w:val="003938AA"/>
    <w:rsid w:val="0039501B"/>
    <w:rsid w:val="00395137"/>
    <w:rsid w:val="00397DC6"/>
    <w:rsid w:val="003A259E"/>
    <w:rsid w:val="003A2775"/>
    <w:rsid w:val="003A29EE"/>
    <w:rsid w:val="003A2DB3"/>
    <w:rsid w:val="003A31D2"/>
    <w:rsid w:val="003A401E"/>
    <w:rsid w:val="003B1BF3"/>
    <w:rsid w:val="003B2E22"/>
    <w:rsid w:val="003B5671"/>
    <w:rsid w:val="003B5C16"/>
    <w:rsid w:val="003B66A8"/>
    <w:rsid w:val="003B7ED0"/>
    <w:rsid w:val="003C16E4"/>
    <w:rsid w:val="003C17C9"/>
    <w:rsid w:val="003C4099"/>
    <w:rsid w:val="003C43D4"/>
    <w:rsid w:val="003C4BDD"/>
    <w:rsid w:val="003C61DE"/>
    <w:rsid w:val="003D0480"/>
    <w:rsid w:val="003D1F8B"/>
    <w:rsid w:val="003D3940"/>
    <w:rsid w:val="003D44BE"/>
    <w:rsid w:val="003E4549"/>
    <w:rsid w:val="003E4957"/>
    <w:rsid w:val="003E6414"/>
    <w:rsid w:val="003F33D0"/>
    <w:rsid w:val="003F40CF"/>
    <w:rsid w:val="003F52BA"/>
    <w:rsid w:val="003F76E7"/>
    <w:rsid w:val="004019D6"/>
    <w:rsid w:val="00402EFE"/>
    <w:rsid w:val="00404AFB"/>
    <w:rsid w:val="00406EFA"/>
    <w:rsid w:val="0041047C"/>
    <w:rsid w:val="004127D6"/>
    <w:rsid w:val="00417D2B"/>
    <w:rsid w:val="00423B0B"/>
    <w:rsid w:val="00423FCE"/>
    <w:rsid w:val="00424E26"/>
    <w:rsid w:val="0042528D"/>
    <w:rsid w:val="00425E31"/>
    <w:rsid w:val="0042607C"/>
    <w:rsid w:val="00426FDA"/>
    <w:rsid w:val="00431AC2"/>
    <w:rsid w:val="00435B97"/>
    <w:rsid w:val="00437B88"/>
    <w:rsid w:val="00440A32"/>
    <w:rsid w:val="00441E47"/>
    <w:rsid w:val="00442128"/>
    <w:rsid w:val="004425C4"/>
    <w:rsid w:val="0044290F"/>
    <w:rsid w:val="0044337E"/>
    <w:rsid w:val="0044356E"/>
    <w:rsid w:val="004466EC"/>
    <w:rsid w:val="00447DC3"/>
    <w:rsid w:val="00457447"/>
    <w:rsid w:val="00461227"/>
    <w:rsid w:val="00463D30"/>
    <w:rsid w:val="00463E5A"/>
    <w:rsid w:val="0046771C"/>
    <w:rsid w:val="00470867"/>
    <w:rsid w:val="004708A9"/>
    <w:rsid w:val="004738B4"/>
    <w:rsid w:val="0047446D"/>
    <w:rsid w:val="00475268"/>
    <w:rsid w:val="0048227C"/>
    <w:rsid w:val="004847C6"/>
    <w:rsid w:val="00485154"/>
    <w:rsid w:val="004851AB"/>
    <w:rsid w:val="004856FA"/>
    <w:rsid w:val="00486AA2"/>
    <w:rsid w:val="004874EA"/>
    <w:rsid w:val="0049467A"/>
    <w:rsid w:val="00494B4B"/>
    <w:rsid w:val="00496E84"/>
    <w:rsid w:val="004A27D0"/>
    <w:rsid w:val="004A5D23"/>
    <w:rsid w:val="004A634F"/>
    <w:rsid w:val="004A66FF"/>
    <w:rsid w:val="004B1922"/>
    <w:rsid w:val="004B19AE"/>
    <w:rsid w:val="004B19B0"/>
    <w:rsid w:val="004B2FDD"/>
    <w:rsid w:val="004B31FE"/>
    <w:rsid w:val="004B6260"/>
    <w:rsid w:val="004B79DE"/>
    <w:rsid w:val="004C0FBA"/>
    <w:rsid w:val="004C3081"/>
    <w:rsid w:val="004C3444"/>
    <w:rsid w:val="004C419F"/>
    <w:rsid w:val="004C763D"/>
    <w:rsid w:val="004C7E4C"/>
    <w:rsid w:val="004D16C9"/>
    <w:rsid w:val="004D2329"/>
    <w:rsid w:val="004D5602"/>
    <w:rsid w:val="004D5F7B"/>
    <w:rsid w:val="004E0BED"/>
    <w:rsid w:val="004E1484"/>
    <w:rsid w:val="004E27A1"/>
    <w:rsid w:val="004E3A6F"/>
    <w:rsid w:val="004E4A1E"/>
    <w:rsid w:val="004E5064"/>
    <w:rsid w:val="004E601F"/>
    <w:rsid w:val="004E6DE1"/>
    <w:rsid w:val="004F111E"/>
    <w:rsid w:val="004F4D6E"/>
    <w:rsid w:val="004F6421"/>
    <w:rsid w:val="004F7A9A"/>
    <w:rsid w:val="00502011"/>
    <w:rsid w:val="00503FAD"/>
    <w:rsid w:val="00504B3B"/>
    <w:rsid w:val="0050635A"/>
    <w:rsid w:val="005141DD"/>
    <w:rsid w:val="005209C0"/>
    <w:rsid w:val="00520D4B"/>
    <w:rsid w:val="00522536"/>
    <w:rsid w:val="00522B91"/>
    <w:rsid w:val="0052380D"/>
    <w:rsid w:val="005238A9"/>
    <w:rsid w:val="005259A3"/>
    <w:rsid w:val="005271FB"/>
    <w:rsid w:val="00527E86"/>
    <w:rsid w:val="0053691A"/>
    <w:rsid w:val="00536F51"/>
    <w:rsid w:val="00541CC1"/>
    <w:rsid w:val="00542704"/>
    <w:rsid w:val="00543053"/>
    <w:rsid w:val="005432BB"/>
    <w:rsid w:val="005468B4"/>
    <w:rsid w:val="005512E0"/>
    <w:rsid w:val="00554849"/>
    <w:rsid w:val="00555620"/>
    <w:rsid w:val="00557336"/>
    <w:rsid w:val="00557D1F"/>
    <w:rsid w:val="00557EFC"/>
    <w:rsid w:val="00560CEF"/>
    <w:rsid w:val="005615DB"/>
    <w:rsid w:val="00564189"/>
    <w:rsid w:val="00570CA6"/>
    <w:rsid w:val="0057465E"/>
    <w:rsid w:val="00576355"/>
    <w:rsid w:val="005800E9"/>
    <w:rsid w:val="0058048D"/>
    <w:rsid w:val="005826D6"/>
    <w:rsid w:val="00582E5B"/>
    <w:rsid w:val="005856CE"/>
    <w:rsid w:val="0058604C"/>
    <w:rsid w:val="00586C39"/>
    <w:rsid w:val="005924E6"/>
    <w:rsid w:val="00594080"/>
    <w:rsid w:val="0059623A"/>
    <w:rsid w:val="005979C8"/>
    <w:rsid w:val="005A2B25"/>
    <w:rsid w:val="005A328F"/>
    <w:rsid w:val="005A4ABF"/>
    <w:rsid w:val="005A4EA2"/>
    <w:rsid w:val="005A4F89"/>
    <w:rsid w:val="005A7758"/>
    <w:rsid w:val="005B12A7"/>
    <w:rsid w:val="005B2284"/>
    <w:rsid w:val="005B27E5"/>
    <w:rsid w:val="005B3D47"/>
    <w:rsid w:val="005B68A4"/>
    <w:rsid w:val="005B7DE8"/>
    <w:rsid w:val="005B7E95"/>
    <w:rsid w:val="005C138D"/>
    <w:rsid w:val="005D1A33"/>
    <w:rsid w:val="005D21E7"/>
    <w:rsid w:val="005D44F0"/>
    <w:rsid w:val="005D4A02"/>
    <w:rsid w:val="005D6E07"/>
    <w:rsid w:val="005D7B07"/>
    <w:rsid w:val="005E01C0"/>
    <w:rsid w:val="005E7544"/>
    <w:rsid w:val="005F275A"/>
    <w:rsid w:val="005F363E"/>
    <w:rsid w:val="0060188F"/>
    <w:rsid w:val="00602C31"/>
    <w:rsid w:val="00610C3C"/>
    <w:rsid w:val="006149C4"/>
    <w:rsid w:val="0061666A"/>
    <w:rsid w:val="00620318"/>
    <w:rsid w:val="006232C8"/>
    <w:rsid w:val="006241CA"/>
    <w:rsid w:val="0062577C"/>
    <w:rsid w:val="006268E0"/>
    <w:rsid w:val="0063029B"/>
    <w:rsid w:val="006326DF"/>
    <w:rsid w:val="0063323D"/>
    <w:rsid w:val="006356FF"/>
    <w:rsid w:val="00635CE0"/>
    <w:rsid w:val="00637AA5"/>
    <w:rsid w:val="006427AA"/>
    <w:rsid w:val="00642D3D"/>
    <w:rsid w:val="006437E1"/>
    <w:rsid w:val="006460C3"/>
    <w:rsid w:val="00646A9F"/>
    <w:rsid w:val="006479AF"/>
    <w:rsid w:val="0065581F"/>
    <w:rsid w:val="00655C05"/>
    <w:rsid w:val="00656066"/>
    <w:rsid w:val="00660844"/>
    <w:rsid w:val="00661AB0"/>
    <w:rsid w:val="006648FC"/>
    <w:rsid w:val="00664B4A"/>
    <w:rsid w:val="00664F7D"/>
    <w:rsid w:val="006651EB"/>
    <w:rsid w:val="0067166C"/>
    <w:rsid w:val="0067224E"/>
    <w:rsid w:val="00672A08"/>
    <w:rsid w:val="00673B75"/>
    <w:rsid w:val="00675C18"/>
    <w:rsid w:val="00676F0D"/>
    <w:rsid w:val="00677D01"/>
    <w:rsid w:val="00680C5C"/>
    <w:rsid w:val="00681E85"/>
    <w:rsid w:val="00681F25"/>
    <w:rsid w:val="00685E31"/>
    <w:rsid w:val="00686611"/>
    <w:rsid w:val="006901D7"/>
    <w:rsid w:val="00693236"/>
    <w:rsid w:val="006A1160"/>
    <w:rsid w:val="006A46B2"/>
    <w:rsid w:val="006A6170"/>
    <w:rsid w:val="006A700F"/>
    <w:rsid w:val="006B3316"/>
    <w:rsid w:val="006B4B55"/>
    <w:rsid w:val="006B5064"/>
    <w:rsid w:val="006C0CB8"/>
    <w:rsid w:val="006C0FCF"/>
    <w:rsid w:val="006C1503"/>
    <w:rsid w:val="006C6762"/>
    <w:rsid w:val="006C6DAC"/>
    <w:rsid w:val="006D173C"/>
    <w:rsid w:val="006D264A"/>
    <w:rsid w:val="006D2E7D"/>
    <w:rsid w:val="006D4EBC"/>
    <w:rsid w:val="006D73FE"/>
    <w:rsid w:val="006E1FC4"/>
    <w:rsid w:val="006E2C3C"/>
    <w:rsid w:val="006E3B88"/>
    <w:rsid w:val="006E47B3"/>
    <w:rsid w:val="006E4FB7"/>
    <w:rsid w:val="006F581B"/>
    <w:rsid w:val="006F7FCE"/>
    <w:rsid w:val="0070056C"/>
    <w:rsid w:val="007037DC"/>
    <w:rsid w:val="00703B5A"/>
    <w:rsid w:val="00704B22"/>
    <w:rsid w:val="007059C9"/>
    <w:rsid w:val="00705B07"/>
    <w:rsid w:val="00706FAF"/>
    <w:rsid w:val="00710294"/>
    <w:rsid w:val="00710C28"/>
    <w:rsid w:val="007114D3"/>
    <w:rsid w:val="00711807"/>
    <w:rsid w:val="00713D4F"/>
    <w:rsid w:val="00714142"/>
    <w:rsid w:val="0071470E"/>
    <w:rsid w:val="007152E2"/>
    <w:rsid w:val="0072714B"/>
    <w:rsid w:val="00735452"/>
    <w:rsid w:val="007407D9"/>
    <w:rsid w:val="0074129F"/>
    <w:rsid w:val="007422AE"/>
    <w:rsid w:val="00743734"/>
    <w:rsid w:val="00746500"/>
    <w:rsid w:val="0074697E"/>
    <w:rsid w:val="007528D6"/>
    <w:rsid w:val="007548D6"/>
    <w:rsid w:val="00760763"/>
    <w:rsid w:val="0076120B"/>
    <w:rsid w:val="00763261"/>
    <w:rsid w:val="00764989"/>
    <w:rsid w:val="00764C5A"/>
    <w:rsid w:val="0077419B"/>
    <w:rsid w:val="00774354"/>
    <w:rsid w:val="00777B35"/>
    <w:rsid w:val="00782FAB"/>
    <w:rsid w:val="007837D1"/>
    <w:rsid w:val="00786C0E"/>
    <w:rsid w:val="007913A5"/>
    <w:rsid w:val="00793839"/>
    <w:rsid w:val="00793C89"/>
    <w:rsid w:val="007951C3"/>
    <w:rsid w:val="007970F6"/>
    <w:rsid w:val="007974F1"/>
    <w:rsid w:val="007A0F8D"/>
    <w:rsid w:val="007A4542"/>
    <w:rsid w:val="007A7A61"/>
    <w:rsid w:val="007B2460"/>
    <w:rsid w:val="007B3D32"/>
    <w:rsid w:val="007B78E5"/>
    <w:rsid w:val="007C3034"/>
    <w:rsid w:val="007C45D7"/>
    <w:rsid w:val="007C5436"/>
    <w:rsid w:val="007C6749"/>
    <w:rsid w:val="007C6836"/>
    <w:rsid w:val="007D27A7"/>
    <w:rsid w:val="007D3C27"/>
    <w:rsid w:val="007D5898"/>
    <w:rsid w:val="007D658A"/>
    <w:rsid w:val="007D78FD"/>
    <w:rsid w:val="007E0E08"/>
    <w:rsid w:val="007E102C"/>
    <w:rsid w:val="007E192E"/>
    <w:rsid w:val="007E19FC"/>
    <w:rsid w:val="007E26D4"/>
    <w:rsid w:val="007E27F6"/>
    <w:rsid w:val="007E31E3"/>
    <w:rsid w:val="007E499B"/>
    <w:rsid w:val="007E5387"/>
    <w:rsid w:val="007F2D45"/>
    <w:rsid w:val="00804D72"/>
    <w:rsid w:val="00811DCB"/>
    <w:rsid w:val="0081334C"/>
    <w:rsid w:val="008133C6"/>
    <w:rsid w:val="0081692F"/>
    <w:rsid w:val="00817501"/>
    <w:rsid w:val="00820C59"/>
    <w:rsid w:val="008225B7"/>
    <w:rsid w:val="00824E11"/>
    <w:rsid w:val="008264BE"/>
    <w:rsid w:val="00826D9B"/>
    <w:rsid w:val="008303B4"/>
    <w:rsid w:val="00831DF1"/>
    <w:rsid w:val="00834850"/>
    <w:rsid w:val="00834BE9"/>
    <w:rsid w:val="00834C61"/>
    <w:rsid w:val="00837FFD"/>
    <w:rsid w:val="00840478"/>
    <w:rsid w:val="0084297B"/>
    <w:rsid w:val="00844C36"/>
    <w:rsid w:val="008458FF"/>
    <w:rsid w:val="00846C32"/>
    <w:rsid w:val="008471E1"/>
    <w:rsid w:val="008521BB"/>
    <w:rsid w:val="00855A2E"/>
    <w:rsid w:val="008600E1"/>
    <w:rsid w:val="0086251F"/>
    <w:rsid w:val="00862F4E"/>
    <w:rsid w:val="008644FA"/>
    <w:rsid w:val="008651E6"/>
    <w:rsid w:val="0086612F"/>
    <w:rsid w:val="00866671"/>
    <w:rsid w:val="0086767A"/>
    <w:rsid w:val="0087277B"/>
    <w:rsid w:val="00873089"/>
    <w:rsid w:val="008735C9"/>
    <w:rsid w:val="00874DA5"/>
    <w:rsid w:val="00875CEA"/>
    <w:rsid w:val="008774DD"/>
    <w:rsid w:val="00883145"/>
    <w:rsid w:val="00883384"/>
    <w:rsid w:val="008849F6"/>
    <w:rsid w:val="00884DF1"/>
    <w:rsid w:val="00885188"/>
    <w:rsid w:val="00886630"/>
    <w:rsid w:val="00891BD0"/>
    <w:rsid w:val="00895281"/>
    <w:rsid w:val="008952C6"/>
    <w:rsid w:val="00895D32"/>
    <w:rsid w:val="008977C3"/>
    <w:rsid w:val="008978EF"/>
    <w:rsid w:val="008A5C15"/>
    <w:rsid w:val="008A60D0"/>
    <w:rsid w:val="008B10CD"/>
    <w:rsid w:val="008B27DB"/>
    <w:rsid w:val="008B57B5"/>
    <w:rsid w:val="008B598A"/>
    <w:rsid w:val="008C1E27"/>
    <w:rsid w:val="008C5A8E"/>
    <w:rsid w:val="008D04D1"/>
    <w:rsid w:val="008D21C1"/>
    <w:rsid w:val="008D4912"/>
    <w:rsid w:val="008D4E9A"/>
    <w:rsid w:val="008D57AD"/>
    <w:rsid w:val="008D6DF5"/>
    <w:rsid w:val="008D760D"/>
    <w:rsid w:val="008E0DC4"/>
    <w:rsid w:val="008E0F9D"/>
    <w:rsid w:val="008E5990"/>
    <w:rsid w:val="008E5C31"/>
    <w:rsid w:val="008E759F"/>
    <w:rsid w:val="008F4149"/>
    <w:rsid w:val="008F543E"/>
    <w:rsid w:val="008F6E69"/>
    <w:rsid w:val="008F6F1D"/>
    <w:rsid w:val="00900A10"/>
    <w:rsid w:val="00901265"/>
    <w:rsid w:val="00902F78"/>
    <w:rsid w:val="009033E3"/>
    <w:rsid w:val="0090567F"/>
    <w:rsid w:val="00905B04"/>
    <w:rsid w:val="009068B7"/>
    <w:rsid w:val="00907B78"/>
    <w:rsid w:val="00910A87"/>
    <w:rsid w:val="00910A97"/>
    <w:rsid w:val="009130E8"/>
    <w:rsid w:val="0091398D"/>
    <w:rsid w:val="00914BB0"/>
    <w:rsid w:val="009164C7"/>
    <w:rsid w:val="009164D4"/>
    <w:rsid w:val="00922226"/>
    <w:rsid w:val="00923123"/>
    <w:rsid w:val="009231FF"/>
    <w:rsid w:val="0092362F"/>
    <w:rsid w:val="009238BD"/>
    <w:rsid w:val="00924277"/>
    <w:rsid w:val="00924F34"/>
    <w:rsid w:val="00926DA2"/>
    <w:rsid w:val="00931BDB"/>
    <w:rsid w:val="00933434"/>
    <w:rsid w:val="00933785"/>
    <w:rsid w:val="009344E5"/>
    <w:rsid w:val="00936285"/>
    <w:rsid w:val="009365A8"/>
    <w:rsid w:val="0094107C"/>
    <w:rsid w:val="009410AD"/>
    <w:rsid w:val="009416FA"/>
    <w:rsid w:val="00941AC2"/>
    <w:rsid w:val="009421C5"/>
    <w:rsid w:val="00944CD6"/>
    <w:rsid w:val="009460EB"/>
    <w:rsid w:val="00947600"/>
    <w:rsid w:val="009504EF"/>
    <w:rsid w:val="0095246F"/>
    <w:rsid w:val="00955ABC"/>
    <w:rsid w:val="0095607F"/>
    <w:rsid w:val="0095734A"/>
    <w:rsid w:val="00957AF4"/>
    <w:rsid w:val="00957CD9"/>
    <w:rsid w:val="00970C45"/>
    <w:rsid w:val="00971250"/>
    <w:rsid w:val="0097141A"/>
    <w:rsid w:val="00973482"/>
    <w:rsid w:val="00973892"/>
    <w:rsid w:val="009757D3"/>
    <w:rsid w:val="00975CAF"/>
    <w:rsid w:val="00976FB7"/>
    <w:rsid w:val="0098291F"/>
    <w:rsid w:val="009849F1"/>
    <w:rsid w:val="0098669F"/>
    <w:rsid w:val="00986CDA"/>
    <w:rsid w:val="0099257B"/>
    <w:rsid w:val="009934C0"/>
    <w:rsid w:val="00994407"/>
    <w:rsid w:val="00995108"/>
    <w:rsid w:val="00997150"/>
    <w:rsid w:val="009A241E"/>
    <w:rsid w:val="009A495B"/>
    <w:rsid w:val="009A52EE"/>
    <w:rsid w:val="009A66DB"/>
    <w:rsid w:val="009B0D7D"/>
    <w:rsid w:val="009B35CC"/>
    <w:rsid w:val="009B59F8"/>
    <w:rsid w:val="009C04A6"/>
    <w:rsid w:val="009C0754"/>
    <w:rsid w:val="009C0874"/>
    <w:rsid w:val="009C1DDD"/>
    <w:rsid w:val="009C7821"/>
    <w:rsid w:val="009D0DE7"/>
    <w:rsid w:val="009D20EC"/>
    <w:rsid w:val="009D31B5"/>
    <w:rsid w:val="009D4831"/>
    <w:rsid w:val="009D6D3C"/>
    <w:rsid w:val="009E1B66"/>
    <w:rsid w:val="009E1BB1"/>
    <w:rsid w:val="009E35CB"/>
    <w:rsid w:val="009E43B0"/>
    <w:rsid w:val="009E4EAD"/>
    <w:rsid w:val="009E6048"/>
    <w:rsid w:val="009E76B2"/>
    <w:rsid w:val="009F0827"/>
    <w:rsid w:val="009F0888"/>
    <w:rsid w:val="009F43AE"/>
    <w:rsid w:val="009F4E09"/>
    <w:rsid w:val="009F6E30"/>
    <w:rsid w:val="00A00020"/>
    <w:rsid w:val="00A005B4"/>
    <w:rsid w:val="00A03F52"/>
    <w:rsid w:val="00A041C1"/>
    <w:rsid w:val="00A13A69"/>
    <w:rsid w:val="00A15944"/>
    <w:rsid w:val="00A16B86"/>
    <w:rsid w:val="00A2054B"/>
    <w:rsid w:val="00A20B2B"/>
    <w:rsid w:val="00A22F06"/>
    <w:rsid w:val="00A24C59"/>
    <w:rsid w:val="00A27790"/>
    <w:rsid w:val="00A306CE"/>
    <w:rsid w:val="00A31CD2"/>
    <w:rsid w:val="00A332FF"/>
    <w:rsid w:val="00A3680A"/>
    <w:rsid w:val="00A372AC"/>
    <w:rsid w:val="00A4159C"/>
    <w:rsid w:val="00A44311"/>
    <w:rsid w:val="00A447C9"/>
    <w:rsid w:val="00A45FA3"/>
    <w:rsid w:val="00A460B0"/>
    <w:rsid w:val="00A46E6C"/>
    <w:rsid w:val="00A54C6E"/>
    <w:rsid w:val="00A55358"/>
    <w:rsid w:val="00A576E8"/>
    <w:rsid w:val="00A57758"/>
    <w:rsid w:val="00A57C73"/>
    <w:rsid w:val="00A57EE5"/>
    <w:rsid w:val="00A60440"/>
    <w:rsid w:val="00A60640"/>
    <w:rsid w:val="00A61133"/>
    <w:rsid w:val="00A62BF4"/>
    <w:rsid w:val="00A63E4B"/>
    <w:rsid w:val="00A649C1"/>
    <w:rsid w:val="00A64E83"/>
    <w:rsid w:val="00A72DF6"/>
    <w:rsid w:val="00A737F0"/>
    <w:rsid w:val="00A73A34"/>
    <w:rsid w:val="00A740E9"/>
    <w:rsid w:val="00A747D5"/>
    <w:rsid w:val="00A75351"/>
    <w:rsid w:val="00A75FAF"/>
    <w:rsid w:val="00A76547"/>
    <w:rsid w:val="00A7764E"/>
    <w:rsid w:val="00A7764F"/>
    <w:rsid w:val="00A80054"/>
    <w:rsid w:val="00A809DD"/>
    <w:rsid w:val="00A80EC5"/>
    <w:rsid w:val="00A80F91"/>
    <w:rsid w:val="00A81999"/>
    <w:rsid w:val="00A8369C"/>
    <w:rsid w:val="00A86EE3"/>
    <w:rsid w:val="00A91AFE"/>
    <w:rsid w:val="00A92F8D"/>
    <w:rsid w:val="00A93205"/>
    <w:rsid w:val="00A9521A"/>
    <w:rsid w:val="00A95B11"/>
    <w:rsid w:val="00A9764D"/>
    <w:rsid w:val="00AA76AC"/>
    <w:rsid w:val="00AB1D23"/>
    <w:rsid w:val="00AB202B"/>
    <w:rsid w:val="00AB3F4A"/>
    <w:rsid w:val="00AB40F5"/>
    <w:rsid w:val="00AB4AA7"/>
    <w:rsid w:val="00AB4B29"/>
    <w:rsid w:val="00AB534E"/>
    <w:rsid w:val="00AC0A35"/>
    <w:rsid w:val="00AC0BB2"/>
    <w:rsid w:val="00AC1EA3"/>
    <w:rsid w:val="00AC1F64"/>
    <w:rsid w:val="00AC51D6"/>
    <w:rsid w:val="00AC5DEB"/>
    <w:rsid w:val="00AC62DB"/>
    <w:rsid w:val="00AD1094"/>
    <w:rsid w:val="00AD1CD5"/>
    <w:rsid w:val="00AD3B46"/>
    <w:rsid w:val="00AD4530"/>
    <w:rsid w:val="00AE36C9"/>
    <w:rsid w:val="00AE63DC"/>
    <w:rsid w:val="00AF16C0"/>
    <w:rsid w:val="00AF3C24"/>
    <w:rsid w:val="00AF43DD"/>
    <w:rsid w:val="00AF4AD2"/>
    <w:rsid w:val="00AF570B"/>
    <w:rsid w:val="00AF5FD1"/>
    <w:rsid w:val="00AF7FBA"/>
    <w:rsid w:val="00B00D91"/>
    <w:rsid w:val="00B0158A"/>
    <w:rsid w:val="00B01831"/>
    <w:rsid w:val="00B02D12"/>
    <w:rsid w:val="00B04A70"/>
    <w:rsid w:val="00B06631"/>
    <w:rsid w:val="00B0700F"/>
    <w:rsid w:val="00B10EA6"/>
    <w:rsid w:val="00B12693"/>
    <w:rsid w:val="00B14971"/>
    <w:rsid w:val="00B15448"/>
    <w:rsid w:val="00B236C1"/>
    <w:rsid w:val="00B23DF7"/>
    <w:rsid w:val="00B23F5B"/>
    <w:rsid w:val="00B24CBF"/>
    <w:rsid w:val="00B26877"/>
    <w:rsid w:val="00B30380"/>
    <w:rsid w:val="00B30EA4"/>
    <w:rsid w:val="00B310ED"/>
    <w:rsid w:val="00B3129B"/>
    <w:rsid w:val="00B3309C"/>
    <w:rsid w:val="00B33CE9"/>
    <w:rsid w:val="00B33CEE"/>
    <w:rsid w:val="00B34F5B"/>
    <w:rsid w:val="00B36554"/>
    <w:rsid w:val="00B36B09"/>
    <w:rsid w:val="00B36EDE"/>
    <w:rsid w:val="00B40ABB"/>
    <w:rsid w:val="00B4166F"/>
    <w:rsid w:val="00B44874"/>
    <w:rsid w:val="00B455BF"/>
    <w:rsid w:val="00B4666D"/>
    <w:rsid w:val="00B47CB6"/>
    <w:rsid w:val="00B51920"/>
    <w:rsid w:val="00B521E6"/>
    <w:rsid w:val="00B54A5D"/>
    <w:rsid w:val="00B56361"/>
    <w:rsid w:val="00B56777"/>
    <w:rsid w:val="00B569FC"/>
    <w:rsid w:val="00B56E71"/>
    <w:rsid w:val="00B570C2"/>
    <w:rsid w:val="00B62F0D"/>
    <w:rsid w:val="00B64329"/>
    <w:rsid w:val="00B6453E"/>
    <w:rsid w:val="00B64BD4"/>
    <w:rsid w:val="00B70025"/>
    <w:rsid w:val="00B703B7"/>
    <w:rsid w:val="00B708AF"/>
    <w:rsid w:val="00B71828"/>
    <w:rsid w:val="00B71EB1"/>
    <w:rsid w:val="00B72739"/>
    <w:rsid w:val="00B76592"/>
    <w:rsid w:val="00B777D6"/>
    <w:rsid w:val="00B7786C"/>
    <w:rsid w:val="00B81B2D"/>
    <w:rsid w:val="00B83DB9"/>
    <w:rsid w:val="00B84050"/>
    <w:rsid w:val="00B85F34"/>
    <w:rsid w:val="00B8634E"/>
    <w:rsid w:val="00B876E8"/>
    <w:rsid w:val="00B90327"/>
    <w:rsid w:val="00B90616"/>
    <w:rsid w:val="00B906CE"/>
    <w:rsid w:val="00B94012"/>
    <w:rsid w:val="00B94C09"/>
    <w:rsid w:val="00B953FA"/>
    <w:rsid w:val="00B95549"/>
    <w:rsid w:val="00B9578B"/>
    <w:rsid w:val="00B95D1E"/>
    <w:rsid w:val="00B96D6D"/>
    <w:rsid w:val="00BA0534"/>
    <w:rsid w:val="00BA1FD3"/>
    <w:rsid w:val="00BA37F0"/>
    <w:rsid w:val="00BA4533"/>
    <w:rsid w:val="00BA6347"/>
    <w:rsid w:val="00BA7795"/>
    <w:rsid w:val="00BC09D7"/>
    <w:rsid w:val="00BC20E7"/>
    <w:rsid w:val="00BC2516"/>
    <w:rsid w:val="00BC7CD5"/>
    <w:rsid w:val="00BD2ACA"/>
    <w:rsid w:val="00BD2BF0"/>
    <w:rsid w:val="00BD3DB8"/>
    <w:rsid w:val="00BD76AD"/>
    <w:rsid w:val="00BE463B"/>
    <w:rsid w:val="00BE4CCF"/>
    <w:rsid w:val="00BF31D5"/>
    <w:rsid w:val="00BF37AD"/>
    <w:rsid w:val="00BF4F4D"/>
    <w:rsid w:val="00BF5A31"/>
    <w:rsid w:val="00BF7C98"/>
    <w:rsid w:val="00C016FE"/>
    <w:rsid w:val="00C02B70"/>
    <w:rsid w:val="00C02F75"/>
    <w:rsid w:val="00C03339"/>
    <w:rsid w:val="00C0599F"/>
    <w:rsid w:val="00C10940"/>
    <w:rsid w:val="00C11267"/>
    <w:rsid w:val="00C122B8"/>
    <w:rsid w:val="00C1551C"/>
    <w:rsid w:val="00C20235"/>
    <w:rsid w:val="00C20932"/>
    <w:rsid w:val="00C2138F"/>
    <w:rsid w:val="00C23394"/>
    <w:rsid w:val="00C26963"/>
    <w:rsid w:val="00C27E42"/>
    <w:rsid w:val="00C30436"/>
    <w:rsid w:val="00C314BF"/>
    <w:rsid w:val="00C32C78"/>
    <w:rsid w:val="00C344FB"/>
    <w:rsid w:val="00C3742A"/>
    <w:rsid w:val="00C401B4"/>
    <w:rsid w:val="00C40A82"/>
    <w:rsid w:val="00C51577"/>
    <w:rsid w:val="00C526F8"/>
    <w:rsid w:val="00C53192"/>
    <w:rsid w:val="00C538E1"/>
    <w:rsid w:val="00C56051"/>
    <w:rsid w:val="00C567F6"/>
    <w:rsid w:val="00C57422"/>
    <w:rsid w:val="00C57477"/>
    <w:rsid w:val="00C617E8"/>
    <w:rsid w:val="00C66BB6"/>
    <w:rsid w:val="00C67E94"/>
    <w:rsid w:val="00C71575"/>
    <w:rsid w:val="00C76C44"/>
    <w:rsid w:val="00C77523"/>
    <w:rsid w:val="00C803B5"/>
    <w:rsid w:val="00C8120F"/>
    <w:rsid w:val="00C817EE"/>
    <w:rsid w:val="00C8198E"/>
    <w:rsid w:val="00C85AF8"/>
    <w:rsid w:val="00C87610"/>
    <w:rsid w:val="00C9130C"/>
    <w:rsid w:val="00C94813"/>
    <w:rsid w:val="00C95288"/>
    <w:rsid w:val="00C95364"/>
    <w:rsid w:val="00C9539E"/>
    <w:rsid w:val="00C96942"/>
    <w:rsid w:val="00C969DA"/>
    <w:rsid w:val="00CA00A8"/>
    <w:rsid w:val="00CA074E"/>
    <w:rsid w:val="00CA1F90"/>
    <w:rsid w:val="00CA2606"/>
    <w:rsid w:val="00CA3AE4"/>
    <w:rsid w:val="00CA4665"/>
    <w:rsid w:val="00CA5A2B"/>
    <w:rsid w:val="00CA5CB2"/>
    <w:rsid w:val="00CA5D1D"/>
    <w:rsid w:val="00CA7065"/>
    <w:rsid w:val="00CB00DF"/>
    <w:rsid w:val="00CB0110"/>
    <w:rsid w:val="00CB387C"/>
    <w:rsid w:val="00CB3A3C"/>
    <w:rsid w:val="00CB6AA7"/>
    <w:rsid w:val="00CC404A"/>
    <w:rsid w:val="00CC651A"/>
    <w:rsid w:val="00CC6CEF"/>
    <w:rsid w:val="00CC73F5"/>
    <w:rsid w:val="00CC74A9"/>
    <w:rsid w:val="00CC7D8A"/>
    <w:rsid w:val="00CD0713"/>
    <w:rsid w:val="00CD3283"/>
    <w:rsid w:val="00CD608E"/>
    <w:rsid w:val="00CD7DEB"/>
    <w:rsid w:val="00CE016E"/>
    <w:rsid w:val="00CE023C"/>
    <w:rsid w:val="00CE039A"/>
    <w:rsid w:val="00CE1495"/>
    <w:rsid w:val="00CE1A46"/>
    <w:rsid w:val="00CE2E41"/>
    <w:rsid w:val="00CE4CB8"/>
    <w:rsid w:val="00CE5EEF"/>
    <w:rsid w:val="00CE77C7"/>
    <w:rsid w:val="00CF00FD"/>
    <w:rsid w:val="00CF1BD9"/>
    <w:rsid w:val="00D004EB"/>
    <w:rsid w:val="00D02353"/>
    <w:rsid w:val="00D04D99"/>
    <w:rsid w:val="00D0580C"/>
    <w:rsid w:val="00D05854"/>
    <w:rsid w:val="00D0599C"/>
    <w:rsid w:val="00D06D15"/>
    <w:rsid w:val="00D112C0"/>
    <w:rsid w:val="00D1399C"/>
    <w:rsid w:val="00D14F32"/>
    <w:rsid w:val="00D15016"/>
    <w:rsid w:val="00D17755"/>
    <w:rsid w:val="00D25099"/>
    <w:rsid w:val="00D25C87"/>
    <w:rsid w:val="00D2733D"/>
    <w:rsid w:val="00D27AAF"/>
    <w:rsid w:val="00D301CB"/>
    <w:rsid w:val="00D33D74"/>
    <w:rsid w:val="00D354DD"/>
    <w:rsid w:val="00D379A5"/>
    <w:rsid w:val="00D409DC"/>
    <w:rsid w:val="00D40B84"/>
    <w:rsid w:val="00D40BD3"/>
    <w:rsid w:val="00D45D56"/>
    <w:rsid w:val="00D46430"/>
    <w:rsid w:val="00D51C4E"/>
    <w:rsid w:val="00D521C7"/>
    <w:rsid w:val="00D57989"/>
    <w:rsid w:val="00D61EF4"/>
    <w:rsid w:val="00D624EE"/>
    <w:rsid w:val="00D62E29"/>
    <w:rsid w:val="00D62E3C"/>
    <w:rsid w:val="00D6310A"/>
    <w:rsid w:val="00D632FB"/>
    <w:rsid w:val="00D65378"/>
    <w:rsid w:val="00D66DD6"/>
    <w:rsid w:val="00D70823"/>
    <w:rsid w:val="00D714EA"/>
    <w:rsid w:val="00D73614"/>
    <w:rsid w:val="00D74AC5"/>
    <w:rsid w:val="00D83FA3"/>
    <w:rsid w:val="00D86BFF"/>
    <w:rsid w:val="00D875E2"/>
    <w:rsid w:val="00D9038A"/>
    <w:rsid w:val="00D9146A"/>
    <w:rsid w:val="00D914DD"/>
    <w:rsid w:val="00D94DAE"/>
    <w:rsid w:val="00D94DB1"/>
    <w:rsid w:val="00D953AA"/>
    <w:rsid w:val="00D95959"/>
    <w:rsid w:val="00D95E7F"/>
    <w:rsid w:val="00DA0778"/>
    <w:rsid w:val="00DA1024"/>
    <w:rsid w:val="00DA1A70"/>
    <w:rsid w:val="00DA25DD"/>
    <w:rsid w:val="00DA2A9F"/>
    <w:rsid w:val="00DA4007"/>
    <w:rsid w:val="00DA4AEB"/>
    <w:rsid w:val="00DA4E81"/>
    <w:rsid w:val="00DA5831"/>
    <w:rsid w:val="00DA6AA8"/>
    <w:rsid w:val="00DA7909"/>
    <w:rsid w:val="00DB066C"/>
    <w:rsid w:val="00DB22D3"/>
    <w:rsid w:val="00DB2DF4"/>
    <w:rsid w:val="00DB3E40"/>
    <w:rsid w:val="00DB5149"/>
    <w:rsid w:val="00DB5638"/>
    <w:rsid w:val="00DB59F9"/>
    <w:rsid w:val="00DB5DC2"/>
    <w:rsid w:val="00DD004D"/>
    <w:rsid w:val="00DD26A9"/>
    <w:rsid w:val="00DD2E92"/>
    <w:rsid w:val="00DD5039"/>
    <w:rsid w:val="00DD7F6D"/>
    <w:rsid w:val="00DE1CEB"/>
    <w:rsid w:val="00DE22A7"/>
    <w:rsid w:val="00DE5381"/>
    <w:rsid w:val="00DE5B0D"/>
    <w:rsid w:val="00DE617A"/>
    <w:rsid w:val="00DF05FC"/>
    <w:rsid w:val="00DF0DEE"/>
    <w:rsid w:val="00DF4885"/>
    <w:rsid w:val="00DF7DE2"/>
    <w:rsid w:val="00E007D3"/>
    <w:rsid w:val="00E03DC4"/>
    <w:rsid w:val="00E043BE"/>
    <w:rsid w:val="00E04822"/>
    <w:rsid w:val="00E061DC"/>
    <w:rsid w:val="00E105B9"/>
    <w:rsid w:val="00E128A5"/>
    <w:rsid w:val="00E16FF6"/>
    <w:rsid w:val="00E21406"/>
    <w:rsid w:val="00E222BA"/>
    <w:rsid w:val="00E236E5"/>
    <w:rsid w:val="00E31D45"/>
    <w:rsid w:val="00E32463"/>
    <w:rsid w:val="00E34077"/>
    <w:rsid w:val="00E340CE"/>
    <w:rsid w:val="00E36D57"/>
    <w:rsid w:val="00E375EE"/>
    <w:rsid w:val="00E40B25"/>
    <w:rsid w:val="00E460A2"/>
    <w:rsid w:val="00E46544"/>
    <w:rsid w:val="00E50F75"/>
    <w:rsid w:val="00E52B20"/>
    <w:rsid w:val="00E54306"/>
    <w:rsid w:val="00E60521"/>
    <w:rsid w:val="00E606B5"/>
    <w:rsid w:val="00E60C1D"/>
    <w:rsid w:val="00E60C37"/>
    <w:rsid w:val="00E61790"/>
    <w:rsid w:val="00E652E6"/>
    <w:rsid w:val="00E65D32"/>
    <w:rsid w:val="00E66260"/>
    <w:rsid w:val="00E662AC"/>
    <w:rsid w:val="00E6781D"/>
    <w:rsid w:val="00E679B9"/>
    <w:rsid w:val="00E70810"/>
    <w:rsid w:val="00E7415E"/>
    <w:rsid w:val="00E74492"/>
    <w:rsid w:val="00E748EF"/>
    <w:rsid w:val="00E753E0"/>
    <w:rsid w:val="00E83E6B"/>
    <w:rsid w:val="00E84AC6"/>
    <w:rsid w:val="00E858F8"/>
    <w:rsid w:val="00E87E01"/>
    <w:rsid w:val="00E912FA"/>
    <w:rsid w:val="00E920A3"/>
    <w:rsid w:val="00E92FEB"/>
    <w:rsid w:val="00E93D44"/>
    <w:rsid w:val="00E95653"/>
    <w:rsid w:val="00E956F3"/>
    <w:rsid w:val="00E95C53"/>
    <w:rsid w:val="00EA1A78"/>
    <w:rsid w:val="00EA4367"/>
    <w:rsid w:val="00EA6718"/>
    <w:rsid w:val="00EA7CF2"/>
    <w:rsid w:val="00EB157D"/>
    <w:rsid w:val="00EB22BB"/>
    <w:rsid w:val="00EB3A5C"/>
    <w:rsid w:val="00EB5B29"/>
    <w:rsid w:val="00EC0DF6"/>
    <w:rsid w:val="00EC2422"/>
    <w:rsid w:val="00EC3D57"/>
    <w:rsid w:val="00EC40A4"/>
    <w:rsid w:val="00EC743D"/>
    <w:rsid w:val="00EC782F"/>
    <w:rsid w:val="00ED60C2"/>
    <w:rsid w:val="00ED7021"/>
    <w:rsid w:val="00ED7B7F"/>
    <w:rsid w:val="00EE4023"/>
    <w:rsid w:val="00EE42CE"/>
    <w:rsid w:val="00EE6618"/>
    <w:rsid w:val="00EF10C1"/>
    <w:rsid w:val="00EF1891"/>
    <w:rsid w:val="00EF212D"/>
    <w:rsid w:val="00EF2BA7"/>
    <w:rsid w:val="00EF34BE"/>
    <w:rsid w:val="00EF3653"/>
    <w:rsid w:val="00EF5344"/>
    <w:rsid w:val="00EF62F3"/>
    <w:rsid w:val="00EF63F8"/>
    <w:rsid w:val="00EF6D8C"/>
    <w:rsid w:val="00EF75D9"/>
    <w:rsid w:val="00EF7622"/>
    <w:rsid w:val="00F01849"/>
    <w:rsid w:val="00F06F0F"/>
    <w:rsid w:val="00F10B50"/>
    <w:rsid w:val="00F10ED0"/>
    <w:rsid w:val="00F11344"/>
    <w:rsid w:val="00F11EE8"/>
    <w:rsid w:val="00F13E4C"/>
    <w:rsid w:val="00F147EA"/>
    <w:rsid w:val="00F14883"/>
    <w:rsid w:val="00F15000"/>
    <w:rsid w:val="00F1567F"/>
    <w:rsid w:val="00F20E35"/>
    <w:rsid w:val="00F21260"/>
    <w:rsid w:val="00F2148C"/>
    <w:rsid w:val="00F21EF7"/>
    <w:rsid w:val="00F22818"/>
    <w:rsid w:val="00F22D9A"/>
    <w:rsid w:val="00F23110"/>
    <w:rsid w:val="00F23300"/>
    <w:rsid w:val="00F241EB"/>
    <w:rsid w:val="00F24288"/>
    <w:rsid w:val="00F25260"/>
    <w:rsid w:val="00F31807"/>
    <w:rsid w:val="00F3196D"/>
    <w:rsid w:val="00F31FB6"/>
    <w:rsid w:val="00F36972"/>
    <w:rsid w:val="00F41225"/>
    <w:rsid w:val="00F418FA"/>
    <w:rsid w:val="00F42F6E"/>
    <w:rsid w:val="00F46A05"/>
    <w:rsid w:val="00F53C79"/>
    <w:rsid w:val="00F55C60"/>
    <w:rsid w:val="00F55E99"/>
    <w:rsid w:val="00F60091"/>
    <w:rsid w:val="00F6106A"/>
    <w:rsid w:val="00F63432"/>
    <w:rsid w:val="00F636CF"/>
    <w:rsid w:val="00F63AFA"/>
    <w:rsid w:val="00F65D50"/>
    <w:rsid w:val="00F66940"/>
    <w:rsid w:val="00F67910"/>
    <w:rsid w:val="00F71938"/>
    <w:rsid w:val="00F71B9F"/>
    <w:rsid w:val="00F724F0"/>
    <w:rsid w:val="00F740B0"/>
    <w:rsid w:val="00F757AB"/>
    <w:rsid w:val="00F75BAA"/>
    <w:rsid w:val="00F75F1C"/>
    <w:rsid w:val="00F76839"/>
    <w:rsid w:val="00F779B7"/>
    <w:rsid w:val="00F8141C"/>
    <w:rsid w:val="00F81979"/>
    <w:rsid w:val="00F83F96"/>
    <w:rsid w:val="00F90AB4"/>
    <w:rsid w:val="00F91288"/>
    <w:rsid w:val="00F94302"/>
    <w:rsid w:val="00FA0A5A"/>
    <w:rsid w:val="00FA1239"/>
    <w:rsid w:val="00FA1F55"/>
    <w:rsid w:val="00FB0340"/>
    <w:rsid w:val="00FB1655"/>
    <w:rsid w:val="00FB1DD0"/>
    <w:rsid w:val="00FB408B"/>
    <w:rsid w:val="00FB5584"/>
    <w:rsid w:val="00FB5D1F"/>
    <w:rsid w:val="00FC0CAB"/>
    <w:rsid w:val="00FC2FC4"/>
    <w:rsid w:val="00FC4675"/>
    <w:rsid w:val="00FC7A06"/>
    <w:rsid w:val="00FC7B60"/>
    <w:rsid w:val="00FD07F7"/>
    <w:rsid w:val="00FD33BD"/>
    <w:rsid w:val="00FD4B2E"/>
    <w:rsid w:val="00FE04B8"/>
    <w:rsid w:val="00FE0EEB"/>
    <w:rsid w:val="00FE3D67"/>
    <w:rsid w:val="00FE70C5"/>
    <w:rsid w:val="00FF2004"/>
    <w:rsid w:val="00FF6FDA"/>
    <w:rsid w:val="00FF7D2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0CF693F-8195-4FAA-AB86-320FE460BE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E43B0"/>
    <w:pPr>
      <w:spacing w:before="200"/>
    </w:pPr>
    <w:rPr>
      <w:rFonts w:eastAsiaTheme="minorEastAsia"/>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semiHidden/>
    <w:unhideWhenUsed/>
    <w:rsid w:val="009E43B0"/>
    <w:pPr>
      <w:spacing w:line="240" w:lineRule="auto"/>
    </w:pPr>
    <w:rPr>
      <w:sz w:val="20"/>
    </w:rPr>
  </w:style>
  <w:style w:type="character" w:customStyle="1" w:styleId="CommentTextChar">
    <w:name w:val="Comment Text Char"/>
    <w:basedOn w:val="DefaultParagraphFont"/>
    <w:link w:val="CommentText"/>
    <w:uiPriority w:val="99"/>
    <w:semiHidden/>
    <w:rsid w:val="009E43B0"/>
    <w:rPr>
      <w:rFonts w:eastAsiaTheme="minorEastAsia"/>
      <w:sz w:val="20"/>
      <w:szCs w:val="20"/>
    </w:rPr>
  </w:style>
  <w:style w:type="paragraph" w:styleId="EndnoteText">
    <w:name w:val="endnote text"/>
    <w:basedOn w:val="Normal"/>
    <w:link w:val="EndnoteTextChar"/>
    <w:uiPriority w:val="99"/>
    <w:semiHidden/>
    <w:unhideWhenUsed/>
    <w:rsid w:val="009E43B0"/>
    <w:pPr>
      <w:spacing w:before="0" w:after="0" w:line="240" w:lineRule="auto"/>
    </w:pPr>
    <w:rPr>
      <w:sz w:val="20"/>
    </w:rPr>
  </w:style>
  <w:style w:type="character" w:customStyle="1" w:styleId="EndnoteTextChar">
    <w:name w:val="Endnote Text Char"/>
    <w:basedOn w:val="DefaultParagraphFont"/>
    <w:link w:val="EndnoteText"/>
    <w:uiPriority w:val="99"/>
    <w:semiHidden/>
    <w:rsid w:val="009E43B0"/>
    <w:rPr>
      <w:rFonts w:eastAsiaTheme="minorEastAsia"/>
      <w:sz w:val="20"/>
      <w:szCs w:val="20"/>
    </w:rPr>
  </w:style>
  <w:style w:type="character" w:styleId="CommentReference">
    <w:name w:val="annotation reference"/>
    <w:basedOn w:val="DefaultParagraphFont"/>
    <w:uiPriority w:val="99"/>
    <w:semiHidden/>
    <w:unhideWhenUsed/>
    <w:rsid w:val="009E43B0"/>
    <w:rPr>
      <w:sz w:val="16"/>
      <w:szCs w:val="16"/>
    </w:rPr>
  </w:style>
  <w:style w:type="character" w:styleId="EndnoteReference">
    <w:name w:val="endnote reference"/>
    <w:basedOn w:val="DefaultParagraphFont"/>
    <w:uiPriority w:val="99"/>
    <w:semiHidden/>
    <w:unhideWhenUsed/>
    <w:rsid w:val="009E43B0"/>
    <w:rPr>
      <w:vertAlign w:val="superscript"/>
    </w:rPr>
  </w:style>
  <w:style w:type="paragraph" w:styleId="BalloonText">
    <w:name w:val="Balloon Text"/>
    <w:basedOn w:val="Normal"/>
    <w:link w:val="BalloonTextChar"/>
    <w:uiPriority w:val="99"/>
    <w:semiHidden/>
    <w:unhideWhenUsed/>
    <w:rsid w:val="009E43B0"/>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E43B0"/>
    <w:rPr>
      <w:rFonts w:ascii="Tahoma" w:eastAsiaTheme="minorEastAsia" w:hAnsi="Tahoma" w:cs="Tahoma"/>
      <w:sz w:val="16"/>
      <w:szCs w:val="16"/>
    </w:rPr>
  </w:style>
  <w:style w:type="paragraph" w:styleId="FootnoteText">
    <w:name w:val="footnote text"/>
    <w:basedOn w:val="Normal"/>
    <w:link w:val="FootnoteTextChar"/>
    <w:uiPriority w:val="99"/>
    <w:semiHidden/>
    <w:unhideWhenUsed/>
    <w:rsid w:val="00664B4A"/>
    <w:pPr>
      <w:spacing w:before="0" w:after="0" w:line="240" w:lineRule="auto"/>
    </w:pPr>
    <w:rPr>
      <w:sz w:val="20"/>
    </w:rPr>
  </w:style>
  <w:style w:type="character" w:customStyle="1" w:styleId="FootnoteTextChar">
    <w:name w:val="Footnote Text Char"/>
    <w:basedOn w:val="DefaultParagraphFont"/>
    <w:link w:val="FootnoteText"/>
    <w:uiPriority w:val="99"/>
    <w:semiHidden/>
    <w:rsid w:val="00664B4A"/>
    <w:rPr>
      <w:rFonts w:eastAsiaTheme="minorEastAsia"/>
      <w:sz w:val="20"/>
      <w:szCs w:val="20"/>
    </w:rPr>
  </w:style>
  <w:style w:type="character" w:styleId="FootnoteReference">
    <w:name w:val="footnote reference"/>
    <w:basedOn w:val="DefaultParagraphFont"/>
    <w:uiPriority w:val="99"/>
    <w:semiHidden/>
    <w:unhideWhenUsed/>
    <w:rsid w:val="00664B4A"/>
    <w:rPr>
      <w:vertAlign w:val="superscript"/>
    </w:rPr>
  </w:style>
  <w:style w:type="paragraph" w:styleId="CommentSubject">
    <w:name w:val="annotation subject"/>
    <w:basedOn w:val="CommentText"/>
    <w:next w:val="CommentText"/>
    <w:link w:val="CommentSubjectChar"/>
    <w:uiPriority w:val="99"/>
    <w:semiHidden/>
    <w:unhideWhenUsed/>
    <w:rsid w:val="00B33CE9"/>
    <w:rPr>
      <w:b/>
      <w:bCs/>
    </w:rPr>
  </w:style>
  <w:style w:type="character" w:customStyle="1" w:styleId="CommentSubjectChar">
    <w:name w:val="Comment Subject Char"/>
    <w:basedOn w:val="CommentTextChar"/>
    <w:link w:val="CommentSubject"/>
    <w:uiPriority w:val="99"/>
    <w:semiHidden/>
    <w:rsid w:val="00B33CE9"/>
    <w:rPr>
      <w:rFonts w:eastAsiaTheme="minorEastAsia"/>
      <w:b/>
      <w:bCs/>
      <w:sz w:val="20"/>
      <w:szCs w:val="20"/>
    </w:rPr>
  </w:style>
  <w:style w:type="paragraph" w:styleId="Header">
    <w:name w:val="header"/>
    <w:basedOn w:val="Normal"/>
    <w:link w:val="HeaderChar"/>
    <w:uiPriority w:val="99"/>
    <w:unhideWhenUsed/>
    <w:rsid w:val="00BF7C98"/>
    <w:pPr>
      <w:tabs>
        <w:tab w:val="center" w:pos="4819"/>
        <w:tab w:val="right" w:pos="9638"/>
      </w:tabs>
      <w:spacing w:before="0" w:after="0" w:line="240" w:lineRule="auto"/>
    </w:pPr>
  </w:style>
  <w:style w:type="character" w:customStyle="1" w:styleId="HeaderChar">
    <w:name w:val="Header Char"/>
    <w:basedOn w:val="DefaultParagraphFont"/>
    <w:link w:val="Header"/>
    <w:uiPriority w:val="99"/>
    <w:rsid w:val="00BF7C98"/>
    <w:rPr>
      <w:rFonts w:eastAsiaTheme="minorEastAsia"/>
      <w:sz w:val="24"/>
      <w:szCs w:val="20"/>
    </w:rPr>
  </w:style>
  <w:style w:type="paragraph" w:styleId="Footer">
    <w:name w:val="footer"/>
    <w:basedOn w:val="Normal"/>
    <w:link w:val="FooterChar"/>
    <w:uiPriority w:val="99"/>
    <w:unhideWhenUsed/>
    <w:rsid w:val="00BF7C98"/>
    <w:pPr>
      <w:tabs>
        <w:tab w:val="center" w:pos="4819"/>
        <w:tab w:val="right" w:pos="9638"/>
      </w:tabs>
      <w:spacing w:before="0" w:after="0" w:line="240" w:lineRule="auto"/>
    </w:pPr>
  </w:style>
  <w:style w:type="character" w:customStyle="1" w:styleId="FooterChar">
    <w:name w:val="Footer Char"/>
    <w:basedOn w:val="DefaultParagraphFont"/>
    <w:link w:val="Footer"/>
    <w:uiPriority w:val="99"/>
    <w:rsid w:val="00BF7C98"/>
    <w:rPr>
      <w:rFonts w:eastAsiaTheme="minorEastAsia"/>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80876539">
      <w:bodyDiv w:val="1"/>
      <w:marLeft w:val="0"/>
      <w:marRight w:val="0"/>
      <w:marTop w:val="0"/>
      <w:marBottom w:val="0"/>
      <w:divBdr>
        <w:top w:val="none" w:sz="0" w:space="0" w:color="auto"/>
        <w:left w:val="none" w:sz="0" w:space="0" w:color="auto"/>
        <w:bottom w:val="none" w:sz="0" w:space="0" w:color="auto"/>
        <w:right w:val="none" w:sz="0" w:space="0" w:color="auto"/>
      </w:divBdr>
    </w:div>
    <w:div w:id="14648859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carlisleindian.dickinson.edu/student_files/seldon-e-kirk-student-file" TargetMode="Externa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F5C101-79A5-4DEB-BCDA-9D6C949434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32</Pages>
  <Words>6873</Words>
  <Characters>55675</Characters>
  <Application>Microsoft Office Word</Application>
  <DocSecurity>4</DocSecurity>
  <Lines>463</Lines>
  <Paragraphs>124</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Hewlett-Packard</Company>
  <LinksUpToDate>false</LinksUpToDate>
  <CharactersWithSpaces>62424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Reetta</dc:creator>
  <cp:keywords/>
  <dc:description/>
  <cp:lastModifiedBy>Jukka Reimola</cp:lastModifiedBy>
  <cp:revision>2</cp:revision>
  <cp:lastPrinted>2016-04-29T16:19:00Z</cp:lastPrinted>
  <dcterms:created xsi:type="dcterms:W3CDTF">2017-09-11T11:30:00Z</dcterms:created>
  <dcterms:modified xsi:type="dcterms:W3CDTF">2017-09-11T11:30:00Z</dcterms:modified>
</cp:coreProperties>
</file>