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6CAB" w:rsidRDefault="00577C3A" w:rsidP="00477A6A">
      <w:pPr>
        <w:spacing w:line="360" w:lineRule="auto"/>
        <w:jc w:val="both"/>
        <w:rPr>
          <w:rFonts w:ascii="Times New Roman" w:hAnsi="Times New Roman" w:cs="Times New Roman"/>
          <w:b/>
          <w:i/>
          <w:sz w:val="36"/>
          <w:szCs w:val="36"/>
          <w:lang w:val="en-US"/>
        </w:rPr>
      </w:pPr>
      <w:r w:rsidRPr="00577C3A">
        <w:rPr>
          <w:rFonts w:ascii="Times New Roman" w:hAnsi="Times New Roman" w:cs="Times New Roman"/>
          <w:b/>
          <w:i/>
          <w:sz w:val="36"/>
          <w:szCs w:val="36"/>
          <w:lang w:val="en-US"/>
        </w:rPr>
        <w:t>Vaikutusperiaate ja demokratia</w:t>
      </w:r>
    </w:p>
    <w:p w:rsidR="00577C3A" w:rsidRDefault="00577C3A" w:rsidP="00477A6A">
      <w:pPr>
        <w:spacing w:line="360" w:lineRule="auto"/>
        <w:jc w:val="both"/>
        <w:rPr>
          <w:rFonts w:ascii="Times New Roman" w:hAnsi="Times New Roman" w:cs="Times New Roman"/>
          <w:b/>
          <w:i/>
          <w:sz w:val="36"/>
          <w:szCs w:val="36"/>
          <w:lang w:val="en-US"/>
        </w:rPr>
      </w:pPr>
    </w:p>
    <w:p w:rsidR="00577C3A" w:rsidRPr="00577C3A" w:rsidRDefault="00577C3A" w:rsidP="00477A6A">
      <w:pPr>
        <w:spacing w:line="360" w:lineRule="auto"/>
        <w:jc w:val="both"/>
        <w:rPr>
          <w:rFonts w:ascii="Times New Roman" w:hAnsi="Times New Roman" w:cs="Times New Roman"/>
          <w:b/>
          <w:i/>
          <w:sz w:val="36"/>
          <w:szCs w:val="36"/>
          <w:lang w:val="en-US"/>
        </w:rPr>
      </w:pPr>
    </w:p>
    <w:p w:rsidR="00577C3A" w:rsidRPr="005C1D57" w:rsidRDefault="00577C3A" w:rsidP="00577C3A">
      <w:pPr>
        <w:jc w:val="both"/>
        <w:rPr>
          <w:rFonts w:ascii="Times New Roman" w:hAnsi="Times New Roman" w:cs="Times New Roman"/>
          <w:sz w:val="24"/>
          <w:szCs w:val="24"/>
          <w:lang w:val="en-US"/>
        </w:rPr>
      </w:pPr>
      <w:r>
        <w:rPr>
          <w:rFonts w:ascii="Times New Roman" w:hAnsi="Times New Roman" w:cs="Times New Roman"/>
          <w:i/>
          <w:sz w:val="24"/>
          <w:szCs w:val="24"/>
          <w:lang w:val="en-US"/>
        </w:rPr>
        <w:t>Abstract:</w:t>
      </w:r>
      <w:r w:rsidRPr="005C1D57">
        <w:rPr>
          <w:rFonts w:ascii="Times New Roman" w:hAnsi="Times New Roman" w:cs="Times New Roman"/>
          <w:sz w:val="24"/>
          <w:szCs w:val="24"/>
          <w:lang w:val="en-US"/>
        </w:rPr>
        <w:t xml:space="preserve"> </w:t>
      </w:r>
      <w:r w:rsidRPr="00A4713C">
        <w:rPr>
          <w:rFonts w:ascii="Times New Roman" w:hAnsi="Times New Roman" w:cs="Times New Roman"/>
          <w:sz w:val="24"/>
          <w:szCs w:val="24"/>
          <w:lang w:val="en-US"/>
        </w:rPr>
        <w:t xml:space="preserve">The </w:t>
      </w:r>
      <w:r w:rsidRPr="005C1D57">
        <w:rPr>
          <w:rFonts w:ascii="Times New Roman" w:hAnsi="Times New Roman" w:cs="Times New Roman"/>
          <w:sz w:val="24"/>
          <w:szCs w:val="24"/>
          <w:lang w:val="en-US"/>
        </w:rPr>
        <w:t>All-Affected Principle</w:t>
      </w:r>
      <w:r>
        <w:rPr>
          <w:rFonts w:ascii="Times New Roman" w:hAnsi="Times New Roman" w:cs="Times New Roman"/>
          <w:sz w:val="24"/>
          <w:szCs w:val="24"/>
          <w:lang w:val="en-US"/>
        </w:rPr>
        <w:t xml:space="preserve"> </w:t>
      </w:r>
      <w:r w:rsidRPr="00A4713C">
        <w:rPr>
          <w:rFonts w:ascii="Times New Roman" w:hAnsi="Times New Roman" w:cs="Times New Roman"/>
          <w:sz w:val="24"/>
          <w:szCs w:val="24"/>
          <w:lang w:val="en-US"/>
        </w:rPr>
        <w:t>has</w:t>
      </w:r>
      <w:r>
        <w:rPr>
          <w:rFonts w:ascii="Times New Roman" w:hAnsi="Times New Roman" w:cs="Times New Roman"/>
          <w:sz w:val="24"/>
          <w:szCs w:val="24"/>
          <w:lang w:val="en-US"/>
        </w:rPr>
        <w:t xml:space="preserve"> </w:t>
      </w:r>
      <w:r w:rsidRPr="00A4713C">
        <w:rPr>
          <w:rFonts w:ascii="Times New Roman" w:hAnsi="Times New Roman" w:cs="Times New Roman"/>
          <w:sz w:val="24"/>
          <w:szCs w:val="24"/>
          <w:lang w:val="en-US"/>
        </w:rPr>
        <w:t xml:space="preserve">an important status in </w:t>
      </w:r>
      <w:r>
        <w:rPr>
          <w:rFonts w:ascii="Times New Roman" w:hAnsi="Times New Roman" w:cs="Times New Roman"/>
          <w:sz w:val="24"/>
          <w:szCs w:val="24"/>
          <w:lang w:val="en-US"/>
        </w:rPr>
        <w:t>recent theoretical discussions on democracy. According to the principle,</w:t>
      </w:r>
      <w:r w:rsidRPr="005C1D57">
        <w:rPr>
          <w:rFonts w:ascii="Times New Roman" w:hAnsi="Times New Roman" w:cs="Times New Roman"/>
          <w:sz w:val="24"/>
          <w:szCs w:val="24"/>
          <w:lang w:val="en-US"/>
        </w:rPr>
        <w:t xml:space="preserve"> </w:t>
      </w:r>
      <w:r w:rsidRPr="00577C3A">
        <w:rPr>
          <w:rFonts w:ascii="Times New Roman" w:hAnsi="Times New Roman" w:cs="Times New Roman"/>
          <w:sz w:val="24"/>
          <w:szCs w:val="24"/>
          <w:lang w:val="en-US"/>
        </w:rPr>
        <w:t>all who are affected by a decision should have a right to participate into making it. The principle is supposed to ground the right or optimal boundaries of democratic decision-making units. This paper is basically a critique of the principle. In the first parts of the paper, the All-Affected principle is distinguished from some related principles. However, even a more precise version of the principle is still troubled by ambiguities. It is argued that Robert Goodin’s expansive reading is the only coherent one. However, if it is accepted, the principle cannot be used for its original purpose. The last parts focus on some largely unexamined aspects of the principle. First, the principle also works as a means of exclusion, not only of inclusion. Second, if, as the principle says, participation rights are based on interests, it is by no means obvious that these rights should be equal. Third, the principle cannot provide us with a non-institutional starting point. Nevertheless, a much weaker form of the principle may be plausible.</w:t>
      </w:r>
    </w:p>
    <w:p w:rsidR="00577C3A" w:rsidRPr="00577C3A" w:rsidRDefault="00577C3A" w:rsidP="00477A6A">
      <w:pPr>
        <w:spacing w:line="360" w:lineRule="auto"/>
        <w:jc w:val="both"/>
        <w:rPr>
          <w:rFonts w:ascii="Times New Roman" w:hAnsi="Times New Roman" w:cs="Times New Roman"/>
          <w:sz w:val="24"/>
          <w:szCs w:val="24"/>
          <w:lang w:val="en-US"/>
        </w:rPr>
      </w:pPr>
    </w:p>
    <w:p w:rsidR="00577C3A" w:rsidRPr="00577C3A" w:rsidRDefault="00577C3A">
      <w:pPr>
        <w:rPr>
          <w:rFonts w:ascii="Times New Roman" w:hAnsi="Times New Roman" w:cs="Times New Roman"/>
          <w:sz w:val="24"/>
          <w:szCs w:val="24"/>
          <w:lang w:val="en-US"/>
        </w:rPr>
      </w:pPr>
      <w:r w:rsidRPr="00577C3A">
        <w:rPr>
          <w:rFonts w:ascii="Times New Roman" w:hAnsi="Times New Roman" w:cs="Times New Roman"/>
          <w:sz w:val="24"/>
          <w:szCs w:val="24"/>
          <w:lang w:val="en-US"/>
        </w:rPr>
        <w:br w:type="page"/>
      </w:r>
    </w:p>
    <w:p w:rsidR="00C66CAB" w:rsidRPr="00577C3A" w:rsidRDefault="00C66CAB" w:rsidP="00477A6A">
      <w:pPr>
        <w:spacing w:line="360" w:lineRule="auto"/>
        <w:jc w:val="both"/>
        <w:rPr>
          <w:rFonts w:ascii="Times New Roman" w:hAnsi="Times New Roman" w:cs="Times New Roman"/>
          <w:sz w:val="24"/>
          <w:szCs w:val="24"/>
          <w:lang w:val="en-US"/>
        </w:rPr>
      </w:pPr>
    </w:p>
    <w:p w:rsidR="00D63568" w:rsidRPr="00EA50D7" w:rsidRDefault="00EA50D7" w:rsidP="00477A6A">
      <w:pPr>
        <w:spacing w:line="360" w:lineRule="auto"/>
        <w:jc w:val="both"/>
        <w:rPr>
          <w:rFonts w:ascii="Times New Roman" w:hAnsi="Times New Roman" w:cs="Times New Roman"/>
          <w:b/>
          <w:sz w:val="24"/>
          <w:szCs w:val="24"/>
        </w:rPr>
      </w:pPr>
      <w:r w:rsidRPr="00EA50D7">
        <w:rPr>
          <w:rFonts w:ascii="Times New Roman" w:hAnsi="Times New Roman" w:cs="Times New Roman"/>
          <w:b/>
          <w:sz w:val="24"/>
          <w:szCs w:val="24"/>
        </w:rPr>
        <w:t>Aluksi</w:t>
      </w:r>
      <w:r w:rsidR="00D63568" w:rsidRPr="00D63568">
        <w:rPr>
          <w:rStyle w:val="EndnoteReference"/>
          <w:rFonts w:ascii="Times New Roman" w:hAnsi="Times New Roman" w:cs="Times New Roman"/>
          <w:sz w:val="24"/>
          <w:szCs w:val="24"/>
        </w:rPr>
        <w:endnoteReference w:id="1"/>
      </w:r>
    </w:p>
    <w:p w:rsidR="00D63568" w:rsidRDefault="00D63568" w:rsidP="00477A6A">
      <w:pPr>
        <w:spacing w:line="360" w:lineRule="auto"/>
        <w:jc w:val="both"/>
        <w:rPr>
          <w:rFonts w:ascii="Times New Roman" w:hAnsi="Times New Roman" w:cs="Times New Roman"/>
          <w:sz w:val="24"/>
          <w:szCs w:val="24"/>
        </w:rPr>
      </w:pPr>
      <w:r w:rsidRPr="00E82C9F">
        <w:rPr>
          <w:rFonts w:ascii="Times New Roman" w:hAnsi="Times New Roman" w:cs="Times New Roman"/>
          <w:i/>
          <w:sz w:val="24"/>
          <w:szCs w:val="24"/>
        </w:rPr>
        <w:t>Vaikutusperiaate</w:t>
      </w:r>
      <w:r w:rsidR="000A37E7">
        <w:rPr>
          <w:rFonts w:ascii="Times New Roman" w:hAnsi="Times New Roman" w:cs="Times New Roman"/>
          <w:sz w:val="24"/>
          <w:szCs w:val="24"/>
        </w:rPr>
        <w:t>,</w:t>
      </w:r>
      <w:r>
        <w:rPr>
          <w:rFonts w:ascii="Times New Roman" w:hAnsi="Times New Roman" w:cs="Times New Roman"/>
          <w:sz w:val="24"/>
          <w:szCs w:val="24"/>
        </w:rPr>
        <w:t xml:space="preserve"> tai vaikutuksen kohteiden osallistumisperiaate (</w:t>
      </w:r>
      <w:r w:rsidRPr="00FA5BF1">
        <w:rPr>
          <w:rFonts w:ascii="Times New Roman" w:hAnsi="Times New Roman" w:cs="Times New Roman"/>
          <w:i/>
          <w:sz w:val="24"/>
          <w:szCs w:val="24"/>
        </w:rPr>
        <w:t>the All-Affected Principle</w:t>
      </w:r>
      <w:r>
        <w:rPr>
          <w:rStyle w:val="EndnoteReference"/>
          <w:rFonts w:ascii="Times New Roman" w:hAnsi="Times New Roman" w:cs="Times New Roman"/>
          <w:sz w:val="24"/>
          <w:szCs w:val="24"/>
        </w:rPr>
        <w:endnoteReference w:id="2"/>
      </w:r>
      <w:r>
        <w:rPr>
          <w:rFonts w:ascii="Times New Roman" w:hAnsi="Times New Roman" w:cs="Times New Roman"/>
          <w:sz w:val="24"/>
          <w:szCs w:val="24"/>
        </w:rPr>
        <w:t xml:space="preserve">) – joka kirjallisuudessa tunnetaan toisinaan myös ”kongruenssiperiaatteena”, ”symmetriaperiaatteena” (Agné 2006) tai jopa ”demokraattisena periaatteena” (Zürn 2000) – on tärkeässä asemassa nykyisissä demokraattista hallintaa koskevissa keskusteluissa. Yksinkertaistetussa muodossa periaate sanoo, että kaikilla joihin päätös vaikuttaa, tulisi olla oikeus osallistua sen tekemiseen (Dahl 1970, 64; </w:t>
      </w:r>
      <w:r w:rsidRPr="00D0699F">
        <w:rPr>
          <w:rFonts w:ascii="Times New Roman" w:hAnsi="Times New Roman" w:cs="Times New Roman"/>
          <w:sz w:val="24"/>
          <w:szCs w:val="24"/>
        </w:rPr>
        <w:t>Dryzek 2000, v; Young, 2000, 23</w:t>
      </w:r>
      <w:r w:rsidR="003E427D">
        <w:rPr>
          <w:rFonts w:ascii="Times New Roman" w:hAnsi="Times New Roman" w:cs="Times New Roman"/>
          <w:sz w:val="24"/>
          <w:szCs w:val="24"/>
        </w:rPr>
        <w:t>; Lagerspetz 2015</w:t>
      </w:r>
      <w:r>
        <w:rPr>
          <w:rFonts w:ascii="Times New Roman" w:hAnsi="Times New Roman" w:cs="Times New Roman"/>
          <w:sz w:val="24"/>
          <w:szCs w:val="24"/>
        </w:rPr>
        <w:t xml:space="preserve">).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Robert A. Dahlin mukaan demokratiasta kirjoittaneet politiikan filosofit ovat lähes täydellisesti laiminlyöneet kysymyksen siitä, miten itseään hallitsevaksi oletettu ”kansa” </w:t>
      </w:r>
      <w:r w:rsidRPr="008B5D1D">
        <w:rPr>
          <w:rFonts w:ascii="Times New Roman" w:hAnsi="Times New Roman" w:cs="Times New Roman"/>
          <w:i/>
          <w:sz w:val="24"/>
          <w:szCs w:val="24"/>
        </w:rPr>
        <w:t>konstituoituu</w:t>
      </w:r>
      <w:r>
        <w:rPr>
          <w:rFonts w:ascii="Times New Roman" w:hAnsi="Times New Roman" w:cs="Times New Roman"/>
          <w:sz w:val="24"/>
          <w:szCs w:val="24"/>
        </w:rPr>
        <w:t xml:space="preserve"> (Dahl 1970, 60). Ongelma on seuraava: jos demokratia on kaikkien johonkin ryhmään kuuluvien tasa-arvoista osallistumista tai itsehallintaa, miten päätetään, ketkä kuuluvat relevanttiin ryhmään? Miten rajat vedetään ja kenelle taataan äänioikeus? </w:t>
      </w:r>
      <w:r w:rsidRPr="008B5D1D">
        <w:rPr>
          <w:rFonts w:ascii="Times New Roman" w:hAnsi="Times New Roman" w:cs="Times New Roman"/>
          <w:sz w:val="24"/>
          <w:szCs w:val="24"/>
        </w:rPr>
        <w:t>Tätä</w:t>
      </w:r>
      <w:r>
        <w:rPr>
          <w:rFonts w:ascii="Times New Roman" w:hAnsi="Times New Roman" w:cs="Times New Roman"/>
          <w:sz w:val="24"/>
          <w:szCs w:val="24"/>
        </w:rPr>
        <w:t xml:space="preserve"> päätöstä ei voi tehdä esimerkiksi äänestämällä, koska tällöin olisi ensin ratkaistava, keillä olisi oikeus osallistua </w:t>
      </w:r>
      <w:r w:rsidRPr="008B5D1D">
        <w:rPr>
          <w:rFonts w:ascii="Times New Roman" w:hAnsi="Times New Roman" w:cs="Times New Roman"/>
          <w:i/>
          <w:sz w:val="24"/>
          <w:szCs w:val="24"/>
        </w:rPr>
        <w:t>tämän</w:t>
      </w:r>
      <w:r>
        <w:rPr>
          <w:rFonts w:ascii="Times New Roman" w:hAnsi="Times New Roman" w:cs="Times New Roman"/>
          <w:sz w:val="24"/>
          <w:szCs w:val="24"/>
        </w:rPr>
        <w:t xml:space="preserve"> päätöksen tekemiseen. Ongelman demokraattinen ratkaisuyritys näyttäisi väistämättä johtavan kehään: jotta voitaisiin päättää, ketkä kuuluvat ”kansaan”, ”kansan” pitäisi jo olla määritelty jotenkin. Tätä on toisinaan kutsuttu </w:t>
      </w:r>
      <w:r w:rsidRPr="009A3D9C">
        <w:rPr>
          <w:rFonts w:ascii="Times New Roman" w:hAnsi="Times New Roman" w:cs="Times New Roman"/>
          <w:i/>
          <w:sz w:val="24"/>
          <w:szCs w:val="24"/>
        </w:rPr>
        <w:t>demokraattisen itsekonstituution paradoksiksi</w:t>
      </w:r>
      <w:r>
        <w:rPr>
          <w:rFonts w:ascii="Times New Roman" w:hAnsi="Times New Roman" w:cs="Times New Roman"/>
          <w:sz w:val="24"/>
          <w:szCs w:val="24"/>
        </w:rPr>
        <w:t xml:space="preserve">. Vaikutusperiaatteen oletetaan usein tarjoavan ratkaisun tähän paradoksiin. Ensin on arvioitava ketkä olisivat mahdollisten päätösten vaikutusalueella. Tämän arvion perusteella päätetään siitä, ketkä sisällytetään päätöksentekijöiden joukkoon. Tällöin edellytetään, että vaikutusperiaate on normatiivinen periaate, jota voidaan soveltaa </w:t>
      </w:r>
      <w:r w:rsidRPr="00993133">
        <w:rPr>
          <w:rFonts w:ascii="Times New Roman" w:hAnsi="Times New Roman" w:cs="Times New Roman"/>
          <w:sz w:val="24"/>
          <w:szCs w:val="24"/>
        </w:rPr>
        <w:t xml:space="preserve">ennen </w:t>
      </w:r>
      <w:r>
        <w:rPr>
          <w:rFonts w:ascii="Times New Roman" w:hAnsi="Times New Roman" w:cs="Times New Roman"/>
          <w:sz w:val="24"/>
          <w:szCs w:val="24"/>
        </w:rPr>
        <w:t>kaikkia konkreettisia institutionaalisia valintoja kuten äänioikeuksien jakoa, toimivaltasuhteita tai hallintoalueiden rajoja koskevia päätöksiä.</w:t>
      </w:r>
      <w:r>
        <w:rPr>
          <w:rStyle w:val="EndnoteReference"/>
          <w:rFonts w:ascii="Times New Roman" w:hAnsi="Times New Roman" w:cs="Times New Roman"/>
          <w:sz w:val="24"/>
          <w:szCs w:val="24"/>
        </w:rPr>
        <w:endnoteReference w:id="3"/>
      </w:r>
      <w:r>
        <w:rPr>
          <w:rFonts w:ascii="Times New Roman" w:hAnsi="Times New Roman" w:cs="Times New Roman"/>
          <w:sz w:val="24"/>
          <w:szCs w:val="24"/>
        </w:rPr>
        <w:t xml:space="preserve"> Pelkästään se seikka, että henkilö on poliittisen </w:t>
      </w:r>
      <w:r w:rsidRPr="00374DBF">
        <w:rPr>
          <w:rFonts w:ascii="Times New Roman" w:hAnsi="Times New Roman" w:cs="Times New Roman"/>
          <w:sz w:val="24"/>
          <w:szCs w:val="24"/>
        </w:rPr>
        <w:t>päätöksen</w:t>
      </w:r>
      <w:r w:rsidRPr="00374DBF">
        <w:rPr>
          <w:rFonts w:ascii="Times New Roman" w:hAnsi="Times New Roman" w:cs="Times New Roman"/>
          <w:i/>
          <w:sz w:val="24"/>
          <w:szCs w:val="24"/>
        </w:rPr>
        <w:t xml:space="preserve"> kohde</w:t>
      </w:r>
      <w:r>
        <w:rPr>
          <w:rFonts w:ascii="Times New Roman" w:hAnsi="Times New Roman" w:cs="Times New Roman"/>
          <w:sz w:val="24"/>
          <w:szCs w:val="24"/>
        </w:rPr>
        <w:t xml:space="preserve">, toisin sanoen sellaisten vaikutusten kohde joiden alkuperä on päätöksissä ja niistä seuraavassa toiminnassa, on riittävä peruste sille, että hänellä on oikeus olla poliittinen </w:t>
      </w:r>
      <w:r w:rsidRPr="00374DBF">
        <w:rPr>
          <w:rFonts w:ascii="Times New Roman" w:hAnsi="Times New Roman" w:cs="Times New Roman"/>
          <w:i/>
          <w:sz w:val="24"/>
          <w:szCs w:val="24"/>
        </w:rPr>
        <w:t>toimija</w:t>
      </w:r>
      <w:r>
        <w:rPr>
          <w:rFonts w:ascii="Times New Roman" w:hAnsi="Times New Roman" w:cs="Times New Roman"/>
          <w:sz w:val="24"/>
          <w:szCs w:val="24"/>
        </w:rPr>
        <w:t xml:space="preserve">. Tällöin vaikutusperiaatteen soveltamisen välttämätön ehto luonnollisesti on, että vaikutuksen kohde </w:t>
      </w:r>
      <w:r w:rsidRPr="00FA5BF1">
        <w:rPr>
          <w:rFonts w:ascii="Times New Roman" w:hAnsi="Times New Roman" w:cs="Times New Roman"/>
          <w:sz w:val="24"/>
          <w:szCs w:val="24"/>
        </w:rPr>
        <w:t>kykenee</w:t>
      </w:r>
      <w:r>
        <w:rPr>
          <w:rFonts w:ascii="Times New Roman" w:hAnsi="Times New Roman" w:cs="Times New Roman"/>
          <w:sz w:val="24"/>
          <w:szCs w:val="24"/>
        </w:rPr>
        <w:t xml:space="preserve"> olemaan poliittinen toimija. Pienet lapset, tulevat sukupolvet, eläimet tai elottomat objektit eivät voi olla poliittisia toimijoita relevantissa mielessä; valtiot tai organisaatiot voivat sitä olla.</w:t>
      </w:r>
      <w:r>
        <w:rPr>
          <w:rStyle w:val="EndnoteReference"/>
          <w:rFonts w:ascii="Times New Roman" w:hAnsi="Times New Roman" w:cs="Times New Roman"/>
          <w:sz w:val="24"/>
          <w:szCs w:val="24"/>
        </w:rPr>
        <w:endnoteReference w:id="4"/>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Vaikutusperiaate näyttäisi antavan kriteerin sille, miten päätöksentekoyksikköjen rajat tulisi vetää, ja näin tarjoavan perustan myös olemassa olevien instituutioiden kriittiselle arvioinnille ja toimintasuosituksille (Arrhenius 2012; Näsström 2011). Nykyisessä keskinäisriippuvuuksien maailmassa vaikutusperiaatteen oletetaan usein kyseenalaistavan olemassa olevien valtioiden ja </w:t>
      </w:r>
      <w:r>
        <w:rPr>
          <w:rFonts w:ascii="Times New Roman" w:hAnsi="Times New Roman" w:cs="Times New Roman"/>
          <w:sz w:val="24"/>
          <w:szCs w:val="24"/>
        </w:rPr>
        <w:lastRenderedPageBreak/>
        <w:t xml:space="preserve">muiden päätöksentekoyksikköjen väliset rajat (Owen 2012, 130). Monet ajattelevat, että vaikutusperiaatteen johdonmukainen soveltaminen johtaisi väistämättä globaaliin demokratiaan (ks. esim. </w:t>
      </w:r>
      <w:r w:rsidRPr="0085371E">
        <w:rPr>
          <w:rFonts w:ascii="Times New Roman" w:hAnsi="Times New Roman" w:cs="Times New Roman"/>
          <w:sz w:val="24"/>
          <w:szCs w:val="24"/>
        </w:rPr>
        <w:t xml:space="preserve">Held 2006, luku 11). </w:t>
      </w:r>
      <w:r w:rsidRPr="009A3D9C">
        <w:rPr>
          <w:rFonts w:ascii="Times New Roman" w:hAnsi="Times New Roman" w:cs="Times New Roman"/>
          <w:sz w:val="24"/>
          <w:szCs w:val="24"/>
        </w:rPr>
        <w:t>Periaatteen seuraukset näyttäisivät siis olevan varsin utopistisia. Vaikutusperiaate näyttää kuitenkin oleva</w:t>
      </w:r>
      <w:r>
        <w:rPr>
          <w:rFonts w:ascii="Times New Roman" w:hAnsi="Times New Roman" w:cs="Times New Roman"/>
          <w:sz w:val="24"/>
          <w:szCs w:val="24"/>
        </w:rPr>
        <w:t xml:space="preserve">n myös monien päivittäisten poliittisten kiistojen taustalla. Esimerkiksi yksi sote-uudistusta jarruttanut tekijä perustuslakivaliokunnassa liittyi huoleen kuntalaisten riittävien vaikutusmahdollisuuksien takaamisesta (ks. PeVL 67/2014). Vastaavasti, suuri osa EU:hun liittyvistä kiistoista koskee sitä, miten toimivaltasuhteet ja niiden myötä vaikutusmahdollisuudet tulisi jakaa unionin ja sen jäsenvaltioiden kesken. Myös lisää autonomiaa tai jopa itsenäisyyttä tavoittelevien alueiden (esimerkiksi Skotlannin, Katalonian, Flanderin, Lombardian tai Korsikan) ja keskushallitusten välillä koskevat nimenomaan sitä, keillä tulisi olla oikeus osallistua minkäkin päätöksen tekemiseen.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Tässä ”vaikutusperiaatteeksi” nimetty periaate ei kuitenkaan ole sisällöltään mitenkään yksiselitteinen. Tämän artikkelin yhtenä tarkoituksena on erottaa se samantapaisista mutta seurauksiltaan erilaisista periaatteista. Sen jälkeen periaatetta tarkastellaan kriittisesti. Johtopäätökseksi tulee, että periaatteella ei voi olla sitä roolia joka sillä usein kuvitellaan olevan. Monista syistä siitä on kuitenkin vaikea kokonaan luopua. Jotakin vaikutusperiaatteen tapaista epäilemättä tarvitaan. Tässä puolustetaan periaatteen heikompaa versiota, mutta samalla joudutaan toteamaan, että se ei riitä demokratian perusperiaatteeksi.</w:t>
      </w:r>
    </w:p>
    <w:p w:rsidR="00D63568" w:rsidRDefault="00D63568" w:rsidP="00477A6A">
      <w:pPr>
        <w:spacing w:line="360" w:lineRule="auto"/>
        <w:jc w:val="both"/>
        <w:rPr>
          <w:rFonts w:ascii="Times New Roman" w:hAnsi="Times New Roman" w:cs="Times New Roman"/>
          <w:sz w:val="24"/>
          <w:szCs w:val="24"/>
        </w:rPr>
      </w:pPr>
    </w:p>
    <w:p w:rsidR="00D63568" w:rsidRPr="00EA50D7" w:rsidRDefault="00D63568" w:rsidP="00477A6A">
      <w:pPr>
        <w:spacing w:line="360" w:lineRule="auto"/>
        <w:jc w:val="both"/>
        <w:rPr>
          <w:rFonts w:ascii="Times New Roman" w:hAnsi="Times New Roman" w:cs="Times New Roman"/>
          <w:b/>
          <w:sz w:val="24"/>
          <w:szCs w:val="24"/>
        </w:rPr>
      </w:pPr>
      <w:r w:rsidRPr="00EA50D7">
        <w:rPr>
          <w:rFonts w:ascii="Times New Roman" w:hAnsi="Times New Roman" w:cs="Times New Roman"/>
          <w:b/>
          <w:sz w:val="24"/>
          <w:szCs w:val="24"/>
        </w:rPr>
        <w:t>Muita periaatteita</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Vaikutusperiaatteen eräänlainen historiallinen edeltäjä on roomalaisesta oikeudesta keskiaikaiseen </w:t>
      </w:r>
      <w:r w:rsidRPr="00086826">
        <w:rPr>
          <w:rFonts w:ascii="Times New Roman" w:hAnsi="Times New Roman" w:cs="Times New Roman"/>
          <w:i/>
          <w:sz w:val="24"/>
          <w:szCs w:val="24"/>
        </w:rPr>
        <w:t>jus commune</w:t>
      </w:r>
      <w:r>
        <w:rPr>
          <w:rFonts w:ascii="Times New Roman" w:hAnsi="Times New Roman" w:cs="Times New Roman"/>
          <w:sz w:val="24"/>
          <w:szCs w:val="24"/>
        </w:rPr>
        <w:t xml:space="preserve">en lainattu periaate: </w:t>
      </w:r>
      <w:r w:rsidRPr="00086826">
        <w:rPr>
          <w:rFonts w:ascii="Times New Roman" w:hAnsi="Times New Roman" w:cs="Times New Roman"/>
          <w:i/>
          <w:sz w:val="24"/>
          <w:szCs w:val="24"/>
        </w:rPr>
        <w:t>quod omnes tangit ab omnibus tractari et approbari debet</w:t>
      </w:r>
      <w:r>
        <w:rPr>
          <w:rFonts w:ascii="Times New Roman" w:hAnsi="Times New Roman" w:cs="Times New Roman"/>
          <w:sz w:val="24"/>
          <w:szCs w:val="24"/>
        </w:rPr>
        <w:t xml:space="preserve"> – ”kaikkien on käsiteltävä ja hyväksyttävä se, mikä koskee kaikkia”. Tämä periaate koski alun perin itsehallinnollisten korporaatioiden (esimerkiksi kiltojen tai luostareiden) sisäistä päätöksentekoa. Historiallisesti se on epäilemättä vaikuttanut äänestys- ja osallistumiskäytäntöjen kehittymiseen, joten silläkin on – monen mutkan kautta – ollut oma roolinsa modernin demokraattisen ajattelun kehittymisessä. On kuitenkin syytä pitää mielessä, että keskiaikaisen periaatteen mainitsema </w:t>
      </w:r>
      <w:r>
        <w:rPr>
          <w:rFonts w:ascii="Times New Roman" w:hAnsi="Times New Roman" w:cs="Times New Roman"/>
          <w:i/>
          <w:sz w:val="24"/>
          <w:szCs w:val="24"/>
        </w:rPr>
        <w:t>omnes</w:t>
      </w:r>
      <w:r>
        <w:rPr>
          <w:rFonts w:ascii="Times New Roman" w:hAnsi="Times New Roman" w:cs="Times New Roman"/>
          <w:sz w:val="24"/>
          <w:szCs w:val="24"/>
        </w:rPr>
        <w:t xml:space="preserve"> (”kaikki”) viittasi yleensä hyvin pieneen joukkoon. Jos Englannin kuningas (Magna Cartan hyväksymisen jälkeen) konsultoi päätöksiä tehdessään kaikkia paroneitaan, periaatteen edellyttämä vaatimus ”kaikkien” kuulemisesta oli yleisen käsityksen mukaan täytetty, vaikka päätökset olisivat vaikuttaneet kirjaimellisesti kaikkien hänen alamaistensa elämään. Varsinaista vaikutusperiaatetta </w:t>
      </w:r>
      <w:r>
        <w:rPr>
          <w:rFonts w:ascii="Times New Roman" w:hAnsi="Times New Roman" w:cs="Times New Roman"/>
          <w:sz w:val="24"/>
          <w:szCs w:val="24"/>
        </w:rPr>
        <w:lastRenderedPageBreak/>
        <w:t xml:space="preserve">en ole onnistunut jäljittämään kauemmas kuin amerikkalaisen politiikan tutkija Robert A. Dahlin kirjoituksiin (Dahl 1970).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Tässä tarkasteltu vaikutusperiaate tulee erottaa kahdesta muotoilultaan samantapaisesta mutta käytännön seurauksiltaan erilaisesta periaatteesta. Jürgen Habermasin muotoileman </w:t>
      </w:r>
      <w:r w:rsidRPr="008226EB">
        <w:rPr>
          <w:rFonts w:ascii="Times New Roman" w:hAnsi="Times New Roman" w:cs="Times New Roman"/>
          <w:i/>
          <w:sz w:val="24"/>
          <w:szCs w:val="24"/>
        </w:rPr>
        <w:t>diskurssiperiaatteen</w:t>
      </w:r>
      <w:r>
        <w:rPr>
          <w:rFonts w:ascii="Times New Roman" w:hAnsi="Times New Roman" w:cs="Times New Roman"/>
          <w:sz w:val="24"/>
          <w:szCs w:val="24"/>
        </w:rPr>
        <w:t xml:space="preserve"> mukaan</w:t>
      </w:r>
    </w:p>
    <w:p w:rsidR="00D63568" w:rsidRDefault="00D63568" w:rsidP="00477A6A">
      <w:pPr>
        <w:spacing w:line="360" w:lineRule="auto"/>
        <w:ind w:left="1304"/>
        <w:jc w:val="both"/>
        <w:rPr>
          <w:rFonts w:ascii="Times New Roman" w:hAnsi="Times New Roman" w:cs="Times New Roman"/>
          <w:sz w:val="24"/>
          <w:szCs w:val="24"/>
        </w:rPr>
      </w:pPr>
      <w:r>
        <w:rPr>
          <w:rFonts w:ascii="Times New Roman" w:hAnsi="Times New Roman" w:cs="Times New Roman"/>
          <w:sz w:val="24"/>
          <w:szCs w:val="24"/>
        </w:rPr>
        <w:t xml:space="preserve">toimintanormi on pätevä vain, jos kaikki ne ihmiset joihin normi vaikuttaa, voisivat hyväksyä sen rationaalisessa keskustelussa (Habermas 1996, 107; vrt. Skirbekk 1997; Erman 2014).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Samantapaisesta muotoilustaan huolimatta diskurssiperiaate ei käsitteellisesti liity vaikutusperiaatteeseen. Diskurssiperiaate ei edellytä, että kaikki vaikutuksen kohteena olevat </w:t>
      </w:r>
      <w:r w:rsidRPr="00374DBF">
        <w:rPr>
          <w:rFonts w:ascii="Times New Roman" w:hAnsi="Times New Roman" w:cs="Times New Roman"/>
          <w:i/>
          <w:sz w:val="24"/>
          <w:szCs w:val="24"/>
        </w:rPr>
        <w:t>tosiasiallisesti</w:t>
      </w:r>
      <w:r>
        <w:rPr>
          <w:rFonts w:ascii="Times New Roman" w:hAnsi="Times New Roman" w:cs="Times New Roman"/>
          <w:sz w:val="24"/>
          <w:szCs w:val="24"/>
        </w:rPr>
        <w:t xml:space="preserve"> voisivat antaa hyväksyntänsä tai että heillä tulisi olla oikeus muuten osallistua normin säätämiseen. Se edellyttää ainoastaan hypoteettisen vaatimuksen toteutumista: Jos kaikki vaikutuksen kohteena olevat </w:t>
      </w:r>
      <w:r w:rsidRPr="00126825">
        <w:rPr>
          <w:rFonts w:ascii="Times New Roman" w:hAnsi="Times New Roman" w:cs="Times New Roman"/>
          <w:sz w:val="24"/>
          <w:szCs w:val="24"/>
        </w:rPr>
        <w:t>voisivat ideaalisissa olosuhteissa</w:t>
      </w:r>
      <w:r>
        <w:rPr>
          <w:rFonts w:ascii="Times New Roman" w:hAnsi="Times New Roman" w:cs="Times New Roman"/>
          <w:sz w:val="24"/>
          <w:szCs w:val="24"/>
        </w:rPr>
        <w:t xml:space="preserve"> hyväksyä normin, se on pätevä. Diskurssiperiaate ei edellytä kykyä poliittiseen toimijuuteen. Esimerkiksi tulevien sukupolvien jäsenet eivät voi osallistua nykyiseen päätöksentekoon. Heihin ei voi soveltaa vaikutusperiaatetta, mutta kylläkin diskurssiperiaatetta. Beckman (2009, luku 7) käsittelee tulevien sukupolvien muodostamaa ongelmaa vaikutusperiaatteen soveltamisongelmana, mutta nähdäkseni tämä perustuu väärinkäsitykseen. Koska tuleviin sukupolviin kuuluvat eivät (vielä) ole olemassa, heillä ei voi (vielä) olla oikeuksia, ei siis myöskään oikeutta</w:t>
      </w:r>
      <w:r>
        <w:rPr>
          <w:rFonts w:ascii="Times New Roman" w:hAnsi="Times New Roman" w:cs="Times New Roman"/>
          <w:sz w:val="28"/>
          <w:szCs w:val="24"/>
        </w:rPr>
        <w:t xml:space="preserve"> </w:t>
      </w:r>
      <w:r>
        <w:rPr>
          <w:rFonts w:ascii="Times New Roman" w:hAnsi="Times New Roman" w:cs="Times New Roman"/>
          <w:sz w:val="24"/>
          <w:szCs w:val="24"/>
        </w:rPr>
        <w:t xml:space="preserve">osallistua nyt tehtäviin päätöksiin.  Tuleviin sukupolvin kuuluvien intressit voivat kyllä jossakin mielessä olla edustettuina nykyisissä päätösprosesseissa. Päätöksentekijät voidaan velvoittaa ottamaan tulevien sukupolvien intressit huomioon, tai tuleville sukupolville voidaan nimetä edustajia, joiden tehtävänä on edustaa heidän intressejään. Tällainen sijaisedustus ei kuitenkaan tarkoita, että tulevat sukupolvet osallistuisivat päätöksentekoon poliittisina toimijoina. Edustus liittyy poliittiseen toimijuuteen vain, jos edustetut voivat tosiasiallisesti valtuuttaa edustajansa edustamaan heitä. Voidaan tietenkin sanoa, että tulevien sukupolvien sijaisedustus tähtää olennaisesti samaan kuin vaikutusperiaate, nimittäin joidenkin ihmisryhmien intressien huomioon ottamiseen päätöksiä tehtäessä. Vaikutusperiaate on kuitenkin luontevinta nähdä selkeästi deontologisena periaatteena, joka kytkee yksilön asemaan (vaikutuksen kohteena oleminen) automaattisesti tietyn oikeuden (osallistumisoikeus). Vielä syntymättömien sijaisedustus ei liity oikeuksiin, se on vain eräs mahdollinen menettelytapa jolla pyritään moraalisesti parempiin päätöksiin. On mahdollista, että myös joidenkin tällä hetkellä päätösten vaikutuspiirissä olevien intressit voitaisiin turvata paremmin sijaisedustusmenettelyllä kuin antamalla heille todellista päätösvaltaa. Jos vaikutusperiaate ymmärretään </w:t>
      </w:r>
      <w:r w:rsidR="00993133">
        <w:rPr>
          <w:rFonts w:ascii="Times New Roman" w:hAnsi="Times New Roman" w:cs="Times New Roman"/>
          <w:sz w:val="24"/>
          <w:szCs w:val="24"/>
        </w:rPr>
        <w:t xml:space="preserve">sääntöeettiseksi </w:t>
      </w:r>
      <w:r>
        <w:rPr>
          <w:rFonts w:ascii="Times New Roman" w:hAnsi="Times New Roman" w:cs="Times New Roman"/>
          <w:sz w:val="24"/>
          <w:szCs w:val="24"/>
        </w:rPr>
        <w:lastRenderedPageBreak/>
        <w:t xml:space="preserve">periaatteeksi, </w:t>
      </w:r>
      <w:r w:rsidR="00993133">
        <w:rPr>
          <w:rFonts w:ascii="Times New Roman" w:hAnsi="Times New Roman" w:cs="Times New Roman"/>
          <w:sz w:val="24"/>
          <w:szCs w:val="24"/>
        </w:rPr>
        <w:t>tällainen sijaisedustus</w:t>
      </w:r>
      <w:r>
        <w:rPr>
          <w:rFonts w:ascii="Times New Roman" w:hAnsi="Times New Roman" w:cs="Times New Roman"/>
          <w:sz w:val="24"/>
          <w:szCs w:val="24"/>
        </w:rPr>
        <w:t xml:space="preserve"> ei kuitenkaan ole hyväksyttävissä, koska vaikutusperiaate liittyy oikeuksiin, ei todennäköisiin lopputuloksiin.</w:t>
      </w:r>
      <w:r w:rsidR="00B97B16">
        <w:rPr>
          <w:rStyle w:val="EndnoteReference"/>
          <w:rFonts w:ascii="Times New Roman" w:hAnsi="Times New Roman" w:cs="Times New Roman"/>
          <w:sz w:val="24"/>
          <w:szCs w:val="24"/>
        </w:rPr>
        <w:endnoteReference w:id="5"/>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Toinen vaikutusperiaatetta muistuttava mutta siitä erillinen periaate on se, josta Sofia Näsström (2011) käyttää nimitystä </w:t>
      </w:r>
      <w:r w:rsidRPr="008226EB">
        <w:rPr>
          <w:rFonts w:ascii="Times New Roman" w:hAnsi="Times New Roman" w:cs="Times New Roman"/>
          <w:i/>
          <w:sz w:val="24"/>
          <w:szCs w:val="24"/>
        </w:rPr>
        <w:t>All-Subjected Principle</w:t>
      </w:r>
      <w:r>
        <w:rPr>
          <w:rFonts w:ascii="Times New Roman" w:hAnsi="Times New Roman" w:cs="Times New Roman"/>
          <w:sz w:val="24"/>
          <w:szCs w:val="24"/>
        </w:rPr>
        <w:t xml:space="preserve"> – suomeksi ehkä ”hallittujen osallistumisperiaate”. Hallittujen osallistumisperiaatteen</w:t>
      </w:r>
      <w:r>
        <w:rPr>
          <w:rStyle w:val="EndnoteReference"/>
          <w:rFonts w:ascii="Times New Roman" w:hAnsi="Times New Roman" w:cs="Times New Roman"/>
          <w:sz w:val="24"/>
          <w:szCs w:val="24"/>
        </w:rPr>
        <w:endnoteReference w:id="6"/>
      </w:r>
      <w:r>
        <w:rPr>
          <w:rFonts w:ascii="Times New Roman" w:hAnsi="Times New Roman" w:cs="Times New Roman"/>
          <w:sz w:val="24"/>
          <w:szCs w:val="24"/>
        </w:rPr>
        <w:t xml:space="preserve"> mukaan </w:t>
      </w:r>
    </w:p>
    <w:p w:rsidR="00D63568" w:rsidRDefault="00D63568" w:rsidP="00477A6A">
      <w:pPr>
        <w:spacing w:line="360" w:lineRule="auto"/>
        <w:ind w:left="1304"/>
        <w:jc w:val="both"/>
        <w:rPr>
          <w:rFonts w:ascii="Times New Roman" w:hAnsi="Times New Roman" w:cs="Times New Roman"/>
          <w:sz w:val="24"/>
          <w:szCs w:val="24"/>
        </w:rPr>
      </w:pPr>
      <w:r>
        <w:rPr>
          <w:rFonts w:ascii="Times New Roman" w:hAnsi="Times New Roman" w:cs="Times New Roman"/>
          <w:sz w:val="24"/>
          <w:szCs w:val="24"/>
        </w:rPr>
        <w:t xml:space="preserve">kaikilla niillä, jotka ovat hallituksen päätösten alaisia, tulisi olla oikeus osallistua päätösten tekemiseen (Miklosi 2012, 485; vrt.  Goodin 2007, 49; Beckman 2008).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Historiallisesti hallittujen osallistumisperiaate on läheisessä yhteydessä äänioikeuden laajentamiseen ja modernin demokratian läpimurtoon. Kun Olympe de Gouges, Ranskan vallankumouksen aikainen feministi, julisti, että ”jos naisilla on oikeus nousta mestauslavalle, heillä tulee myös olla oikeus nousta [lakiasäätävän kokouksen] puhujalavalle” (Moksnes 1989, 90), hän itse asiassa vetosi hallittujen osallistumisperiaatteeseen. Yhdysvaltain itsenäisyystaistelun iskulause ”No taxation without representation” vetosi </w:t>
      </w:r>
      <w:r w:rsidR="00993133">
        <w:rPr>
          <w:rFonts w:ascii="Times New Roman" w:hAnsi="Times New Roman" w:cs="Times New Roman"/>
          <w:sz w:val="24"/>
          <w:szCs w:val="24"/>
        </w:rPr>
        <w:t xml:space="preserve">niin ikään </w:t>
      </w:r>
      <w:r>
        <w:rPr>
          <w:rFonts w:ascii="Times New Roman" w:hAnsi="Times New Roman" w:cs="Times New Roman"/>
          <w:sz w:val="24"/>
          <w:szCs w:val="24"/>
        </w:rPr>
        <w:t xml:space="preserve">hallittujen osallistumisperiaatteeseen. Näsström (2011, 121) esittää, että hallittujen osallistumisperiaate edellyttää modernia valtiota. Näin pitkälle ei tarvitse mennä: periaatteen edellyttämä ”hallitus” voi olla mikä tahansa institutionaalinen auktoriteetti. Olennaista on, että hallittujen osallistumisperiaate, toisin kuin vaikutusperiaate, soveltuu vain maailmaan jossa </w:t>
      </w:r>
      <w:r w:rsidRPr="0037757E">
        <w:rPr>
          <w:rFonts w:ascii="Times New Roman" w:hAnsi="Times New Roman" w:cs="Times New Roman"/>
          <w:i/>
          <w:sz w:val="24"/>
          <w:szCs w:val="24"/>
        </w:rPr>
        <w:t>jo on</w:t>
      </w:r>
      <w:r>
        <w:rPr>
          <w:rFonts w:ascii="Times New Roman" w:hAnsi="Times New Roman" w:cs="Times New Roman"/>
          <w:sz w:val="24"/>
          <w:szCs w:val="24"/>
        </w:rPr>
        <w:t xml:space="preserve"> instituutioita ja päätöksentekoyksikköjä rajoineen.</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Toinen keskeinen ero vaikutusperiaatteen ja hallittujen osallistumisperiaatteen välillä on, että jälkimmäinen painottaa päätösten </w:t>
      </w:r>
      <w:r w:rsidRPr="00E82C9F">
        <w:rPr>
          <w:rFonts w:ascii="Times New Roman" w:hAnsi="Times New Roman" w:cs="Times New Roman"/>
          <w:i/>
          <w:sz w:val="24"/>
          <w:szCs w:val="24"/>
        </w:rPr>
        <w:t>oikeudellisia</w:t>
      </w:r>
      <w:r>
        <w:rPr>
          <w:rFonts w:ascii="Times New Roman" w:hAnsi="Times New Roman" w:cs="Times New Roman"/>
          <w:sz w:val="24"/>
          <w:szCs w:val="24"/>
        </w:rPr>
        <w:t xml:space="preserve"> pikemminkin kuin kausaalisia seurauksia. Beckmanin (2008, 360) mukaan, koska ”päätös vaikuttaa yhtä lailla jokaiseen joka on toimivallan piirissä (koska he ovat yhtä lailla sen poliittisen auktoriteetin hallitsemia joka tekee päätöksen), on mahdollista tietää </w:t>
      </w:r>
      <w:r w:rsidRPr="008622E3">
        <w:rPr>
          <w:rFonts w:ascii="Times New Roman" w:hAnsi="Times New Roman" w:cs="Times New Roman"/>
          <w:i/>
          <w:sz w:val="24"/>
          <w:szCs w:val="24"/>
        </w:rPr>
        <w:t>ex ante</w:t>
      </w:r>
      <w:r>
        <w:rPr>
          <w:rFonts w:ascii="Times New Roman" w:hAnsi="Times New Roman" w:cs="Times New Roman"/>
          <w:sz w:val="24"/>
          <w:szCs w:val="24"/>
        </w:rPr>
        <w:t xml:space="preserve"> keihin päätös vaikuttaa”. Tämän väitteen totuus riippuu siitä, miten ”vaikutus” määritellään. Ne jotka ovat hallituksen tai poliittisen auktoriteetin toimivallan piirissä, ovat oikeudellisesti velvollisia tottelemaan päätöksiä, ja jos he eivät tottele niitä, heidät voidaan legitiimisti pakottaa tottelemaan. Ovatko he tällöin päätöksen ”vaikutuksen kohteita”? Toki, siinä käsitteellisessä mielessä, että tekemällä sitovia päätöksiä auktoriteetti välttämättä muuttaa sen toimivallan piirissä olevien normatiivista asemaa luomalla heille uusia velvollisuuksia ja oikeuksia. Tässä mielessä on tautologia sanoa, että toimivallan piirissä olevat ovat myös päätösten vaikutuspiirissä. </w:t>
      </w:r>
      <w:r w:rsidRPr="001112F6">
        <w:rPr>
          <w:rFonts w:ascii="Times New Roman" w:hAnsi="Times New Roman" w:cs="Times New Roman"/>
          <w:i/>
          <w:sz w:val="24"/>
          <w:szCs w:val="24"/>
        </w:rPr>
        <w:t>Empiirisesti</w:t>
      </w:r>
      <w:r>
        <w:rPr>
          <w:rFonts w:ascii="Times New Roman" w:hAnsi="Times New Roman" w:cs="Times New Roman"/>
          <w:sz w:val="24"/>
          <w:szCs w:val="24"/>
        </w:rPr>
        <w:t xml:space="preserve"> voi kuitenkin samalla olla niin, että jotkin päätökset ovat useimpien päätöksentekijöiden toimivallan piiris</w:t>
      </w:r>
      <w:r w:rsidR="00B42553">
        <w:rPr>
          <w:rFonts w:ascii="Times New Roman" w:hAnsi="Times New Roman" w:cs="Times New Roman"/>
          <w:sz w:val="24"/>
          <w:szCs w:val="24"/>
        </w:rPr>
        <w:t>sä olevien kannalta vailla merkittäviä vaikutuksia</w:t>
      </w:r>
      <w:r>
        <w:rPr>
          <w:rFonts w:ascii="Times New Roman" w:hAnsi="Times New Roman" w:cs="Times New Roman"/>
          <w:sz w:val="24"/>
          <w:szCs w:val="24"/>
        </w:rPr>
        <w:t>.</w:t>
      </w:r>
      <w:r w:rsidRPr="00067F6E">
        <w:rPr>
          <w:rFonts w:ascii="Times New Roman" w:hAnsi="Times New Roman" w:cs="Times New Roman"/>
          <w:sz w:val="24"/>
          <w:szCs w:val="24"/>
        </w:rPr>
        <w:t xml:space="preserve"> </w:t>
      </w:r>
      <w:r>
        <w:rPr>
          <w:rFonts w:ascii="Times New Roman" w:hAnsi="Times New Roman" w:cs="Times New Roman"/>
          <w:sz w:val="24"/>
          <w:szCs w:val="24"/>
        </w:rPr>
        <w:t xml:space="preserve">Itse asiassa vaikutusperiaate ja hallittujen osallistumisperiaate voivat joissakin tilanteissa olla ristiriidassa keskenään. Monet lailliset määräykset koskevat vain niitä jotka kuuluvat määrättyihin ryhmin tai </w:t>
      </w:r>
      <w:r>
        <w:rPr>
          <w:rFonts w:ascii="Times New Roman" w:hAnsi="Times New Roman" w:cs="Times New Roman"/>
          <w:sz w:val="24"/>
          <w:szCs w:val="24"/>
        </w:rPr>
        <w:lastRenderedPageBreak/>
        <w:t xml:space="preserve">toimivat määrätyissä rooleissa – esimerkiksi työskentelevät jollakin alalla, omistavat tietynlaista omaisuutta, asuvat tietyllä alueella, kuluttavat tietynlaisia tuotteita jne. Muiden elämää nämä määräykset eivät samalla tavoin kosketa. Vaikutusperiaatteen mukaan päätösvalta tulisi ensisijaisesti rajata niihin, joiden elämään määräykset konkreettisesti vaikuttavat. Hallittujen osallistumisperiaatetta kuitenkin käytännössä sovelletaan siten, että kaikki täysivaltaiset kansalaiset voivat (yleensä epäsuorasti) osallistua päätöksentekoon. Tähän voidaan vastata seuraavasti: koska ihmiset siirtyvät roolista ja (tietyissä rajoissa) myös ryhmästä toiseen, ja koska he ovat riippuvaisia toisistaan monin eri tavoin, myös sellaiset päätökset jotka eivät </w:t>
      </w:r>
      <w:r w:rsidRPr="001819F1">
        <w:rPr>
          <w:rFonts w:ascii="Times New Roman" w:hAnsi="Times New Roman" w:cs="Times New Roman"/>
          <w:sz w:val="24"/>
          <w:szCs w:val="24"/>
        </w:rPr>
        <w:t>annetulla hetkellä</w:t>
      </w:r>
      <w:r>
        <w:rPr>
          <w:rFonts w:ascii="Times New Roman" w:hAnsi="Times New Roman" w:cs="Times New Roman"/>
          <w:sz w:val="24"/>
          <w:szCs w:val="24"/>
        </w:rPr>
        <w:t xml:space="preserve"> välittömästi kosketa joitakin ihmisiä, voivat </w:t>
      </w:r>
      <w:r w:rsidRPr="001819F1">
        <w:rPr>
          <w:rFonts w:ascii="Times New Roman" w:hAnsi="Times New Roman" w:cs="Times New Roman"/>
          <w:i/>
          <w:sz w:val="24"/>
          <w:szCs w:val="24"/>
        </w:rPr>
        <w:t>tulevaisuudessa</w:t>
      </w:r>
      <w:r>
        <w:rPr>
          <w:rFonts w:ascii="Times New Roman" w:hAnsi="Times New Roman" w:cs="Times New Roman"/>
          <w:sz w:val="24"/>
          <w:szCs w:val="24"/>
        </w:rPr>
        <w:t xml:space="preserve"> muuttua heidän elämänsä kannalta merkitseviksi. Mutta täsmälleen samaa voidaan sanoa niistä normeista ja päätöksistä jotka hyväksytään jonkin toisen poliittisen auktoriteetin toimivaltapiirissä, esimerkiksi toisessa valtiossa. Nekin </w:t>
      </w:r>
      <w:r w:rsidRPr="0095459E">
        <w:rPr>
          <w:rFonts w:ascii="Times New Roman" w:hAnsi="Times New Roman" w:cs="Times New Roman"/>
          <w:i/>
          <w:sz w:val="24"/>
          <w:szCs w:val="24"/>
        </w:rPr>
        <w:t>voivat</w:t>
      </w:r>
      <w:r>
        <w:rPr>
          <w:rFonts w:ascii="Times New Roman" w:hAnsi="Times New Roman" w:cs="Times New Roman"/>
          <w:sz w:val="24"/>
          <w:szCs w:val="24"/>
        </w:rPr>
        <w:t xml:space="preserve"> tulevaisuudessa muuttua yksittäisen Suomen kansalaisen kannalta kausaalisesti relevanteiksi, jos hän esimerkiksi muuttaa toiseen maahan. On toki luontevaa sanoa, että </w:t>
      </w:r>
      <w:r w:rsidRPr="0095459E">
        <w:rPr>
          <w:rFonts w:ascii="Times New Roman" w:hAnsi="Times New Roman" w:cs="Times New Roman"/>
          <w:i/>
          <w:sz w:val="24"/>
          <w:szCs w:val="24"/>
        </w:rPr>
        <w:t>jossakin mielessä</w:t>
      </w:r>
      <w:r>
        <w:rPr>
          <w:rFonts w:ascii="Times New Roman" w:hAnsi="Times New Roman" w:cs="Times New Roman"/>
          <w:sz w:val="24"/>
          <w:szCs w:val="24"/>
        </w:rPr>
        <w:t xml:space="preserve"> kaikki Suomen eduskunnan hyväksymät lait vaikuttavat kaikkien Suomen kansalaisten elämään – mutta tällöin sanaa ”vaikutus” käytetään normatiivisessa, ei kausaalisessa mielessä. Tähän palataan jatkossa.</w:t>
      </w:r>
    </w:p>
    <w:p w:rsidR="00D63568" w:rsidRDefault="00D63568" w:rsidP="00477A6A">
      <w:pPr>
        <w:spacing w:line="360" w:lineRule="auto"/>
        <w:jc w:val="both"/>
        <w:rPr>
          <w:rFonts w:ascii="Times New Roman" w:hAnsi="Times New Roman" w:cs="Times New Roman"/>
          <w:sz w:val="24"/>
          <w:szCs w:val="24"/>
        </w:rPr>
      </w:pPr>
    </w:p>
    <w:p w:rsidR="00D63568" w:rsidRPr="00EA50D7" w:rsidRDefault="00D63568" w:rsidP="00477A6A">
      <w:pPr>
        <w:spacing w:line="360" w:lineRule="auto"/>
        <w:jc w:val="both"/>
        <w:rPr>
          <w:rFonts w:ascii="Times New Roman" w:hAnsi="Times New Roman" w:cs="Times New Roman"/>
          <w:b/>
          <w:sz w:val="24"/>
          <w:szCs w:val="24"/>
        </w:rPr>
      </w:pPr>
      <w:r w:rsidRPr="00EA50D7">
        <w:rPr>
          <w:rFonts w:ascii="Times New Roman" w:hAnsi="Times New Roman" w:cs="Times New Roman"/>
          <w:b/>
          <w:sz w:val="24"/>
          <w:szCs w:val="24"/>
        </w:rPr>
        <w:t>Vaikutusperiaatteen täsmennetty versio</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Seuraava vaikutusperiaatteen täsmennetty versio pyrkii tavoittamaan periaatetta kannattavien perusintuitiot:</w:t>
      </w:r>
    </w:p>
    <w:p w:rsidR="00D63568" w:rsidRDefault="00D63568" w:rsidP="00477A6A">
      <w:pPr>
        <w:spacing w:line="360" w:lineRule="auto"/>
        <w:ind w:left="1304"/>
        <w:jc w:val="both"/>
        <w:rPr>
          <w:rFonts w:ascii="Times New Roman" w:hAnsi="Times New Roman" w:cs="Times New Roman"/>
          <w:sz w:val="24"/>
          <w:szCs w:val="24"/>
        </w:rPr>
      </w:pPr>
      <w:r>
        <w:rPr>
          <w:rFonts w:ascii="Times New Roman" w:hAnsi="Times New Roman" w:cs="Times New Roman"/>
          <w:i/>
          <w:sz w:val="24"/>
          <w:szCs w:val="24"/>
        </w:rPr>
        <w:t xml:space="preserve">Kaikilla </w:t>
      </w:r>
      <w:r w:rsidRPr="006C3B84">
        <w:rPr>
          <w:rFonts w:ascii="Times New Roman" w:hAnsi="Times New Roman" w:cs="Times New Roman"/>
          <w:i/>
          <w:sz w:val="24"/>
          <w:szCs w:val="24"/>
        </w:rPr>
        <w:t>täysivaltaisilla aikuisilla tulisi olla yhtäläiset oikeudet osallistua päätöksentekoon jos ja vain jos on todennäköistä, että tehdyillä päätöksillä on merkittävä vaikutus heidän intresseihinsä</w:t>
      </w:r>
      <w:r>
        <w:rPr>
          <w:rFonts w:ascii="Times New Roman" w:hAnsi="Times New Roman" w:cs="Times New Roman"/>
          <w:sz w:val="24"/>
          <w:szCs w:val="24"/>
        </w:rPr>
        <w:t xml:space="preserve">.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Tämä muotoilu kaipaa perusteluja. Täsmennyksellä ”täysivaltaiset aikuiset” on tarkoitus rajata tarkastelun ulkopuolelle ongelmat, jotka liittyvät lasten, eläinten, luonnon ja tulevien sukupolvien asemaan päätöksenteossa. ”Vaikutus intresseihin” on periaatteen soveltamisen kannalta keskeinen. (Toisinaan periaatteesta käytetäänkin nimeä ”The Principle of All Affected </w:t>
      </w:r>
      <w:r w:rsidRPr="003422DA">
        <w:rPr>
          <w:rFonts w:ascii="Times New Roman" w:hAnsi="Times New Roman" w:cs="Times New Roman"/>
          <w:i/>
          <w:sz w:val="24"/>
          <w:szCs w:val="24"/>
        </w:rPr>
        <w:t>Interests</w:t>
      </w:r>
      <w:r>
        <w:rPr>
          <w:rFonts w:ascii="Times New Roman" w:hAnsi="Times New Roman" w:cs="Times New Roman"/>
          <w:sz w:val="24"/>
          <w:szCs w:val="24"/>
        </w:rPr>
        <w:t xml:space="preserve">”.)  Milloin jokin päätös (tai ylimalkaan jokin asia) merkitsevästi vaikuttaa jonkun intresseihin? Hallittujen osallistumisperiaatetta tarkasteltaessa eroteltiin normatiivinen vaikutettuna oleminen kausaalisesta vaikutettuna olemisesta. Onko lähdettävä siitä, että vaikutusperiaatteen kannalta relevantti ”vaikutuksen kohteena oleminen” voidaan määritellä puhtaasti </w:t>
      </w:r>
      <w:r w:rsidRPr="00067F6E">
        <w:rPr>
          <w:rFonts w:ascii="Times New Roman" w:hAnsi="Times New Roman" w:cs="Times New Roman"/>
          <w:sz w:val="24"/>
          <w:szCs w:val="24"/>
        </w:rPr>
        <w:t xml:space="preserve">kausaalisin </w:t>
      </w:r>
      <w:r>
        <w:rPr>
          <w:rFonts w:ascii="Times New Roman" w:hAnsi="Times New Roman" w:cs="Times New Roman"/>
          <w:sz w:val="24"/>
          <w:szCs w:val="24"/>
        </w:rPr>
        <w:t xml:space="preserve">käsittein? Tämäkin johtopäätös on ongelmallinen. Kuten tunnettua, kausaliteetin käsitteeseen liittyy kaikenlaisia </w:t>
      </w:r>
      <w:r>
        <w:rPr>
          <w:rFonts w:ascii="Times New Roman" w:hAnsi="Times New Roman" w:cs="Times New Roman"/>
          <w:sz w:val="24"/>
          <w:szCs w:val="24"/>
        </w:rPr>
        <w:lastRenderedPageBreak/>
        <w:t>filosofisia ongelmia, eivätkä ne ainakaan helpotu siitä, että periaatteen kannalta relevantti kausaliteetin käsite kattaa myös yhteiskunnallisen kausaliteetin. Vaikutusperiaatteen tyypilliset esimerkkisovellutukset liittyvät yleensä fysikaalisiin, kemiallisin ja biologisiin vaikutuksiin, kuten saasteiden leviämiseen yli valtioiden rajojen tai ydinvoimaloiden aiheuttamiin lisää</w:t>
      </w:r>
      <w:r w:rsidR="007A5A39">
        <w:rPr>
          <w:rFonts w:ascii="Times New Roman" w:hAnsi="Times New Roman" w:cs="Times New Roman"/>
          <w:sz w:val="24"/>
          <w:szCs w:val="24"/>
        </w:rPr>
        <w:t>ntyneisiin riskeihin (Held 2006;</w:t>
      </w:r>
      <w:r>
        <w:rPr>
          <w:rFonts w:ascii="Times New Roman" w:hAnsi="Times New Roman" w:cs="Times New Roman"/>
          <w:sz w:val="24"/>
          <w:szCs w:val="24"/>
        </w:rPr>
        <w:t xml:space="preserve"> Näsström 2011, 123; Goodin 2007, 49-50). Nykyinen keskustelu periaatteen sovellutuksista kytkeytyy kuitenkin erottamattomasti globalisaatioon ja sen taloudellisiin ja sosiaalisiin seurauksiin. Näissä tarkasteluissa fysikaaliset, kemialliset ja biologis-lääketieteelliset kausaliteettikäsitteet ovat riittämättömiä. Ihmiset voivat olla alttiina hyvin monenlaisille vaikutuksille, ja vaikutusperiaate voi täyttää oletetun tehtävänsä vain, jos se muotoillaan siten, että voidaan ottaa huomioon myös vaikutukset joista ei ole aiempaa historiallista kokemusta ja jotka seuraavat esimerkiksi uuden teknologian käyttöön ottamisesta tai uusista sosiaalisista käytännöistä.</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Täsmennys, jonka mukaan periaatteen kannalta relevantit vaikutukset liittyvät ihmisten etuihin eli </w:t>
      </w:r>
      <w:r w:rsidRPr="007F1D42">
        <w:rPr>
          <w:rFonts w:ascii="Times New Roman" w:hAnsi="Times New Roman" w:cs="Times New Roman"/>
          <w:sz w:val="24"/>
          <w:szCs w:val="24"/>
        </w:rPr>
        <w:t>intresseihin</w:t>
      </w:r>
      <w:r>
        <w:rPr>
          <w:rFonts w:ascii="Times New Roman" w:hAnsi="Times New Roman" w:cs="Times New Roman"/>
          <w:sz w:val="24"/>
          <w:szCs w:val="24"/>
        </w:rPr>
        <w:t>, edellyttää jonkinlaista käsitystä intressien luonteesta. Intressit ovat jotakin muuta kuin pelkät halut tai preferenssit. Yksi mahdollinen määritelmä on, että toimijan intressissä ovat ne asiat joiden haluaminen on toimijalle välineellisesti rationaalista, ottaen huomioon hänen pysyvämmät tarpeensa, tavoitteensa ja tilanteensa.</w:t>
      </w:r>
      <w:r>
        <w:rPr>
          <w:rStyle w:val="EndnoteReference"/>
          <w:rFonts w:ascii="Times New Roman" w:hAnsi="Times New Roman" w:cs="Times New Roman"/>
          <w:sz w:val="24"/>
          <w:szCs w:val="24"/>
        </w:rPr>
        <w:endnoteReference w:id="7"/>
      </w:r>
      <w:r>
        <w:rPr>
          <w:rFonts w:ascii="Times New Roman" w:hAnsi="Times New Roman" w:cs="Times New Roman"/>
          <w:sz w:val="24"/>
          <w:szCs w:val="24"/>
        </w:rPr>
        <w:t xml:space="preserve"> Toimijan intressien kannalta keskeinen kysymys on, mitkä toiminnan mahdollisuudet ovat hänellä avoimia (Beckman 2008, 355). Poliittinen päätös selvästi vaikuttaa toimijan intresseihin jos se vaikuttaa siihen mitä hän kykenee tai ei kykene tekemään, tai siihen, mitkä ovat hänelle koituvat eri toimintavaihtoehtojen aineelliset ja moraaliset kustannukset. Päätöksessä olennaista ei ole vain se, mitä tapahtumasarjoja se käynnistää vaan myös se, mitä se rajaa</w:t>
      </w:r>
      <w:r w:rsidRPr="00564100">
        <w:rPr>
          <w:rFonts w:ascii="Times New Roman" w:hAnsi="Times New Roman" w:cs="Times New Roman"/>
          <w:sz w:val="24"/>
          <w:szCs w:val="24"/>
        </w:rPr>
        <w:t xml:space="preserve"> pois</w:t>
      </w:r>
      <w:r>
        <w:rPr>
          <w:rFonts w:ascii="Times New Roman" w:hAnsi="Times New Roman" w:cs="Times New Roman"/>
          <w:sz w:val="24"/>
          <w:szCs w:val="24"/>
        </w:rPr>
        <w:t xml:space="preserve">. Vaikutusketjun kummassakin päässä vaikutusperiaatteen kannalta relevantti ”vaikutus” usein liittyy siihen mitä </w:t>
      </w:r>
      <w:r w:rsidRPr="00714F35">
        <w:rPr>
          <w:rFonts w:ascii="Times New Roman" w:hAnsi="Times New Roman" w:cs="Times New Roman"/>
          <w:i/>
          <w:sz w:val="24"/>
          <w:szCs w:val="24"/>
        </w:rPr>
        <w:t>ei</w:t>
      </w:r>
      <w:r>
        <w:rPr>
          <w:rFonts w:ascii="Times New Roman" w:hAnsi="Times New Roman" w:cs="Times New Roman"/>
          <w:sz w:val="24"/>
          <w:szCs w:val="24"/>
        </w:rPr>
        <w:t xml:space="preserve"> tapahdu; siihen mistä ei päätetä, ja siihen, mitkä toimintavaihtoehdot vaikutuksen kohteilta tällöin suljetaan pois. Esimerkkinä voidaan käyttää päätöstä, joka jättää antamatta olennaisia resursseja jollekin toimijalle. Tämä päättämättä jättämisten ja tekemättä jättämisten välttämätön rooli mutkistaa vaikutusperiaatteen kannalta relevantin vaikutussuhteen määrittelemistä, koska tekemättä jättämisiä ja ei-tapahtumisia on hankala sijoittaa perinteisesti ymmärrettyjen kausaaliketjujen osiksi.</w:t>
      </w:r>
      <w:r w:rsidR="00E57E31">
        <w:rPr>
          <w:rStyle w:val="EndnoteReference"/>
          <w:rFonts w:ascii="Times New Roman" w:hAnsi="Times New Roman" w:cs="Times New Roman"/>
          <w:sz w:val="24"/>
          <w:szCs w:val="24"/>
        </w:rPr>
        <w:endnoteReference w:id="8"/>
      </w:r>
      <w:r>
        <w:rPr>
          <w:rFonts w:ascii="Times New Roman" w:hAnsi="Times New Roman" w:cs="Times New Roman"/>
          <w:sz w:val="24"/>
          <w:szCs w:val="24"/>
        </w:rPr>
        <w:t xml:space="preserve"> Tämä havainto liittyy itse asiassa yleisenpään huomioon: valtaa ei yleensäkään pysty käsitteellistämään pelkästään syy-seuraussuhteen avulla (Lagerspetz 1998, 104-106). Valta liittyy vastuun arvioimiseen, ja vastuu koskee myös mahdollisia, mutta toteutumatta jääviä syy-seuraussuhteita.</w:t>
      </w:r>
    </w:p>
    <w:p w:rsidR="00D63568" w:rsidRDefault="00D63568" w:rsidP="00477A6A">
      <w:pPr>
        <w:spacing w:line="360" w:lineRule="auto"/>
        <w:jc w:val="both"/>
        <w:rPr>
          <w:rFonts w:ascii="Times New Roman" w:hAnsi="Times New Roman" w:cs="Times New Roman"/>
          <w:sz w:val="24"/>
          <w:szCs w:val="24"/>
        </w:rPr>
      </w:pPr>
    </w:p>
    <w:p w:rsidR="00D63568" w:rsidRPr="00EA50D7" w:rsidRDefault="00D63568" w:rsidP="00477A6A">
      <w:pPr>
        <w:spacing w:line="360" w:lineRule="auto"/>
        <w:jc w:val="both"/>
        <w:rPr>
          <w:rFonts w:ascii="Times New Roman" w:hAnsi="Times New Roman" w:cs="Times New Roman"/>
          <w:b/>
          <w:sz w:val="24"/>
          <w:szCs w:val="24"/>
        </w:rPr>
      </w:pPr>
      <w:r w:rsidRPr="00EA50D7">
        <w:rPr>
          <w:rFonts w:ascii="Times New Roman" w:hAnsi="Times New Roman" w:cs="Times New Roman"/>
          <w:b/>
          <w:sz w:val="24"/>
          <w:szCs w:val="24"/>
        </w:rPr>
        <w:t>Goodinin argumentti</w:t>
      </w:r>
    </w:p>
    <w:p w:rsidR="00D63568" w:rsidRDefault="00993133"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Y</w:t>
      </w:r>
      <w:r w:rsidR="00D63568">
        <w:rPr>
          <w:rFonts w:ascii="Times New Roman" w:hAnsi="Times New Roman" w:cs="Times New Roman"/>
          <w:sz w:val="24"/>
          <w:szCs w:val="24"/>
        </w:rPr>
        <w:t>hteiskuntafilosofi ja demokratian teoreetikko Robert Goodin on huomauttanut, että ”vaikutuksen” ymmärtäminen pelkästään seurausten aktiiviseksi tuottamiseksi johtaa itse asiassa paradoksaaliseen tulokseen (Goodin 2007; vrt. Owen 2012). Ongelma syntyy siitä tosiseikasta, että monissa tapauksissa se, keille päätöksellä on seurauksia, riippuu itse päätöksen sisällöstä. Oletetaan, että yhdensisältöinen päätös muuttaisi merkittävällä vain A:n asemaa (esimerkiksi jakaisi hänelle jotakin resursseja), kun taas toisensisältöinen päätös muuttaisi merkittävällä tavalla vain B:n asemaa (jakaisi hänelle resursseja A:n sijasta). Jos vaikutusperiaatteen edellyttämä ”vaikutus” tulkitaan tosiasiallisesti toteutuviksi seurauksiksi, ensimmäisessä tapauksessa vain A olisi periaatteen nojalla oikeutettu osallistumaan päätöksen tekemiseen, kun taas</w:t>
      </w:r>
      <w:r>
        <w:rPr>
          <w:rFonts w:ascii="Times New Roman" w:hAnsi="Times New Roman" w:cs="Times New Roman"/>
          <w:sz w:val="24"/>
          <w:szCs w:val="24"/>
        </w:rPr>
        <w:t xml:space="preserve"> toisessa tapauksessa vain B</w:t>
      </w:r>
      <w:r w:rsidR="00D63568">
        <w:rPr>
          <w:rFonts w:ascii="Times New Roman" w:hAnsi="Times New Roman" w:cs="Times New Roman"/>
          <w:sz w:val="24"/>
          <w:szCs w:val="24"/>
        </w:rPr>
        <w:t xml:space="preserve"> olisi tällä tavoin oikeutettu. Tuntuu kuitenkin luontevalta sanoa, että </w:t>
      </w:r>
      <w:r>
        <w:rPr>
          <w:rFonts w:ascii="Times New Roman" w:hAnsi="Times New Roman" w:cs="Times New Roman"/>
          <w:sz w:val="24"/>
          <w:szCs w:val="24"/>
        </w:rPr>
        <w:t xml:space="preserve">kyseinen </w:t>
      </w:r>
      <w:r w:rsidR="00D63568">
        <w:rPr>
          <w:rFonts w:ascii="Times New Roman" w:hAnsi="Times New Roman" w:cs="Times New Roman"/>
          <w:sz w:val="24"/>
          <w:szCs w:val="24"/>
        </w:rPr>
        <w:t xml:space="preserve">päätös vaikuttaa sekä A:n että B:n intresseihin, olipa sen sisältö kumpi tahansa. Se seikka, että esityslistalla jostakin syystä esiintyy vain vaihtoehto, jossa resursseja jaetaan pelkästään A:lle (tai </w:t>
      </w:r>
      <w:r>
        <w:rPr>
          <w:rFonts w:ascii="Times New Roman" w:hAnsi="Times New Roman" w:cs="Times New Roman"/>
          <w:sz w:val="24"/>
          <w:szCs w:val="24"/>
        </w:rPr>
        <w:t xml:space="preserve">pelkästään </w:t>
      </w:r>
      <w:r w:rsidR="00D63568">
        <w:rPr>
          <w:rFonts w:ascii="Times New Roman" w:hAnsi="Times New Roman" w:cs="Times New Roman"/>
          <w:sz w:val="24"/>
          <w:szCs w:val="24"/>
        </w:rPr>
        <w:t xml:space="preserve">B:lle), ei perustele sitä, että B (tai vaihtoehtoisesti A) eivät ole oikeutettuja osallistumaan päätökseen. Pikemminkin voisi argumentoida toisin päin: se, että resurssien jakamisesta (esimerkiksi) B:lle ei edes keskustella, nimenomaan osoittaa, että B:lle pitäisi antaa enemmän valtaa päätösprosessissa.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Ehkä periaate pitäisi muotoilla siten, että </w:t>
      </w:r>
      <w:r w:rsidRPr="00FA5D50">
        <w:rPr>
          <w:rFonts w:ascii="Times New Roman" w:hAnsi="Times New Roman" w:cs="Times New Roman"/>
          <w:sz w:val="24"/>
          <w:szCs w:val="24"/>
        </w:rPr>
        <w:t>kaikilla</w:t>
      </w:r>
      <w:r>
        <w:rPr>
          <w:rFonts w:ascii="Times New Roman" w:hAnsi="Times New Roman" w:cs="Times New Roman"/>
          <w:sz w:val="24"/>
          <w:szCs w:val="24"/>
        </w:rPr>
        <w:t xml:space="preserve"> jotka </w:t>
      </w:r>
      <w:r w:rsidRPr="00FA5D50">
        <w:rPr>
          <w:rFonts w:ascii="Times New Roman" w:hAnsi="Times New Roman" w:cs="Times New Roman"/>
          <w:i/>
          <w:sz w:val="24"/>
          <w:szCs w:val="24"/>
        </w:rPr>
        <w:t>voivat</w:t>
      </w:r>
      <w:r>
        <w:rPr>
          <w:rFonts w:ascii="Times New Roman" w:hAnsi="Times New Roman" w:cs="Times New Roman"/>
          <w:sz w:val="24"/>
          <w:szCs w:val="24"/>
        </w:rPr>
        <w:t xml:space="preserve"> tavalla tai toisella olla päätöksen vaikutusten piirissä tulisi olla oikeus osallistua sen tekemiseen? Tällä muotoilulla olisi dramaattisia seurauksia. Jokainen resurssi, esimerkiksi yksi euro tai neljännestunti työaikaa, joka käytetään yhteen tarkoitukseen, voitaisiin yhtä hyvin käyttää lukemattomiin muihin tarkoituksiin. Johtopäätös näyttäisi olevan, että kaikilla maailman ihmisillä on potentiaalinen intressi jokaiseen (yksityiseen tai julkiseen) resurssien jakoa koskevaan päätökseen, tehtiinpä se missä tahansa. Näin ollen vaikutusperiaatteesta seuraisi, että jokaisella maailman ihmisellä tulisi olla oikeus osallistua jokaisen päätöksen tekemiseen. Johtopäätös näyttää tyypilliseltä </w:t>
      </w:r>
      <w:r w:rsidRPr="008622E3">
        <w:rPr>
          <w:rFonts w:ascii="Times New Roman" w:hAnsi="Times New Roman" w:cs="Times New Roman"/>
          <w:i/>
          <w:sz w:val="24"/>
          <w:szCs w:val="24"/>
        </w:rPr>
        <w:t>reductio ad absurdum</w:t>
      </w:r>
      <w:r>
        <w:rPr>
          <w:rFonts w:ascii="Times New Roman" w:hAnsi="Times New Roman" w:cs="Times New Roman"/>
          <w:sz w:val="24"/>
          <w:szCs w:val="24"/>
        </w:rPr>
        <w:t xml:space="preserve"> –tulokselta. Robert Goodin on kuitenkin eri mieltä. Hän hyväksyy johtopäätöksen eksplisiittisesti:</w:t>
      </w:r>
    </w:p>
    <w:p w:rsidR="00D63568" w:rsidRDefault="00D63568" w:rsidP="00477A6A">
      <w:pPr>
        <w:spacing w:line="360" w:lineRule="auto"/>
        <w:ind w:left="1304"/>
        <w:jc w:val="both"/>
        <w:rPr>
          <w:rFonts w:ascii="Times New Roman" w:hAnsi="Times New Roman" w:cs="Times New Roman"/>
          <w:sz w:val="24"/>
          <w:szCs w:val="24"/>
        </w:rPr>
      </w:pPr>
      <w:r>
        <w:rPr>
          <w:rFonts w:ascii="Times New Roman" w:hAnsi="Times New Roman" w:cs="Times New Roman"/>
          <w:sz w:val="24"/>
          <w:szCs w:val="24"/>
        </w:rPr>
        <w:t xml:space="preserve">Jos (kuten uskon olevan asian laita), vaikutusperiaate tarjoaa parhaan periaatteellisen perustan </w:t>
      </w:r>
      <w:r w:rsidRPr="00374DBF">
        <w:rPr>
          <w:rFonts w:ascii="Times New Roman" w:hAnsi="Times New Roman" w:cs="Times New Roman"/>
          <w:i/>
          <w:sz w:val="24"/>
          <w:szCs w:val="24"/>
        </w:rPr>
        <w:t>demoksen</w:t>
      </w:r>
      <w:r>
        <w:rPr>
          <w:rFonts w:ascii="Times New Roman" w:hAnsi="Times New Roman" w:cs="Times New Roman"/>
          <w:sz w:val="24"/>
          <w:szCs w:val="24"/>
        </w:rPr>
        <w:t xml:space="preserve"> konstituoimiselle, ja jos (kuten olen argumentoinut) paras periaatteen tulkinta on ekspansiivinen ”possibilistinen” muotoilu, se antaa hyviä perusteita ajatella, että (ainakin periaatteessa) meidän tulisi antaa likimain jokaiselle äänioikeus likimain joka asiassa likimain kaikkialla maailmassa. (Goodin 2007, 64)</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Goodin myöntää – vähemmän yllättävästi – että viimeisen lauseen ehdotus ei ole käytännössä toteutettavissa. Hän jatkaa</w:t>
      </w:r>
    </w:p>
    <w:p w:rsidR="00D63568" w:rsidRDefault="00D63568" w:rsidP="00477A6A">
      <w:pPr>
        <w:spacing w:line="360" w:lineRule="auto"/>
        <w:ind w:left="1304"/>
        <w:jc w:val="both"/>
        <w:rPr>
          <w:rFonts w:ascii="Times New Roman" w:hAnsi="Times New Roman" w:cs="Times New Roman"/>
          <w:sz w:val="24"/>
          <w:szCs w:val="24"/>
        </w:rPr>
      </w:pPr>
      <w:r>
        <w:rPr>
          <w:rFonts w:ascii="Times New Roman" w:hAnsi="Times New Roman" w:cs="Times New Roman"/>
          <w:sz w:val="24"/>
          <w:szCs w:val="24"/>
        </w:rPr>
        <w:lastRenderedPageBreak/>
        <w:t>Jos, kuten monet varmaan väittävät, tämä on toivottoman epäkäytännöllinen ehdotus, meidän olisi ryhdyttävä miettimiään millaiset järjestelyt voisivat käytännössä parhaiten lähestyä [</w:t>
      </w:r>
      <w:r w:rsidRPr="009B3447">
        <w:rPr>
          <w:rFonts w:ascii="Times New Roman" w:hAnsi="Times New Roman" w:cs="Times New Roman"/>
          <w:i/>
          <w:sz w:val="24"/>
          <w:szCs w:val="24"/>
        </w:rPr>
        <w:t>approximate</w:t>
      </w:r>
      <w:r>
        <w:rPr>
          <w:rFonts w:ascii="Times New Roman" w:hAnsi="Times New Roman" w:cs="Times New Roman"/>
          <w:sz w:val="24"/>
          <w:szCs w:val="24"/>
        </w:rPr>
        <w:t>] tätä ideaalia.</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Periaatteessakin saavuttamattoman ideaalin </w:t>
      </w:r>
      <w:r w:rsidRPr="00FA5D50">
        <w:rPr>
          <w:rFonts w:ascii="Times New Roman" w:hAnsi="Times New Roman" w:cs="Times New Roman"/>
          <w:i/>
          <w:sz w:val="24"/>
          <w:szCs w:val="24"/>
        </w:rPr>
        <w:t>lähestymiseen</w:t>
      </w:r>
      <w:r>
        <w:rPr>
          <w:rFonts w:ascii="Times New Roman" w:hAnsi="Times New Roman" w:cs="Times New Roman"/>
          <w:sz w:val="24"/>
          <w:szCs w:val="24"/>
        </w:rPr>
        <w:t xml:space="preserve"> liittyy kuitenkin monia ongelmia. Yksi ongelma on se, että eri vaihtoehtojen ja ideaalin välisen etäisyyden vertailu edellyttää jonkinlaista läheisyyden tai paremmuuden mittaa.</w:t>
      </w:r>
      <w:r w:rsidRPr="00FA5D50">
        <w:rPr>
          <w:rFonts w:ascii="Times New Roman" w:hAnsi="Times New Roman" w:cs="Times New Roman"/>
          <w:sz w:val="24"/>
          <w:szCs w:val="24"/>
        </w:rPr>
        <w:t xml:space="preserve"> </w:t>
      </w:r>
      <w:r>
        <w:rPr>
          <w:rFonts w:ascii="Times New Roman" w:hAnsi="Times New Roman" w:cs="Times New Roman"/>
          <w:sz w:val="24"/>
          <w:szCs w:val="24"/>
        </w:rPr>
        <w:t>Koska ihanne oletetaan saavuttamattomaksi, jokainen käytännön ratkaisu on joka tapauksessa jonkin matkan päässä siitä.  Ilman määriteltyä mittaa olisi mahdoton argumentoida, miksi jokin järjestely, instituutio tai päätös olisi lähempänä ihannetta kuin jokin toinen. Jos ideaali on kompleksinen ja sisältää monia vaatimuksia, läheisyysmitan on jotenkin painotettava näitä ideaalin eri puolia. Muuten on mahdollista päätyä äänestysparadoksin</w:t>
      </w:r>
      <w:r>
        <w:rPr>
          <w:rStyle w:val="EndnoteReference"/>
          <w:rFonts w:ascii="Times New Roman" w:hAnsi="Times New Roman" w:cs="Times New Roman"/>
          <w:sz w:val="24"/>
          <w:szCs w:val="24"/>
        </w:rPr>
        <w:endnoteReference w:id="9"/>
      </w:r>
      <w:r>
        <w:rPr>
          <w:rFonts w:ascii="Times New Roman" w:hAnsi="Times New Roman" w:cs="Times New Roman"/>
          <w:sz w:val="24"/>
          <w:szCs w:val="24"/>
        </w:rPr>
        <w:t xml:space="preserve"> versioon jossa järjestely C on joissakin suhteissa lähempänä ideaalia kun D, D joissakin suhteissa lähempänä ideaalia kuin E. mutta E taas joissakin suhteissa lähempänä kuin C. Tällaisten kehien pois sulkeminen edellyttää, että läheisyysmitta perustuu johonkin vahvempaan informaatioon kuin pelkästään parivertailujen mukaiseen järjestykseen. On myös tärkeää huomata, että saavuttamattoman ideaalin paras  approksimaatio (eli ideaalia lähin saavutettavissa oleva käytännön järjestely) voi joissakin suhteissa olla hyvin erilainen kuin tuo ideaali (Räikkä 2014). Jos ihanneautomme on tuliterä Lamborghini, mutta rahat riittävät vain hyväkuntoiseen Toyotaan, on parempi valita se kuin esimerkiksi Lamborghinin kori josta puuttuu moottori, vaikka jälkimmäinen olisi </w:t>
      </w:r>
      <w:r w:rsidRPr="00B71FD2">
        <w:rPr>
          <w:rFonts w:ascii="Times New Roman" w:hAnsi="Times New Roman" w:cs="Times New Roman"/>
          <w:i/>
          <w:sz w:val="24"/>
          <w:szCs w:val="24"/>
        </w:rPr>
        <w:t>eräässä suhteessa</w:t>
      </w:r>
      <w:r>
        <w:rPr>
          <w:rFonts w:ascii="Times New Roman" w:hAnsi="Times New Roman" w:cs="Times New Roman"/>
          <w:sz w:val="24"/>
          <w:szCs w:val="24"/>
        </w:rPr>
        <w:t xml:space="preserve"> ideaalia lähimpänä.</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Arrhenius (2012) vertaa vaikutusperiaatetta utiliteetin maksimointiperiaatteeseen, ja argumentoi, että vaikka vaikutusperiaatetta ei voikaan käyttää päätöksentekomenettelynä jota sovelle</w:t>
      </w:r>
      <w:r w:rsidR="00993133">
        <w:rPr>
          <w:rFonts w:ascii="Times New Roman" w:hAnsi="Times New Roman" w:cs="Times New Roman"/>
          <w:sz w:val="24"/>
          <w:szCs w:val="24"/>
        </w:rPr>
        <w:t>taan konkreettisiin päätöksiin</w:t>
      </w:r>
      <w:r>
        <w:rPr>
          <w:rFonts w:ascii="Times New Roman" w:hAnsi="Times New Roman" w:cs="Times New Roman"/>
          <w:sz w:val="24"/>
          <w:szCs w:val="24"/>
        </w:rPr>
        <w:t xml:space="preserve">, se voi, kuten utiliteetin maksimointiperiaate, toimia regulatiivisena  ihanteena jolla arvioidaan ja perustellaan </w:t>
      </w:r>
      <w:r w:rsidRPr="00390761">
        <w:rPr>
          <w:rFonts w:ascii="Times New Roman" w:hAnsi="Times New Roman" w:cs="Times New Roman"/>
          <w:i/>
          <w:sz w:val="24"/>
          <w:szCs w:val="24"/>
        </w:rPr>
        <w:t>välitason</w:t>
      </w:r>
      <w:r>
        <w:rPr>
          <w:rFonts w:ascii="Times New Roman" w:hAnsi="Times New Roman" w:cs="Times New Roman"/>
          <w:sz w:val="24"/>
          <w:szCs w:val="24"/>
        </w:rPr>
        <w:t xml:space="preserve"> päätösperiaatteita ja institutionaalisia ratkaisuja.  Tavanomaisen utilitaristisen ajattelun mukaan utiliteetin maksimoinnin periaate on </w:t>
      </w:r>
      <w:r w:rsidRPr="000A37E7">
        <w:rPr>
          <w:rFonts w:ascii="Times New Roman" w:hAnsi="Times New Roman" w:cs="Times New Roman"/>
          <w:sz w:val="24"/>
          <w:szCs w:val="24"/>
        </w:rPr>
        <w:t xml:space="preserve">ainoa </w:t>
      </w:r>
      <w:r w:rsidRPr="000A37E7">
        <w:rPr>
          <w:rFonts w:ascii="Times New Roman" w:hAnsi="Times New Roman" w:cs="Times New Roman"/>
          <w:i/>
          <w:sz w:val="24"/>
          <w:szCs w:val="24"/>
        </w:rPr>
        <w:t>viimekätinen</w:t>
      </w:r>
      <w:r>
        <w:rPr>
          <w:rFonts w:ascii="Times New Roman" w:hAnsi="Times New Roman" w:cs="Times New Roman"/>
          <w:sz w:val="24"/>
          <w:szCs w:val="24"/>
        </w:rPr>
        <w:t xml:space="preserve"> arviointiperiaate.</w:t>
      </w:r>
      <w:r w:rsidR="005F4F1D">
        <w:rPr>
          <w:rFonts w:ascii="Times New Roman" w:hAnsi="Times New Roman" w:cs="Times New Roman"/>
          <w:sz w:val="24"/>
          <w:szCs w:val="24"/>
        </w:rPr>
        <w:t xml:space="preserve"> Kaikki muut päätösperiaatteet ovat tällöin välitason periaatteita joiden käyttö tulee voida perustella utiliteetin maksimoinnin periaatteesta käsin.</w:t>
      </w:r>
      <w:r>
        <w:rPr>
          <w:rFonts w:ascii="Times New Roman" w:hAnsi="Times New Roman" w:cs="Times New Roman"/>
          <w:sz w:val="24"/>
          <w:szCs w:val="24"/>
        </w:rPr>
        <w:t xml:space="preserve"> Utilitarismin puolustajien eräs keskeinen argumentti onkin, että utilitarismi voidaan rakentaa yhden </w:t>
      </w:r>
      <w:r w:rsidR="005F4F1D">
        <w:rPr>
          <w:rFonts w:ascii="Times New Roman" w:hAnsi="Times New Roman" w:cs="Times New Roman"/>
          <w:sz w:val="24"/>
          <w:szCs w:val="24"/>
        </w:rPr>
        <w:t xml:space="preserve">viimekätisen </w:t>
      </w:r>
      <w:r>
        <w:rPr>
          <w:rFonts w:ascii="Times New Roman" w:hAnsi="Times New Roman" w:cs="Times New Roman"/>
          <w:sz w:val="24"/>
          <w:szCs w:val="24"/>
        </w:rPr>
        <w:t>periaatteen varaan, joten periaatteiden välisiltä konflikteilta vältytään.</w:t>
      </w:r>
      <w:r w:rsidR="000A37E7">
        <w:rPr>
          <w:rStyle w:val="EndnoteReference"/>
          <w:rFonts w:ascii="Times New Roman" w:hAnsi="Times New Roman" w:cs="Times New Roman"/>
          <w:sz w:val="24"/>
          <w:szCs w:val="24"/>
        </w:rPr>
        <w:endnoteReference w:id="10"/>
      </w:r>
      <w:r>
        <w:rPr>
          <w:rFonts w:ascii="Times New Roman" w:hAnsi="Times New Roman" w:cs="Times New Roman"/>
          <w:sz w:val="24"/>
          <w:szCs w:val="24"/>
        </w:rPr>
        <w:t xml:space="preserve"> Utilitarismissa oletetaan myös, että eri vaihtoehtojen paremmuudelle on ainakin periaatteessa olemassa numeerinen (tarkemmin sanoen: kardinaalinen) mitta, joten vaihtoehtojen tuottamia hyötyjä ja haittoja voidaan summata ja vertailla. Nämä olettamukset takaavat, että utiliteetin maksimoinnin periaate pystyy, ainakin teoriassa, ratkaisemaan </w:t>
      </w:r>
      <w:r w:rsidRPr="000E6A33">
        <w:rPr>
          <w:rFonts w:ascii="Times New Roman" w:hAnsi="Times New Roman" w:cs="Times New Roman"/>
          <w:sz w:val="24"/>
          <w:szCs w:val="24"/>
        </w:rPr>
        <w:t>kaikki</w:t>
      </w:r>
      <w:r>
        <w:rPr>
          <w:rFonts w:ascii="Times New Roman" w:hAnsi="Times New Roman" w:cs="Times New Roman"/>
          <w:sz w:val="24"/>
          <w:szCs w:val="24"/>
        </w:rPr>
        <w:t xml:space="preserve"> keskenään kilpailevien välitason periaatteiden väliset mahdolliset konfliktit.  Jos esimerkiksi välitason periaatteet, kuten enemmistöperiaate (jonka </w:t>
      </w:r>
      <w:r>
        <w:rPr>
          <w:rFonts w:ascii="Times New Roman" w:hAnsi="Times New Roman" w:cs="Times New Roman"/>
          <w:sz w:val="24"/>
          <w:szCs w:val="24"/>
        </w:rPr>
        <w:lastRenderedPageBreak/>
        <w:t xml:space="preserve">noudattaminen vastaa myös enemmistön vähemmän keskeisiä intressejä) ja vähemmistön oikeudet (jotka suojelevat vähemmistön keskeisiä intressejä), ovat ristiriidassa, utiliteetin maksimointiperiaate tarjoaa ainakin teoriassa ratkaisumenettelyn näiden välitason periaatteiden välillä. Intressejä on tällöin punnittava toisiaan vastaan ja arvioitava, ovatko enemmistön saamat hyödyt niin suuria, että ne kumoavat vähemmistön kärsimät haitat. </w:t>
      </w:r>
      <w:r w:rsidR="000A37E7">
        <w:rPr>
          <w:rFonts w:ascii="Times New Roman" w:hAnsi="Times New Roman" w:cs="Times New Roman"/>
          <w:sz w:val="24"/>
          <w:szCs w:val="24"/>
        </w:rPr>
        <w:t xml:space="preserve">Demokratian ideaalin moniulotteisuus tekee kuitenkin analogian ongelmalliseksi. </w:t>
      </w:r>
      <w:r>
        <w:rPr>
          <w:rFonts w:ascii="Times New Roman" w:hAnsi="Times New Roman" w:cs="Times New Roman"/>
          <w:sz w:val="24"/>
          <w:szCs w:val="24"/>
        </w:rPr>
        <w:t xml:space="preserve">Vaikutusperiaate eroaa utiliteetin maksimointiperiaatteesta sikäli, että koska se liittyy vain tietynlaisiin kysymyksiin, se on osa kompleksisempaa demokratian ideaalia. Se on </w:t>
      </w:r>
      <w:r w:rsidRPr="001112F6">
        <w:rPr>
          <w:rFonts w:ascii="Times New Roman" w:hAnsi="Times New Roman" w:cs="Times New Roman"/>
          <w:i/>
          <w:sz w:val="24"/>
          <w:szCs w:val="24"/>
        </w:rPr>
        <w:t>itsessään</w:t>
      </w:r>
      <w:r>
        <w:rPr>
          <w:rFonts w:ascii="Times New Roman" w:hAnsi="Times New Roman" w:cs="Times New Roman"/>
          <w:sz w:val="24"/>
          <w:szCs w:val="24"/>
        </w:rPr>
        <w:t xml:space="preserve"> välitason periaate (vaikka se ei vielä olisikaan konkreettisesti sovellettavissa)  ja näin samalla tasolla muiden, potentiaalisesti kilpailevien välitason periaatteiden, esimerkiksi oikeuksien, kanssa. Tällöin se, että vaikutusperiaate suosittaa jotakin institutionaalista ratkaisua, ei itsessään ole riittävä argumentti tuon ratkaisun puolesta. Utilitaristille se, että jokin ratkaisu maksimoi utiliteetit, on aina riittävä peruste.</w:t>
      </w:r>
      <w:r w:rsidR="007865E6">
        <w:rPr>
          <w:rStyle w:val="EndnoteReference"/>
          <w:rFonts w:ascii="Times New Roman" w:hAnsi="Times New Roman" w:cs="Times New Roman"/>
          <w:sz w:val="24"/>
          <w:szCs w:val="24"/>
        </w:rPr>
        <w:endnoteReference w:id="11"/>
      </w:r>
      <w:r>
        <w:rPr>
          <w:rFonts w:ascii="Times New Roman" w:hAnsi="Times New Roman" w:cs="Times New Roman"/>
          <w:sz w:val="24"/>
          <w:szCs w:val="24"/>
        </w:rPr>
        <w:t xml:space="preserve">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Toisaalta, ei ole selvää, että vaikutusperiaatteelle voitaisiin edes periaatteessa muotoilla yhteenlaskettujen utiliteettien kaltainen läheisyysmitta, jonka avulla voitaisiin arvioida, miten hyvin eri institutionaaliset järjestelyt approksimoivat sitä. Ensimmäisenä mieleen tuleva läheisyysmitta perustuisi pelkästään siihen, kuinka moni vaikutuksen kohteina olevista on erilaisten järjestelyjen vallitessa mukana päätöksenteossa. Oletetaan että F on kaikkien niiden joukko, joihin jokin päätös vaikuttaa. Jos Goodinin edellä tarkasteltu argumentti hyväksytään, F koostuu koko ihmiskunnasta. G on F:n osajoukko, esimerkiksi kaikki jonkin valtion asukkaat, ja H puolestaan G:n osajoukko, esimerkik</w:t>
      </w:r>
      <w:r w:rsidR="005F4F1D">
        <w:rPr>
          <w:rFonts w:ascii="Times New Roman" w:hAnsi="Times New Roman" w:cs="Times New Roman"/>
          <w:sz w:val="24"/>
          <w:szCs w:val="24"/>
        </w:rPr>
        <w:t>si jonkin kunnan asukkaat. Jos F</w:t>
      </w:r>
      <w:r>
        <w:rPr>
          <w:rFonts w:ascii="Times New Roman" w:hAnsi="Times New Roman" w:cs="Times New Roman"/>
          <w:sz w:val="24"/>
          <w:szCs w:val="24"/>
        </w:rPr>
        <w:t xml:space="preserve"> ei Goodininkin hyväksymistä syistä voi olla se ryhmä, jolla on käytännössä oikeus osallistua päätöksentekoon, voimmeko päätellä, että vaikutusperiaatteen nojalla päätös pitäisi tehdä ryhmässä G pikemminkin kuin ryhmässä H? Onko G automaattisesti lähempänä F:ää kuin H, koska G on </w:t>
      </w:r>
      <w:r w:rsidRPr="008328AC">
        <w:rPr>
          <w:rFonts w:ascii="Times New Roman" w:hAnsi="Times New Roman" w:cs="Times New Roman"/>
          <w:sz w:val="24"/>
          <w:szCs w:val="24"/>
        </w:rPr>
        <w:t>laajempi</w:t>
      </w:r>
      <w:r>
        <w:rPr>
          <w:rFonts w:ascii="Times New Roman" w:hAnsi="Times New Roman" w:cs="Times New Roman"/>
          <w:sz w:val="24"/>
          <w:szCs w:val="24"/>
        </w:rPr>
        <w:t xml:space="preserve"> kuin H, ja siis sisältää </w:t>
      </w:r>
      <w:r w:rsidRPr="008328AC">
        <w:rPr>
          <w:rFonts w:ascii="Times New Roman" w:hAnsi="Times New Roman" w:cs="Times New Roman"/>
          <w:i/>
          <w:sz w:val="24"/>
          <w:szCs w:val="24"/>
        </w:rPr>
        <w:t>useampia</w:t>
      </w:r>
      <w:r>
        <w:rPr>
          <w:rFonts w:ascii="Times New Roman" w:hAnsi="Times New Roman" w:cs="Times New Roman"/>
          <w:sz w:val="24"/>
          <w:szCs w:val="24"/>
        </w:rPr>
        <w:t xml:space="preserve"> päätösten vaikutuksen kohteena olevia kuin H? Mitä kattavampi päätöksentekijöiden joukko on, sitä todennäköisempää on, että ne, jotka ovat päätösten vaikutuksen piirissä, sisältyvät joukkoon. Goodinin kannasta näyttäisi seuraavan, että vaikutusperiaate tarjoaisi automaattisen argumentin päätöksenteon keskittämisen puolesta kaikenlaisia autonomiavaatimuksia vastaan. </w:t>
      </w:r>
      <w:r w:rsidR="00C30066">
        <w:rPr>
          <w:rFonts w:ascii="Times New Roman" w:hAnsi="Times New Roman" w:cs="Times New Roman"/>
          <w:sz w:val="24"/>
          <w:szCs w:val="24"/>
        </w:rPr>
        <w:t>Valtakunnallinen päätöksentekotaso kattaa aina enemmän kansalaisia kuin paikallinen.</w:t>
      </w:r>
    </w:p>
    <w:p w:rsidR="00D63568" w:rsidRDefault="00D63568" w:rsidP="00477A6A">
      <w:pPr>
        <w:spacing w:line="360" w:lineRule="auto"/>
        <w:jc w:val="both"/>
        <w:rPr>
          <w:rFonts w:ascii="Times New Roman" w:hAnsi="Times New Roman" w:cs="Times New Roman"/>
          <w:sz w:val="24"/>
          <w:szCs w:val="24"/>
        </w:rPr>
      </w:pPr>
      <w:r w:rsidRPr="00F417E0">
        <w:rPr>
          <w:rFonts w:ascii="Times New Roman" w:hAnsi="Times New Roman" w:cs="Times New Roman"/>
          <w:sz w:val="24"/>
          <w:szCs w:val="24"/>
        </w:rPr>
        <w:t>Esimerkki nostaa esille yhden vaikutusperiaatteen aspektin. Periaate sanoo, että kaikkien, joihin päätös va</w:t>
      </w:r>
      <w:r>
        <w:rPr>
          <w:rFonts w:ascii="Times New Roman" w:hAnsi="Times New Roman" w:cs="Times New Roman"/>
          <w:sz w:val="24"/>
          <w:szCs w:val="24"/>
        </w:rPr>
        <w:t>ikuttaa, tulisi voida osallistua. S</w:t>
      </w:r>
      <w:r w:rsidRPr="00F417E0">
        <w:rPr>
          <w:rFonts w:ascii="Times New Roman" w:hAnsi="Times New Roman" w:cs="Times New Roman"/>
          <w:sz w:val="24"/>
          <w:szCs w:val="24"/>
        </w:rPr>
        <w:t>en kääntöpuoli on, että niiden, joiden intresseihin päätö</w:t>
      </w:r>
      <w:r>
        <w:rPr>
          <w:rFonts w:ascii="Times New Roman" w:hAnsi="Times New Roman" w:cs="Times New Roman"/>
          <w:sz w:val="24"/>
          <w:szCs w:val="24"/>
        </w:rPr>
        <w:t>s</w:t>
      </w:r>
      <w:r w:rsidRPr="00F417E0">
        <w:rPr>
          <w:rFonts w:ascii="Times New Roman" w:hAnsi="Times New Roman" w:cs="Times New Roman"/>
          <w:sz w:val="24"/>
          <w:szCs w:val="24"/>
        </w:rPr>
        <w:t xml:space="preserve"> ei v</w:t>
      </w:r>
      <w:r>
        <w:rPr>
          <w:rFonts w:ascii="Times New Roman" w:hAnsi="Times New Roman" w:cs="Times New Roman"/>
          <w:sz w:val="24"/>
          <w:szCs w:val="24"/>
        </w:rPr>
        <w:t>aiku</w:t>
      </w:r>
      <w:r w:rsidRPr="00F417E0">
        <w:rPr>
          <w:rFonts w:ascii="Times New Roman" w:hAnsi="Times New Roman" w:cs="Times New Roman"/>
          <w:sz w:val="24"/>
          <w:szCs w:val="24"/>
        </w:rPr>
        <w:t xml:space="preserve">ta, </w:t>
      </w:r>
      <w:r w:rsidRPr="00473637">
        <w:rPr>
          <w:rFonts w:ascii="Times New Roman" w:hAnsi="Times New Roman" w:cs="Times New Roman"/>
          <w:i/>
          <w:sz w:val="24"/>
          <w:szCs w:val="24"/>
        </w:rPr>
        <w:t>ei</w:t>
      </w:r>
      <w:r w:rsidRPr="00F417E0">
        <w:rPr>
          <w:rFonts w:ascii="Times New Roman" w:hAnsi="Times New Roman" w:cs="Times New Roman"/>
          <w:sz w:val="24"/>
          <w:szCs w:val="24"/>
        </w:rPr>
        <w:t xml:space="preserve"> tulisi saada osallistua.</w:t>
      </w:r>
      <w:r>
        <w:rPr>
          <w:rFonts w:ascii="Times New Roman" w:hAnsi="Times New Roman" w:cs="Times New Roman"/>
          <w:sz w:val="24"/>
          <w:szCs w:val="24"/>
        </w:rPr>
        <w:t xml:space="preserve"> Tämä ei ole itsestään selvää. </w:t>
      </w:r>
      <w:r w:rsidRPr="00F417E0">
        <w:rPr>
          <w:rFonts w:ascii="Times New Roman" w:hAnsi="Times New Roman" w:cs="Times New Roman"/>
          <w:sz w:val="24"/>
          <w:szCs w:val="24"/>
        </w:rPr>
        <w:t xml:space="preserve"> </w:t>
      </w:r>
      <w:r>
        <w:rPr>
          <w:rFonts w:ascii="Times New Roman" w:hAnsi="Times New Roman" w:cs="Times New Roman"/>
          <w:sz w:val="24"/>
          <w:szCs w:val="24"/>
        </w:rPr>
        <w:t xml:space="preserve">Asia selvenee, kun katsotaan vaikutusperiaatteen takana olevia perusteluja. Sofia Näsström (2011, 23) esittää, että periaate ”saa normatiivisen voimansa modernista itsehallinnon käsitteestä. (…) Keskeinen ajatus on, että </w:t>
      </w:r>
      <w:r>
        <w:rPr>
          <w:rFonts w:ascii="Times New Roman" w:hAnsi="Times New Roman" w:cs="Times New Roman"/>
          <w:sz w:val="24"/>
          <w:szCs w:val="24"/>
        </w:rPr>
        <w:lastRenderedPageBreak/>
        <w:t>voimien, jotka ovat ihmisten oman kontrollin ulottumattomissa, ei pitäisi hallita heitä.” Tätä ajatusta vasten on helpompi nähdä, että vaikutusten ulkopuolelle jäävien pois sulkeminen on periaatteen johdonmukainen seuraus siinä missä vaikutusten kohteiden mukaan ottaminenkin.</w:t>
      </w:r>
      <w:r>
        <w:rPr>
          <w:rStyle w:val="EndnoteReference"/>
          <w:rFonts w:ascii="Times New Roman" w:hAnsi="Times New Roman" w:cs="Times New Roman"/>
          <w:sz w:val="24"/>
          <w:szCs w:val="24"/>
        </w:rPr>
        <w:endnoteReference w:id="12"/>
      </w:r>
      <w:r>
        <w:rPr>
          <w:rFonts w:ascii="Times New Roman" w:hAnsi="Times New Roman" w:cs="Times New Roman"/>
          <w:sz w:val="24"/>
          <w:szCs w:val="24"/>
        </w:rPr>
        <w:t xml:space="preserve"> Oletetaan esimerkiksi, että suppeammassa ryhmässä H on tuhat ihmistä jotka kaikki ovat päätöksen vaikutuksen kohteena. Heille tulee siis myöntää oikeus osallistua sen tekemiseen. Samaan aikaan ryhmä G:n miljoonalle jäsenelle, joiden intresseihin päätös ei merkittävällä tavalla vaikuta, myönnetään niin ikään oikeus osallistua. On helppo nähdä, että mikäli vaikutusperiaate kytketään Näsströmin tapaan itsehallintoon, kuvattu järjestely ei ole sopusoinnussa sen kanssa. Vaikka ryhmä H:n jäsenet saavat osallistua päätöksen tekemiseen, he eivät todellisuudessa ole oman kohtalonsa herroja. Päätöksenteossa he ovat ryhmä G:n armoilla. Edellä esitetyn vaikutusperiaatteen muotoilun ilmaus ”jos ja vain jos” on siis perusteltu.</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Goodin itse väittää, että liian sallivat vaikutusperiaatteen sovellutukset eivät muodosta ongelmaa. Hänen argumenttinsa on seuraava. Oletetaan, että ihmisten äänestyspäätöksiin vaikuttavat vain heidän (merkittävät) intressinsä. Tällöin esimerkkitapauksessa ryhmä G:n jäsenet joko äänestävät sattumanvaraisesti tai jäätävät äänestämättä. Jos esimerkiksi jotakin päätöstä tehtäessä on vain kaksi päätösvaihtoehtoa, ryhmä G:n jäsenistä noin puolet äänestää (sikäli kuin äänestää) yhtä vaihtoehtoa ja toinen puoli toista vaihtoehtoa. Nämä äänet mitätöivät toisensa, ja ne joilla todella on asiassa jotakin pelissä, ryhmä H:n jäsenet, ratkaisevat lopputuloksen. Goodinin mukaan ”poliittisen lopputuloksen kannalta ei siis ole väliä, jos annamme äänioikeudet ihmisille joiden intresseihin päätöksellä ei ole vaikutusta. Ainoa seikka josta meidän on kannettava huolta, on se, että sisällytämme mukaan ne, joiden intresseihin sillä on vaikutusta” (Goodin 2007, 58-59). Jos Goodin olisi oikeassa, demokraattisissa valtioissa kaikki separatistiset tai autonomiaan tai desentralisaatioon tähtäävät vaatimukset olisivat vailla perusteita. Tämä tietysti tekisi läheisyysmitan muotoilun helpoksi. Pääsääntöisesti olisi </w:t>
      </w:r>
      <w:r w:rsidRPr="00390761">
        <w:rPr>
          <w:rFonts w:ascii="Times New Roman" w:hAnsi="Times New Roman" w:cs="Times New Roman"/>
          <w:i/>
          <w:sz w:val="24"/>
          <w:szCs w:val="24"/>
        </w:rPr>
        <w:t>aina</w:t>
      </w:r>
      <w:r>
        <w:rPr>
          <w:rFonts w:ascii="Times New Roman" w:hAnsi="Times New Roman" w:cs="Times New Roman"/>
          <w:sz w:val="24"/>
          <w:szCs w:val="24"/>
        </w:rPr>
        <w:t xml:space="preserve"> parempi tehdä päätös suuremmassa kuin pienemmässä ryhmässä, jos suurempi ryhmä sisältäisi kaikki tai lähes kaikki pienempään ryhmään kuluvat. Jos Goodin olisi oikeassa, tällä politiikalla ei (vaikutusperiaatteen näkökulmasta) olisi mitään kustannuksia. </w:t>
      </w:r>
      <w:r w:rsidRPr="004C69CE">
        <w:rPr>
          <w:rFonts w:ascii="Times New Roman" w:hAnsi="Times New Roman" w:cs="Times New Roman"/>
          <w:sz w:val="24"/>
          <w:szCs w:val="24"/>
        </w:rPr>
        <w:t xml:space="preserve">Valitettavasti Goodinin ajatus on epärealistinen. </w:t>
      </w:r>
      <w:r>
        <w:rPr>
          <w:rFonts w:ascii="Times New Roman" w:hAnsi="Times New Roman" w:cs="Times New Roman"/>
          <w:sz w:val="24"/>
          <w:szCs w:val="24"/>
        </w:rPr>
        <w:t xml:space="preserve">Ihmiset usein äänestävät </w:t>
      </w:r>
      <w:r w:rsidRPr="004C69CE">
        <w:rPr>
          <w:rFonts w:ascii="Times New Roman" w:hAnsi="Times New Roman" w:cs="Times New Roman"/>
          <w:sz w:val="24"/>
          <w:szCs w:val="24"/>
        </w:rPr>
        <w:t xml:space="preserve">ja osallistuvat </w:t>
      </w:r>
      <w:r>
        <w:rPr>
          <w:rFonts w:ascii="Times New Roman" w:hAnsi="Times New Roman" w:cs="Times New Roman"/>
          <w:sz w:val="24"/>
          <w:szCs w:val="24"/>
        </w:rPr>
        <w:t xml:space="preserve">politiikkaan </w:t>
      </w:r>
      <w:r w:rsidRPr="004C69CE">
        <w:rPr>
          <w:rFonts w:ascii="Times New Roman" w:hAnsi="Times New Roman" w:cs="Times New Roman"/>
          <w:sz w:val="24"/>
          <w:szCs w:val="24"/>
        </w:rPr>
        <w:t>mu</w:t>
      </w:r>
      <w:r>
        <w:rPr>
          <w:rFonts w:ascii="Times New Roman" w:hAnsi="Times New Roman" w:cs="Times New Roman"/>
          <w:sz w:val="24"/>
          <w:szCs w:val="24"/>
        </w:rPr>
        <w:t>ulla tavoin</w:t>
      </w:r>
      <w:r w:rsidRPr="004C69CE">
        <w:rPr>
          <w:rFonts w:ascii="Times New Roman" w:hAnsi="Times New Roman" w:cs="Times New Roman"/>
          <w:sz w:val="24"/>
          <w:szCs w:val="24"/>
        </w:rPr>
        <w:t>, ei</w:t>
      </w:r>
      <w:r>
        <w:rPr>
          <w:rFonts w:ascii="Times New Roman" w:hAnsi="Times New Roman" w:cs="Times New Roman"/>
          <w:sz w:val="24"/>
          <w:szCs w:val="24"/>
        </w:rPr>
        <w:t>vät</w:t>
      </w:r>
      <w:r w:rsidRPr="004C69CE">
        <w:rPr>
          <w:rFonts w:ascii="Times New Roman" w:hAnsi="Times New Roman" w:cs="Times New Roman"/>
          <w:sz w:val="24"/>
          <w:szCs w:val="24"/>
        </w:rPr>
        <w:t xml:space="preserve"> ajaakseen omia rationaalisia intressejään, vaan toteuttaakseen ideologioi</w:t>
      </w:r>
      <w:r>
        <w:rPr>
          <w:rFonts w:ascii="Times New Roman" w:hAnsi="Times New Roman" w:cs="Times New Roman"/>
          <w:sz w:val="24"/>
          <w:szCs w:val="24"/>
        </w:rPr>
        <w:t>taan, moraalisia näkemyksiään</w:t>
      </w:r>
      <w:r w:rsidRPr="004C69CE">
        <w:rPr>
          <w:rFonts w:ascii="Times New Roman" w:hAnsi="Times New Roman" w:cs="Times New Roman"/>
          <w:sz w:val="24"/>
          <w:szCs w:val="24"/>
        </w:rPr>
        <w:t xml:space="preserve"> </w:t>
      </w:r>
      <w:r>
        <w:rPr>
          <w:rFonts w:ascii="Times New Roman" w:hAnsi="Times New Roman" w:cs="Times New Roman"/>
          <w:sz w:val="24"/>
          <w:szCs w:val="24"/>
        </w:rPr>
        <w:t>ja syvään juurtuneita ennakkolu</w:t>
      </w:r>
      <w:r w:rsidRPr="004C69CE">
        <w:rPr>
          <w:rFonts w:ascii="Times New Roman" w:hAnsi="Times New Roman" w:cs="Times New Roman"/>
          <w:sz w:val="24"/>
          <w:szCs w:val="24"/>
        </w:rPr>
        <w:t>u</w:t>
      </w:r>
      <w:r>
        <w:rPr>
          <w:rFonts w:ascii="Times New Roman" w:hAnsi="Times New Roman" w:cs="Times New Roman"/>
          <w:sz w:val="24"/>
          <w:szCs w:val="24"/>
        </w:rPr>
        <w:t>l</w:t>
      </w:r>
      <w:r w:rsidRPr="004C69CE">
        <w:rPr>
          <w:rFonts w:ascii="Times New Roman" w:hAnsi="Times New Roman" w:cs="Times New Roman"/>
          <w:sz w:val="24"/>
          <w:szCs w:val="24"/>
        </w:rPr>
        <w:t xml:space="preserve">ojaan </w:t>
      </w:r>
      <w:r>
        <w:rPr>
          <w:rFonts w:ascii="Times New Roman" w:hAnsi="Times New Roman" w:cs="Times New Roman"/>
          <w:sz w:val="24"/>
          <w:szCs w:val="24"/>
        </w:rPr>
        <w:t xml:space="preserve">tai harhakäsityksiään.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Näillä perustein Beckman (2014) esittää, että </w:t>
      </w:r>
      <w:r w:rsidRPr="00390761">
        <w:rPr>
          <w:rFonts w:ascii="Times New Roman" w:hAnsi="Times New Roman" w:cs="Times New Roman"/>
          <w:i/>
          <w:sz w:val="24"/>
          <w:szCs w:val="24"/>
        </w:rPr>
        <w:t>oikeus sulkea pois</w:t>
      </w:r>
      <w:r>
        <w:rPr>
          <w:rFonts w:ascii="Times New Roman" w:hAnsi="Times New Roman" w:cs="Times New Roman"/>
          <w:sz w:val="24"/>
          <w:szCs w:val="24"/>
        </w:rPr>
        <w:t xml:space="preserve"> on itsehallinnon toteutumisen kannalta yhtä olennainen kuin oikeus tulla otetuksi mukaan. Tällä johtopäätöksellä on merkittäviä se</w:t>
      </w:r>
      <w:bookmarkStart w:id="0" w:name="_GoBack"/>
      <w:bookmarkEnd w:id="0"/>
      <w:r>
        <w:rPr>
          <w:rFonts w:ascii="Times New Roman" w:hAnsi="Times New Roman" w:cs="Times New Roman"/>
          <w:sz w:val="24"/>
          <w:szCs w:val="24"/>
        </w:rPr>
        <w:t xml:space="preserve">urauksia. Ei </w:t>
      </w:r>
      <w:r w:rsidRPr="008622E3">
        <w:rPr>
          <w:rFonts w:ascii="Times New Roman" w:hAnsi="Times New Roman" w:cs="Times New Roman"/>
          <w:sz w:val="24"/>
          <w:szCs w:val="24"/>
        </w:rPr>
        <w:t xml:space="preserve">esimerkiksi ole mitenkään itsestään selvää, että kaikki ne, jotka moderneissa </w:t>
      </w:r>
      <w:r w:rsidRPr="008622E3">
        <w:rPr>
          <w:rFonts w:ascii="Times New Roman" w:hAnsi="Times New Roman" w:cs="Times New Roman"/>
          <w:sz w:val="24"/>
          <w:szCs w:val="24"/>
        </w:rPr>
        <w:lastRenderedPageBreak/>
        <w:t>demokratioissa saavat osallistua päätösten tekemiseen, jo</w:t>
      </w:r>
      <w:r>
        <w:rPr>
          <w:rFonts w:ascii="Times New Roman" w:hAnsi="Times New Roman" w:cs="Times New Roman"/>
          <w:sz w:val="24"/>
          <w:szCs w:val="24"/>
        </w:rPr>
        <w:t>ko suoraan tai edustajiensa välityksellä</w:t>
      </w:r>
      <w:r w:rsidRPr="008622E3">
        <w:rPr>
          <w:rFonts w:ascii="Times New Roman" w:hAnsi="Times New Roman" w:cs="Times New Roman"/>
          <w:sz w:val="24"/>
          <w:szCs w:val="24"/>
        </w:rPr>
        <w:t xml:space="preserve">, ovat aina </w:t>
      </w:r>
      <w:r>
        <w:rPr>
          <w:rFonts w:ascii="Times New Roman" w:hAnsi="Times New Roman" w:cs="Times New Roman"/>
          <w:sz w:val="24"/>
          <w:szCs w:val="24"/>
        </w:rPr>
        <w:t>relevantissa mielessä päätösten vaikutuksen kohteina. Modernit demokratiat pyrkivät kyllä systemaattisesti ottamaan huomioon ainakin vaikutusperiaatteen yhden aspektin. Monet päätökset on delegoitu paikalliselle tasolle</w:t>
      </w:r>
      <w:r w:rsidR="002A498D">
        <w:rPr>
          <w:rFonts w:ascii="Times New Roman" w:hAnsi="Times New Roman" w:cs="Times New Roman"/>
          <w:sz w:val="24"/>
          <w:szCs w:val="24"/>
        </w:rPr>
        <w:t>,</w:t>
      </w:r>
      <w:r>
        <w:rPr>
          <w:rFonts w:ascii="Times New Roman" w:hAnsi="Times New Roman" w:cs="Times New Roman"/>
          <w:sz w:val="24"/>
          <w:szCs w:val="24"/>
        </w:rPr>
        <w:t xml:space="preserve"> lähinnä siksi, että niillä oletetaan olevan vaikutusta lähinnä paikallisiin intresseihin. Ei kuitenkaan ole ilmeistä, että spatiaalinen aspekti olisi ainut merkitsevä. Yleisesti, ”demokraattiseen eksklu</w:t>
      </w:r>
      <w:r w:rsidR="004C68A0">
        <w:rPr>
          <w:rFonts w:ascii="Times New Roman" w:hAnsi="Times New Roman" w:cs="Times New Roman"/>
          <w:sz w:val="24"/>
          <w:szCs w:val="24"/>
        </w:rPr>
        <w:t>u</w:t>
      </w:r>
      <w:r>
        <w:rPr>
          <w:rFonts w:ascii="Times New Roman" w:hAnsi="Times New Roman" w:cs="Times New Roman"/>
          <w:sz w:val="24"/>
          <w:szCs w:val="24"/>
        </w:rPr>
        <w:t>sioon” ja sen oikeuttamiseen voi liittyä yhtä tärkeitä normatiivisia kysymyksiä kuin demokraattiseen inkluusioon, vaikka yleensä huolta kannetaan enemmän jälkimmäisestä, tai ainakin jälkimmäisellä on tärkeämpi asema demokraattisessa keskustelussa.</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Jos vaikutusperiaatetta sovellettaessa on mahdollista erehtyä kumpaankin suuntaan ja ulottaa osallistumisoikeudet joko liian laajoihin tai liian suppeisiin ryhmiin, periaatteella on siis ainakin kaksi ulottuvuutta, joita täytyy painottaa suhteessa toisiinsa.  Jollakin taholla täytyy olla valta tehdä konkreettisia sovellutusratkaisuja. Esimerkiksi David Held kommentoi asiaa (alaviitteessä, ikään kuin ohimennen) seuraavasti:</w:t>
      </w:r>
    </w:p>
    <w:p w:rsidR="00D63568" w:rsidRDefault="00D63568" w:rsidP="00F16445">
      <w:pPr>
        <w:spacing w:line="360" w:lineRule="auto"/>
        <w:ind w:left="1304"/>
        <w:jc w:val="both"/>
        <w:rPr>
          <w:rFonts w:ascii="Times New Roman" w:hAnsi="Times New Roman" w:cs="Times New Roman"/>
          <w:sz w:val="24"/>
          <w:szCs w:val="24"/>
        </w:rPr>
      </w:pPr>
      <w:r>
        <w:rPr>
          <w:rFonts w:ascii="Times New Roman" w:hAnsi="Times New Roman" w:cs="Times New Roman"/>
          <w:sz w:val="24"/>
          <w:szCs w:val="24"/>
        </w:rPr>
        <w:t>Periaate, jonka mukaan julkisista asioista päätöksiä tulisi tehdä niiden, joihin ne merkittävästi vaikuttavat (tai heidän edustajiensa), ei tietenkään aina johda siihen, että päätöksentekotasojen rajat olisivat selkeästi vedettävissä (…). Tästä syystä on luotava ”asiakysymyksiin liittyvien rajojen” [</w:t>
      </w:r>
      <w:r w:rsidRPr="005D3A69">
        <w:rPr>
          <w:rFonts w:ascii="Times New Roman" w:hAnsi="Times New Roman" w:cs="Times New Roman"/>
          <w:i/>
          <w:sz w:val="24"/>
          <w:szCs w:val="24"/>
        </w:rPr>
        <w:t>issue-boundary</w:t>
      </w:r>
      <w:r>
        <w:rPr>
          <w:rFonts w:ascii="Times New Roman" w:hAnsi="Times New Roman" w:cs="Times New Roman"/>
          <w:sz w:val="24"/>
          <w:szCs w:val="24"/>
        </w:rPr>
        <w:t>] foorumeita tai oikeusistuimia joiden tehtävä on kuulla tapauksia jotka liittyvät siihen, missä ja miten merkittävät intressit julkisessa kysymyksessä olisi selvitettävä ja ratkaistava. (Held 1995, 237)</w:t>
      </w:r>
    </w:p>
    <w:p w:rsidR="00D63568" w:rsidRDefault="00D63568" w:rsidP="00F1644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Jos nämä päätöksentekotasojen rajoja määrittävät elimet olisivat demokraattisesti valittuja, olisi jotenkin päätettävä kenellä olisi oikeus osallistua </w:t>
      </w:r>
      <w:r w:rsidRPr="005D3A69">
        <w:rPr>
          <w:rFonts w:ascii="Times New Roman" w:hAnsi="Times New Roman" w:cs="Times New Roman"/>
          <w:i/>
          <w:sz w:val="24"/>
          <w:szCs w:val="24"/>
        </w:rPr>
        <w:t>niiden</w:t>
      </w:r>
      <w:r>
        <w:rPr>
          <w:rFonts w:ascii="Times New Roman" w:hAnsi="Times New Roman" w:cs="Times New Roman"/>
          <w:sz w:val="24"/>
          <w:szCs w:val="24"/>
        </w:rPr>
        <w:t xml:space="preserve"> valintaan.</w:t>
      </w:r>
      <w:r w:rsidRPr="005D3A69">
        <w:rPr>
          <w:rFonts w:ascii="Times New Roman" w:hAnsi="Times New Roman" w:cs="Times New Roman"/>
          <w:sz w:val="24"/>
          <w:szCs w:val="24"/>
        </w:rPr>
        <w:t xml:space="preserve"> </w:t>
      </w:r>
      <w:r>
        <w:rPr>
          <w:rFonts w:ascii="Times New Roman" w:hAnsi="Times New Roman" w:cs="Times New Roman"/>
          <w:sz w:val="24"/>
          <w:szCs w:val="24"/>
        </w:rPr>
        <w:t xml:space="preserve">Alussa mainittu demokraattisen itsekonstituution paradoksi näyttää palaavan sisään takaovesta. Tämän välttämiseksi vaikutusperiaatteen soveltamisesta vastaavat ”foorumit tai oikeusistuimet” olisi nimitettävä jollakin muulla tavoin. Päättäessään kenellä on valta osallistua eri päätösten tekemiseen, nämä elimet usein myös ratkaisisivat lopputuloksen. Saward (2000, 42-43) toteaakin kritiikissään, että Heldin ratkaisu väistämättä siirtää valtaa ”ei-demokraattisesti asetetuille viranomaisille joilta edellytetään yli-inhimillistä tietoa ja viisautta”. </w:t>
      </w:r>
    </w:p>
    <w:p w:rsidR="00D63568" w:rsidRPr="005D3A69" w:rsidRDefault="00D63568" w:rsidP="00F16445">
      <w:pPr>
        <w:spacing w:line="360" w:lineRule="auto"/>
        <w:jc w:val="both"/>
        <w:rPr>
          <w:rFonts w:ascii="Times New Roman" w:hAnsi="Times New Roman" w:cs="Times New Roman"/>
          <w:sz w:val="24"/>
          <w:szCs w:val="24"/>
        </w:rPr>
      </w:pPr>
    </w:p>
    <w:p w:rsidR="00D63568" w:rsidRPr="00EA50D7" w:rsidRDefault="00D63568" w:rsidP="00477A6A">
      <w:pPr>
        <w:spacing w:line="360" w:lineRule="auto"/>
        <w:jc w:val="both"/>
        <w:rPr>
          <w:rFonts w:ascii="Times New Roman" w:hAnsi="Times New Roman" w:cs="Times New Roman"/>
          <w:b/>
          <w:sz w:val="24"/>
          <w:szCs w:val="24"/>
        </w:rPr>
      </w:pPr>
      <w:r w:rsidRPr="00EA50D7">
        <w:rPr>
          <w:rFonts w:ascii="Times New Roman" w:hAnsi="Times New Roman" w:cs="Times New Roman"/>
          <w:b/>
          <w:sz w:val="24"/>
          <w:szCs w:val="24"/>
        </w:rPr>
        <w:t>Yhtäläiset oikeudet?</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Vaikutusperiaatteen puolestapuhujat pitävät yleensä itsestään selvänä, että niillä jotka ovat vaikutuksen kohteina, tulisi olla </w:t>
      </w:r>
      <w:r w:rsidRPr="008328AC">
        <w:rPr>
          <w:rFonts w:ascii="Times New Roman" w:hAnsi="Times New Roman" w:cs="Times New Roman"/>
          <w:i/>
          <w:sz w:val="24"/>
          <w:szCs w:val="24"/>
        </w:rPr>
        <w:t>yhtäläiset</w:t>
      </w:r>
      <w:r>
        <w:rPr>
          <w:rFonts w:ascii="Times New Roman" w:hAnsi="Times New Roman" w:cs="Times New Roman"/>
          <w:sz w:val="24"/>
          <w:szCs w:val="24"/>
        </w:rPr>
        <w:t xml:space="preserve"> oikeudet osallistua päätöksentekoon. Tämä usein julki lausumaton olettamus kytkee vaikutusperiaatteen demokratiaan. Demokratian yhtenä määrittelevänä piirteenä on antiikin Ateenasta alkaen pidetty kansalaisten yhtäläisiä vaikutusmahdollisuuksia. Ei ole kuitenkaan mitään ilmiselvää syytä, miksi vaikutuksen kohteena oleminen automaattisesti loisi </w:t>
      </w:r>
      <w:r w:rsidRPr="003422DA">
        <w:rPr>
          <w:rFonts w:ascii="Times New Roman" w:hAnsi="Times New Roman" w:cs="Times New Roman"/>
          <w:sz w:val="24"/>
          <w:szCs w:val="24"/>
        </w:rPr>
        <w:t>yhtäläisiä</w:t>
      </w:r>
      <w:r w:rsidRPr="008328AC">
        <w:rPr>
          <w:rFonts w:ascii="Times New Roman" w:hAnsi="Times New Roman" w:cs="Times New Roman"/>
          <w:sz w:val="24"/>
          <w:szCs w:val="24"/>
        </w:rPr>
        <w:t xml:space="preserve"> </w:t>
      </w:r>
      <w:r>
        <w:rPr>
          <w:rFonts w:ascii="Times New Roman" w:hAnsi="Times New Roman" w:cs="Times New Roman"/>
          <w:sz w:val="24"/>
          <w:szCs w:val="24"/>
        </w:rPr>
        <w:t xml:space="preserve">osallistumisoikeuksia. Vaikka, yllä esitetyn periaatteen versiota noudattaen, otettaisiin huomioon vain ”merkittävät intressit”, ei ole mitenkään ilmeistä että kaikkia merkittäviäkään intressejä tulisi käsitellä keskenään </w:t>
      </w:r>
      <w:r w:rsidRPr="00A61A95">
        <w:rPr>
          <w:rFonts w:ascii="Times New Roman" w:hAnsi="Times New Roman" w:cs="Times New Roman"/>
          <w:i/>
          <w:sz w:val="24"/>
          <w:szCs w:val="24"/>
        </w:rPr>
        <w:t>yhtä merkittävinä</w:t>
      </w:r>
      <w:r>
        <w:rPr>
          <w:rFonts w:ascii="Times New Roman" w:hAnsi="Times New Roman" w:cs="Times New Roman"/>
          <w:sz w:val="24"/>
          <w:szCs w:val="24"/>
        </w:rPr>
        <w:t>.</w:t>
      </w:r>
      <w:r w:rsidRPr="00343073">
        <w:rPr>
          <w:rFonts w:ascii="Times New Roman" w:hAnsi="Times New Roman" w:cs="Times New Roman"/>
          <w:sz w:val="24"/>
          <w:szCs w:val="24"/>
        </w:rPr>
        <w:t xml:space="preserve"> </w:t>
      </w:r>
      <w:r>
        <w:rPr>
          <w:rFonts w:ascii="Times New Roman" w:hAnsi="Times New Roman" w:cs="Times New Roman"/>
          <w:sz w:val="24"/>
          <w:szCs w:val="24"/>
        </w:rPr>
        <w:t>Päätösten vaikutukset intresseihin vaihtelevat kontekstista toiseen: huomattavakin taloudellinen menetys voi jossakin kontekstissa olla vähäpätöinen, jos joillakin toisilla vaikutuksen kohteilla on kysymys hengestä ja terveydestä. David Miller on todennut, että</w:t>
      </w:r>
    </w:p>
    <w:p w:rsidR="00D63568" w:rsidRDefault="00D63568" w:rsidP="00477A6A">
      <w:pPr>
        <w:spacing w:line="360" w:lineRule="auto"/>
        <w:ind w:left="1304"/>
        <w:jc w:val="both"/>
        <w:rPr>
          <w:rFonts w:ascii="Times New Roman" w:hAnsi="Times New Roman" w:cs="Times New Roman"/>
          <w:sz w:val="24"/>
          <w:szCs w:val="24"/>
        </w:rPr>
      </w:pPr>
      <w:r>
        <w:rPr>
          <w:rFonts w:ascii="Times New Roman" w:hAnsi="Times New Roman" w:cs="Times New Roman"/>
          <w:sz w:val="24"/>
          <w:szCs w:val="24"/>
        </w:rPr>
        <w:t>sikäli kuin vaikutusperiaatteen tarkoituksena on heijastaa ajatusta, jonka mukaan ihmisillä pitäisi olla yhtäläiset mahdollisuudet edistää ja suojella intressejään politiikan keinoin, näyttää siltä että sitä sovellettaessa on yritettävä varmistaa, että kunkin henkilön kyvyn vaikuttaa päätöksen tulisi olla suhteessa siihen, miten merkittävästi lopputulos tulee häneen vaikuttamaan. (Miller 2009, 216; vrt. Erman 2014, 537; Schaffer 2012, 326)</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Historiallisesti ajatus vaikutusmahdollisuuksien suhteuttamisesta intressien painavuuteen ei ole mitenkään erikoinen. Toisin kuin usein ajatellaan, poliittisella osallistumisella ja kollektiivisella harkinnalla oli merkittävä rooli jo ennen modernin demokratian läpimurtoa. Ennen demokratian aikakautta ei kuitenkaan ajateltu, että osallistumisoikeuksien pitäisi olla yhtäläisiä. Selvimmin tämä näkyi paikallisessa päätöksenteossa. Ruotsin valtakunnassa (ja myöhemmin myös Suomen suuriruhtinaskunnassa) sovellettiin maksettujen kunnallisverojen tai manttaaliluvun mukaan porrastettua äänioikeutta aina 1900-luvun alkupuolelle saakka. Belgiassa, Saksissa ja vuodesta 1819 myös Englannin paikallisvaaleissa äänioikeutetuilla oli yksi tai useampia ääniä, varallisuudesta ja/tai koulutuksesta riippuen. Preussissa jokaisella oli 1800-luvulla kylläkin vain yksi ääni, mutta äänestäjät oli jaettu vaalipiireihin maksettujen verojen mukaan, ja enemmän veroja maksavien ääni painoi enemmän. Tanskan paikallisvaaleissa eniten veroja maksava viidennes valitsi enemmistön kunnanvaltuustojen jäsenistä, kun taas Ranskassa vuodesta 1831 alkaen kolme neljäsosaa valtuutetuista oli suurimpien veronmaksajien valitsemia. (Mellquist 1974, 30-33.) Nämä epätasa-arvoiset osallistumismenettelyt olivat tietysti luokkavallan välineitä. Silti on kiinnostavaa katsoa myös niiden takana olevia perusteluja. Virallisten per</w:t>
      </w:r>
      <w:r w:rsidR="001B1C33">
        <w:rPr>
          <w:rFonts w:ascii="Times New Roman" w:hAnsi="Times New Roman" w:cs="Times New Roman"/>
          <w:sz w:val="24"/>
          <w:szCs w:val="24"/>
        </w:rPr>
        <w:t xml:space="preserve">ustelujen mukaan </w:t>
      </w:r>
      <w:r>
        <w:rPr>
          <w:rFonts w:ascii="Times New Roman" w:hAnsi="Times New Roman" w:cs="Times New Roman"/>
          <w:sz w:val="24"/>
          <w:szCs w:val="24"/>
        </w:rPr>
        <w:t>päät</w:t>
      </w:r>
      <w:r w:rsidR="001B1C33">
        <w:rPr>
          <w:rFonts w:ascii="Times New Roman" w:hAnsi="Times New Roman" w:cs="Times New Roman"/>
          <w:sz w:val="24"/>
          <w:szCs w:val="24"/>
        </w:rPr>
        <w:t>ökset vaikuttivat enemmän niiden intresseihin</w:t>
      </w:r>
      <w:r>
        <w:rPr>
          <w:rFonts w:ascii="Times New Roman" w:hAnsi="Times New Roman" w:cs="Times New Roman"/>
          <w:sz w:val="24"/>
          <w:szCs w:val="24"/>
        </w:rPr>
        <w:t xml:space="preserve"> </w:t>
      </w:r>
      <w:r w:rsidR="001B1C33">
        <w:rPr>
          <w:rFonts w:ascii="Times New Roman" w:hAnsi="Times New Roman" w:cs="Times New Roman"/>
          <w:sz w:val="24"/>
          <w:szCs w:val="24"/>
        </w:rPr>
        <w:t>jotka maksoivat enemmän veroja tai joilla oli enemmän omaisuutta</w:t>
      </w:r>
      <w:r>
        <w:rPr>
          <w:rFonts w:ascii="Times New Roman" w:hAnsi="Times New Roman" w:cs="Times New Roman"/>
          <w:sz w:val="24"/>
          <w:szCs w:val="24"/>
        </w:rPr>
        <w:t xml:space="preserve">, </w:t>
      </w:r>
      <w:r>
        <w:rPr>
          <w:rFonts w:ascii="Times New Roman" w:hAnsi="Times New Roman" w:cs="Times New Roman"/>
          <w:sz w:val="24"/>
          <w:szCs w:val="24"/>
        </w:rPr>
        <w:lastRenderedPageBreak/>
        <w:t>joten heillä tuli olla myös suurempi sanavalta päätöksiä tehtäessä.</w:t>
      </w:r>
      <w:r w:rsidR="001B1C33">
        <w:rPr>
          <w:rStyle w:val="EndnoteReference"/>
          <w:rFonts w:ascii="Times New Roman" w:hAnsi="Times New Roman" w:cs="Times New Roman"/>
          <w:sz w:val="24"/>
          <w:szCs w:val="24"/>
        </w:rPr>
        <w:endnoteReference w:id="13"/>
      </w:r>
      <w:r>
        <w:rPr>
          <w:rFonts w:ascii="Times New Roman" w:hAnsi="Times New Roman" w:cs="Times New Roman"/>
          <w:sz w:val="24"/>
          <w:szCs w:val="24"/>
        </w:rPr>
        <w:t xml:space="preserve"> Vaikka nykyään ehkä valitsisimme jonkin muun kriteerin kuin omaisuuden tai maksetut verot, käytäntöjen takana olevan ajatus on johdonmukainen ja ainakin ensi näkemältä sopusoinnussa vaikutusperiaatteen kanssa: jos osallistumisoikeus perustellaan ensisijaisesti intresseillä, on luontevaa ajatella, että niillä, joiden intressit ovat painavammat, tulisi olla myös enemmän valtaa suhteessa lopputuloksiin.</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Demokratian nousu ja siihen kytkeytyvä moderni ajatus kansalaisuudesta pyyhkäisi mennessään edellä kuvatut epätasa-arvoiset äänestyskäytännöt. Kuten Colomer (2001) toteaa, 1900-luvulta ei juuri ole esimerkkejä siitä, että äänioikeutta olisi merkittävästi supistettu muuten kuin vallankaappauksissa tai vallankumouksissa. Äänioikeuden riistäminen laajoilta ryhmiltä on aina edellyttänyt väkivaltaista katkosta perustuslaillisessa järjestyksessä. Tämä koskee jopa äänioikeuden vähiten poliittista aspektia, äänioikeusikärajaa. Sitä ei juuri koskaan ole</w:t>
      </w:r>
      <w:r w:rsidRPr="00C07FA8">
        <w:rPr>
          <w:rFonts w:ascii="Times New Roman" w:hAnsi="Times New Roman" w:cs="Times New Roman"/>
          <w:sz w:val="24"/>
          <w:szCs w:val="24"/>
        </w:rPr>
        <w:t xml:space="preserve"> </w:t>
      </w:r>
      <w:r>
        <w:rPr>
          <w:rFonts w:ascii="Times New Roman" w:hAnsi="Times New Roman" w:cs="Times New Roman"/>
          <w:sz w:val="24"/>
          <w:szCs w:val="24"/>
        </w:rPr>
        <w:t>nostettu demokraattisella päätöksellä. Äänioikeudesta on modernissa valtiossa tullut perustava kansalaisoikeus joka on suljettu kaiken poliittisen kaupankäynnin ja yhteiskunnallisen insinööritoiminnan ulkopuolelle.</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Silti monet teoreetikot ovat esittäneet, että järjestelmä joka perustuu yhtäläiselle äänioikeudelle ja enemmistöperiaatteelle on epäoikeudenmukainen koska se kohtelee erilaisia intressejä samalla tavoin. G. D. H. Cole, radikaali kiltasosialisti, kirjoitti vuonna 1920:</w:t>
      </w:r>
    </w:p>
    <w:p w:rsidR="00D63568" w:rsidRDefault="00D63568" w:rsidP="00477A6A">
      <w:pPr>
        <w:spacing w:line="360" w:lineRule="auto"/>
        <w:ind w:left="1304"/>
        <w:jc w:val="both"/>
        <w:rPr>
          <w:rFonts w:ascii="Times New Roman" w:hAnsi="Times New Roman" w:cs="Times New Roman"/>
          <w:sz w:val="24"/>
          <w:szCs w:val="24"/>
        </w:rPr>
      </w:pPr>
      <w:r>
        <w:rPr>
          <w:rFonts w:ascii="Times New Roman" w:hAnsi="Times New Roman" w:cs="Times New Roman"/>
          <w:sz w:val="24"/>
          <w:szCs w:val="24"/>
        </w:rPr>
        <w:t>se, että tulee lasketuksi kerran, merkitsee, ettei tule erityisesti otetuksi huomioon missään asiassa: se, mitä ihmiset haluavat on, että heidät otettaisiin huomioon niissä asioissa joista he ovat kiinnostuneita.  Sen sijaan että sanomme ”Mies ja ääni” meidän tulisi sanoa: ”Jokaisella yhtä monta ääntä kuin on intressejä, mutta ääniä vain suhteessa intresseihin”.    (Cole 1920/1989, 89-90)</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Myöhemmin, esimerkiksi Peter Jones (1983) ja Harry Brighouse &amp; Marc Fleurbaey (2010) ovat esittäneet päätöksentekojärjestelmiä jotka olisivat sensitiivisiä äänestäjien erilaisille intresseille. Nämä ehdotukset, aivan kuten Colen ”funktionaalinen” demokratiakin, edellyttävät, että (1) päätettävät asiat, (2) vaikutuksen kohteena olevat intressit ja (3) vaikutuksen luonne tiedetään etukäteen, ja lisäksi vallitsee jonkinlainen konsensus siitä, (4) mikä on oikeudenmukainen tapa punnita vastakkaisia intressejä. Kaikki nämä seikat vaikuttavat siihen, miten ja keiden myötävaikutuksella päätökset tehdään, ja mikä paino kullakin osallistujalla tulee missäkin asiassa olemaan. Tällöin Heldin ehdotukseen yllä kohdistettu kritiikki tuntuu yhä relevantimmalta. Jos asioista (1)-(4) syntyy kiistaa, kuka tekee </w:t>
      </w:r>
      <w:r w:rsidRPr="00E3320D">
        <w:rPr>
          <w:rFonts w:ascii="Times New Roman" w:hAnsi="Times New Roman" w:cs="Times New Roman"/>
          <w:i/>
          <w:sz w:val="24"/>
          <w:szCs w:val="24"/>
        </w:rPr>
        <w:t>niitä</w:t>
      </w:r>
      <w:r>
        <w:rPr>
          <w:rFonts w:ascii="Times New Roman" w:hAnsi="Times New Roman" w:cs="Times New Roman"/>
          <w:sz w:val="24"/>
          <w:szCs w:val="24"/>
        </w:rPr>
        <w:t xml:space="preserve"> koskevat ratkaisut? Colen, Jonesin ja Brighousen &amp; Fleurbaeyn ehdotukset itse asiassa edellyttävät, että </w:t>
      </w:r>
      <w:r w:rsidRPr="00FC6613">
        <w:rPr>
          <w:rFonts w:ascii="Times New Roman" w:hAnsi="Times New Roman" w:cs="Times New Roman"/>
          <w:sz w:val="24"/>
          <w:szCs w:val="24"/>
        </w:rPr>
        <w:t xml:space="preserve">politiikan tärkeimmät kiistakysymykset on jo </w:t>
      </w:r>
      <w:r w:rsidRPr="00FC6613">
        <w:rPr>
          <w:rFonts w:ascii="Times New Roman" w:hAnsi="Times New Roman" w:cs="Times New Roman"/>
          <w:sz w:val="24"/>
          <w:szCs w:val="24"/>
        </w:rPr>
        <w:lastRenderedPageBreak/>
        <w:t>ratkaistu</w:t>
      </w:r>
      <w:r>
        <w:rPr>
          <w:rFonts w:ascii="Times New Roman" w:hAnsi="Times New Roman" w:cs="Times New Roman"/>
          <w:sz w:val="24"/>
          <w:szCs w:val="24"/>
        </w:rPr>
        <w:t>, sillä</w:t>
      </w:r>
      <w:r w:rsidRPr="00FC6613">
        <w:rPr>
          <w:rFonts w:ascii="Times New Roman" w:hAnsi="Times New Roman" w:cs="Times New Roman"/>
          <w:sz w:val="24"/>
          <w:szCs w:val="24"/>
        </w:rPr>
        <w:t xml:space="preserve"> </w:t>
      </w:r>
      <w:r>
        <w:rPr>
          <w:rFonts w:ascii="Times New Roman" w:hAnsi="Times New Roman" w:cs="Times New Roman"/>
          <w:sz w:val="24"/>
          <w:szCs w:val="24"/>
        </w:rPr>
        <w:t xml:space="preserve">politiikassa usein kiistellään juuri kysymyksistä (1)-(4).  Kuten Jeremy Waldron (1999, 117) huomauttaa, ”mekaaninen” enemmistöperiaate, joka edellyttää äänestäjien tasa-arvoa, on laajalti hyväksytty tapa ratkaista kiistoja siksi, että jokainen monimutkaisempi ja vähemmän mekaaninen periaate edellyttää vastausta juuri niihin kysymyksiin joista kiistellään.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Johtopäätökseksi tulee, että vaikutusperiaate ei yksinään edellytä, että osallistumisoikeudet olisivat yhtäläisiä. Intressien huomioon ottamisen vaatimus antaa itse asiassa tukea sille ajatukselle, että niiden tulisikin olla erilaisia. Demokratia kuitenkin </w:t>
      </w:r>
      <w:r w:rsidRPr="00FC6613">
        <w:rPr>
          <w:rFonts w:ascii="Times New Roman" w:hAnsi="Times New Roman" w:cs="Times New Roman"/>
          <w:i/>
          <w:sz w:val="24"/>
          <w:szCs w:val="24"/>
        </w:rPr>
        <w:t>käsitteellisesti</w:t>
      </w:r>
      <w:r>
        <w:rPr>
          <w:rFonts w:ascii="Times New Roman" w:hAnsi="Times New Roman" w:cs="Times New Roman"/>
          <w:sz w:val="24"/>
          <w:szCs w:val="24"/>
        </w:rPr>
        <w:t xml:space="preserve"> edellyttää yhtäläisiä osallistumisoikeuksia. Yhteys demokratian ja vaikutusperiaatteen välillä on siis löyhempi kuin usein ajatellaan. Tämä yhteys voidaan rakentaa vain nojautumalla muihin normatiivisiin premisseihin vaikutusperiaatteen ohella.</w:t>
      </w:r>
    </w:p>
    <w:p w:rsidR="00D63568" w:rsidRDefault="00D63568" w:rsidP="00477A6A">
      <w:pPr>
        <w:spacing w:line="360" w:lineRule="auto"/>
        <w:jc w:val="both"/>
        <w:rPr>
          <w:rFonts w:ascii="Times New Roman" w:hAnsi="Times New Roman" w:cs="Times New Roman"/>
          <w:sz w:val="24"/>
          <w:szCs w:val="24"/>
        </w:rPr>
      </w:pPr>
    </w:p>
    <w:p w:rsidR="00D63568" w:rsidRPr="00EA50D7" w:rsidRDefault="00D63568" w:rsidP="00477A6A">
      <w:pPr>
        <w:spacing w:line="360" w:lineRule="auto"/>
        <w:jc w:val="both"/>
        <w:rPr>
          <w:rFonts w:ascii="Times New Roman" w:hAnsi="Times New Roman" w:cs="Times New Roman"/>
          <w:b/>
          <w:sz w:val="24"/>
          <w:szCs w:val="24"/>
        </w:rPr>
      </w:pPr>
      <w:r w:rsidRPr="00EA50D7">
        <w:rPr>
          <w:rFonts w:ascii="Times New Roman" w:hAnsi="Times New Roman" w:cs="Times New Roman"/>
          <w:b/>
          <w:sz w:val="24"/>
          <w:szCs w:val="24"/>
        </w:rPr>
        <w:t>Vaikutusperiaatteen rajat</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Kuten alussa todettiin, vaikutusperiaatteen oletettu keskeinen rooli liittyy poliittisten päätöksentekoyksikköjen rajojen vetämiseen ja osallistumisoikeuksien myöntämiseen. Argumentti on seuraava. Jos olemassa olevat valtioiden rajat otetaan annettuina, jätetään samalla huomiotta tärkeitä moraalisia ja poliittisia kysymyksiä. Toisaalta kysymystä päätöksentekoyksikköjen rajoista ei voida ratkaista demokraattisesti, koska se johtaisi alussa mainittuun kehään. Johtopäätös on, että tarvitaan olemassa olevista instituutioista riippumaton kiintopiste, josta käsin esimerkiksi päätöksentekoyksikköjen rajoja voitaisiin arvioida. Vaikutusperiaatteen oletetaan tarjoavan tämän kiintopisteen. Päätöksentekoyksikköjen välisiä rajoja vedettäessä ja osallistumisoikeuksia myönnettäessä on siis vastattava hypoteettiseen kysymykseen: </w:t>
      </w:r>
      <w:r w:rsidRPr="004618B1">
        <w:rPr>
          <w:rFonts w:ascii="Times New Roman" w:hAnsi="Times New Roman" w:cs="Times New Roman"/>
          <w:i/>
          <w:sz w:val="24"/>
          <w:szCs w:val="24"/>
        </w:rPr>
        <w:t>jos</w:t>
      </w:r>
      <w:r>
        <w:rPr>
          <w:rFonts w:ascii="Times New Roman" w:hAnsi="Times New Roman" w:cs="Times New Roman"/>
          <w:sz w:val="24"/>
          <w:szCs w:val="24"/>
        </w:rPr>
        <w:t xml:space="preserve"> tehtäisiin tietynlainen päätös, keiden intresseihin se vaikuttaisi, ja miten instituutiot voisivat parhaiten ottaa tämän huomioon?  </w:t>
      </w:r>
    </w:p>
    <w:p w:rsidR="00D63568" w:rsidRDefault="00D63568"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selvää, että ainakin joidenkin päätösten kohdalla tämä hypoteettinen kysymys on täysin mielekäs. Saastuttavan teollisuuslaitoksen sijoittaminen on paradigmaattinen esimerkki. Jos teollisuuslaitoksesta koituu todellista haittaa tai todellisia riskejä, ei se seikka, että saasteista kärsivät asuvat etupäässä kunnanrajan tai valtakunnanrajan toisella puolella, ole moraalisesti relevantti. Samalla on selvää, että monien päätösten kohdalla hypoteettinen kysymys </w:t>
      </w:r>
      <w:r w:rsidRPr="00EA3BCD">
        <w:rPr>
          <w:rFonts w:ascii="Times New Roman" w:hAnsi="Times New Roman" w:cs="Times New Roman"/>
          <w:i/>
          <w:sz w:val="24"/>
          <w:szCs w:val="24"/>
        </w:rPr>
        <w:t>ei</w:t>
      </w:r>
      <w:r>
        <w:rPr>
          <w:rFonts w:ascii="Times New Roman" w:hAnsi="Times New Roman" w:cs="Times New Roman"/>
          <w:sz w:val="24"/>
          <w:szCs w:val="24"/>
        </w:rPr>
        <w:t xml:space="preserve"> tarjoa kiintopistettä josta käsin rajat voitaisiin vetää. Näin siksi, että poliittiset instituutiot, mukaan lukien ja erityisesti valtiolliset instituutiot rajoineen </w:t>
      </w:r>
      <w:r w:rsidRPr="00FC6613">
        <w:rPr>
          <w:rFonts w:ascii="Times New Roman" w:hAnsi="Times New Roman" w:cs="Times New Roman"/>
          <w:i/>
          <w:sz w:val="24"/>
          <w:szCs w:val="24"/>
        </w:rPr>
        <w:t>itse muokkaavat ihmisten intressejä suoraan tai epäsuorasti</w:t>
      </w:r>
      <w:r>
        <w:rPr>
          <w:rFonts w:ascii="Times New Roman" w:hAnsi="Times New Roman" w:cs="Times New Roman"/>
          <w:sz w:val="24"/>
          <w:szCs w:val="24"/>
        </w:rPr>
        <w:t xml:space="preserve">. Valtioiden välistä kauppaa koskevat säädökset ja sopimukset ovat hyvä esimerkki tästä. Vakuuttavuudestaan huolimatta esimerkki saastuttavasta teollisuuslaitoksesta esittää vain yhden sinänsä tärkeän erikoistapauksen. Monissa muissa tapauksissa on mahdoton sanoa, mitä </w:t>
      </w:r>
      <w:r>
        <w:rPr>
          <w:rFonts w:ascii="Times New Roman" w:hAnsi="Times New Roman" w:cs="Times New Roman"/>
          <w:sz w:val="24"/>
          <w:szCs w:val="24"/>
        </w:rPr>
        <w:lastRenderedPageBreak/>
        <w:t xml:space="preserve">intressejä ihmisillä </w:t>
      </w:r>
      <w:r w:rsidRPr="001A2BA0">
        <w:rPr>
          <w:rFonts w:ascii="Times New Roman" w:hAnsi="Times New Roman" w:cs="Times New Roman"/>
          <w:i/>
          <w:sz w:val="24"/>
          <w:szCs w:val="24"/>
        </w:rPr>
        <w:t>saattaisi</w:t>
      </w:r>
      <w:r>
        <w:rPr>
          <w:rFonts w:ascii="Times New Roman" w:hAnsi="Times New Roman" w:cs="Times New Roman"/>
          <w:sz w:val="24"/>
          <w:szCs w:val="24"/>
        </w:rPr>
        <w:t xml:space="preserve"> olla </w:t>
      </w:r>
      <w:r w:rsidRPr="004618B1">
        <w:rPr>
          <w:rFonts w:ascii="Times New Roman" w:hAnsi="Times New Roman" w:cs="Times New Roman"/>
          <w:sz w:val="24"/>
          <w:szCs w:val="24"/>
        </w:rPr>
        <w:t>riippumatta</w:t>
      </w:r>
      <w:r>
        <w:rPr>
          <w:rFonts w:ascii="Times New Roman" w:hAnsi="Times New Roman" w:cs="Times New Roman"/>
          <w:sz w:val="24"/>
          <w:szCs w:val="24"/>
        </w:rPr>
        <w:t xml:space="preserve"> kaikista institutionaalisista järjestelyistä, rajat mukaan lukien. Jos rajoista ja toimivallasta päätettäessä lähtökohdaksi otetaan ne intressit jotka ihmisillä nykyisten institutionaalisten järjestelyjen vallitessa sattuu olemaan, päädytään samantyyppiseen kehään kuin yrityksessä päättää rajoista ja toimivallasta demokraattisessa äänestyksessä. Rajoja, toimivaltuuksia ja äänioikeuksien jakoa koskevat ratkaisut osaltaan vaikuttavat ihmisten intresseihin. Kun otetaan huomioon edellä tarkasteltu demokraattisen poissulkemisen ongelma, asia tulee vielä ilmeisemmäksi.</w:t>
      </w:r>
      <w:r w:rsidRPr="00534173">
        <w:rPr>
          <w:rFonts w:ascii="Times New Roman" w:hAnsi="Times New Roman" w:cs="Times New Roman"/>
          <w:sz w:val="24"/>
          <w:szCs w:val="24"/>
        </w:rPr>
        <w:t xml:space="preserve"> </w:t>
      </w:r>
      <w:r>
        <w:rPr>
          <w:rFonts w:ascii="Times New Roman" w:hAnsi="Times New Roman" w:cs="Times New Roman"/>
          <w:sz w:val="24"/>
          <w:szCs w:val="24"/>
        </w:rPr>
        <w:t>Esimerkiksi jonkin kansallisen vähemmistöryhmän itsehallinnosta ei ole mielekästä puhua, ellei ryhmällä ole mitään kontrollia siihen, ketkä saavat osallistua itsehallintovallan käyttöön. Mutta tällöin on jo oltava jonkinlainen ymmärrys siitä, ketkä kuuluvat ryhmään.</w:t>
      </w:r>
      <w:r w:rsidRPr="00534173">
        <w:rPr>
          <w:rFonts w:ascii="Times New Roman" w:hAnsi="Times New Roman" w:cs="Times New Roman"/>
          <w:sz w:val="24"/>
          <w:szCs w:val="24"/>
        </w:rPr>
        <w:t xml:space="preserve"> </w:t>
      </w:r>
      <w:r>
        <w:rPr>
          <w:rStyle w:val="EndnoteReference"/>
          <w:rFonts w:ascii="Times New Roman" w:hAnsi="Times New Roman" w:cs="Times New Roman"/>
          <w:sz w:val="24"/>
          <w:szCs w:val="24"/>
        </w:rPr>
        <w:endnoteReference w:id="14"/>
      </w:r>
    </w:p>
    <w:p w:rsidR="00B60C77" w:rsidRDefault="00745039" w:rsidP="00B60C7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Aikaisemmin jo todettiin, että ei ole mitenkään itsestään selvää että esimerkiksi Suomen</w:t>
      </w:r>
      <w:r w:rsidR="00EA3BCD">
        <w:rPr>
          <w:rFonts w:ascii="Times New Roman" w:hAnsi="Times New Roman" w:cs="Times New Roman"/>
          <w:sz w:val="24"/>
          <w:szCs w:val="24"/>
        </w:rPr>
        <w:t xml:space="preserve"> </w:t>
      </w:r>
      <w:r>
        <w:rPr>
          <w:rFonts w:ascii="Times New Roman" w:hAnsi="Times New Roman" w:cs="Times New Roman"/>
          <w:sz w:val="24"/>
          <w:szCs w:val="24"/>
        </w:rPr>
        <w:t>eduskunnassa tehdyt päätökset vaikuttaisivat kaikkiin Suomen kansalaisiin</w:t>
      </w:r>
      <w:r w:rsidR="00253387">
        <w:rPr>
          <w:rFonts w:ascii="Times New Roman" w:hAnsi="Times New Roman" w:cs="Times New Roman"/>
          <w:sz w:val="24"/>
          <w:szCs w:val="24"/>
        </w:rPr>
        <w:t xml:space="preserve"> sanan</w:t>
      </w:r>
      <w:r>
        <w:rPr>
          <w:rFonts w:ascii="Times New Roman" w:hAnsi="Times New Roman" w:cs="Times New Roman"/>
          <w:sz w:val="24"/>
          <w:szCs w:val="24"/>
        </w:rPr>
        <w:t xml:space="preserve"> </w:t>
      </w:r>
      <w:r w:rsidRPr="0092333E">
        <w:rPr>
          <w:rFonts w:ascii="Times New Roman" w:hAnsi="Times New Roman" w:cs="Times New Roman"/>
          <w:sz w:val="24"/>
          <w:szCs w:val="24"/>
        </w:rPr>
        <w:t xml:space="preserve">kausaalisessa </w:t>
      </w:r>
      <w:r>
        <w:rPr>
          <w:rFonts w:ascii="Times New Roman" w:hAnsi="Times New Roman" w:cs="Times New Roman"/>
          <w:sz w:val="24"/>
          <w:szCs w:val="24"/>
        </w:rPr>
        <w:t>mielessä – saatikka että tuo vaikutus olisi yhtäläinen. Hallittujen osallistumisperiaatteen tarkastelussa todettiin</w:t>
      </w:r>
      <w:r w:rsidR="00923CEB">
        <w:rPr>
          <w:rFonts w:ascii="Times New Roman" w:hAnsi="Times New Roman" w:cs="Times New Roman"/>
          <w:sz w:val="24"/>
          <w:szCs w:val="24"/>
        </w:rPr>
        <w:t xml:space="preserve"> toisaalta</w:t>
      </w:r>
      <w:r>
        <w:rPr>
          <w:rFonts w:ascii="Times New Roman" w:hAnsi="Times New Roman" w:cs="Times New Roman"/>
          <w:sz w:val="24"/>
          <w:szCs w:val="24"/>
        </w:rPr>
        <w:t xml:space="preserve">, että </w:t>
      </w:r>
      <w:r w:rsidRPr="000C4312">
        <w:rPr>
          <w:rFonts w:ascii="Times New Roman" w:hAnsi="Times New Roman" w:cs="Times New Roman"/>
          <w:sz w:val="24"/>
          <w:szCs w:val="24"/>
        </w:rPr>
        <w:t>eräässä mielessä</w:t>
      </w:r>
      <w:r>
        <w:rPr>
          <w:rFonts w:ascii="Times New Roman" w:hAnsi="Times New Roman" w:cs="Times New Roman"/>
          <w:sz w:val="24"/>
          <w:szCs w:val="24"/>
        </w:rPr>
        <w:t xml:space="preserve"> </w:t>
      </w:r>
      <w:r w:rsidR="00253387">
        <w:rPr>
          <w:rFonts w:ascii="Times New Roman" w:hAnsi="Times New Roman" w:cs="Times New Roman"/>
          <w:sz w:val="24"/>
          <w:szCs w:val="24"/>
        </w:rPr>
        <w:t xml:space="preserve">esimerkiksi </w:t>
      </w:r>
      <w:r>
        <w:rPr>
          <w:rFonts w:ascii="Times New Roman" w:hAnsi="Times New Roman" w:cs="Times New Roman"/>
          <w:sz w:val="24"/>
          <w:szCs w:val="24"/>
        </w:rPr>
        <w:t>kaikki Eduskunnan päätökset</w:t>
      </w:r>
      <w:r w:rsidR="003C4FA5">
        <w:rPr>
          <w:rFonts w:ascii="Times New Roman" w:hAnsi="Times New Roman" w:cs="Times New Roman"/>
          <w:sz w:val="24"/>
          <w:szCs w:val="24"/>
        </w:rPr>
        <w:t xml:space="preserve"> </w:t>
      </w:r>
      <w:r>
        <w:rPr>
          <w:rFonts w:ascii="Times New Roman" w:hAnsi="Times New Roman" w:cs="Times New Roman"/>
          <w:sz w:val="24"/>
          <w:szCs w:val="24"/>
        </w:rPr>
        <w:t xml:space="preserve">kyllä vaikuttavat kaikkiin kansalaisiin. Vaikka esimerkiksi vähemmistöjen kohteluun liittyvät päätökset eivät liity minun intresseihin suoraan, jos en itse kulu noihin vähemmistöihin, ne koskettavat intressiäni </w:t>
      </w:r>
      <w:r w:rsidRPr="00DA51EE">
        <w:rPr>
          <w:rFonts w:ascii="Times New Roman" w:hAnsi="Times New Roman" w:cs="Times New Roman"/>
          <w:i/>
          <w:sz w:val="24"/>
          <w:szCs w:val="24"/>
        </w:rPr>
        <w:t>kansalaisena</w:t>
      </w:r>
      <w:r>
        <w:rPr>
          <w:rFonts w:ascii="Times New Roman" w:hAnsi="Times New Roman" w:cs="Times New Roman"/>
          <w:sz w:val="24"/>
          <w:szCs w:val="24"/>
        </w:rPr>
        <w:t xml:space="preserve">, määrätyn demokraattisen yhteisön jäsenenä. </w:t>
      </w:r>
      <w:r w:rsidR="00503495">
        <w:rPr>
          <w:rFonts w:ascii="Times New Roman" w:hAnsi="Times New Roman" w:cs="Times New Roman"/>
          <w:sz w:val="24"/>
          <w:szCs w:val="24"/>
        </w:rPr>
        <w:t>Tällaisen</w:t>
      </w:r>
      <w:r w:rsidR="00D501CA">
        <w:rPr>
          <w:rFonts w:ascii="Times New Roman" w:hAnsi="Times New Roman" w:cs="Times New Roman"/>
          <w:sz w:val="24"/>
          <w:szCs w:val="24"/>
        </w:rPr>
        <w:t xml:space="preserve"> </w:t>
      </w:r>
      <w:r w:rsidR="00253387">
        <w:rPr>
          <w:rFonts w:ascii="Times New Roman" w:hAnsi="Times New Roman" w:cs="Times New Roman"/>
          <w:sz w:val="24"/>
          <w:szCs w:val="24"/>
        </w:rPr>
        <w:t>”</w:t>
      </w:r>
      <w:r w:rsidR="00D501CA">
        <w:rPr>
          <w:rFonts w:ascii="Times New Roman" w:hAnsi="Times New Roman" w:cs="Times New Roman"/>
          <w:sz w:val="24"/>
          <w:szCs w:val="24"/>
        </w:rPr>
        <w:t>vaikutuksen</w:t>
      </w:r>
      <w:r w:rsidR="00253387">
        <w:rPr>
          <w:rFonts w:ascii="Times New Roman" w:hAnsi="Times New Roman" w:cs="Times New Roman"/>
          <w:sz w:val="24"/>
          <w:szCs w:val="24"/>
        </w:rPr>
        <w:t>”</w:t>
      </w:r>
      <w:r w:rsidR="00D501CA">
        <w:rPr>
          <w:rFonts w:ascii="Times New Roman" w:hAnsi="Times New Roman" w:cs="Times New Roman"/>
          <w:sz w:val="24"/>
          <w:szCs w:val="24"/>
        </w:rPr>
        <w:t xml:space="preserve"> kohteena oleminen ei ole kausaalinen vaan normatiivinen seikka.</w:t>
      </w:r>
      <w:r w:rsidR="00E57E31">
        <w:rPr>
          <w:rStyle w:val="EndnoteReference"/>
          <w:rFonts w:ascii="Times New Roman" w:hAnsi="Times New Roman" w:cs="Times New Roman"/>
          <w:sz w:val="24"/>
          <w:szCs w:val="24"/>
        </w:rPr>
        <w:endnoteReference w:id="15"/>
      </w:r>
      <w:r w:rsidR="00D501CA">
        <w:rPr>
          <w:rFonts w:ascii="Times New Roman" w:hAnsi="Times New Roman" w:cs="Times New Roman"/>
          <w:sz w:val="24"/>
          <w:szCs w:val="24"/>
        </w:rPr>
        <w:t xml:space="preserve"> </w:t>
      </w:r>
      <w:r w:rsidR="00752CC1">
        <w:rPr>
          <w:rFonts w:ascii="Times New Roman" w:hAnsi="Times New Roman" w:cs="Times New Roman"/>
          <w:sz w:val="24"/>
          <w:szCs w:val="24"/>
        </w:rPr>
        <w:t xml:space="preserve">Jos samansisältöisiä päätöksiä tehdään jossakin muussa maassa, asia voi ilahduttaa, kiinnostaa, suututtaa tai huolestuttaa minua, mutta se ei kosketa minua samalla tavoin kuin Suomen eduskunnan päätökset. Eduskunnan päätökset vaikuttavat yhtäläisesti meihin kaikkiin, koska niiden kohteena on </w:t>
      </w:r>
      <w:r w:rsidR="00752CC1" w:rsidRPr="004752AA">
        <w:rPr>
          <w:rFonts w:ascii="Times New Roman" w:hAnsi="Times New Roman" w:cs="Times New Roman"/>
          <w:i/>
          <w:sz w:val="24"/>
          <w:szCs w:val="24"/>
        </w:rPr>
        <w:t>res publica</w:t>
      </w:r>
      <w:r w:rsidR="00752CC1">
        <w:rPr>
          <w:rFonts w:ascii="Times New Roman" w:hAnsi="Times New Roman" w:cs="Times New Roman"/>
          <w:sz w:val="24"/>
          <w:szCs w:val="24"/>
        </w:rPr>
        <w:t xml:space="preserve">, julkiset asiat, ja ne tehdään meidän kaikkien nimissä. </w:t>
      </w:r>
      <w:r w:rsidR="00C76BBD">
        <w:rPr>
          <w:rFonts w:ascii="Times New Roman" w:hAnsi="Times New Roman" w:cs="Times New Roman"/>
          <w:sz w:val="24"/>
          <w:szCs w:val="24"/>
        </w:rPr>
        <w:t xml:space="preserve">Kansalaisuuden ajatus </w:t>
      </w:r>
      <w:r w:rsidR="00D33D83">
        <w:rPr>
          <w:rFonts w:ascii="Times New Roman" w:hAnsi="Times New Roman" w:cs="Times New Roman"/>
          <w:sz w:val="24"/>
          <w:szCs w:val="24"/>
        </w:rPr>
        <w:t>perustelee luontevasti sen, että tiettyjen ratkaisujen suhteen kaikilla päätösten kohteilla, nimittäin kaikil</w:t>
      </w:r>
      <w:r w:rsidR="00987A83">
        <w:rPr>
          <w:rFonts w:ascii="Times New Roman" w:hAnsi="Times New Roman" w:cs="Times New Roman"/>
          <w:sz w:val="24"/>
          <w:szCs w:val="24"/>
        </w:rPr>
        <w:t>la Suomen valtion kansalaisilla</w:t>
      </w:r>
      <w:r w:rsidR="00253387">
        <w:rPr>
          <w:rFonts w:ascii="Times New Roman" w:hAnsi="Times New Roman" w:cs="Times New Roman"/>
          <w:sz w:val="24"/>
          <w:szCs w:val="24"/>
        </w:rPr>
        <w:t xml:space="preserve"> ja vain heillä,</w:t>
      </w:r>
      <w:r w:rsidR="00D33D83">
        <w:rPr>
          <w:rFonts w:ascii="Times New Roman" w:hAnsi="Times New Roman" w:cs="Times New Roman"/>
          <w:sz w:val="24"/>
          <w:szCs w:val="24"/>
        </w:rPr>
        <w:t xml:space="preserve"> tulee olla yhtäläiset vaikutusmahdollisuudet, vaikka päätösten</w:t>
      </w:r>
      <w:r w:rsidR="00D616F9">
        <w:rPr>
          <w:rFonts w:ascii="Times New Roman" w:hAnsi="Times New Roman" w:cs="Times New Roman"/>
          <w:sz w:val="24"/>
          <w:szCs w:val="24"/>
        </w:rPr>
        <w:t xml:space="preserve"> kausaaliset</w:t>
      </w:r>
      <w:r w:rsidR="00D33D83">
        <w:rPr>
          <w:rFonts w:ascii="Times New Roman" w:hAnsi="Times New Roman" w:cs="Times New Roman"/>
          <w:sz w:val="24"/>
          <w:szCs w:val="24"/>
        </w:rPr>
        <w:t xml:space="preserve"> vaikutukset vaihtelisivatkin.</w:t>
      </w:r>
      <w:r w:rsidR="005F6C3D">
        <w:rPr>
          <w:rFonts w:ascii="Times New Roman" w:hAnsi="Times New Roman" w:cs="Times New Roman"/>
          <w:sz w:val="24"/>
          <w:szCs w:val="24"/>
        </w:rPr>
        <w:t xml:space="preserve"> </w:t>
      </w:r>
      <w:r w:rsidR="00D501CA">
        <w:rPr>
          <w:rFonts w:ascii="Times New Roman" w:hAnsi="Times New Roman" w:cs="Times New Roman"/>
          <w:sz w:val="24"/>
          <w:szCs w:val="24"/>
        </w:rPr>
        <w:t xml:space="preserve">Esimerkiksi Yhdysvaltain hallituksen tekemillä päätöksillä voi olla merkittävämpi kausaalinen vaikutus elämääni kuin </w:t>
      </w:r>
      <w:r w:rsidR="00EA3BCD">
        <w:rPr>
          <w:rFonts w:ascii="Times New Roman" w:hAnsi="Times New Roman" w:cs="Times New Roman"/>
          <w:sz w:val="24"/>
          <w:szCs w:val="24"/>
        </w:rPr>
        <w:t>Suomen e</w:t>
      </w:r>
      <w:r w:rsidR="00752CC1">
        <w:rPr>
          <w:rFonts w:ascii="Times New Roman" w:hAnsi="Times New Roman" w:cs="Times New Roman"/>
          <w:sz w:val="24"/>
          <w:szCs w:val="24"/>
        </w:rPr>
        <w:t>duskunnan päätöksillä. Jos edellä esitetty vaikutusperiaatteen kritiikki hyväksytään, tästä huomiosta</w:t>
      </w:r>
      <w:r w:rsidR="00D501CA">
        <w:rPr>
          <w:rFonts w:ascii="Times New Roman" w:hAnsi="Times New Roman" w:cs="Times New Roman"/>
          <w:sz w:val="24"/>
          <w:szCs w:val="24"/>
        </w:rPr>
        <w:t xml:space="preserve"> ei seuraa, että minulla tulisi olla oike</w:t>
      </w:r>
      <w:r w:rsidR="00752CC1">
        <w:rPr>
          <w:rFonts w:ascii="Times New Roman" w:hAnsi="Times New Roman" w:cs="Times New Roman"/>
          <w:sz w:val="24"/>
          <w:szCs w:val="24"/>
        </w:rPr>
        <w:t>us osallistua niiden tekemiseen. S</w:t>
      </w:r>
      <w:r w:rsidR="00D501CA">
        <w:rPr>
          <w:rFonts w:ascii="Times New Roman" w:hAnsi="Times New Roman" w:cs="Times New Roman"/>
          <w:sz w:val="24"/>
          <w:szCs w:val="24"/>
        </w:rPr>
        <w:t>iitä voi seurata, että Yhdysvaltojen hallituksella on jonkinasteinen moraalinen velvollisuus otta</w:t>
      </w:r>
      <w:r w:rsidR="00DA2C45">
        <w:rPr>
          <w:rFonts w:ascii="Times New Roman" w:hAnsi="Times New Roman" w:cs="Times New Roman"/>
          <w:sz w:val="24"/>
          <w:szCs w:val="24"/>
        </w:rPr>
        <w:t>a</w:t>
      </w:r>
      <w:r w:rsidR="00D501CA">
        <w:rPr>
          <w:rFonts w:ascii="Times New Roman" w:hAnsi="Times New Roman" w:cs="Times New Roman"/>
          <w:sz w:val="24"/>
          <w:szCs w:val="24"/>
        </w:rPr>
        <w:t xml:space="preserve"> huomioon myös muiden maiden kansalaisten edut – minun etuni mukaan lukien.</w:t>
      </w:r>
    </w:p>
    <w:p w:rsidR="00923CEB" w:rsidRDefault="00D501CA" w:rsidP="00643196">
      <w:pPr>
        <w:spacing w:line="360" w:lineRule="auto"/>
        <w:jc w:val="both"/>
        <w:rPr>
          <w:rFonts w:ascii="Times New Roman" w:hAnsi="Times New Roman" w:cs="Times New Roman"/>
          <w:sz w:val="24"/>
          <w:szCs w:val="24"/>
        </w:rPr>
      </w:pPr>
      <w:r w:rsidRPr="00B60C77">
        <w:rPr>
          <w:rFonts w:ascii="Times New Roman" w:hAnsi="Times New Roman" w:cs="Times New Roman"/>
          <w:sz w:val="24"/>
          <w:szCs w:val="24"/>
        </w:rPr>
        <w:t>Kiinnostavaa kyllä, vaikutusperiaatteesta ei yleensä johdeta yleisiä ja yhtäläisiä osallistu</w:t>
      </w:r>
      <w:r w:rsidR="00051BCE" w:rsidRPr="00B60C77">
        <w:rPr>
          <w:rFonts w:ascii="Times New Roman" w:hAnsi="Times New Roman" w:cs="Times New Roman"/>
          <w:sz w:val="24"/>
          <w:szCs w:val="24"/>
        </w:rPr>
        <w:t>misoikeuksia muissa kuin varsinaisissa</w:t>
      </w:r>
      <w:r w:rsidRPr="00B60C77">
        <w:rPr>
          <w:rFonts w:ascii="Times New Roman" w:hAnsi="Times New Roman" w:cs="Times New Roman"/>
          <w:sz w:val="24"/>
          <w:szCs w:val="24"/>
        </w:rPr>
        <w:t xml:space="preserve"> </w:t>
      </w:r>
      <w:r w:rsidR="004752AA" w:rsidRPr="00B60C77">
        <w:rPr>
          <w:rFonts w:ascii="Times New Roman" w:hAnsi="Times New Roman" w:cs="Times New Roman"/>
          <w:sz w:val="24"/>
          <w:szCs w:val="24"/>
        </w:rPr>
        <w:t>poliittisissa</w:t>
      </w:r>
      <w:r w:rsidRPr="00B60C77">
        <w:rPr>
          <w:rFonts w:ascii="Times New Roman" w:hAnsi="Times New Roman" w:cs="Times New Roman"/>
          <w:sz w:val="24"/>
          <w:szCs w:val="24"/>
        </w:rPr>
        <w:t xml:space="preserve"> konteksteissa. Yksityiset yritykset, tiedotusvälineet, oppilaitokset, byrokratiat, armeijat, sairaalat, kansainväliset järjestöt jne. tekevä</w:t>
      </w:r>
      <w:r w:rsidR="00ED0ADC" w:rsidRPr="00B60C77">
        <w:rPr>
          <w:rFonts w:ascii="Times New Roman" w:hAnsi="Times New Roman" w:cs="Times New Roman"/>
          <w:sz w:val="24"/>
          <w:szCs w:val="24"/>
        </w:rPr>
        <w:t xml:space="preserve">t </w:t>
      </w:r>
      <w:r w:rsidR="00ED0ADC" w:rsidRPr="00B60C77">
        <w:rPr>
          <w:rFonts w:ascii="Times New Roman" w:hAnsi="Times New Roman" w:cs="Times New Roman"/>
          <w:sz w:val="24"/>
          <w:szCs w:val="24"/>
        </w:rPr>
        <w:lastRenderedPageBreak/>
        <w:t xml:space="preserve">jatkuvasti päätöksiä joilla on </w:t>
      </w:r>
      <w:r w:rsidRPr="00B60C77">
        <w:rPr>
          <w:rFonts w:ascii="Times New Roman" w:hAnsi="Times New Roman" w:cs="Times New Roman"/>
          <w:sz w:val="24"/>
          <w:szCs w:val="24"/>
        </w:rPr>
        <w:t>huomattava vaikutus niiden ihmisten intresseihin jotka elävät niiden vaikutuspiirissä tai työskentelevät niissä.</w:t>
      </w:r>
      <w:r w:rsidR="00AA7D59" w:rsidRPr="00B60C77">
        <w:rPr>
          <w:rFonts w:ascii="Times New Roman" w:hAnsi="Times New Roman" w:cs="Times New Roman"/>
          <w:sz w:val="24"/>
          <w:szCs w:val="24"/>
        </w:rPr>
        <w:t xml:space="preserve"> Use</w:t>
      </w:r>
      <w:r w:rsidR="005F6C3D" w:rsidRPr="00B60C77">
        <w:rPr>
          <w:rFonts w:ascii="Times New Roman" w:hAnsi="Times New Roman" w:cs="Times New Roman"/>
          <w:sz w:val="24"/>
          <w:szCs w:val="24"/>
        </w:rPr>
        <w:t>in vaikutuksen kohteena oleville ihmisille</w:t>
      </w:r>
      <w:r w:rsidR="00AA7D59" w:rsidRPr="00B60C77">
        <w:rPr>
          <w:rFonts w:ascii="Times New Roman" w:hAnsi="Times New Roman" w:cs="Times New Roman"/>
          <w:sz w:val="24"/>
          <w:szCs w:val="24"/>
        </w:rPr>
        <w:t xml:space="preserve"> </w:t>
      </w:r>
      <w:r w:rsidR="00AA7D59" w:rsidRPr="00B60C77">
        <w:rPr>
          <w:rFonts w:ascii="Times New Roman" w:hAnsi="Times New Roman" w:cs="Times New Roman"/>
          <w:i/>
          <w:sz w:val="24"/>
          <w:szCs w:val="24"/>
        </w:rPr>
        <w:t>on</w:t>
      </w:r>
      <w:r w:rsidR="00AA7D59" w:rsidRPr="00B60C77">
        <w:rPr>
          <w:rFonts w:ascii="Times New Roman" w:hAnsi="Times New Roman" w:cs="Times New Roman"/>
          <w:sz w:val="24"/>
          <w:szCs w:val="24"/>
        </w:rPr>
        <w:t xml:space="preserve"> </w:t>
      </w:r>
      <w:r w:rsidR="005F6C3D" w:rsidRPr="00B60C77">
        <w:rPr>
          <w:rFonts w:ascii="Times New Roman" w:hAnsi="Times New Roman" w:cs="Times New Roman"/>
          <w:sz w:val="24"/>
          <w:szCs w:val="24"/>
        </w:rPr>
        <w:t xml:space="preserve">taattu </w:t>
      </w:r>
      <w:r w:rsidR="00AA7D59" w:rsidRPr="00B60C77">
        <w:rPr>
          <w:rFonts w:ascii="Times New Roman" w:hAnsi="Times New Roman" w:cs="Times New Roman"/>
          <w:sz w:val="24"/>
          <w:szCs w:val="24"/>
        </w:rPr>
        <w:t xml:space="preserve">erilaisia </w:t>
      </w:r>
      <w:r w:rsidR="00ED0ADC" w:rsidRPr="00B60C77">
        <w:rPr>
          <w:rFonts w:ascii="Times New Roman" w:hAnsi="Times New Roman" w:cs="Times New Roman"/>
          <w:sz w:val="24"/>
          <w:szCs w:val="24"/>
        </w:rPr>
        <w:t xml:space="preserve">institutionalisoituja </w:t>
      </w:r>
      <w:r w:rsidR="00AA7D59" w:rsidRPr="00B60C77">
        <w:rPr>
          <w:rFonts w:ascii="Times New Roman" w:hAnsi="Times New Roman" w:cs="Times New Roman"/>
          <w:sz w:val="24"/>
          <w:szCs w:val="24"/>
        </w:rPr>
        <w:t xml:space="preserve">tapoja esittää </w:t>
      </w:r>
      <w:r w:rsidR="004752AA" w:rsidRPr="00B60C77">
        <w:rPr>
          <w:rFonts w:ascii="Times New Roman" w:hAnsi="Times New Roman" w:cs="Times New Roman"/>
          <w:sz w:val="24"/>
          <w:szCs w:val="24"/>
        </w:rPr>
        <w:t>mielipiteensä</w:t>
      </w:r>
      <w:r w:rsidR="00AA7D59" w:rsidRPr="00B60C77">
        <w:rPr>
          <w:rFonts w:ascii="Times New Roman" w:hAnsi="Times New Roman" w:cs="Times New Roman"/>
          <w:sz w:val="24"/>
          <w:szCs w:val="24"/>
        </w:rPr>
        <w:t xml:space="preserve"> tai saada äänensä kuuluville. Näitä käytäntöjä on mahdollista perustella vaikutusperia</w:t>
      </w:r>
      <w:r w:rsidR="004752AA" w:rsidRPr="00B60C77">
        <w:rPr>
          <w:rFonts w:ascii="Times New Roman" w:hAnsi="Times New Roman" w:cs="Times New Roman"/>
          <w:sz w:val="24"/>
          <w:szCs w:val="24"/>
        </w:rPr>
        <w:t>a</w:t>
      </w:r>
      <w:r w:rsidR="00AA7D59" w:rsidRPr="00B60C77">
        <w:rPr>
          <w:rFonts w:ascii="Times New Roman" w:hAnsi="Times New Roman" w:cs="Times New Roman"/>
          <w:sz w:val="24"/>
          <w:szCs w:val="24"/>
        </w:rPr>
        <w:t>tteella, tai jollakin sitä läheisesti mui</w:t>
      </w:r>
      <w:r w:rsidR="004752AA" w:rsidRPr="00B60C77">
        <w:rPr>
          <w:rFonts w:ascii="Times New Roman" w:hAnsi="Times New Roman" w:cs="Times New Roman"/>
          <w:sz w:val="24"/>
          <w:szCs w:val="24"/>
        </w:rPr>
        <w:t>stuttavalla periaatteella</w:t>
      </w:r>
      <w:r w:rsidR="00AA7D59" w:rsidRPr="00B60C77">
        <w:rPr>
          <w:rFonts w:ascii="Times New Roman" w:hAnsi="Times New Roman" w:cs="Times New Roman"/>
          <w:sz w:val="24"/>
          <w:szCs w:val="24"/>
        </w:rPr>
        <w:t xml:space="preserve">. On luontevaa ajatella, että vaikutuksen kohteena oleminen yleisesti antaa ihmisille oikeuden tulla </w:t>
      </w:r>
      <w:r w:rsidR="00253387" w:rsidRPr="00B60C77">
        <w:rPr>
          <w:rFonts w:ascii="Times New Roman" w:hAnsi="Times New Roman" w:cs="Times New Roman"/>
          <w:sz w:val="24"/>
          <w:szCs w:val="24"/>
        </w:rPr>
        <w:t xml:space="preserve">jollakin tavoin </w:t>
      </w:r>
      <w:r w:rsidR="00AA7D59" w:rsidRPr="00B60C77">
        <w:rPr>
          <w:rFonts w:ascii="Times New Roman" w:hAnsi="Times New Roman" w:cs="Times New Roman"/>
          <w:sz w:val="24"/>
          <w:szCs w:val="24"/>
        </w:rPr>
        <w:t xml:space="preserve">huomioon otetuiksi päätöksiä tehtäessä, ja sen myötä myös </w:t>
      </w:r>
      <w:r w:rsidR="00AA7D59" w:rsidRPr="00B60C77">
        <w:rPr>
          <w:rFonts w:ascii="Times New Roman" w:hAnsi="Times New Roman" w:cs="Times New Roman"/>
          <w:i/>
          <w:sz w:val="24"/>
          <w:szCs w:val="24"/>
        </w:rPr>
        <w:t>oikeuden tulla kuulluksi</w:t>
      </w:r>
      <w:r w:rsidR="00AA7D59" w:rsidRPr="00B60C77">
        <w:rPr>
          <w:rFonts w:ascii="Times New Roman" w:hAnsi="Times New Roman" w:cs="Times New Roman"/>
          <w:sz w:val="24"/>
          <w:szCs w:val="24"/>
        </w:rPr>
        <w:t xml:space="preserve">. Ihmisillä voi olla oikeus tulla informoiduiksi ja konsultoiduiksi, heillä voi olla oikeus puolustaa itseään, </w:t>
      </w:r>
      <w:r w:rsidR="0058107F">
        <w:rPr>
          <w:rFonts w:ascii="Times New Roman" w:hAnsi="Times New Roman" w:cs="Times New Roman"/>
          <w:sz w:val="24"/>
          <w:szCs w:val="24"/>
        </w:rPr>
        <w:t xml:space="preserve">julkaista vastine, </w:t>
      </w:r>
      <w:r w:rsidR="00AA7D59" w:rsidRPr="00B60C77">
        <w:rPr>
          <w:rFonts w:ascii="Times New Roman" w:hAnsi="Times New Roman" w:cs="Times New Roman"/>
          <w:sz w:val="24"/>
          <w:szCs w:val="24"/>
        </w:rPr>
        <w:t xml:space="preserve">esittää kritiikkiä, tehdä valitus tai esittää vetoomus, joissakin tapauksissa myös oikeus vaatia päätöksen uutta käsittelyä tai sen erillistä arviointia. Oikeus tulla kuulluksi </w:t>
      </w:r>
      <w:r w:rsidR="004752AA" w:rsidRPr="00B60C77">
        <w:rPr>
          <w:rFonts w:ascii="Times New Roman" w:hAnsi="Times New Roman" w:cs="Times New Roman"/>
          <w:sz w:val="24"/>
          <w:szCs w:val="24"/>
        </w:rPr>
        <w:t>voi saada eril</w:t>
      </w:r>
      <w:r w:rsidR="00AA7D59" w:rsidRPr="00B60C77">
        <w:rPr>
          <w:rFonts w:ascii="Times New Roman" w:hAnsi="Times New Roman" w:cs="Times New Roman"/>
          <w:sz w:val="24"/>
          <w:szCs w:val="24"/>
        </w:rPr>
        <w:t xml:space="preserve">aisia institutionaalisia </w:t>
      </w:r>
      <w:r w:rsidR="00ED0ADC" w:rsidRPr="00B60C77">
        <w:rPr>
          <w:rFonts w:ascii="Times New Roman" w:hAnsi="Times New Roman" w:cs="Times New Roman"/>
          <w:sz w:val="24"/>
          <w:szCs w:val="24"/>
        </w:rPr>
        <w:t>muotoja kontekstista riippuen. Kuitenkin, v</w:t>
      </w:r>
      <w:r w:rsidR="00AA7D59" w:rsidRPr="00B60C77">
        <w:rPr>
          <w:rFonts w:ascii="Times New Roman" w:hAnsi="Times New Roman" w:cs="Times New Roman"/>
          <w:sz w:val="24"/>
          <w:szCs w:val="24"/>
        </w:rPr>
        <w:t>ain määrätyissä konteksteissa se voi toimi</w:t>
      </w:r>
      <w:r w:rsidR="004752AA" w:rsidRPr="00B60C77">
        <w:rPr>
          <w:rFonts w:ascii="Times New Roman" w:hAnsi="Times New Roman" w:cs="Times New Roman"/>
          <w:sz w:val="24"/>
          <w:szCs w:val="24"/>
        </w:rPr>
        <w:t>a (yhtenä mahdollisena) peruste</w:t>
      </w:r>
      <w:r w:rsidR="00253387" w:rsidRPr="00B60C77">
        <w:rPr>
          <w:rFonts w:ascii="Times New Roman" w:hAnsi="Times New Roman" w:cs="Times New Roman"/>
          <w:sz w:val="24"/>
          <w:szCs w:val="24"/>
        </w:rPr>
        <w:t>ena sille</w:t>
      </w:r>
      <w:r w:rsidR="00AA7D59" w:rsidRPr="00B60C77">
        <w:rPr>
          <w:rFonts w:ascii="Times New Roman" w:hAnsi="Times New Roman" w:cs="Times New Roman"/>
          <w:sz w:val="24"/>
          <w:szCs w:val="24"/>
        </w:rPr>
        <w:t xml:space="preserve">, että vaikutuksen kohteille on myönnettävä </w:t>
      </w:r>
      <w:r w:rsidR="00AA7D59" w:rsidRPr="00B60C77">
        <w:rPr>
          <w:rFonts w:ascii="Times New Roman" w:hAnsi="Times New Roman" w:cs="Times New Roman"/>
          <w:i/>
          <w:sz w:val="24"/>
          <w:szCs w:val="24"/>
        </w:rPr>
        <w:t>tasa-a</w:t>
      </w:r>
      <w:r w:rsidR="004752AA" w:rsidRPr="00B60C77">
        <w:rPr>
          <w:rFonts w:ascii="Times New Roman" w:hAnsi="Times New Roman" w:cs="Times New Roman"/>
          <w:i/>
          <w:sz w:val="24"/>
          <w:szCs w:val="24"/>
        </w:rPr>
        <w:t>rvoiset osallistumisoikeudet</w:t>
      </w:r>
      <w:r w:rsidR="004752AA" w:rsidRPr="00B60C77">
        <w:rPr>
          <w:rFonts w:ascii="Times New Roman" w:hAnsi="Times New Roman" w:cs="Times New Roman"/>
          <w:sz w:val="24"/>
          <w:szCs w:val="24"/>
        </w:rPr>
        <w:t xml:space="preserve"> pä</w:t>
      </w:r>
      <w:r w:rsidR="00AA7D59" w:rsidRPr="00B60C77">
        <w:rPr>
          <w:rFonts w:ascii="Times New Roman" w:hAnsi="Times New Roman" w:cs="Times New Roman"/>
          <w:sz w:val="24"/>
          <w:szCs w:val="24"/>
        </w:rPr>
        <w:t xml:space="preserve">ätöksen tekemiseen. </w:t>
      </w:r>
      <w:r w:rsidR="00B60C77" w:rsidRPr="00B60C77">
        <w:rPr>
          <w:rFonts w:ascii="Times New Roman" w:hAnsi="Times New Roman" w:cs="Times New Roman"/>
          <w:sz w:val="24"/>
          <w:szCs w:val="24"/>
        </w:rPr>
        <w:t>On tietenkin mahdollista argumentoida, että oikeudet tulla kuulluksi – esimerkiksi oikeus tehdä valitus tai jättää kanne, oikeus osallistua konsultaatioihin tai saada oma edustajansa mukaan neuvotteluihin – ovat myös demokraattisia osallistumisoikeuksia.</w:t>
      </w:r>
      <w:r w:rsidR="00B60C77">
        <w:rPr>
          <w:rFonts w:ascii="Times New Roman" w:hAnsi="Times New Roman" w:cs="Times New Roman"/>
          <w:sz w:val="24"/>
          <w:szCs w:val="24"/>
        </w:rPr>
        <w:t xml:space="preserve"> Ne täydentävät varsinaisia poliittisia oikeuksia, ja joissakin tilanteissa ne voivat olla tärkeämpiä. </w:t>
      </w:r>
      <w:r w:rsidR="0058107F">
        <w:rPr>
          <w:rFonts w:ascii="Times New Roman" w:hAnsi="Times New Roman" w:cs="Times New Roman"/>
          <w:sz w:val="24"/>
          <w:szCs w:val="24"/>
        </w:rPr>
        <w:t>Näin ajatellen o</w:t>
      </w:r>
      <w:r w:rsidR="006536E2">
        <w:rPr>
          <w:rFonts w:ascii="Times New Roman" w:hAnsi="Times New Roman" w:cs="Times New Roman"/>
          <w:sz w:val="24"/>
          <w:szCs w:val="24"/>
        </w:rPr>
        <w:t xml:space="preserve">ikeudet tulla kuulluksi sijoittuvat Locken luovuttamattomien yksilön oikeuksien ja Rousseaun demokraattisten oikeuksien väliin. Yksilö, jolla on oikeus tulla kuulluksi, ei ole käsitellyn asian suhteen sen enempää </w:t>
      </w:r>
      <w:r w:rsidR="00943926">
        <w:rPr>
          <w:rFonts w:ascii="Times New Roman" w:hAnsi="Times New Roman" w:cs="Times New Roman"/>
          <w:sz w:val="24"/>
          <w:szCs w:val="24"/>
        </w:rPr>
        <w:t xml:space="preserve">J.S. Millin </w:t>
      </w:r>
      <w:r w:rsidR="006536E2">
        <w:rPr>
          <w:rFonts w:ascii="Times New Roman" w:hAnsi="Times New Roman" w:cs="Times New Roman"/>
          <w:sz w:val="24"/>
          <w:szCs w:val="24"/>
        </w:rPr>
        <w:t>”pieni suvereeni”</w:t>
      </w:r>
      <w:r w:rsidR="00943926">
        <w:rPr>
          <w:rFonts w:ascii="Times New Roman" w:hAnsi="Times New Roman" w:cs="Times New Roman"/>
          <w:sz w:val="24"/>
          <w:szCs w:val="24"/>
        </w:rPr>
        <w:t xml:space="preserve"> eli riippumaton yksilö</w:t>
      </w:r>
      <w:r w:rsidR="006536E2">
        <w:rPr>
          <w:rFonts w:ascii="Times New Roman" w:hAnsi="Times New Roman" w:cs="Times New Roman"/>
          <w:sz w:val="24"/>
          <w:szCs w:val="24"/>
        </w:rPr>
        <w:t xml:space="preserve"> kuin osa </w:t>
      </w:r>
      <w:r w:rsidR="00943926">
        <w:rPr>
          <w:rFonts w:ascii="Times New Roman" w:hAnsi="Times New Roman" w:cs="Times New Roman"/>
          <w:sz w:val="24"/>
          <w:szCs w:val="24"/>
        </w:rPr>
        <w:t xml:space="preserve">Rousseaun </w:t>
      </w:r>
      <w:r w:rsidR="006536E2">
        <w:rPr>
          <w:rFonts w:ascii="Times New Roman" w:hAnsi="Times New Roman" w:cs="Times New Roman"/>
          <w:sz w:val="24"/>
          <w:szCs w:val="24"/>
        </w:rPr>
        <w:t>su</w:t>
      </w:r>
      <w:r w:rsidR="006C0AE1">
        <w:rPr>
          <w:rFonts w:ascii="Times New Roman" w:hAnsi="Times New Roman" w:cs="Times New Roman"/>
          <w:sz w:val="24"/>
          <w:szCs w:val="24"/>
        </w:rPr>
        <w:t>u</w:t>
      </w:r>
      <w:r w:rsidR="006536E2">
        <w:rPr>
          <w:rFonts w:ascii="Times New Roman" w:hAnsi="Times New Roman" w:cs="Times New Roman"/>
          <w:sz w:val="24"/>
          <w:szCs w:val="24"/>
        </w:rPr>
        <w:t xml:space="preserve">rta suvereenia.   </w:t>
      </w:r>
      <w:r w:rsidR="00050580">
        <w:rPr>
          <w:rFonts w:ascii="Times New Roman" w:hAnsi="Times New Roman" w:cs="Times New Roman"/>
          <w:sz w:val="24"/>
          <w:szCs w:val="24"/>
        </w:rPr>
        <w:t xml:space="preserve">Tämän tyyppisten oikeuksien merkitystä demokratialle korostaa esimerkiksi </w:t>
      </w:r>
      <w:r w:rsidR="00B60C77">
        <w:rPr>
          <w:rFonts w:ascii="Times New Roman" w:hAnsi="Times New Roman" w:cs="Times New Roman"/>
          <w:sz w:val="24"/>
          <w:szCs w:val="24"/>
        </w:rPr>
        <w:t xml:space="preserve">Pierre </w:t>
      </w:r>
      <w:r w:rsidR="00643196">
        <w:rPr>
          <w:rFonts w:ascii="Times New Roman" w:hAnsi="Times New Roman" w:cs="Times New Roman"/>
          <w:sz w:val="24"/>
          <w:szCs w:val="24"/>
        </w:rPr>
        <w:t>Rosanvallon (2008</w:t>
      </w:r>
      <w:r w:rsidR="00B60C77">
        <w:rPr>
          <w:rFonts w:ascii="Times New Roman" w:hAnsi="Times New Roman" w:cs="Times New Roman"/>
          <w:sz w:val="24"/>
          <w:szCs w:val="24"/>
        </w:rPr>
        <w:t>)</w:t>
      </w:r>
      <w:r w:rsidR="00643196">
        <w:rPr>
          <w:rFonts w:ascii="Times New Roman" w:hAnsi="Times New Roman" w:cs="Times New Roman"/>
          <w:sz w:val="24"/>
          <w:szCs w:val="24"/>
        </w:rPr>
        <w:t>.</w:t>
      </w:r>
      <w:r w:rsidR="00DF53AA">
        <w:rPr>
          <w:rFonts w:ascii="Times New Roman" w:hAnsi="Times New Roman" w:cs="Times New Roman"/>
          <w:sz w:val="24"/>
          <w:szCs w:val="24"/>
        </w:rPr>
        <w:t xml:space="preserve"> </w:t>
      </w:r>
      <w:r w:rsidR="00923CEB">
        <w:rPr>
          <w:rFonts w:ascii="Times New Roman" w:hAnsi="Times New Roman" w:cs="Times New Roman"/>
          <w:sz w:val="24"/>
          <w:szCs w:val="24"/>
        </w:rPr>
        <w:t>Näyttää kuitenkin</w:t>
      </w:r>
      <w:r w:rsidR="00B60C77">
        <w:rPr>
          <w:rFonts w:ascii="Times New Roman" w:hAnsi="Times New Roman" w:cs="Times New Roman"/>
          <w:sz w:val="24"/>
          <w:szCs w:val="24"/>
        </w:rPr>
        <w:t xml:space="preserve"> ilmeis</w:t>
      </w:r>
      <w:r w:rsidR="00923CEB">
        <w:rPr>
          <w:rFonts w:ascii="Times New Roman" w:hAnsi="Times New Roman" w:cs="Times New Roman"/>
          <w:sz w:val="24"/>
          <w:szCs w:val="24"/>
        </w:rPr>
        <w:t>el</w:t>
      </w:r>
      <w:r w:rsidR="00B60C77">
        <w:rPr>
          <w:rFonts w:ascii="Times New Roman" w:hAnsi="Times New Roman" w:cs="Times New Roman"/>
          <w:sz w:val="24"/>
          <w:szCs w:val="24"/>
        </w:rPr>
        <w:t xml:space="preserve">tä, että </w:t>
      </w:r>
      <w:r w:rsidR="006C0AE1">
        <w:rPr>
          <w:rFonts w:ascii="Times New Roman" w:hAnsi="Times New Roman" w:cs="Times New Roman"/>
          <w:sz w:val="24"/>
          <w:szCs w:val="24"/>
        </w:rPr>
        <w:t xml:space="preserve">vaikka </w:t>
      </w:r>
      <w:r w:rsidR="00B60C77">
        <w:rPr>
          <w:rFonts w:ascii="Times New Roman" w:hAnsi="Times New Roman" w:cs="Times New Roman"/>
          <w:sz w:val="24"/>
          <w:szCs w:val="24"/>
        </w:rPr>
        <w:t xml:space="preserve">oikeudet tulla kuulluksi </w:t>
      </w:r>
      <w:r w:rsidR="006C0AE1">
        <w:rPr>
          <w:rFonts w:ascii="Times New Roman" w:hAnsi="Times New Roman" w:cs="Times New Roman"/>
          <w:sz w:val="24"/>
          <w:szCs w:val="24"/>
        </w:rPr>
        <w:t xml:space="preserve">ovat tärkeitä, ne </w:t>
      </w:r>
      <w:r w:rsidR="00B60C77">
        <w:rPr>
          <w:rFonts w:ascii="Times New Roman" w:hAnsi="Times New Roman" w:cs="Times New Roman"/>
          <w:sz w:val="24"/>
          <w:szCs w:val="24"/>
        </w:rPr>
        <w:t xml:space="preserve">eivät ole koko yhteiskunnan demokraattisuuden kannalta riittäviä sen enempää kuin välttämättömiäkään ehtoja. </w:t>
      </w:r>
      <w:r w:rsidR="00A110A9">
        <w:rPr>
          <w:rFonts w:ascii="Times New Roman" w:hAnsi="Times New Roman" w:cs="Times New Roman"/>
          <w:sz w:val="24"/>
          <w:szCs w:val="24"/>
        </w:rPr>
        <w:t>Myös epädemokraattiset yhteiskunnat voivat taata kansalaisilleen erilaisia tapoja tulla kuulluksi omiin intresseihinsä liittyvissä asioissa. Toisaalta yhteiskuntaa ei – realisti</w:t>
      </w:r>
      <w:r w:rsidR="00923CEB">
        <w:rPr>
          <w:rFonts w:ascii="Times New Roman" w:hAnsi="Times New Roman" w:cs="Times New Roman"/>
          <w:sz w:val="24"/>
          <w:szCs w:val="24"/>
        </w:rPr>
        <w:t>si</w:t>
      </w:r>
      <w:r w:rsidR="00A110A9">
        <w:rPr>
          <w:rFonts w:ascii="Times New Roman" w:hAnsi="Times New Roman" w:cs="Times New Roman"/>
          <w:sz w:val="24"/>
          <w:szCs w:val="24"/>
        </w:rPr>
        <w:t xml:space="preserve">a standardeja soveltaen – voi julistaa epädemokraattiseksi vaikka oikeus tulla kuulluksi ei monissa asioissa toteudukaan. Sen sijaan varsinaisten poliittisten oikeuksien (yleinen ja yhtäläinen äänioikeus, ehdolle asettumisoikeus, sananvapaus, kokoontumisvapaus ja järjestäytymisen vapaus) </w:t>
      </w:r>
      <w:r w:rsidR="00C93BB3">
        <w:rPr>
          <w:rFonts w:ascii="Times New Roman" w:hAnsi="Times New Roman" w:cs="Times New Roman"/>
          <w:sz w:val="24"/>
          <w:szCs w:val="24"/>
        </w:rPr>
        <w:t xml:space="preserve">tasa-arvoinen </w:t>
      </w:r>
      <w:r w:rsidR="00A110A9">
        <w:rPr>
          <w:rFonts w:ascii="Times New Roman" w:hAnsi="Times New Roman" w:cs="Times New Roman"/>
          <w:sz w:val="24"/>
          <w:szCs w:val="24"/>
        </w:rPr>
        <w:t>toteutuminen on yhteiskunnan demokraattisuuden kannalta ratkaisevaa.</w:t>
      </w:r>
      <w:r w:rsidR="00643196">
        <w:rPr>
          <w:rFonts w:ascii="Times New Roman" w:hAnsi="Times New Roman" w:cs="Times New Roman"/>
          <w:sz w:val="24"/>
          <w:szCs w:val="24"/>
        </w:rPr>
        <w:t xml:space="preserve"> </w:t>
      </w:r>
    </w:p>
    <w:p w:rsidR="008B5D1D" w:rsidRDefault="00DF53AA" w:rsidP="00643196">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AA7D59" w:rsidRPr="00643196">
        <w:rPr>
          <w:rFonts w:ascii="Times New Roman" w:hAnsi="Times New Roman" w:cs="Times New Roman"/>
          <w:sz w:val="24"/>
          <w:szCs w:val="24"/>
        </w:rPr>
        <w:t xml:space="preserve">asa-arvoiset </w:t>
      </w:r>
      <w:r w:rsidR="00643196" w:rsidRPr="00643196">
        <w:rPr>
          <w:rFonts w:ascii="Times New Roman" w:hAnsi="Times New Roman" w:cs="Times New Roman"/>
          <w:sz w:val="24"/>
          <w:szCs w:val="24"/>
        </w:rPr>
        <w:t xml:space="preserve">poliittiset </w:t>
      </w:r>
      <w:r w:rsidR="004752AA" w:rsidRPr="00643196">
        <w:rPr>
          <w:rFonts w:ascii="Times New Roman" w:hAnsi="Times New Roman" w:cs="Times New Roman"/>
          <w:sz w:val="24"/>
          <w:szCs w:val="24"/>
        </w:rPr>
        <w:t>oikeudet liittyvät</w:t>
      </w:r>
      <w:r w:rsidR="00AA7D59" w:rsidRPr="00643196">
        <w:rPr>
          <w:rFonts w:ascii="Times New Roman" w:hAnsi="Times New Roman" w:cs="Times New Roman"/>
          <w:sz w:val="24"/>
          <w:szCs w:val="24"/>
        </w:rPr>
        <w:t xml:space="preserve"> modernin </w:t>
      </w:r>
      <w:r w:rsidR="00ED0ADC" w:rsidRPr="00643196">
        <w:rPr>
          <w:rFonts w:ascii="Times New Roman" w:hAnsi="Times New Roman" w:cs="Times New Roman"/>
          <w:sz w:val="24"/>
          <w:szCs w:val="24"/>
        </w:rPr>
        <w:t xml:space="preserve">valtion </w:t>
      </w:r>
      <w:r w:rsidR="00B53BDF" w:rsidRPr="00643196">
        <w:rPr>
          <w:rFonts w:ascii="Times New Roman" w:hAnsi="Times New Roman" w:cs="Times New Roman"/>
          <w:sz w:val="24"/>
          <w:szCs w:val="24"/>
        </w:rPr>
        <w:t xml:space="preserve">ja siihen käsitteellisesti liittyvän modernin kansalaisuuden </w:t>
      </w:r>
      <w:r w:rsidR="00050580">
        <w:rPr>
          <w:rFonts w:ascii="Times New Roman" w:hAnsi="Times New Roman" w:cs="Times New Roman"/>
          <w:sz w:val="24"/>
          <w:szCs w:val="24"/>
        </w:rPr>
        <w:t>erityiseen luonteeseen. Voidaan tietysti argumentoida, että</w:t>
      </w:r>
      <w:r w:rsidR="00ED0ADC" w:rsidRPr="00643196">
        <w:rPr>
          <w:rFonts w:ascii="Times New Roman" w:hAnsi="Times New Roman" w:cs="Times New Roman"/>
          <w:sz w:val="24"/>
          <w:szCs w:val="24"/>
        </w:rPr>
        <w:t xml:space="preserve"> työntekijöillä pitäisi olla nykyistä enemmän vaikutusmahdollisuuksia yrityksissä, </w:t>
      </w:r>
      <w:r w:rsidR="00643196" w:rsidRPr="00643196">
        <w:rPr>
          <w:rFonts w:ascii="Times New Roman" w:hAnsi="Times New Roman" w:cs="Times New Roman"/>
          <w:sz w:val="24"/>
          <w:szCs w:val="24"/>
        </w:rPr>
        <w:t>opiskelijoilla enemmän vaikutusmahdollisuuksia korkeakouluissa, asiakkailla</w:t>
      </w:r>
      <w:r w:rsidR="00ED0ADC" w:rsidRPr="00643196">
        <w:rPr>
          <w:rFonts w:ascii="Times New Roman" w:hAnsi="Times New Roman" w:cs="Times New Roman"/>
          <w:sz w:val="24"/>
          <w:szCs w:val="24"/>
        </w:rPr>
        <w:t xml:space="preserve"> enemmän vaikutusmahdollisuuksia sairaaloissa jne. Viime kädessä nämä organisaatiot ovat kuitenkin vastuussa muille</w:t>
      </w:r>
      <w:r w:rsidR="00253387" w:rsidRPr="00643196">
        <w:rPr>
          <w:rFonts w:ascii="Times New Roman" w:hAnsi="Times New Roman" w:cs="Times New Roman"/>
          <w:sz w:val="24"/>
          <w:szCs w:val="24"/>
        </w:rPr>
        <w:t>kin</w:t>
      </w:r>
      <w:r w:rsidR="00ED0ADC" w:rsidRPr="00643196">
        <w:rPr>
          <w:rFonts w:ascii="Times New Roman" w:hAnsi="Times New Roman" w:cs="Times New Roman"/>
          <w:sz w:val="24"/>
          <w:szCs w:val="24"/>
        </w:rPr>
        <w:t xml:space="preserve"> kuin vain </w:t>
      </w:r>
      <w:r w:rsidR="00ED0ADC" w:rsidRPr="00643196">
        <w:rPr>
          <w:rFonts w:ascii="Times New Roman" w:hAnsi="Times New Roman" w:cs="Times New Roman"/>
          <w:sz w:val="24"/>
          <w:szCs w:val="24"/>
        </w:rPr>
        <w:lastRenderedPageBreak/>
        <w:t>niille jotka niiden piirissä kulloinkin sattuvat olemaan: ne suorittavat tehtäviä jotka liittyvät koko yhteisön toimintaan.</w:t>
      </w:r>
      <w:r w:rsidR="00752CC1">
        <w:rPr>
          <w:rStyle w:val="EndnoteReference"/>
          <w:rFonts w:ascii="Times New Roman" w:hAnsi="Times New Roman" w:cs="Times New Roman"/>
          <w:sz w:val="24"/>
          <w:szCs w:val="24"/>
        </w:rPr>
        <w:endnoteReference w:id="16"/>
      </w:r>
      <w:r w:rsidR="00ED0ADC" w:rsidRPr="00643196">
        <w:rPr>
          <w:rFonts w:ascii="Times New Roman" w:hAnsi="Times New Roman" w:cs="Times New Roman"/>
          <w:sz w:val="24"/>
          <w:szCs w:val="24"/>
        </w:rPr>
        <w:t xml:space="preserve"> Niiden sisäiset ratkaisut ovat lopulta alisteisia näille velvollisuuksille. </w:t>
      </w:r>
      <w:r w:rsidR="00B53BDF" w:rsidRPr="00643196">
        <w:rPr>
          <w:rFonts w:ascii="Times New Roman" w:hAnsi="Times New Roman" w:cs="Times New Roman"/>
          <w:sz w:val="24"/>
          <w:szCs w:val="24"/>
        </w:rPr>
        <w:t>Valtion kansalaisuus on erilaisten jäsenyyksien ja vaikutuspiirien joukossa erityisasemassa, koska kansalaiseksi tunnustamiseen sisältyy perustavan tasa-arvon tunnustaminen.</w:t>
      </w:r>
    </w:p>
    <w:p w:rsidR="00D64F30" w:rsidRPr="00643196" w:rsidRDefault="00B53BDF" w:rsidP="00643196">
      <w:pPr>
        <w:spacing w:line="360" w:lineRule="auto"/>
        <w:jc w:val="both"/>
        <w:rPr>
          <w:rFonts w:ascii="Times New Roman" w:hAnsi="Times New Roman" w:cs="Times New Roman"/>
          <w:sz w:val="24"/>
          <w:szCs w:val="24"/>
        </w:rPr>
      </w:pPr>
      <w:r w:rsidRPr="00643196">
        <w:rPr>
          <w:rFonts w:ascii="Times New Roman" w:hAnsi="Times New Roman" w:cs="Times New Roman"/>
          <w:sz w:val="24"/>
          <w:szCs w:val="24"/>
        </w:rPr>
        <w:t xml:space="preserve"> </w:t>
      </w:r>
    </w:p>
    <w:p w:rsidR="00EA3BCD" w:rsidRPr="00EA50D7" w:rsidRDefault="00EA3BCD" w:rsidP="00E24D1B">
      <w:pPr>
        <w:spacing w:after="240" w:line="360" w:lineRule="auto"/>
        <w:jc w:val="both"/>
        <w:rPr>
          <w:rFonts w:ascii="Times New Roman" w:hAnsi="Times New Roman" w:cs="Times New Roman"/>
          <w:b/>
          <w:sz w:val="24"/>
          <w:szCs w:val="24"/>
        </w:rPr>
      </w:pPr>
      <w:r w:rsidRPr="00EA50D7">
        <w:rPr>
          <w:rFonts w:ascii="Times New Roman" w:hAnsi="Times New Roman" w:cs="Times New Roman"/>
          <w:b/>
          <w:sz w:val="24"/>
          <w:szCs w:val="24"/>
        </w:rPr>
        <w:t>Lopuksi</w:t>
      </w:r>
    </w:p>
    <w:p w:rsidR="007B114B" w:rsidRDefault="00EA3BCD"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Tämän esityksen johtopäätös on, että vaikutusperiaate ei voi toimia siinä roolissa, jossa sen usein ajatellaan toimivan</w:t>
      </w:r>
      <w:r w:rsidR="006117E1">
        <w:rPr>
          <w:rFonts w:ascii="Times New Roman" w:hAnsi="Times New Roman" w:cs="Times New Roman"/>
          <w:sz w:val="24"/>
          <w:szCs w:val="24"/>
        </w:rPr>
        <w:t xml:space="preserve">. Se ei </w:t>
      </w:r>
      <w:r w:rsidR="00503495">
        <w:rPr>
          <w:rFonts w:ascii="Times New Roman" w:hAnsi="Times New Roman" w:cs="Times New Roman"/>
          <w:sz w:val="24"/>
          <w:szCs w:val="24"/>
        </w:rPr>
        <w:t xml:space="preserve">voi </w:t>
      </w:r>
      <w:r w:rsidR="006117E1">
        <w:rPr>
          <w:rFonts w:ascii="Times New Roman" w:hAnsi="Times New Roman" w:cs="Times New Roman"/>
          <w:sz w:val="24"/>
          <w:szCs w:val="24"/>
        </w:rPr>
        <w:t>toimi</w:t>
      </w:r>
      <w:r w:rsidR="00503495">
        <w:rPr>
          <w:rFonts w:ascii="Times New Roman" w:hAnsi="Times New Roman" w:cs="Times New Roman"/>
          <w:sz w:val="24"/>
          <w:szCs w:val="24"/>
        </w:rPr>
        <w:t>a</w:t>
      </w:r>
      <w:r>
        <w:rPr>
          <w:rFonts w:ascii="Times New Roman" w:hAnsi="Times New Roman" w:cs="Times New Roman"/>
          <w:sz w:val="24"/>
          <w:szCs w:val="24"/>
        </w:rPr>
        <w:t xml:space="preserve"> l</w:t>
      </w:r>
      <w:r w:rsidR="00ED0ADC">
        <w:rPr>
          <w:rFonts w:ascii="Times New Roman" w:hAnsi="Times New Roman" w:cs="Times New Roman"/>
          <w:sz w:val="24"/>
          <w:szCs w:val="24"/>
        </w:rPr>
        <w:t>ähtökohtana, josta käsin voitaisiin</w:t>
      </w:r>
      <w:r>
        <w:rPr>
          <w:rFonts w:ascii="Times New Roman" w:hAnsi="Times New Roman" w:cs="Times New Roman"/>
          <w:sz w:val="24"/>
          <w:szCs w:val="24"/>
        </w:rPr>
        <w:t xml:space="preserve"> </w:t>
      </w:r>
      <w:r w:rsidR="006117E1">
        <w:rPr>
          <w:rFonts w:ascii="Times New Roman" w:hAnsi="Times New Roman" w:cs="Times New Roman"/>
          <w:sz w:val="24"/>
          <w:szCs w:val="24"/>
        </w:rPr>
        <w:t xml:space="preserve">kaikista </w:t>
      </w:r>
      <w:r w:rsidR="002A2E60">
        <w:rPr>
          <w:rFonts w:ascii="Times New Roman" w:hAnsi="Times New Roman" w:cs="Times New Roman"/>
          <w:sz w:val="24"/>
          <w:szCs w:val="24"/>
        </w:rPr>
        <w:t xml:space="preserve">olemassa olevista </w:t>
      </w:r>
      <w:r w:rsidR="006117E1">
        <w:rPr>
          <w:rFonts w:ascii="Times New Roman" w:hAnsi="Times New Roman" w:cs="Times New Roman"/>
          <w:sz w:val="24"/>
          <w:szCs w:val="24"/>
        </w:rPr>
        <w:t>instituutioista</w:t>
      </w:r>
      <w:r w:rsidR="00503495">
        <w:rPr>
          <w:rFonts w:ascii="Times New Roman" w:hAnsi="Times New Roman" w:cs="Times New Roman"/>
          <w:sz w:val="24"/>
          <w:szCs w:val="24"/>
        </w:rPr>
        <w:t xml:space="preserve"> riippumatta</w:t>
      </w:r>
      <w:r w:rsidR="006117E1">
        <w:rPr>
          <w:rFonts w:ascii="Times New Roman" w:hAnsi="Times New Roman" w:cs="Times New Roman"/>
          <w:sz w:val="24"/>
          <w:szCs w:val="24"/>
        </w:rPr>
        <w:t xml:space="preserve"> </w:t>
      </w:r>
      <w:r>
        <w:rPr>
          <w:rFonts w:ascii="Times New Roman" w:hAnsi="Times New Roman" w:cs="Times New Roman"/>
          <w:sz w:val="24"/>
          <w:szCs w:val="24"/>
        </w:rPr>
        <w:t>arvio</w:t>
      </w:r>
      <w:r w:rsidR="002A2E60">
        <w:rPr>
          <w:rFonts w:ascii="Times New Roman" w:hAnsi="Times New Roman" w:cs="Times New Roman"/>
          <w:sz w:val="24"/>
          <w:szCs w:val="24"/>
        </w:rPr>
        <w:t xml:space="preserve">ida </w:t>
      </w:r>
      <w:r w:rsidR="00ED0ADC">
        <w:rPr>
          <w:rFonts w:ascii="Times New Roman" w:hAnsi="Times New Roman" w:cs="Times New Roman"/>
          <w:sz w:val="24"/>
          <w:szCs w:val="24"/>
        </w:rPr>
        <w:t>demokraattisten päätöksentekoyksikköjen ja niiden toimivallan rajoja ja mahdollisesti muuttaa niitä.</w:t>
      </w:r>
      <w:r w:rsidR="00353739">
        <w:rPr>
          <w:rFonts w:ascii="Times New Roman" w:hAnsi="Times New Roman" w:cs="Times New Roman"/>
          <w:sz w:val="24"/>
          <w:szCs w:val="24"/>
        </w:rPr>
        <w:t xml:space="preserve"> </w:t>
      </w:r>
    </w:p>
    <w:p w:rsidR="000A533E" w:rsidRPr="002A2E60" w:rsidRDefault="00353739" w:rsidP="00477A6A">
      <w:pPr>
        <w:spacing w:line="360" w:lineRule="auto"/>
        <w:jc w:val="both"/>
        <w:rPr>
          <w:rFonts w:ascii="Times New Roman" w:hAnsi="Times New Roman" w:cs="Times New Roman"/>
          <w:sz w:val="24"/>
          <w:szCs w:val="24"/>
        </w:rPr>
      </w:pPr>
      <w:r>
        <w:rPr>
          <w:rFonts w:ascii="Times New Roman" w:hAnsi="Times New Roman" w:cs="Times New Roman"/>
          <w:sz w:val="24"/>
          <w:szCs w:val="24"/>
        </w:rPr>
        <w:t>Mahdollinen tapa kiistää tämä johtopäätös voisi olla seuraava: Edeltävässä esityksessä on kautta linjan tarkasteltu vaikutusperiaatetta ikään kuin se olisi ainoa tai ylin periaate. ”Reilumpi” lähtökohta olisi olettaa, että vaikutusperiaate voi enintään olla yksi normatiivinen periaate monien joukossa. Sitä sovellettaessa olisi otettava huomioon myös muita seikkoja.</w:t>
      </w:r>
      <w:r w:rsidR="007B114B">
        <w:rPr>
          <w:rStyle w:val="EndnoteReference"/>
          <w:rFonts w:ascii="Times New Roman" w:hAnsi="Times New Roman" w:cs="Times New Roman"/>
          <w:sz w:val="24"/>
          <w:szCs w:val="24"/>
        </w:rPr>
        <w:endnoteReference w:id="17"/>
      </w:r>
      <w:r>
        <w:rPr>
          <w:rFonts w:ascii="Times New Roman" w:hAnsi="Times New Roman" w:cs="Times New Roman"/>
          <w:sz w:val="24"/>
          <w:szCs w:val="24"/>
        </w:rPr>
        <w:t xml:space="preserve"> Vastaukseni on, että tässä tarkastelussa kohteeksi on valikoitu nimenomaan </w:t>
      </w:r>
      <w:r w:rsidR="007B114B">
        <w:rPr>
          <w:rFonts w:ascii="Times New Roman" w:hAnsi="Times New Roman" w:cs="Times New Roman"/>
          <w:sz w:val="24"/>
          <w:szCs w:val="24"/>
        </w:rPr>
        <w:t>sellaisia näkemyksiä</w:t>
      </w:r>
      <w:r>
        <w:rPr>
          <w:rFonts w:ascii="Times New Roman" w:hAnsi="Times New Roman" w:cs="Times New Roman"/>
          <w:sz w:val="24"/>
          <w:szCs w:val="24"/>
        </w:rPr>
        <w:t xml:space="preserve">, joiden mukaan vaikutusperiaatteella johdonmukaisesti sovellettuna </w:t>
      </w:r>
      <w:r w:rsidRPr="00353739">
        <w:rPr>
          <w:rFonts w:ascii="Times New Roman" w:hAnsi="Times New Roman" w:cs="Times New Roman"/>
          <w:i/>
          <w:sz w:val="24"/>
          <w:szCs w:val="24"/>
        </w:rPr>
        <w:t>on</w:t>
      </w:r>
      <w:r>
        <w:rPr>
          <w:rFonts w:ascii="Times New Roman" w:hAnsi="Times New Roman" w:cs="Times New Roman"/>
          <w:sz w:val="24"/>
          <w:szCs w:val="24"/>
        </w:rPr>
        <w:t xml:space="preserve"> dramaattisia seurauksia. </w:t>
      </w:r>
      <w:r w:rsidR="007B114B">
        <w:rPr>
          <w:rFonts w:ascii="Times New Roman" w:hAnsi="Times New Roman" w:cs="Times New Roman"/>
          <w:sz w:val="24"/>
          <w:szCs w:val="24"/>
        </w:rPr>
        <w:t>Tällöin sen on oltava, ellei ainoa tai ylin, niin ainakin hyvin vahva periaate.</w:t>
      </w:r>
      <w:r>
        <w:rPr>
          <w:rFonts w:ascii="Times New Roman" w:hAnsi="Times New Roman" w:cs="Times New Roman"/>
          <w:sz w:val="24"/>
          <w:szCs w:val="24"/>
        </w:rPr>
        <w:t xml:space="preserve"> </w:t>
      </w:r>
      <w:r w:rsidR="007865E6">
        <w:rPr>
          <w:rFonts w:ascii="Times New Roman" w:hAnsi="Times New Roman" w:cs="Times New Roman"/>
          <w:sz w:val="24"/>
          <w:szCs w:val="24"/>
        </w:rPr>
        <w:t>Samalla o</w:t>
      </w:r>
      <w:r w:rsidR="007B114B">
        <w:rPr>
          <w:rFonts w:ascii="Times New Roman" w:hAnsi="Times New Roman" w:cs="Times New Roman"/>
          <w:sz w:val="24"/>
          <w:szCs w:val="24"/>
        </w:rPr>
        <w:t>len täysin valmis myöntämään</w:t>
      </w:r>
      <w:r w:rsidR="00503495">
        <w:rPr>
          <w:rFonts w:ascii="Times New Roman" w:hAnsi="Times New Roman" w:cs="Times New Roman"/>
          <w:sz w:val="24"/>
          <w:szCs w:val="24"/>
        </w:rPr>
        <w:t>, että vaikutusperiaatte</w:t>
      </w:r>
      <w:r w:rsidR="00D33D83">
        <w:rPr>
          <w:rFonts w:ascii="Times New Roman" w:hAnsi="Times New Roman" w:cs="Times New Roman"/>
          <w:sz w:val="24"/>
          <w:szCs w:val="24"/>
        </w:rPr>
        <w:t>e</w:t>
      </w:r>
      <w:r w:rsidR="00503495">
        <w:rPr>
          <w:rFonts w:ascii="Times New Roman" w:hAnsi="Times New Roman" w:cs="Times New Roman"/>
          <w:sz w:val="24"/>
          <w:szCs w:val="24"/>
        </w:rPr>
        <w:t>sta</w:t>
      </w:r>
      <w:r w:rsidR="00D33D83">
        <w:rPr>
          <w:rFonts w:ascii="Times New Roman" w:hAnsi="Times New Roman" w:cs="Times New Roman"/>
          <w:sz w:val="24"/>
          <w:szCs w:val="24"/>
        </w:rPr>
        <w:t xml:space="preserve"> tuskin voidaan kokonaan luopua. </w:t>
      </w:r>
      <w:r w:rsidR="00D33D83" w:rsidRPr="002A2E60">
        <w:rPr>
          <w:rFonts w:ascii="Times New Roman" w:hAnsi="Times New Roman" w:cs="Times New Roman"/>
          <w:sz w:val="24"/>
          <w:szCs w:val="24"/>
        </w:rPr>
        <w:t>Demokraattisten päätöksentekoyksikköjen rajoista</w:t>
      </w:r>
      <w:r w:rsidR="002A2E60" w:rsidRPr="002A2E60">
        <w:rPr>
          <w:rFonts w:ascii="Times New Roman" w:hAnsi="Times New Roman" w:cs="Times New Roman"/>
          <w:sz w:val="24"/>
          <w:szCs w:val="24"/>
        </w:rPr>
        <w:t xml:space="preserve">, toimivallasta ja osallistumisoikeudesta joudutaan jatkuvasti tekemään päätöksiä. </w:t>
      </w:r>
      <w:r w:rsidR="00D33D83" w:rsidRPr="002A2E60">
        <w:rPr>
          <w:rFonts w:ascii="Times New Roman" w:hAnsi="Times New Roman" w:cs="Times New Roman"/>
          <w:sz w:val="24"/>
          <w:szCs w:val="24"/>
        </w:rPr>
        <w:t xml:space="preserve"> </w:t>
      </w:r>
      <w:r w:rsidR="002A2E60">
        <w:rPr>
          <w:rFonts w:ascii="Times New Roman" w:hAnsi="Times New Roman" w:cs="Times New Roman"/>
          <w:sz w:val="24"/>
          <w:szCs w:val="24"/>
        </w:rPr>
        <w:t xml:space="preserve">Nämä päätökset edellyttävät normatiivista keskustelua. Vaikutusperiaate (tai jokin sitä läheisesti muistuttava periaate) tulee epäilemättä säilyttämään roolinsa näissä keskusteluissa. Kun argumentoidaan osallistujien piirin laajentamisen puolesta, tullaan </w:t>
      </w:r>
      <w:r w:rsidR="00EA50D7">
        <w:rPr>
          <w:rFonts w:ascii="Times New Roman" w:hAnsi="Times New Roman" w:cs="Times New Roman"/>
          <w:sz w:val="24"/>
          <w:szCs w:val="24"/>
        </w:rPr>
        <w:t>jatkuvasti vetoamaan siihen, että päätökset vaikuttavat myös nykyisten osallistujien piirin ulkopuolelle. Vastaavasti, kun puolustetaan yksikköjen laajempaa itsehallintoa, tullaan edelleen vetoamaan siihen, että koska päätökset varsinaisesti koskettavat jotakin suppeampaa osajoukkoa, tälle osajoukolle tulisi antaa päätösvalta. Tämäntyyppiset argumentit ovat monissa tapauksissa täysin perusteltuja. Ongelmaksi jää</w:t>
      </w:r>
      <w:r w:rsidR="007B114B">
        <w:rPr>
          <w:rFonts w:ascii="Times New Roman" w:hAnsi="Times New Roman" w:cs="Times New Roman"/>
          <w:sz w:val="24"/>
          <w:szCs w:val="24"/>
        </w:rPr>
        <w:t xml:space="preserve"> silti</w:t>
      </w:r>
      <w:r w:rsidR="00EA50D7">
        <w:rPr>
          <w:rFonts w:ascii="Times New Roman" w:hAnsi="Times New Roman" w:cs="Times New Roman"/>
          <w:sz w:val="24"/>
          <w:szCs w:val="24"/>
        </w:rPr>
        <w:t>, että niiden takana</w:t>
      </w:r>
      <w:r w:rsidR="007B114B">
        <w:rPr>
          <w:rFonts w:ascii="Times New Roman" w:hAnsi="Times New Roman" w:cs="Times New Roman"/>
          <w:sz w:val="24"/>
          <w:szCs w:val="24"/>
        </w:rPr>
        <w:t xml:space="preserve"> olevalle periaatteelle ei ole vielä löytynyt</w:t>
      </w:r>
      <w:r w:rsidR="00EA50D7">
        <w:rPr>
          <w:rFonts w:ascii="Times New Roman" w:hAnsi="Times New Roman" w:cs="Times New Roman"/>
          <w:sz w:val="24"/>
          <w:szCs w:val="24"/>
        </w:rPr>
        <w:t xml:space="preserve"> intuitiivisesti tyydyttävää johdonmukaista muotoilua. </w:t>
      </w:r>
      <w:r w:rsidR="000A533E" w:rsidRPr="002A2E60">
        <w:rPr>
          <w:rFonts w:ascii="Times New Roman" w:hAnsi="Times New Roman" w:cs="Times New Roman"/>
          <w:i/>
          <w:sz w:val="24"/>
          <w:szCs w:val="24"/>
        </w:rPr>
        <w:br w:type="page"/>
      </w:r>
    </w:p>
    <w:p w:rsidR="005A7E4A" w:rsidRPr="00C93BB3" w:rsidRDefault="005A7E4A" w:rsidP="001B38E1">
      <w:pPr>
        <w:spacing w:line="276" w:lineRule="auto"/>
        <w:jc w:val="both"/>
        <w:rPr>
          <w:rFonts w:ascii="Times New Roman" w:hAnsi="Times New Roman" w:cs="Times New Roman"/>
          <w:sz w:val="24"/>
          <w:szCs w:val="24"/>
          <w:lang w:val="en-US"/>
        </w:rPr>
      </w:pPr>
      <w:r w:rsidRPr="00C93BB3">
        <w:rPr>
          <w:rFonts w:ascii="Times New Roman" w:hAnsi="Times New Roman" w:cs="Times New Roman"/>
          <w:sz w:val="24"/>
          <w:szCs w:val="24"/>
          <w:lang w:val="en-US"/>
        </w:rPr>
        <w:lastRenderedPageBreak/>
        <w:t>LÄHTEET</w:t>
      </w:r>
    </w:p>
    <w:p w:rsidR="000A533E" w:rsidRPr="00001555" w:rsidRDefault="001616A4" w:rsidP="001B38E1">
      <w:pPr>
        <w:spacing w:line="276" w:lineRule="auto"/>
        <w:jc w:val="both"/>
        <w:rPr>
          <w:rFonts w:ascii="Times New Roman" w:hAnsi="Times New Roman" w:cs="Times New Roman"/>
          <w:sz w:val="24"/>
          <w:szCs w:val="24"/>
          <w:lang w:val="en-US"/>
        </w:rPr>
      </w:pPr>
      <w:r w:rsidRPr="00C12EBD">
        <w:rPr>
          <w:rFonts w:ascii="Times New Roman" w:hAnsi="Times New Roman" w:cs="Times New Roman"/>
          <w:sz w:val="24"/>
          <w:szCs w:val="24"/>
          <w:lang w:val="en-US"/>
        </w:rPr>
        <w:t xml:space="preserve">Agné, Hans (2006). </w:t>
      </w:r>
      <w:r w:rsidR="000A533E" w:rsidRPr="00C12EBD">
        <w:rPr>
          <w:rFonts w:ascii="Times New Roman" w:hAnsi="Times New Roman" w:cs="Times New Roman"/>
          <w:sz w:val="24"/>
          <w:szCs w:val="24"/>
          <w:lang w:val="en-US"/>
        </w:rPr>
        <w:t>A dogma of democratic theory and g</w:t>
      </w:r>
      <w:r w:rsidR="000A533E" w:rsidRPr="00EA3BCD">
        <w:rPr>
          <w:rFonts w:ascii="Times New Roman" w:hAnsi="Times New Roman" w:cs="Times New Roman"/>
          <w:sz w:val="24"/>
          <w:szCs w:val="24"/>
          <w:lang w:val="en-US"/>
        </w:rPr>
        <w:t xml:space="preserve">lobalization: Why politics need </w:t>
      </w:r>
      <w:r w:rsidRPr="00EA3BCD">
        <w:rPr>
          <w:rFonts w:ascii="Times New Roman" w:hAnsi="Times New Roman" w:cs="Times New Roman"/>
          <w:sz w:val="24"/>
          <w:szCs w:val="24"/>
          <w:lang w:val="en-US"/>
        </w:rPr>
        <w:t>not include everyone it affect</w:t>
      </w:r>
      <w:r w:rsidRPr="00343073">
        <w:rPr>
          <w:rFonts w:ascii="Times New Roman" w:hAnsi="Times New Roman" w:cs="Times New Roman"/>
          <w:sz w:val="24"/>
          <w:szCs w:val="24"/>
          <w:lang w:val="en-US"/>
        </w:rPr>
        <w:t>s.</w:t>
      </w:r>
      <w:r w:rsidR="000A533E" w:rsidRPr="00343073">
        <w:rPr>
          <w:rFonts w:ascii="Times New Roman" w:hAnsi="Times New Roman" w:cs="Times New Roman"/>
          <w:sz w:val="24"/>
          <w:szCs w:val="24"/>
          <w:lang w:val="en-US"/>
        </w:rPr>
        <w:t xml:space="preserve"> </w:t>
      </w:r>
      <w:r w:rsidR="000A533E" w:rsidRPr="00343073">
        <w:rPr>
          <w:rFonts w:ascii="Times New Roman" w:hAnsi="Times New Roman" w:cs="Times New Roman"/>
          <w:i/>
          <w:sz w:val="24"/>
          <w:szCs w:val="24"/>
          <w:lang w:val="en-US"/>
        </w:rPr>
        <w:t xml:space="preserve">European </w:t>
      </w:r>
      <w:r w:rsidR="000A533E" w:rsidRPr="00001555">
        <w:rPr>
          <w:rFonts w:ascii="Times New Roman" w:hAnsi="Times New Roman" w:cs="Times New Roman"/>
          <w:i/>
          <w:sz w:val="24"/>
          <w:szCs w:val="24"/>
          <w:lang w:val="en-US"/>
        </w:rPr>
        <w:t>Journal of International Relations</w:t>
      </w:r>
      <w:r w:rsidR="000A533E" w:rsidRPr="00001555">
        <w:rPr>
          <w:rFonts w:ascii="Times New Roman" w:hAnsi="Times New Roman" w:cs="Times New Roman"/>
          <w:sz w:val="24"/>
          <w:szCs w:val="24"/>
          <w:lang w:val="en-US"/>
        </w:rPr>
        <w:t xml:space="preserve"> 12 (3), 433-458. </w:t>
      </w:r>
    </w:p>
    <w:p w:rsidR="000A533E" w:rsidRPr="00C93BB3" w:rsidRDefault="000A533E" w:rsidP="001B38E1">
      <w:pPr>
        <w:spacing w:line="276" w:lineRule="auto"/>
        <w:jc w:val="both"/>
        <w:rPr>
          <w:rFonts w:ascii="Times New Roman" w:hAnsi="Times New Roman" w:cs="Times New Roman"/>
          <w:sz w:val="24"/>
          <w:szCs w:val="24"/>
        </w:rPr>
      </w:pPr>
      <w:r w:rsidRPr="00001555">
        <w:rPr>
          <w:rFonts w:ascii="Times New Roman" w:hAnsi="Times New Roman" w:cs="Times New Roman"/>
          <w:sz w:val="24"/>
          <w:szCs w:val="24"/>
          <w:lang w:val="en-US"/>
        </w:rPr>
        <w:t>Arrhenius, Gustaf</w:t>
      </w:r>
      <w:r w:rsidR="001616A4" w:rsidRPr="00001555">
        <w:rPr>
          <w:rFonts w:ascii="Times New Roman" w:hAnsi="Times New Roman" w:cs="Times New Roman"/>
          <w:sz w:val="24"/>
          <w:szCs w:val="24"/>
          <w:lang w:val="en-US"/>
        </w:rPr>
        <w:t xml:space="preserve"> (2012). </w:t>
      </w:r>
      <w:r w:rsidRPr="00001555">
        <w:rPr>
          <w:rFonts w:ascii="Times New Roman" w:hAnsi="Times New Roman" w:cs="Times New Roman"/>
          <w:sz w:val="24"/>
          <w:szCs w:val="24"/>
          <w:lang w:val="en-US"/>
        </w:rPr>
        <w:t>The bounda</w:t>
      </w:r>
      <w:r w:rsidR="001616A4" w:rsidRPr="00001555">
        <w:rPr>
          <w:rFonts w:ascii="Times New Roman" w:hAnsi="Times New Roman" w:cs="Times New Roman"/>
          <w:sz w:val="24"/>
          <w:szCs w:val="24"/>
          <w:lang w:val="en-US"/>
        </w:rPr>
        <w:t>ry problem in democratic theory</w:t>
      </w:r>
      <w:r w:rsidRPr="00001555">
        <w:rPr>
          <w:rFonts w:ascii="Times New Roman" w:hAnsi="Times New Roman" w:cs="Times New Roman"/>
          <w:sz w:val="24"/>
          <w:szCs w:val="24"/>
          <w:lang w:val="en-US"/>
        </w:rPr>
        <w:t xml:space="preserve">. </w:t>
      </w:r>
      <w:hyperlink r:id="rId9" w:history="1">
        <w:r w:rsidRPr="00C93BB3">
          <w:rPr>
            <w:rStyle w:val="Hyperlink"/>
            <w:rFonts w:ascii="Times New Roman" w:hAnsi="Times New Roman" w:cs="Times New Roman"/>
            <w:sz w:val="24"/>
            <w:szCs w:val="24"/>
          </w:rPr>
          <w:t>www.akira.ruc.dk/fkt/filosofi/Artikler</w:t>
        </w:r>
      </w:hyperlink>
      <w:r w:rsidR="001616A4" w:rsidRPr="00C93BB3">
        <w:rPr>
          <w:rFonts w:ascii="Times New Roman" w:hAnsi="Times New Roman" w:cs="Times New Roman"/>
          <w:sz w:val="24"/>
          <w:szCs w:val="24"/>
        </w:rPr>
        <w:t xml:space="preserve"> </w:t>
      </w:r>
      <w:r w:rsidR="00DC7506" w:rsidRPr="00C93BB3">
        <w:rPr>
          <w:rFonts w:ascii="Times New Roman" w:hAnsi="Times New Roman" w:cs="Times New Roman"/>
          <w:sz w:val="24"/>
          <w:szCs w:val="24"/>
        </w:rPr>
        <w:t xml:space="preserve"> </w:t>
      </w:r>
      <w:r w:rsidR="000562DF" w:rsidRPr="00C93BB3">
        <w:rPr>
          <w:rFonts w:ascii="Times New Roman" w:hAnsi="Times New Roman" w:cs="Times New Roman"/>
          <w:sz w:val="24"/>
          <w:szCs w:val="24"/>
        </w:rPr>
        <w:t xml:space="preserve">Viitattu </w:t>
      </w:r>
      <w:r w:rsidR="00DC7506" w:rsidRPr="00C93BB3">
        <w:rPr>
          <w:rFonts w:ascii="Times New Roman" w:hAnsi="Times New Roman" w:cs="Times New Roman"/>
          <w:sz w:val="24"/>
          <w:szCs w:val="24"/>
        </w:rPr>
        <w:t xml:space="preserve">23. 10. </w:t>
      </w:r>
      <w:r w:rsidRPr="00C93BB3">
        <w:rPr>
          <w:rFonts w:ascii="Times New Roman" w:hAnsi="Times New Roman" w:cs="Times New Roman"/>
          <w:sz w:val="24"/>
          <w:szCs w:val="24"/>
        </w:rPr>
        <w:t>2014.</w:t>
      </w:r>
    </w:p>
    <w:p w:rsidR="000A533E" w:rsidRPr="00001555" w:rsidRDefault="000A533E" w:rsidP="001B38E1">
      <w:pPr>
        <w:spacing w:line="276" w:lineRule="auto"/>
        <w:jc w:val="both"/>
        <w:rPr>
          <w:rFonts w:ascii="Times New Roman" w:hAnsi="Times New Roman" w:cs="Times New Roman"/>
          <w:sz w:val="24"/>
          <w:szCs w:val="24"/>
          <w:lang w:val="en-US"/>
        </w:rPr>
      </w:pPr>
      <w:r w:rsidRPr="001B1C33">
        <w:rPr>
          <w:rFonts w:ascii="Times New Roman" w:hAnsi="Times New Roman" w:cs="Times New Roman"/>
          <w:sz w:val="24"/>
          <w:szCs w:val="24"/>
          <w:lang w:val="en-US"/>
        </w:rPr>
        <w:t>Beckman, Ludwig (2008)</w:t>
      </w:r>
      <w:r w:rsidR="001616A4" w:rsidRPr="001B1C33">
        <w:rPr>
          <w:rFonts w:ascii="Times New Roman" w:hAnsi="Times New Roman" w:cs="Times New Roman"/>
          <w:sz w:val="24"/>
          <w:szCs w:val="24"/>
          <w:lang w:val="en-US"/>
        </w:rPr>
        <w:t xml:space="preserve">. </w:t>
      </w:r>
      <w:r w:rsidR="0063115C">
        <w:rPr>
          <w:rFonts w:ascii="Times New Roman" w:hAnsi="Times New Roman" w:cs="Times New Roman"/>
          <w:sz w:val="24"/>
          <w:szCs w:val="24"/>
          <w:lang w:val="en-US"/>
        </w:rPr>
        <w:t xml:space="preserve">Democratic inclusion, law </w:t>
      </w:r>
      <w:r w:rsidRPr="00001555">
        <w:rPr>
          <w:rFonts w:ascii="Times New Roman" w:hAnsi="Times New Roman" w:cs="Times New Roman"/>
          <w:sz w:val="24"/>
          <w:szCs w:val="24"/>
          <w:lang w:val="en-US"/>
        </w:rPr>
        <w:t xml:space="preserve"> and  </w:t>
      </w:r>
      <w:r w:rsidR="001616A4" w:rsidRPr="00001555">
        <w:rPr>
          <w:rFonts w:ascii="Times New Roman" w:hAnsi="Times New Roman" w:cs="Times New Roman"/>
          <w:sz w:val="24"/>
          <w:szCs w:val="24"/>
          <w:lang w:val="en-US"/>
        </w:rPr>
        <w:t>causes.</w:t>
      </w:r>
      <w:r w:rsidRPr="00001555">
        <w:rPr>
          <w:rFonts w:ascii="Times New Roman" w:hAnsi="Times New Roman" w:cs="Times New Roman"/>
          <w:sz w:val="24"/>
          <w:szCs w:val="24"/>
          <w:lang w:val="en-US"/>
        </w:rPr>
        <w:t xml:space="preserve"> </w:t>
      </w:r>
      <w:r w:rsidRPr="00001555">
        <w:rPr>
          <w:rFonts w:ascii="Times New Roman" w:hAnsi="Times New Roman" w:cs="Times New Roman"/>
          <w:i/>
          <w:sz w:val="24"/>
          <w:szCs w:val="24"/>
          <w:lang w:val="en-US"/>
        </w:rPr>
        <w:t>Ratio Juris</w:t>
      </w:r>
      <w:r w:rsidRPr="00001555">
        <w:rPr>
          <w:rFonts w:ascii="Times New Roman" w:hAnsi="Times New Roman" w:cs="Times New Roman"/>
          <w:sz w:val="24"/>
          <w:szCs w:val="24"/>
          <w:lang w:val="en-US"/>
        </w:rPr>
        <w:t xml:space="preserve"> 21 (3), 348-364. </w:t>
      </w:r>
    </w:p>
    <w:p w:rsidR="000A533E" w:rsidRPr="00001555" w:rsidRDefault="000A533E" w:rsidP="001B38E1">
      <w:pPr>
        <w:spacing w:line="276" w:lineRule="auto"/>
        <w:jc w:val="both"/>
        <w:rPr>
          <w:rFonts w:ascii="Times New Roman" w:hAnsi="Times New Roman" w:cs="Times New Roman"/>
          <w:sz w:val="24"/>
          <w:szCs w:val="24"/>
          <w:lang w:val="en-US"/>
        </w:rPr>
      </w:pPr>
      <w:r w:rsidRPr="00001555">
        <w:rPr>
          <w:rFonts w:ascii="Times New Roman" w:hAnsi="Times New Roman" w:cs="Times New Roman"/>
          <w:sz w:val="24"/>
          <w:szCs w:val="24"/>
          <w:lang w:val="en-US"/>
        </w:rPr>
        <w:t xml:space="preserve">Beckman, Ludwig (2009). </w:t>
      </w:r>
      <w:r w:rsidRPr="00001555">
        <w:rPr>
          <w:rFonts w:ascii="Times New Roman" w:hAnsi="Times New Roman" w:cs="Times New Roman"/>
          <w:i/>
          <w:sz w:val="24"/>
          <w:szCs w:val="24"/>
          <w:lang w:val="en-US"/>
        </w:rPr>
        <w:t xml:space="preserve">The Frontiers of Democracy. The Right to Vote and its Limits. </w:t>
      </w:r>
      <w:r w:rsidRPr="00001555">
        <w:rPr>
          <w:rFonts w:ascii="Times New Roman" w:hAnsi="Times New Roman" w:cs="Times New Roman"/>
          <w:sz w:val="24"/>
          <w:szCs w:val="24"/>
          <w:lang w:val="en-US"/>
        </w:rPr>
        <w:t>Houndmills: Palgrave/MacMillan.</w:t>
      </w:r>
    </w:p>
    <w:p w:rsidR="000A533E" w:rsidRDefault="000A533E" w:rsidP="001B38E1">
      <w:pPr>
        <w:spacing w:line="276" w:lineRule="auto"/>
        <w:jc w:val="both"/>
        <w:rPr>
          <w:rFonts w:ascii="Times New Roman" w:hAnsi="Times New Roman" w:cs="Times New Roman"/>
          <w:sz w:val="24"/>
          <w:szCs w:val="24"/>
          <w:lang w:val="en-US"/>
        </w:rPr>
      </w:pPr>
      <w:r w:rsidRPr="00001555">
        <w:rPr>
          <w:rFonts w:ascii="Times New Roman" w:hAnsi="Times New Roman" w:cs="Times New Roman"/>
          <w:sz w:val="24"/>
          <w:szCs w:val="24"/>
          <w:lang w:val="en-US"/>
        </w:rPr>
        <w:t>Beckman, Ludwig</w:t>
      </w:r>
      <w:r w:rsidR="001616A4" w:rsidRPr="00001555">
        <w:rPr>
          <w:rFonts w:ascii="Times New Roman" w:hAnsi="Times New Roman" w:cs="Times New Roman"/>
          <w:sz w:val="24"/>
          <w:szCs w:val="24"/>
          <w:lang w:val="en-US"/>
        </w:rPr>
        <w:t xml:space="preserve"> (2014). </w:t>
      </w:r>
      <w:r w:rsidRPr="00001555">
        <w:rPr>
          <w:rFonts w:ascii="Times New Roman" w:hAnsi="Times New Roman" w:cs="Times New Roman"/>
          <w:sz w:val="24"/>
          <w:szCs w:val="24"/>
          <w:lang w:val="en-US"/>
        </w:rPr>
        <w:t>Democr</w:t>
      </w:r>
      <w:r w:rsidR="001616A4" w:rsidRPr="00001555">
        <w:rPr>
          <w:rFonts w:ascii="Times New Roman" w:hAnsi="Times New Roman" w:cs="Times New Roman"/>
          <w:sz w:val="24"/>
          <w:szCs w:val="24"/>
          <w:lang w:val="en-US"/>
        </w:rPr>
        <w:t>acy and the right to exclusion.</w:t>
      </w:r>
      <w:r w:rsidRPr="00001555">
        <w:rPr>
          <w:rFonts w:ascii="Times New Roman" w:hAnsi="Times New Roman" w:cs="Times New Roman"/>
          <w:sz w:val="24"/>
          <w:szCs w:val="24"/>
          <w:lang w:val="en-US"/>
        </w:rPr>
        <w:t xml:space="preserve"> </w:t>
      </w:r>
      <w:r w:rsidRPr="00001555">
        <w:rPr>
          <w:rFonts w:ascii="Times New Roman" w:hAnsi="Times New Roman" w:cs="Times New Roman"/>
          <w:i/>
          <w:sz w:val="24"/>
          <w:szCs w:val="24"/>
          <w:lang w:val="en-US"/>
        </w:rPr>
        <w:t>Res Publica</w:t>
      </w:r>
      <w:r w:rsidRPr="00001555">
        <w:rPr>
          <w:rFonts w:ascii="Times New Roman" w:hAnsi="Times New Roman" w:cs="Times New Roman"/>
          <w:sz w:val="24"/>
          <w:szCs w:val="24"/>
          <w:lang w:val="en-US"/>
        </w:rPr>
        <w:t xml:space="preserve"> 20 (4), 395-411.</w:t>
      </w:r>
    </w:p>
    <w:p w:rsidR="000A533E" w:rsidRPr="00001555" w:rsidRDefault="000A533E" w:rsidP="001B38E1">
      <w:pPr>
        <w:spacing w:line="276" w:lineRule="auto"/>
        <w:jc w:val="both"/>
        <w:rPr>
          <w:rFonts w:ascii="Times New Roman" w:hAnsi="Times New Roman" w:cs="Times New Roman"/>
          <w:sz w:val="24"/>
          <w:szCs w:val="24"/>
          <w:lang w:val="en-US"/>
        </w:rPr>
      </w:pPr>
      <w:r w:rsidRPr="00001555">
        <w:rPr>
          <w:rFonts w:ascii="Times New Roman" w:hAnsi="Times New Roman" w:cs="Times New Roman"/>
          <w:sz w:val="24"/>
          <w:szCs w:val="24"/>
          <w:lang w:val="en-US"/>
        </w:rPr>
        <w:t>Brighouse, Harry &amp; Fleurbaey</w:t>
      </w:r>
      <w:r w:rsidR="001616A4" w:rsidRPr="00001555">
        <w:rPr>
          <w:rFonts w:ascii="Times New Roman" w:hAnsi="Times New Roman" w:cs="Times New Roman"/>
          <w:sz w:val="24"/>
          <w:szCs w:val="24"/>
          <w:lang w:val="en-US"/>
        </w:rPr>
        <w:t>, Marc (2010). Democracy and proportionality.</w:t>
      </w:r>
      <w:r w:rsidRPr="00001555">
        <w:rPr>
          <w:rFonts w:ascii="Times New Roman" w:hAnsi="Times New Roman" w:cs="Times New Roman"/>
          <w:sz w:val="24"/>
          <w:szCs w:val="24"/>
          <w:lang w:val="en-US"/>
        </w:rPr>
        <w:t xml:space="preserve"> </w:t>
      </w:r>
      <w:r w:rsidRPr="00001555">
        <w:rPr>
          <w:rFonts w:ascii="Times New Roman" w:hAnsi="Times New Roman" w:cs="Times New Roman"/>
          <w:i/>
          <w:sz w:val="24"/>
          <w:szCs w:val="24"/>
          <w:lang w:val="en-US"/>
        </w:rPr>
        <w:t>Journal of Political Philosophy</w:t>
      </w:r>
      <w:r w:rsidRPr="00001555">
        <w:rPr>
          <w:rFonts w:ascii="Times New Roman" w:hAnsi="Times New Roman" w:cs="Times New Roman"/>
          <w:sz w:val="24"/>
          <w:szCs w:val="24"/>
          <w:lang w:val="en-US"/>
        </w:rPr>
        <w:t xml:space="preserve"> 18 (2), 137-155.</w:t>
      </w:r>
    </w:p>
    <w:p w:rsidR="000A533E" w:rsidRPr="00001555" w:rsidRDefault="000A533E" w:rsidP="001B38E1">
      <w:pPr>
        <w:spacing w:line="276" w:lineRule="auto"/>
        <w:jc w:val="both"/>
        <w:rPr>
          <w:rFonts w:ascii="Times New Roman" w:hAnsi="Times New Roman" w:cs="Times New Roman"/>
          <w:sz w:val="24"/>
          <w:szCs w:val="24"/>
          <w:lang w:val="en-US"/>
        </w:rPr>
      </w:pPr>
      <w:r w:rsidRPr="00001555">
        <w:rPr>
          <w:rFonts w:ascii="Times New Roman" w:hAnsi="Times New Roman" w:cs="Times New Roman"/>
          <w:sz w:val="24"/>
          <w:szCs w:val="24"/>
          <w:lang w:val="en-US"/>
        </w:rPr>
        <w:t>Cole, G.D.H. (1989</w:t>
      </w:r>
      <w:r w:rsidR="00CE1E63" w:rsidRPr="00001555">
        <w:rPr>
          <w:rFonts w:ascii="Times New Roman" w:hAnsi="Times New Roman" w:cs="Times New Roman"/>
          <w:sz w:val="24"/>
          <w:szCs w:val="24"/>
          <w:lang w:val="en-US"/>
        </w:rPr>
        <w:t xml:space="preserve"> [1920]) </w:t>
      </w:r>
      <w:r w:rsidRPr="00001555">
        <w:rPr>
          <w:rFonts w:ascii="Times New Roman" w:hAnsi="Times New Roman" w:cs="Times New Roman"/>
          <w:sz w:val="24"/>
          <w:szCs w:val="24"/>
          <w:lang w:val="en-US"/>
        </w:rPr>
        <w:t>Democracy and r</w:t>
      </w:r>
      <w:r w:rsidR="00CE1E63" w:rsidRPr="00001555">
        <w:rPr>
          <w:rFonts w:ascii="Times New Roman" w:hAnsi="Times New Roman" w:cs="Times New Roman"/>
          <w:sz w:val="24"/>
          <w:szCs w:val="24"/>
          <w:lang w:val="en-US"/>
        </w:rPr>
        <w:t>epresentation</w:t>
      </w:r>
      <w:r w:rsidRPr="00001555">
        <w:rPr>
          <w:rFonts w:ascii="Times New Roman" w:hAnsi="Times New Roman" w:cs="Times New Roman"/>
          <w:sz w:val="24"/>
          <w:szCs w:val="24"/>
          <w:lang w:val="en-US"/>
        </w:rPr>
        <w:t xml:space="preserve">. In Paul Q. Hirst (ed.) </w:t>
      </w:r>
      <w:r w:rsidRPr="00C4345A">
        <w:rPr>
          <w:rFonts w:ascii="Times New Roman" w:hAnsi="Times New Roman" w:cs="Times New Roman"/>
          <w:i/>
          <w:sz w:val="24"/>
          <w:szCs w:val="24"/>
        </w:rPr>
        <w:t xml:space="preserve">The Pluralist Theory of the State. </w:t>
      </w:r>
      <w:r w:rsidRPr="00001555">
        <w:rPr>
          <w:rFonts w:ascii="Times New Roman" w:hAnsi="Times New Roman" w:cs="Times New Roman"/>
          <w:i/>
          <w:sz w:val="24"/>
          <w:szCs w:val="24"/>
          <w:lang w:val="en-US"/>
        </w:rPr>
        <w:t>Selected Writings of G.D.H. Cole, J.N. Figgis and H. J. Laski.</w:t>
      </w:r>
      <w:r w:rsidRPr="00001555">
        <w:rPr>
          <w:rFonts w:ascii="Times New Roman" w:hAnsi="Times New Roman" w:cs="Times New Roman"/>
          <w:sz w:val="24"/>
          <w:szCs w:val="24"/>
          <w:lang w:val="en-US"/>
        </w:rPr>
        <w:t xml:space="preserve"> London: Routledge &amp; Kegan Paul, 82-90. </w:t>
      </w:r>
    </w:p>
    <w:p w:rsidR="000A533E" w:rsidRPr="00001555" w:rsidRDefault="000A533E" w:rsidP="001B38E1">
      <w:pPr>
        <w:spacing w:line="276" w:lineRule="auto"/>
        <w:jc w:val="both"/>
        <w:rPr>
          <w:rFonts w:ascii="Times New Roman" w:hAnsi="Times New Roman" w:cs="Times New Roman"/>
          <w:sz w:val="24"/>
          <w:szCs w:val="24"/>
          <w:lang w:val="en-US"/>
        </w:rPr>
      </w:pPr>
      <w:r w:rsidRPr="00001555">
        <w:rPr>
          <w:rFonts w:ascii="Times New Roman" w:hAnsi="Times New Roman" w:cs="Times New Roman"/>
          <w:sz w:val="24"/>
          <w:szCs w:val="24"/>
          <w:lang w:val="en-US"/>
        </w:rPr>
        <w:t xml:space="preserve">Colomer, Josep M. (2001). </w:t>
      </w:r>
      <w:r w:rsidRPr="00001555">
        <w:rPr>
          <w:rFonts w:ascii="Times New Roman" w:hAnsi="Times New Roman" w:cs="Times New Roman"/>
          <w:i/>
          <w:sz w:val="24"/>
          <w:szCs w:val="24"/>
          <w:lang w:val="en-US"/>
        </w:rPr>
        <w:t>Political Institutions. Democracy and Social Choice.</w:t>
      </w:r>
      <w:r w:rsidRPr="00001555">
        <w:rPr>
          <w:rFonts w:ascii="Times New Roman" w:hAnsi="Times New Roman" w:cs="Times New Roman"/>
          <w:sz w:val="24"/>
          <w:szCs w:val="24"/>
          <w:lang w:val="en-US"/>
        </w:rPr>
        <w:t xml:space="preserve"> Oxford Oxford: University Press.</w:t>
      </w:r>
    </w:p>
    <w:p w:rsidR="000A533E" w:rsidRDefault="000A533E" w:rsidP="001B38E1">
      <w:pPr>
        <w:spacing w:line="276" w:lineRule="auto"/>
        <w:jc w:val="both"/>
        <w:rPr>
          <w:rFonts w:ascii="Times New Roman" w:hAnsi="Times New Roman" w:cs="Times New Roman"/>
          <w:sz w:val="24"/>
          <w:szCs w:val="24"/>
          <w:lang w:val="en-US"/>
        </w:rPr>
      </w:pPr>
      <w:r w:rsidRPr="00001555">
        <w:rPr>
          <w:rFonts w:ascii="Times New Roman" w:hAnsi="Times New Roman" w:cs="Times New Roman"/>
          <w:sz w:val="24"/>
          <w:szCs w:val="24"/>
          <w:lang w:val="en-US"/>
        </w:rPr>
        <w:t xml:space="preserve">Dahl, Robert A. (1970). </w:t>
      </w:r>
      <w:r w:rsidRPr="00001555">
        <w:rPr>
          <w:rFonts w:ascii="Times New Roman" w:hAnsi="Times New Roman" w:cs="Times New Roman"/>
          <w:i/>
          <w:sz w:val="24"/>
          <w:szCs w:val="24"/>
          <w:lang w:val="en-US"/>
        </w:rPr>
        <w:t>After the Revolution? Authority in a Good Society</w:t>
      </w:r>
      <w:r w:rsidRPr="00001555">
        <w:rPr>
          <w:rFonts w:ascii="Times New Roman" w:hAnsi="Times New Roman" w:cs="Times New Roman"/>
          <w:sz w:val="24"/>
          <w:szCs w:val="24"/>
          <w:lang w:val="en-US"/>
        </w:rPr>
        <w:t>. New Haven: Yale University Press.</w:t>
      </w:r>
    </w:p>
    <w:p w:rsidR="00D0699F" w:rsidRPr="00D0699F" w:rsidRDefault="00D0699F" w:rsidP="00D0699F">
      <w:pPr>
        <w:jc w:val="both"/>
        <w:rPr>
          <w:rFonts w:ascii="Times New Roman" w:hAnsi="Times New Roman" w:cs="Times New Roman"/>
          <w:i/>
          <w:sz w:val="24"/>
          <w:szCs w:val="24"/>
          <w:lang w:val="en-GB"/>
        </w:rPr>
      </w:pPr>
      <w:r w:rsidRPr="00D0699F">
        <w:rPr>
          <w:rFonts w:ascii="Times New Roman" w:hAnsi="Times New Roman" w:cs="Times New Roman"/>
          <w:sz w:val="24"/>
          <w:szCs w:val="24"/>
          <w:lang w:val="en-GB"/>
        </w:rPr>
        <w:t>Dryzek, John (2000)</w:t>
      </w:r>
      <w:r>
        <w:rPr>
          <w:rFonts w:ascii="Times New Roman" w:hAnsi="Times New Roman" w:cs="Times New Roman"/>
          <w:sz w:val="24"/>
          <w:szCs w:val="24"/>
          <w:lang w:val="en-GB"/>
        </w:rPr>
        <w:t>.</w:t>
      </w:r>
      <w:r w:rsidRPr="00D0699F">
        <w:rPr>
          <w:rFonts w:ascii="Times New Roman" w:hAnsi="Times New Roman" w:cs="Times New Roman"/>
          <w:sz w:val="24"/>
          <w:szCs w:val="24"/>
          <w:lang w:val="en-GB"/>
        </w:rPr>
        <w:t xml:space="preserve"> </w:t>
      </w:r>
      <w:r w:rsidRPr="00D0699F">
        <w:rPr>
          <w:rFonts w:ascii="Times New Roman" w:hAnsi="Times New Roman" w:cs="Times New Roman"/>
          <w:i/>
          <w:sz w:val="24"/>
          <w:szCs w:val="24"/>
          <w:lang w:val="en-GB"/>
        </w:rPr>
        <w:t>Deliberative Democracy and Beyond.</w:t>
      </w:r>
      <w:r>
        <w:rPr>
          <w:rFonts w:ascii="Times New Roman" w:hAnsi="Times New Roman" w:cs="Times New Roman"/>
          <w:sz w:val="24"/>
          <w:szCs w:val="24"/>
          <w:lang w:val="en-GB"/>
        </w:rPr>
        <w:t xml:space="preserve"> Oxford:</w:t>
      </w:r>
      <w:r w:rsidRPr="00D0699F">
        <w:rPr>
          <w:rFonts w:ascii="Times New Roman" w:hAnsi="Times New Roman" w:cs="Times New Roman"/>
          <w:sz w:val="24"/>
          <w:szCs w:val="24"/>
          <w:lang w:val="en-GB"/>
        </w:rPr>
        <w:t xml:space="preserve"> Oxford University Press.</w:t>
      </w:r>
      <w:r w:rsidRPr="00D0699F">
        <w:rPr>
          <w:rFonts w:ascii="Times New Roman" w:hAnsi="Times New Roman" w:cs="Times New Roman"/>
          <w:i/>
          <w:sz w:val="24"/>
          <w:szCs w:val="24"/>
          <w:lang w:val="en-GB"/>
        </w:rPr>
        <w:t xml:space="preserve"> </w:t>
      </w:r>
    </w:p>
    <w:p w:rsidR="00014BD2" w:rsidRPr="00001555" w:rsidRDefault="00014BD2" w:rsidP="001B38E1">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Erman, Eva (2014). The boundary problem and the ideal of democracy. </w:t>
      </w:r>
      <w:r w:rsidRPr="008B5D1D">
        <w:rPr>
          <w:rFonts w:ascii="Times New Roman" w:hAnsi="Times New Roman" w:cs="Times New Roman"/>
          <w:i/>
          <w:sz w:val="24"/>
          <w:szCs w:val="24"/>
          <w:lang w:val="en-US"/>
        </w:rPr>
        <w:t>Constellations</w:t>
      </w:r>
      <w:r>
        <w:rPr>
          <w:rFonts w:ascii="Times New Roman" w:hAnsi="Times New Roman" w:cs="Times New Roman"/>
          <w:sz w:val="24"/>
          <w:szCs w:val="24"/>
          <w:lang w:val="en-US"/>
        </w:rPr>
        <w:t xml:space="preserve"> 21 (4), 535-546.</w:t>
      </w:r>
    </w:p>
    <w:p w:rsidR="000A533E" w:rsidRPr="00001555" w:rsidRDefault="000A533E" w:rsidP="001B38E1">
      <w:pPr>
        <w:spacing w:line="276" w:lineRule="auto"/>
        <w:jc w:val="both"/>
        <w:rPr>
          <w:rFonts w:ascii="Times New Roman" w:hAnsi="Times New Roman" w:cs="Times New Roman"/>
          <w:sz w:val="24"/>
          <w:szCs w:val="24"/>
          <w:lang w:val="en-US"/>
        </w:rPr>
      </w:pPr>
      <w:r w:rsidRPr="00001555">
        <w:rPr>
          <w:rFonts w:ascii="Times New Roman" w:hAnsi="Times New Roman" w:cs="Times New Roman"/>
          <w:sz w:val="24"/>
          <w:szCs w:val="24"/>
          <w:lang w:val="en-US"/>
        </w:rPr>
        <w:t>Goodin, Robert (2007).</w:t>
      </w:r>
      <w:r w:rsidR="001616A4" w:rsidRPr="00001555">
        <w:rPr>
          <w:rFonts w:ascii="Times New Roman" w:hAnsi="Times New Roman" w:cs="Times New Roman"/>
          <w:sz w:val="24"/>
          <w:szCs w:val="24"/>
          <w:lang w:val="en-US"/>
        </w:rPr>
        <w:t xml:space="preserve"> </w:t>
      </w:r>
      <w:r w:rsidRPr="00001555">
        <w:rPr>
          <w:rFonts w:ascii="Times New Roman" w:hAnsi="Times New Roman" w:cs="Times New Roman"/>
          <w:sz w:val="24"/>
          <w:szCs w:val="24"/>
          <w:lang w:val="en-US"/>
        </w:rPr>
        <w:t>Enfranchising all affected i</w:t>
      </w:r>
      <w:r w:rsidR="001616A4" w:rsidRPr="00001555">
        <w:rPr>
          <w:rFonts w:ascii="Times New Roman" w:hAnsi="Times New Roman" w:cs="Times New Roman"/>
          <w:sz w:val="24"/>
          <w:szCs w:val="24"/>
          <w:lang w:val="en-US"/>
        </w:rPr>
        <w:t>nterests, and its alternatives.</w:t>
      </w:r>
      <w:r w:rsidRPr="00001555">
        <w:rPr>
          <w:rFonts w:ascii="Times New Roman" w:hAnsi="Times New Roman" w:cs="Times New Roman"/>
          <w:sz w:val="24"/>
          <w:szCs w:val="24"/>
          <w:lang w:val="en-US"/>
        </w:rPr>
        <w:t xml:space="preserve"> </w:t>
      </w:r>
      <w:r w:rsidRPr="00297BDB">
        <w:rPr>
          <w:rFonts w:ascii="Times New Roman" w:hAnsi="Times New Roman" w:cs="Times New Roman"/>
          <w:i/>
          <w:sz w:val="24"/>
          <w:szCs w:val="24"/>
          <w:lang w:val="en-US"/>
        </w:rPr>
        <w:t>Philosophy and Public Affairs</w:t>
      </w:r>
      <w:r w:rsidRPr="00001555">
        <w:rPr>
          <w:rFonts w:ascii="Times New Roman" w:hAnsi="Times New Roman" w:cs="Times New Roman"/>
          <w:sz w:val="24"/>
          <w:szCs w:val="24"/>
          <w:lang w:val="en-US"/>
        </w:rPr>
        <w:t xml:space="preserve"> 35 (1), 40-68. </w:t>
      </w:r>
    </w:p>
    <w:p w:rsidR="000A533E" w:rsidRDefault="000A533E" w:rsidP="001B38E1">
      <w:pPr>
        <w:spacing w:line="276" w:lineRule="auto"/>
        <w:jc w:val="both"/>
        <w:rPr>
          <w:rFonts w:ascii="Times New Roman" w:hAnsi="Times New Roman" w:cs="Times New Roman"/>
          <w:kern w:val="2"/>
          <w:sz w:val="24"/>
          <w:szCs w:val="24"/>
          <w:lang w:val="en-US"/>
        </w:rPr>
      </w:pPr>
      <w:r w:rsidRPr="00001555">
        <w:rPr>
          <w:rFonts w:ascii="Times New Roman" w:hAnsi="Times New Roman" w:cs="Times New Roman"/>
          <w:kern w:val="2"/>
          <w:sz w:val="24"/>
          <w:szCs w:val="24"/>
          <w:lang w:val="en-US"/>
        </w:rPr>
        <w:t>Habermas, Jürgen (1996).</w:t>
      </w:r>
      <w:r w:rsidRPr="00001555">
        <w:rPr>
          <w:rFonts w:ascii="Times New Roman" w:hAnsi="Times New Roman" w:cs="Times New Roman"/>
          <w:i/>
          <w:kern w:val="2"/>
          <w:sz w:val="24"/>
          <w:szCs w:val="24"/>
          <w:lang w:val="en-US"/>
        </w:rPr>
        <w:t xml:space="preserve"> Between Facts and Norms</w:t>
      </w:r>
      <w:r w:rsidRPr="00001555">
        <w:rPr>
          <w:rFonts w:ascii="Times New Roman" w:hAnsi="Times New Roman" w:cs="Times New Roman"/>
          <w:kern w:val="2"/>
          <w:sz w:val="24"/>
          <w:szCs w:val="24"/>
          <w:lang w:val="en-US"/>
        </w:rPr>
        <w:t>. Tr. W, Rehg. Cambridge: Polity Press.</w:t>
      </w:r>
    </w:p>
    <w:p w:rsidR="006536E2" w:rsidRPr="00001555" w:rsidRDefault="006536E2" w:rsidP="001B38E1">
      <w:pPr>
        <w:spacing w:line="276" w:lineRule="auto"/>
        <w:jc w:val="both"/>
        <w:rPr>
          <w:rFonts w:ascii="Times New Roman" w:hAnsi="Times New Roman" w:cs="Times New Roman"/>
          <w:kern w:val="2"/>
          <w:sz w:val="24"/>
          <w:szCs w:val="24"/>
          <w:lang w:val="en-US"/>
        </w:rPr>
      </w:pPr>
      <w:r>
        <w:rPr>
          <w:rFonts w:ascii="Times New Roman" w:hAnsi="Times New Roman" w:cs="Times New Roman"/>
          <w:kern w:val="2"/>
          <w:sz w:val="24"/>
          <w:szCs w:val="24"/>
          <w:lang w:val="en-US"/>
        </w:rPr>
        <w:t xml:space="preserve">Held, David (1995). </w:t>
      </w:r>
      <w:r w:rsidRPr="00DC7506">
        <w:rPr>
          <w:rFonts w:ascii="Times New Roman" w:hAnsi="Times New Roman" w:cs="Times New Roman"/>
          <w:i/>
          <w:kern w:val="2"/>
          <w:sz w:val="24"/>
          <w:szCs w:val="24"/>
          <w:lang w:val="en-US"/>
        </w:rPr>
        <w:t xml:space="preserve">Democracy and the Global Order: From the Modern State to Cosmopolitan Governance. </w:t>
      </w:r>
      <w:r>
        <w:rPr>
          <w:rFonts w:ascii="Times New Roman" w:hAnsi="Times New Roman" w:cs="Times New Roman"/>
          <w:kern w:val="2"/>
          <w:sz w:val="24"/>
          <w:szCs w:val="24"/>
          <w:lang w:val="en-US"/>
        </w:rPr>
        <w:t>Cambridge: Polity Press.</w:t>
      </w:r>
    </w:p>
    <w:p w:rsidR="006536E2" w:rsidRPr="00DC7506" w:rsidRDefault="00051BCE" w:rsidP="001B38E1">
      <w:pPr>
        <w:spacing w:line="276" w:lineRule="auto"/>
        <w:rPr>
          <w:rFonts w:ascii="Times New Roman" w:eastAsia="Times New Roman" w:hAnsi="Times New Roman" w:cs="Times New Roman"/>
          <w:sz w:val="24"/>
          <w:szCs w:val="24"/>
          <w:lang w:val="en-US" w:eastAsia="fi-FI"/>
        </w:rPr>
      </w:pPr>
      <w:r>
        <w:rPr>
          <w:rFonts w:ascii="Times New Roman" w:hAnsi="Times New Roman" w:cs="Times New Roman"/>
          <w:kern w:val="2"/>
          <w:sz w:val="24"/>
          <w:szCs w:val="24"/>
          <w:lang w:val="en-US"/>
        </w:rPr>
        <w:t>Held, David (2006).</w:t>
      </w:r>
      <w:r w:rsidR="00E24429">
        <w:rPr>
          <w:rFonts w:ascii="Times New Roman" w:hAnsi="Times New Roman" w:cs="Times New Roman"/>
          <w:kern w:val="2"/>
          <w:sz w:val="24"/>
          <w:szCs w:val="24"/>
          <w:lang w:val="en-US"/>
        </w:rPr>
        <w:t xml:space="preserve"> </w:t>
      </w:r>
      <w:r w:rsidR="00E24429" w:rsidRPr="00E24429">
        <w:rPr>
          <w:rFonts w:ascii="Times New Roman" w:hAnsi="Times New Roman" w:cs="Times New Roman"/>
          <w:i/>
          <w:kern w:val="2"/>
          <w:sz w:val="24"/>
          <w:szCs w:val="24"/>
          <w:lang w:val="en-US"/>
        </w:rPr>
        <w:t>The Models of Democracy</w:t>
      </w:r>
      <w:r w:rsidR="00E24429">
        <w:rPr>
          <w:rFonts w:ascii="Times New Roman" w:hAnsi="Times New Roman" w:cs="Times New Roman"/>
          <w:kern w:val="2"/>
          <w:sz w:val="24"/>
          <w:szCs w:val="24"/>
          <w:lang w:val="en-US"/>
        </w:rPr>
        <w:t>.</w:t>
      </w:r>
      <w:r w:rsidR="00DC7506" w:rsidRPr="00DC7506">
        <w:rPr>
          <w:rFonts w:hAnsi="Symbol"/>
          <w:lang w:val="en-US"/>
        </w:rPr>
        <w:t xml:space="preserve"> </w:t>
      </w:r>
      <w:r w:rsidR="00DC7506" w:rsidRPr="00DC7506">
        <w:rPr>
          <w:rFonts w:ascii="Times New Roman" w:eastAsia="Times New Roman" w:hAnsi="Times New Roman" w:cs="Times New Roman"/>
          <w:i/>
          <w:sz w:val="24"/>
          <w:szCs w:val="24"/>
          <w:lang w:val="en-US" w:eastAsia="fi-FI"/>
        </w:rPr>
        <w:t>3rd ed</w:t>
      </w:r>
      <w:r w:rsidR="00DC7506" w:rsidRPr="00DC7506">
        <w:rPr>
          <w:rFonts w:ascii="Times New Roman" w:eastAsia="Times New Roman" w:hAnsi="Times New Roman" w:cs="Times New Roman"/>
          <w:sz w:val="24"/>
          <w:szCs w:val="24"/>
          <w:lang w:val="en-US" w:eastAsia="fi-FI"/>
        </w:rPr>
        <w:t>.</w:t>
      </w:r>
      <w:r w:rsidR="00DC7506">
        <w:rPr>
          <w:rFonts w:ascii="Times New Roman" w:eastAsia="Times New Roman" w:hAnsi="Times New Roman" w:cs="Times New Roman"/>
          <w:sz w:val="24"/>
          <w:szCs w:val="24"/>
          <w:lang w:val="en-US" w:eastAsia="fi-FI"/>
        </w:rPr>
        <w:t xml:space="preserve"> Cambridge</w:t>
      </w:r>
      <w:r w:rsidR="00DC7506" w:rsidRPr="00DC7506">
        <w:rPr>
          <w:rFonts w:ascii="Times New Roman" w:eastAsia="Times New Roman" w:hAnsi="Times New Roman" w:cs="Times New Roman"/>
          <w:sz w:val="24"/>
          <w:szCs w:val="24"/>
          <w:lang w:val="en-US" w:eastAsia="fi-FI"/>
        </w:rPr>
        <w:t>: Polity</w:t>
      </w:r>
      <w:r w:rsidR="00DC7506">
        <w:rPr>
          <w:rFonts w:ascii="Times New Roman" w:eastAsia="Times New Roman" w:hAnsi="Times New Roman" w:cs="Times New Roman"/>
          <w:sz w:val="24"/>
          <w:szCs w:val="24"/>
          <w:lang w:val="en-US" w:eastAsia="fi-FI"/>
        </w:rPr>
        <w:t xml:space="preserve"> Press.</w:t>
      </w:r>
    </w:p>
    <w:p w:rsidR="000A533E" w:rsidRPr="00764A8E" w:rsidRDefault="000A533E" w:rsidP="001B38E1">
      <w:pPr>
        <w:spacing w:line="276" w:lineRule="auto"/>
        <w:jc w:val="both"/>
        <w:rPr>
          <w:rFonts w:ascii="Times New Roman" w:hAnsi="Times New Roman" w:cs="Times New Roman"/>
          <w:sz w:val="24"/>
          <w:szCs w:val="24"/>
        </w:rPr>
      </w:pPr>
      <w:r w:rsidRPr="00C7192C">
        <w:rPr>
          <w:rFonts w:ascii="Times New Roman" w:hAnsi="Times New Roman" w:cs="Times New Roman"/>
          <w:sz w:val="24"/>
          <w:szCs w:val="24"/>
          <w:lang w:val="en-US"/>
        </w:rPr>
        <w:t>Jones, Peter</w:t>
      </w:r>
      <w:r w:rsidR="001616A4">
        <w:rPr>
          <w:rFonts w:ascii="Times New Roman" w:hAnsi="Times New Roman" w:cs="Times New Roman"/>
          <w:sz w:val="24"/>
          <w:szCs w:val="24"/>
          <w:lang w:val="en-US"/>
        </w:rPr>
        <w:t xml:space="preserve"> (1983). </w:t>
      </w:r>
      <w:r w:rsidRPr="00C7192C">
        <w:rPr>
          <w:rFonts w:ascii="Times New Roman" w:hAnsi="Times New Roman" w:cs="Times New Roman"/>
          <w:sz w:val="24"/>
          <w:szCs w:val="24"/>
          <w:lang w:val="en-US"/>
        </w:rPr>
        <w:t>Polit</w:t>
      </w:r>
      <w:r w:rsidR="001616A4">
        <w:rPr>
          <w:rFonts w:ascii="Times New Roman" w:hAnsi="Times New Roman" w:cs="Times New Roman"/>
          <w:sz w:val="24"/>
          <w:szCs w:val="24"/>
          <w:lang w:val="en-US"/>
        </w:rPr>
        <w:t>ical equality and majority rule</w:t>
      </w:r>
      <w:r w:rsidRPr="00C7192C">
        <w:rPr>
          <w:rFonts w:ascii="Times New Roman" w:hAnsi="Times New Roman" w:cs="Times New Roman"/>
          <w:sz w:val="24"/>
          <w:szCs w:val="24"/>
          <w:lang w:val="en-US"/>
        </w:rPr>
        <w:t xml:space="preserve">. </w:t>
      </w:r>
      <w:r w:rsidRPr="002C4CC5">
        <w:rPr>
          <w:rFonts w:ascii="Times New Roman" w:hAnsi="Times New Roman" w:cs="Times New Roman"/>
          <w:sz w:val="24"/>
          <w:szCs w:val="24"/>
          <w:lang w:val="en-US"/>
        </w:rPr>
        <w:t xml:space="preserve">In David Miller &amp; Larry Siedentop (eds.) </w:t>
      </w:r>
      <w:r w:rsidRPr="002C4CC5">
        <w:rPr>
          <w:rFonts w:ascii="Times New Roman" w:hAnsi="Times New Roman" w:cs="Times New Roman"/>
          <w:i/>
          <w:sz w:val="24"/>
          <w:szCs w:val="24"/>
          <w:lang w:val="en-US"/>
        </w:rPr>
        <w:t>The Nature of Political Theory</w:t>
      </w:r>
      <w:r>
        <w:rPr>
          <w:rFonts w:ascii="Times New Roman" w:hAnsi="Times New Roman" w:cs="Times New Roman"/>
          <w:sz w:val="24"/>
          <w:szCs w:val="24"/>
          <w:lang w:val="en-US"/>
        </w:rPr>
        <w:t xml:space="preserve">. </w:t>
      </w:r>
      <w:r w:rsidRPr="00764A8E">
        <w:rPr>
          <w:rFonts w:ascii="Times New Roman" w:hAnsi="Times New Roman" w:cs="Times New Roman"/>
          <w:sz w:val="24"/>
          <w:szCs w:val="24"/>
        </w:rPr>
        <w:t>Oxford: Clarendon Press, 155-182.</w:t>
      </w:r>
    </w:p>
    <w:p w:rsidR="001616A4" w:rsidRPr="00764A8E" w:rsidRDefault="001616A4" w:rsidP="001B38E1">
      <w:pPr>
        <w:spacing w:line="276" w:lineRule="auto"/>
        <w:jc w:val="both"/>
        <w:rPr>
          <w:rFonts w:ascii="Times New Roman" w:hAnsi="Times New Roman" w:cs="Times New Roman"/>
          <w:sz w:val="24"/>
          <w:szCs w:val="24"/>
        </w:rPr>
      </w:pPr>
      <w:r w:rsidRPr="006653AA">
        <w:rPr>
          <w:rFonts w:ascii="Times New Roman" w:hAnsi="Times New Roman" w:cs="Times New Roman"/>
          <w:sz w:val="24"/>
          <w:szCs w:val="24"/>
        </w:rPr>
        <w:t>Lagerspetz, Eerik</w:t>
      </w:r>
      <w:r w:rsidR="00CE1E63" w:rsidRPr="006653AA">
        <w:rPr>
          <w:rFonts w:ascii="Times New Roman" w:hAnsi="Times New Roman" w:cs="Times New Roman"/>
          <w:sz w:val="24"/>
          <w:szCs w:val="24"/>
        </w:rPr>
        <w:t xml:space="preserve"> (1998). Itsemäärääminen ja valta. </w:t>
      </w:r>
      <w:r w:rsidR="00CE1E63" w:rsidRPr="00001555">
        <w:rPr>
          <w:rFonts w:ascii="Times New Roman" w:hAnsi="Times New Roman" w:cs="Times New Roman"/>
          <w:sz w:val="24"/>
          <w:szCs w:val="24"/>
        </w:rPr>
        <w:t xml:space="preserve">Teoksessa Juhani Pietarinen, Veikko Launis, Juha Räikkä, Eerik Lagerspetz, Marjo Rauhala ja Markku Oksanen, </w:t>
      </w:r>
      <w:r w:rsidR="00CE1E63" w:rsidRPr="00001555">
        <w:rPr>
          <w:rFonts w:ascii="Times New Roman" w:hAnsi="Times New Roman" w:cs="Times New Roman"/>
          <w:i/>
          <w:sz w:val="24"/>
          <w:szCs w:val="24"/>
        </w:rPr>
        <w:t>Oikeus itsemääräämiseen</w:t>
      </w:r>
      <w:r w:rsidR="00CE1E63" w:rsidRPr="00001555">
        <w:rPr>
          <w:rFonts w:ascii="Times New Roman" w:hAnsi="Times New Roman" w:cs="Times New Roman"/>
          <w:sz w:val="24"/>
          <w:szCs w:val="24"/>
        </w:rPr>
        <w:t xml:space="preserve">. </w:t>
      </w:r>
      <w:r w:rsidR="00CE1E63" w:rsidRPr="00764A8E">
        <w:rPr>
          <w:rFonts w:ascii="Times New Roman" w:hAnsi="Times New Roman" w:cs="Times New Roman"/>
          <w:sz w:val="24"/>
          <w:szCs w:val="24"/>
        </w:rPr>
        <w:t>Helsinki: Edita, 97-141.</w:t>
      </w:r>
    </w:p>
    <w:p w:rsidR="00A415D2" w:rsidRDefault="00A415D2" w:rsidP="001B38E1">
      <w:pPr>
        <w:spacing w:before="240" w:after="0" w:line="276" w:lineRule="auto"/>
        <w:jc w:val="both"/>
        <w:rPr>
          <w:rFonts w:ascii="Times New Roman" w:hAnsi="Times New Roman" w:cs="Times New Roman"/>
          <w:sz w:val="24"/>
          <w:szCs w:val="24"/>
        </w:rPr>
      </w:pPr>
      <w:r>
        <w:rPr>
          <w:rFonts w:ascii="Times New Roman" w:hAnsi="Times New Roman"/>
          <w:kern w:val="2"/>
          <w:sz w:val="24"/>
          <w:szCs w:val="24"/>
        </w:rPr>
        <w:t xml:space="preserve">Lagerspetz, Eerik (2011) </w:t>
      </w:r>
      <w:r w:rsidRPr="00A415D2">
        <w:rPr>
          <w:rFonts w:ascii="Times New Roman" w:hAnsi="Times New Roman"/>
          <w:kern w:val="2"/>
          <w:sz w:val="24"/>
          <w:szCs w:val="24"/>
        </w:rPr>
        <w:t>Hyvinvoinnin filosofia. Teoksessa</w:t>
      </w:r>
      <w:r w:rsidR="00477A6A">
        <w:rPr>
          <w:rFonts w:ascii="Times New Roman" w:hAnsi="Times New Roman"/>
          <w:kern w:val="2"/>
          <w:sz w:val="24"/>
          <w:szCs w:val="24"/>
        </w:rPr>
        <w:t xml:space="preserve"> Juho</w:t>
      </w:r>
      <w:r>
        <w:rPr>
          <w:rFonts w:ascii="Times New Roman" w:hAnsi="Times New Roman"/>
          <w:kern w:val="2"/>
          <w:sz w:val="24"/>
          <w:szCs w:val="24"/>
        </w:rPr>
        <w:t xml:space="preserve"> Saari (toim.</w:t>
      </w:r>
      <w:r w:rsidRPr="00A415D2">
        <w:rPr>
          <w:rFonts w:ascii="Times New Roman" w:hAnsi="Times New Roman"/>
          <w:kern w:val="2"/>
          <w:sz w:val="24"/>
          <w:szCs w:val="24"/>
        </w:rPr>
        <w:t xml:space="preserve">) </w:t>
      </w:r>
      <w:r w:rsidRPr="00A415D2">
        <w:rPr>
          <w:rFonts w:ascii="Times New Roman" w:hAnsi="Times New Roman"/>
          <w:i/>
          <w:kern w:val="2"/>
          <w:sz w:val="24"/>
          <w:szCs w:val="24"/>
        </w:rPr>
        <w:t>Hyvinvointi</w:t>
      </w:r>
      <w:r w:rsidRPr="00A415D2">
        <w:rPr>
          <w:rFonts w:ascii="Times New Roman" w:hAnsi="Times New Roman"/>
          <w:kern w:val="2"/>
          <w:sz w:val="24"/>
          <w:szCs w:val="24"/>
        </w:rPr>
        <w:t xml:space="preserve">. </w:t>
      </w:r>
      <w:r w:rsidRPr="00A415D2">
        <w:rPr>
          <w:rFonts w:ascii="Times New Roman" w:hAnsi="Times New Roman"/>
          <w:i/>
          <w:kern w:val="2"/>
          <w:sz w:val="24"/>
          <w:szCs w:val="24"/>
        </w:rPr>
        <w:t xml:space="preserve">Suomalaisen yhteiskunnan perusta. </w:t>
      </w:r>
      <w:r w:rsidRPr="00A415D2">
        <w:rPr>
          <w:rFonts w:ascii="Times New Roman" w:hAnsi="Times New Roman"/>
          <w:kern w:val="2"/>
          <w:sz w:val="24"/>
          <w:szCs w:val="24"/>
        </w:rPr>
        <w:t xml:space="preserve"> Helsinki</w:t>
      </w:r>
      <w:r>
        <w:rPr>
          <w:rFonts w:ascii="Times New Roman" w:hAnsi="Times New Roman"/>
          <w:kern w:val="2"/>
          <w:sz w:val="24"/>
          <w:szCs w:val="24"/>
        </w:rPr>
        <w:t xml:space="preserve">: </w:t>
      </w:r>
      <w:r w:rsidRPr="00A415D2">
        <w:rPr>
          <w:rFonts w:ascii="Times New Roman" w:hAnsi="Times New Roman"/>
          <w:kern w:val="2"/>
          <w:sz w:val="24"/>
          <w:szCs w:val="24"/>
        </w:rPr>
        <w:t>Gaudeamus, 79-105.</w:t>
      </w:r>
    </w:p>
    <w:p w:rsidR="008622E3" w:rsidRPr="004C68A0" w:rsidRDefault="00CE1E63" w:rsidP="001B38E1">
      <w:pPr>
        <w:spacing w:before="240" w:line="276" w:lineRule="auto"/>
        <w:jc w:val="both"/>
        <w:rPr>
          <w:rFonts w:ascii="Times New Roman" w:hAnsi="Times New Roman"/>
          <w:sz w:val="24"/>
          <w:szCs w:val="24"/>
          <w:lang w:val="sv-SE"/>
        </w:rPr>
      </w:pPr>
      <w:r w:rsidRPr="00A415D2">
        <w:rPr>
          <w:rFonts w:ascii="Times New Roman" w:hAnsi="Times New Roman" w:cs="Times New Roman"/>
          <w:sz w:val="24"/>
          <w:szCs w:val="24"/>
        </w:rPr>
        <w:lastRenderedPageBreak/>
        <w:t>Lagerspetz</w:t>
      </w:r>
      <w:r w:rsidR="008622E3" w:rsidRPr="00A415D2">
        <w:rPr>
          <w:rFonts w:ascii="Times New Roman" w:hAnsi="Times New Roman" w:cs="Times New Roman"/>
          <w:sz w:val="24"/>
          <w:szCs w:val="24"/>
        </w:rPr>
        <w:t>, Eerik</w:t>
      </w:r>
      <w:r w:rsidRPr="00A415D2">
        <w:rPr>
          <w:rFonts w:ascii="Times New Roman" w:hAnsi="Times New Roman" w:cs="Times New Roman"/>
          <w:sz w:val="24"/>
          <w:szCs w:val="24"/>
        </w:rPr>
        <w:t xml:space="preserve"> </w:t>
      </w:r>
      <w:r w:rsidR="00120C06">
        <w:rPr>
          <w:rFonts w:ascii="Times New Roman" w:hAnsi="Times New Roman"/>
          <w:sz w:val="24"/>
          <w:szCs w:val="24"/>
        </w:rPr>
        <w:t xml:space="preserve">10 (2015). </w:t>
      </w:r>
      <w:r w:rsidR="00120C06" w:rsidRPr="008B5D1D">
        <w:rPr>
          <w:rFonts w:ascii="Times New Roman" w:hAnsi="Times New Roman"/>
          <w:sz w:val="24"/>
          <w:szCs w:val="24"/>
        </w:rPr>
        <w:t>Democracy and the all-a</w:t>
      </w:r>
      <w:r w:rsidR="008622E3" w:rsidRPr="008B5D1D">
        <w:rPr>
          <w:rFonts w:ascii="Times New Roman" w:hAnsi="Times New Roman"/>
          <w:sz w:val="24"/>
          <w:szCs w:val="24"/>
        </w:rPr>
        <w:t>f</w:t>
      </w:r>
      <w:r w:rsidR="00120C06" w:rsidRPr="008B5D1D">
        <w:rPr>
          <w:rFonts w:ascii="Times New Roman" w:hAnsi="Times New Roman"/>
          <w:sz w:val="24"/>
          <w:szCs w:val="24"/>
        </w:rPr>
        <w:t>fected p</w:t>
      </w:r>
      <w:r w:rsidR="008622E3" w:rsidRPr="008B5D1D">
        <w:rPr>
          <w:rFonts w:ascii="Times New Roman" w:hAnsi="Times New Roman"/>
          <w:sz w:val="24"/>
          <w:szCs w:val="24"/>
        </w:rPr>
        <w:t xml:space="preserve">rinciple. </w:t>
      </w:r>
      <w:r w:rsidR="008622E3" w:rsidRPr="004C68A0">
        <w:rPr>
          <w:rFonts w:ascii="Times New Roman" w:hAnsi="Times New Roman"/>
          <w:i/>
          <w:sz w:val="24"/>
          <w:szCs w:val="24"/>
          <w:lang w:val="sv-SE"/>
        </w:rPr>
        <w:t>Res Cogitans</w:t>
      </w:r>
      <w:r w:rsidR="008622E3" w:rsidRPr="004C68A0">
        <w:rPr>
          <w:rFonts w:ascii="Times New Roman" w:hAnsi="Times New Roman"/>
          <w:sz w:val="24"/>
          <w:szCs w:val="24"/>
          <w:lang w:val="sv-SE"/>
        </w:rPr>
        <w:t>, 6-23.</w:t>
      </w:r>
    </w:p>
    <w:p w:rsidR="000A533E" w:rsidRPr="00C7192C" w:rsidRDefault="000A533E" w:rsidP="001B38E1">
      <w:pPr>
        <w:spacing w:line="276" w:lineRule="auto"/>
        <w:jc w:val="both"/>
        <w:rPr>
          <w:rFonts w:ascii="Times New Roman" w:hAnsi="Times New Roman" w:cs="Times New Roman"/>
          <w:sz w:val="24"/>
          <w:szCs w:val="24"/>
          <w:lang w:val="en-US"/>
        </w:rPr>
      </w:pPr>
      <w:r w:rsidRPr="004C68A0">
        <w:rPr>
          <w:rFonts w:ascii="Times New Roman" w:hAnsi="Times New Roman" w:cs="Times New Roman"/>
          <w:sz w:val="24"/>
          <w:szCs w:val="24"/>
          <w:lang w:val="sv-SE"/>
        </w:rPr>
        <w:t xml:space="preserve">Mellquist, Einar D. (1974). </w:t>
      </w:r>
      <w:r w:rsidRPr="007A2A6E">
        <w:rPr>
          <w:rFonts w:ascii="Times New Roman" w:hAnsi="Times New Roman" w:cs="Times New Roman"/>
          <w:i/>
          <w:sz w:val="24"/>
          <w:szCs w:val="24"/>
          <w:lang w:val="sv-SE"/>
        </w:rPr>
        <w:t>Rösträtt efter förtjänst. Riksdagsdebatten om den kommunala rösträtten i Sverige 1866-1900.</w:t>
      </w:r>
      <w:r w:rsidRPr="007A2A6E">
        <w:rPr>
          <w:rFonts w:ascii="Times New Roman" w:hAnsi="Times New Roman" w:cs="Times New Roman"/>
          <w:sz w:val="24"/>
          <w:szCs w:val="24"/>
          <w:lang w:val="sv-SE"/>
        </w:rPr>
        <w:t xml:space="preserve"> </w:t>
      </w:r>
      <w:r w:rsidRPr="00C7192C">
        <w:rPr>
          <w:rFonts w:ascii="Times New Roman" w:hAnsi="Times New Roman" w:cs="Times New Roman"/>
          <w:sz w:val="24"/>
          <w:szCs w:val="24"/>
          <w:lang w:val="en-US"/>
        </w:rPr>
        <w:t>Stockholm: Stadshistoriska Institutet.</w:t>
      </w:r>
    </w:p>
    <w:p w:rsidR="000A533E" w:rsidRDefault="000A533E" w:rsidP="001B38E1">
      <w:pPr>
        <w:spacing w:line="276" w:lineRule="auto"/>
        <w:jc w:val="both"/>
        <w:rPr>
          <w:rFonts w:ascii="Times New Roman" w:hAnsi="Times New Roman" w:cs="Times New Roman"/>
          <w:sz w:val="24"/>
          <w:szCs w:val="24"/>
          <w:lang w:val="en-US"/>
        </w:rPr>
      </w:pPr>
      <w:r w:rsidRPr="00C7192C">
        <w:rPr>
          <w:rFonts w:ascii="Times New Roman" w:hAnsi="Times New Roman" w:cs="Times New Roman"/>
          <w:sz w:val="24"/>
          <w:szCs w:val="24"/>
          <w:lang w:val="en-US"/>
        </w:rPr>
        <w:t>Miklosi, Zoltan (2012</w:t>
      </w:r>
      <w:r w:rsidR="001616A4" w:rsidRPr="00001555">
        <w:rPr>
          <w:rFonts w:ascii="Times New Roman" w:hAnsi="Times New Roman" w:cs="Times New Roman"/>
          <w:sz w:val="24"/>
          <w:szCs w:val="24"/>
          <w:lang w:val="en-US"/>
        </w:rPr>
        <w:t xml:space="preserve">). </w:t>
      </w:r>
      <w:r w:rsidR="00120C06">
        <w:rPr>
          <w:rFonts w:ascii="Times New Roman" w:hAnsi="Times New Roman" w:cs="Times New Roman"/>
          <w:sz w:val="24"/>
          <w:szCs w:val="24"/>
          <w:lang w:val="en-US"/>
        </w:rPr>
        <w:t>Against the p</w:t>
      </w:r>
      <w:r w:rsidRPr="00001555">
        <w:rPr>
          <w:rFonts w:ascii="Times New Roman" w:hAnsi="Times New Roman" w:cs="Times New Roman"/>
          <w:sz w:val="24"/>
          <w:szCs w:val="24"/>
          <w:lang w:val="en-US"/>
        </w:rPr>
        <w:t>rin</w:t>
      </w:r>
      <w:r w:rsidR="00120C06">
        <w:rPr>
          <w:rFonts w:ascii="Times New Roman" w:hAnsi="Times New Roman" w:cs="Times New Roman"/>
          <w:sz w:val="24"/>
          <w:szCs w:val="24"/>
          <w:lang w:val="en-US"/>
        </w:rPr>
        <w:t>ciple of all-affected i</w:t>
      </w:r>
      <w:r w:rsidR="001616A4" w:rsidRPr="00001555">
        <w:rPr>
          <w:rFonts w:ascii="Times New Roman" w:hAnsi="Times New Roman" w:cs="Times New Roman"/>
          <w:sz w:val="24"/>
          <w:szCs w:val="24"/>
          <w:lang w:val="en-US"/>
        </w:rPr>
        <w:t>nterests</w:t>
      </w:r>
      <w:r w:rsidRPr="00001555">
        <w:rPr>
          <w:rFonts w:ascii="Times New Roman" w:hAnsi="Times New Roman" w:cs="Times New Roman"/>
          <w:sz w:val="24"/>
          <w:szCs w:val="24"/>
          <w:lang w:val="en-US"/>
        </w:rPr>
        <w:t xml:space="preserve">, </w:t>
      </w:r>
      <w:r w:rsidRPr="00001555">
        <w:rPr>
          <w:rFonts w:ascii="Times New Roman" w:hAnsi="Times New Roman" w:cs="Times New Roman"/>
          <w:i/>
          <w:sz w:val="24"/>
          <w:szCs w:val="24"/>
          <w:lang w:val="en-US"/>
        </w:rPr>
        <w:t xml:space="preserve">Social Theory and Practice </w:t>
      </w:r>
      <w:r w:rsidRPr="00001555">
        <w:rPr>
          <w:rFonts w:ascii="Times New Roman" w:hAnsi="Times New Roman" w:cs="Times New Roman"/>
          <w:sz w:val="24"/>
          <w:szCs w:val="24"/>
          <w:lang w:val="en-US"/>
        </w:rPr>
        <w:t>38 (3), 483-503.</w:t>
      </w:r>
    </w:p>
    <w:p w:rsidR="000A37E7" w:rsidRPr="000A37E7" w:rsidRDefault="000A37E7" w:rsidP="000A37E7">
      <w:pPr>
        <w:pStyle w:val="BodyText"/>
        <w:spacing w:line="360" w:lineRule="auto"/>
        <w:rPr>
          <w:rFonts w:ascii="Times New Roman" w:hAnsi="Times New Roman" w:cs="Times New Roman"/>
          <w:sz w:val="24"/>
          <w:szCs w:val="24"/>
          <w:lang w:val="en-GB"/>
        </w:rPr>
      </w:pPr>
      <w:r w:rsidRPr="000A37E7">
        <w:rPr>
          <w:rFonts w:ascii="Times New Roman" w:hAnsi="Times New Roman" w:cs="Times New Roman"/>
          <w:sz w:val="24"/>
          <w:szCs w:val="24"/>
          <w:lang w:val="en-GB"/>
        </w:rPr>
        <w:t>Mill, J.S. (1884)</w:t>
      </w:r>
      <w:r>
        <w:rPr>
          <w:rFonts w:ascii="Times New Roman" w:hAnsi="Times New Roman" w:cs="Times New Roman"/>
          <w:sz w:val="24"/>
          <w:szCs w:val="24"/>
          <w:lang w:val="en-GB"/>
        </w:rPr>
        <w:t>.</w:t>
      </w:r>
      <w:r w:rsidRPr="000A37E7">
        <w:rPr>
          <w:rFonts w:ascii="Times New Roman" w:hAnsi="Times New Roman" w:cs="Times New Roman"/>
          <w:sz w:val="24"/>
          <w:szCs w:val="24"/>
          <w:lang w:val="en-GB"/>
        </w:rPr>
        <w:t xml:space="preserve"> </w:t>
      </w:r>
      <w:r w:rsidRPr="000A37E7">
        <w:rPr>
          <w:rFonts w:ascii="Times New Roman" w:hAnsi="Times New Roman" w:cs="Times New Roman"/>
          <w:i/>
          <w:sz w:val="24"/>
          <w:szCs w:val="24"/>
          <w:lang w:val="en-GB"/>
        </w:rPr>
        <w:t>A System of Logic</w:t>
      </w:r>
      <w:r w:rsidRPr="000A37E7">
        <w:rPr>
          <w:rFonts w:ascii="Times New Roman" w:hAnsi="Times New Roman" w:cs="Times New Roman"/>
          <w:sz w:val="24"/>
          <w:szCs w:val="24"/>
          <w:lang w:val="en-GB"/>
        </w:rPr>
        <w:t>. New York</w:t>
      </w:r>
      <w:r>
        <w:rPr>
          <w:rFonts w:ascii="Times New Roman" w:hAnsi="Times New Roman" w:cs="Times New Roman"/>
          <w:sz w:val="24"/>
          <w:szCs w:val="24"/>
          <w:lang w:val="en-GB"/>
        </w:rPr>
        <w:t>, Harper &amp; Brothers</w:t>
      </w:r>
      <w:r w:rsidRPr="000A37E7">
        <w:rPr>
          <w:rFonts w:ascii="Times New Roman" w:hAnsi="Times New Roman" w:cs="Times New Roman"/>
          <w:sz w:val="24"/>
          <w:szCs w:val="24"/>
          <w:lang w:val="en-GB"/>
        </w:rPr>
        <w:t>.</w:t>
      </w:r>
    </w:p>
    <w:p w:rsidR="002F19B5" w:rsidRDefault="000A533E" w:rsidP="001B38E1">
      <w:pPr>
        <w:spacing w:line="276" w:lineRule="auto"/>
        <w:jc w:val="both"/>
        <w:rPr>
          <w:rFonts w:ascii="Times New Roman" w:hAnsi="Times New Roman" w:cs="Times New Roman"/>
          <w:sz w:val="24"/>
          <w:szCs w:val="24"/>
          <w:lang w:val="en-US"/>
        </w:rPr>
      </w:pPr>
      <w:r w:rsidRPr="00F02212">
        <w:rPr>
          <w:rFonts w:ascii="Times New Roman" w:hAnsi="Times New Roman" w:cs="Times New Roman"/>
          <w:sz w:val="24"/>
          <w:szCs w:val="24"/>
          <w:lang w:val="en-US"/>
        </w:rPr>
        <w:t>Miller, David</w:t>
      </w:r>
      <w:r w:rsidR="001616A4">
        <w:rPr>
          <w:rFonts w:ascii="Times New Roman" w:hAnsi="Times New Roman" w:cs="Times New Roman"/>
          <w:sz w:val="24"/>
          <w:szCs w:val="24"/>
          <w:lang w:val="en-US"/>
        </w:rPr>
        <w:t xml:space="preserve"> (2009). Democracy’s domain.</w:t>
      </w:r>
      <w:r w:rsidRPr="00F02212">
        <w:rPr>
          <w:rFonts w:ascii="Times New Roman" w:hAnsi="Times New Roman" w:cs="Times New Roman"/>
          <w:sz w:val="24"/>
          <w:szCs w:val="24"/>
          <w:lang w:val="en-US"/>
        </w:rPr>
        <w:t xml:space="preserve"> </w:t>
      </w:r>
      <w:r w:rsidRPr="00F02212">
        <w:rPr>
          <w:rFonts w:ascii="Times New Roman" w:hAnsi="Times New Roman" w:cs="Times New Roman"/>
          <w:i/>
          <w:sz w:val="24"/>
          <w:szCs w:val="24"/>
          <w:lang w:val="en-US"/>
        </w:rPr>
        <w:t>Philosophy and Public Affairs</w:t>
      </w:r>
      <w:r w:rsidRPr="00F02212">
        <w:rPr>
          <w:rFonts w:ascii="Times New Roman" w:hAnsi="Times New Roman" w:cs="Times New Roman"/>
          <w:sz w:val="24"/>
          <w:szCs w:val="24"/>
          <w:lang w:val="en-US"/>
        </w:rPr>
        <w:t xml:space="preserve"> 37 (2), 201-228.</w:t>
      </w:r>
    </w:p>
    <w:p w:rsidR="002B5A56" w:rsidRPr="0072422F" w:rsidRDefault="002F19B5" w:rsidP="001B38E1">
      <w:pPr>
        <w:spacing w:line="276" w:lineRule="auto"/>
        <w:jc w:val="both"/>
        <w:rPr>
          <w:rStyle w:val="subfielddata"/>
          <w:rFonts w:ascii="Times New Roman" w:hAnsi="Times New Roman" w:cs="Times New Roman"/>
          <w:sz w:val="24"/>
          <w:szCs w:val="24"/>
        </w:rPr>
      </w:pPr>
      <w:r w:rsidRPr="00E57E31">
        <w:rPr>
          <w:rFonts w:ascii="Times New Roman" w:hAnsi="Times New Roman" w:cs="Times New Roman"/>
          <w:sz w:val="24"/>
          <w:szCs w:val="24"/>
        </w:rPr>
        <w:t>Moksnes</w:t>
      </w:r>
      <w:r w:rsidR="00DC7506" w:rsidRPr="00E57E31">
        <w:rPr>
          <w:rFonts w:ascii="Times New Roman" w:hAnsi="Times New Roman" w:cs="Times New Roman"/>
          <w:sz w:val="24"/>
          <w:szCs w:val="24"/>
        </w:rPr>
        <w:t xml:space="preserve">, Aslaug (1989). </w:t>
      </w:r>
      <w:r w:rsidR="00DC7506" w:rsidRPr="00E57E31">
        <w:rPr>
          <w:rStyle w:val="subfielddata"/>
          <w:rFonts w:ascii="Times New Roman" w:hAnsi="Times New Roman" w:cs="Times New Roman"/>
          <w:i/>
          <w:sz w:val="24"/>
          <w:szCs w:val="24"/>
        </w:rPr>
        <w:t>Barrikadinaisi</w:t>
      </w:r>
      <w:r w:rsidR="00DC7506" w:rsidRPr="00DC7506">
        <w:rPr>
          <w:rStyle w:val="subfielddata"/>
          <w:rFonts w:ascii="Times New Roman" w:hAnsi="Times New Roman" w:cs="Times New Roman"/>
          <w:i/>
          <w:sz w:val="24"/>
          <w:szCs w:val="24"/>
        </w:rPr>
        <w:t>a: kahdeksan esseetä naisten taistelusta Ranskan vallankumouksen aikana.</w:t>
      </w:r>
      <w:r w:rsidR="00DC7506" w:rsidRPr="00DC7506">
        <w:rPr>
          <w:rStyle w:val="subfielddata"/>
          <w:rFonts w:ascii="Times New Roman" w:hAnsi="Times New Roman" w:cs="Times New Roman"/>
          <w:sz w:val="24"/>
          <w:szCs w:val="24"/>
        </w:rPr>
        <w:t xml:space="preserve"> Suom. L. Korhonen, G. Lindblom &amp; P. Mäki. </w:t>
      </w:r>
      <w:r w:rsidR="00DC7506" w:rsidRPr="0072422F">
        <w:rPr>
          <w:rStyle w:val="subfielddata"/>
          <w:rFonts w:ascii="Times New Roman" w:hAnsi="Times New Roman" w:cs="Times New Roman"/>
          <w:sz w:val="24"/>
          <w:szCs w:val="24"/>
        </w:rPr>
        <w:t>Helsinki: Kansan sivistystyön liitto</w:t>
      </w:r>
      <w:r w:rsidR="00241DFD" w:rsidRPr="0072422F">
        <w:rPr>
          <w:rStyle w:val="subfielddata"/>
          <w:rFonts w:ascii="Times New Roman" w:hAnsi="Times New Roman" w:cs="Times New Roman"/>
          <w:sz w:val="24"/>
          <w:szCs w:val="24"/>
        </w:rPr>
        <w:t>.</w:t>
      </w:r>
    </w:p>
    <w:p w:rsidR="00241DFD" w:rsidRPr="00241DFD" w:rsidRDefault="00241DFD" w:rsidP="001B38E1">
      <w:pPr>
        <w:spacing w:line="276" w:lineRule="auto"/>
        <w:jc w:val="both"/>
        <w:rPr>
          <w:rFonts w:ascii="Times New Roman" w:hAnsi="Times New Roman" w:cs="Times New Roman"/>
          <w:sz w:val="24"/>
          <w:szCs w:val="24"/>
          <w:lang w:val="en-US"/>
        </w:rPr>
      </w:pPr>
      <w:r w:rsidRPr="00241DFD">
        <w:rPr>
          <w:rStyle w:val="subfielddata"/>
          <w:rFonts w:ascii="Times New Roman" w:hAnsi="Times New Roman" w:cs="Times New Roman"/>
          <w:sz w:val="24"/>
          <w:szCs w:val="24"/>
          <w:lang w:val="en-US"/>
        </w:rPr>
        <w:t xml:space="preserve">Nurmi, Hannu (1999). </w:t>
      </w:r>
      <w:r w:rsidRPr="00241DFD">
        <w:rPr>
          <w:rStyle w:val="subfielddata"/>
          <w:rFonts w:ascii="Times New Roman" w:hAnsi="Times New Roman" w:cs="Times New Roman"/>
          <w:i/>
          <w:sz w:val="24"/>
          <w:szCs w:val="24"/>
          <w:lang w:val="en-US"/>
        </w:rPr>
        <w:t>Voting Paradoxes and How to Deal with Them</w:t>
      </w:r>
      <w:r>
        <w:rPr>
          <w:rStyle w:val="subfielddata"/>
          <w:rFonts w:ascii="Times New Roman" w:hAnsi="Times New Roman" w:cs="Times New Roman"/>
          <w:sz w:val="24"/>
          <w:szCs w:val="24"/>
          <w:lang w:val="en-US"/>
        </w:rPr>
        <w:t>. Heidelberg, Springer.</w:t>
      </w:r>
    </w:p>
    <w:p w:rsidR="000A533E" w:rsidRPr="008B5D1D" w:rsidRDefault="000A533E" w:rsidP="001B38E1">
      <w:pPr>
        <w:spacing w:line="276" w:lineRule="auto"/>
        <w:jc w:val="both"/>
        <w:rPr>
          <w:rFonts w:ascii="Times New Roman" w:hAnsi="Times New Roman" w:cs="Times New Roman"/>
          <w:sz w:val="24"/>
          <w:szCs w:val="24"/>
          <w:lang w:val="en-US"/>
        </w:rPr>
      </w:pPr>
      <w:r w:rsidRPr="008B5D1D">
        <w:rPr>
          <w:rFonts w:ascii="Times New Roman" w:hAnsi="Times New Roman" w:cs="Times New Roman"/>
          <w:sz w:val="24"/>
          <w:szCs w:val="24"/>
          <w:lang w:val="en-US"/>
        </w:rPr>
        <w:t>Näsström, Sofia</w:t>
      </w:r>
      <w:r w:rsidR="001616A4" w:rsidRPr="008B5D1D">
        <w:rPr>
          <w:rFonts w:ascii="Times New Roman" w:hAnsi="Times New Roman" w:cs="Times New Roman"/>
          <w:sz w:val="24"/>
          <w:szCs w:val="24"/>
          <w:lang w:val="en-US"/>
        </w:rPr>
        <w:t xml:space="preserve"> (2011).</w:t>
      </w:r>
      <w:r w:rsidRPr="008B5D1D">
        <w:rPr>
          <w:rFonts w:ascii="Times New Roman" w:hAnsi="Times New Roman" w:cs="Times New Roman"/>
          <w:sz w:val="24"/>
          <w:szCs w:val="24"/>
          <w:lang w:val="en-US"/>
        </w:rPr>
        <w:t>The challenge</w:t>
      </w:r>
      <w:r w:rsidR="001616A4" w:rsidRPr="008B5D1D">
        <w:rPr>
          <w:rFonts w:ascii="Times New Roman" w:hAnsi="Times New Roman" w:cs="Times New Roman"/>
          <w:sz w:val="24"/>
          <w:szCs w:val="24"/>
          <w:lang w:val="en-US"/>
        </w:rPr>
        <w:t xml:space="preserve"> of the all-affected principle.</w:t>
      </w:r>
      <w:r w:rsidRPr="008B5D1D">
        <w:rPr>
          <w:rFonts w:ascii="Times New Roman" w:hAnsi="Times New Roman" w:cs="Times New Roman"/>
          <w:sz w:val="24"/>
          <w:szCs w:val="24"/>
          <w:lang w:val="en-US"/>
        </w:rPr>
        <w:t xml:space="preserve"> </w:t>
      </w:r>
      <w:r w:rsidRPr="008B5D1D">
        <w:rPr>
          <w:rFonts w:ascii="Times New Roman" w:hAnsi="Times New Roman" w:cs="Times New Roman"/>
          <w:i/>
          <w:sz w:val="24"/>
          <w:szCs w:val="24"/>
          <w:lang w:val="en-US"/>
        </w:rPr>
        <w:t>Political Studies</w:t>
      </w:r>
      <w:r w:rsidRPr="008B5D1D">
        <w:rPr>
          <w:rFonts w:ascii="Times New Roman" w:hAnsi="Times New Roman" w:cs="Times New Roman"/>
          <w:sz w:val="24"/>
          <w:szCs w:val="24"/>
          <w:lang w:val="en-US"/>
        </w:rPr>
        <w:t xml:space="preserve"> 39 116-147.</w:t>
      </w:r>
    </w:p>
    <w:p w:rsidR="002B5A56" w:rsidRDefault="002B5A56" w:rsidP="001B38E1">
      <w:pPr>
        <w:spacing w:line="276" w:lineRule="auto"/>
        <w:jc w:val="both"/>
        <w:rPr>
          <w:rFonts w:ascii="Times New Roman" w:hAnsi="Times New Roman" w:cs="Times New Roman"/>
          <w:sz w:val="24"/>
          <w:szCs w:val="24"/>
          <w:lang w:val="en-US"/>
        </w:rPr>
      </w:pPr>
      <w:r w:rsidRPr="008B5D1D">
        <w:rPr>
          <w:rFonts w:ascii="Times New Roman" w:hAnsi="Times New Roman" w:cs="Times New Roman"/>
          <w:sz w:val="24"/>
          <w:szCs w:val="24"/>
          <w:lang w:val="en-US"/>
        </w:rPr>
        <w:t xml:space="preserve">Oppenheim, Felix (1981). </w:t>
      </w:r>
      <w:r w:rsidRPr="008B5D1D">
        <w:rPr>
          <w:rFonts w:ascii="Times New Roman" w:hAnsi="Times New Roman" w:cs="Times New Roman"/>
          <w:i/>
          <w:sz w:val="24"/>
          <w:szCs w:val="24"/>
          <w:lang w:val="en-US"/>
        </w:rPr>
        <w:t>P</w:t>
      </w:r>
      <w:r w:rsidRPr="002B5A56">
        <w:rPr>
          <w:rFonts w:ascii="Times New Roman" w:hAnsi="Times New Roman" w:cs="Times New Roman"/>
          <w:i/>
          <w:sz w:val="24"/>
          <w:szCs w:val="24"/>
          <w:lang w:val="en-US"/>
        </w:rPr>
        <w:t>olitical Concepts. A reconstruction</w:t>
      </w:r>
      <w:r>
        <w:rPr>
          <w:rFonts w:ascii="Times New Roman" w:hAnsi="Times New Roman" w:cs="Times New Roman"/>
          <w:sz w:val="24"/>
          <w:szCs w:val="24"/>
          <w:lang w:val="en-US"/>
        </w:rPr>
        <w:t>. Oxford, Basil Blackwell.</w:t>
      </w:r>
    </w:p>
    <w:p w:rsidR="00120C06" w:rsidRDefault="00120C06" w:rsidP="001B38E1">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Owen, David (2012). Constituting the polity, constituting the demos: on the place of the all affected interests principle in democratic theory and in resolving the democratic boundary problem. </w:t>
      </w:r>
      <w:r w:rsidRPr="00120C06">
        <w:rPr>
          <w:rFonts w:ascii="Times New Roman" w:hAnsi="Times New Roman" w:cs="Times New Roman"/>
          <w:i/>
          <w:sz w:val="24"/>
          <w:szCs w:val="24"/>
          <w:lang w:val="en-US"/>
        </w:rPr>
        <w:t xml:space="preserve">Ethics &amp; Global Politics </w:t>
      </w:r>
      <w:r>
        <w:rPr>
          <w:rFonts w:ascii="Times New Roman" w:hAnsi="Times New Roman" w:cs="Times New Roman"/>
          <w:sz w:val="24"/>
          <w:szCs w:val="24"/>
          <w:lang w:val="en-US"/>
        </w:rPr>
        <w:t>5 (3), 129-152.</w:t>
      </w:r>
    </w:p>
    <w:p w:rsidR="003050CD" w:rsidRPr="004C68A0" w:rsidRDefault="003050CD" w:rsidP="001B38E1">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Reeve, Andrew and Alan Ware (1983). </w:t>
      </w:r>
      <w:r w:rsidR="00120C06">
        <w:rPr>
          <w:rFonts w:ascii="Times New Roman" w:hAnsi="Times New Roman" w:cs="Times New Roman"/>
          <w:sz w:val="24"/>
          <w:szCs w:val="24"/>
          <w:lang w:val="en-US"/>
        </w:rPr>
        <w:t>Interests in political t</w:t>
      </w:r>
      <w:r>
        <w:rPr>
          <w:rFonts w:ascii="Times New Roman" w:hAnsi="Times New Roman" w:cs="Times New Roman"/>
          <w:sz w:val="24"/>
          <w:szCs w:val="24"/>
          <w:lang w:val="en-US"/>
        </w:rPr>
        <w:t xml:space="preserve">heory. </w:t>
      </w:r>
      <w:r w:rsidRPr="004C68A0">
        <w:rPr>
          <w:rFonts w:ascii="Times New Roman" w:hAnsi="Times New Roman" w:cs="Times New Roman"/>
          <w:i/>
          <w:sz w:val="24"/>
          <w:szCs w:val="24"/>
          <w:lang w:val="en-US"/>
        </w:rPr>
        <w:t>British Journal of Political Science</w:t>
      </w:r>
      <w:r w:rsidRPr="004C68A0">
        <w:rPr>
          <w:rFonts w:ascii="Times New Roman" w:hAnsi="Times New Roman" w:cs="Times New Roman"/>
          <w:sz w:val="24"/>
          <w:szCs w:val="24"/>
          <w:lang w:val="en-US"/>
        </w:rPr>
        <w:t xml:space="preserve"> 13, 379-400.</w:t>
      </w:r>
    </w:p>
    <w:p w:rsidR="00643196" w:rsidRPr="00643196" w:rsidRDefault="00643196" w:rsidP="001B38E1">
      <w:pPr>
        <w:spacing w:line="276" w:lineRule="auto"/>
        <w:jc w:val="both"/>
        <w:rPr>
          <w:rFonts w:ascii="Times New Roman" w:hAnsi="Times New Roman" w:cs="Times New Roman"/>
          <w:sz w:val="24"/>
          <w:szCs w:val="24"/>
        </w:rPr>
      </w:pPr>
      <w:r w:rsidRPr="00643196">
        <w:rPr>
          <w:rStyle w:val="subfielddata"/>
          <w:rFonts w:ascii="Times New Roman" w:hAnsi="Times New Roman" w:cs="Times New Roman"/>
          <w:sz w:val="24"/>
          <w:szCs w:val="24"/>
        </w:rPr>
        <w:t xml:space="preserve">Rosanvallon, Pierre (2008). </w:t>
      </w:r>
      <w:r w:rsidRPr="00643196">
        <w:rPr>
          <w:rStyle w:val="subfielddata"/>
          <w:rFonts w:ascii="Times New Roman" w:hAnsi="Times New Roman" w:cs="Times New Roman"/>
          <w:i/>
          <w:sz w:val="24"/>
          <w:szCs w:val="24"/>
        </w:rPr>
        <w:t>Vastademokratia: politiikka epäluulon aikakaudella</w:t>
      </w:r>
      <w:r w:rsidRPr="00643196">
        <w:rPr>
          <w:rStyle w:val="subfielddata"/>
          <w:rFonts w:ascii="Times New Roman" w:hAnsi="Times New Roman" w:cs="Times New Roman"/>
          <w:sz w:val="24"/>
          <w:szCs w:val="24"/>
        </w:rPr>
        <w:t>. Suomentanut Tapani Kilpeläinen. Tampere: Vastapaino.</w:t>
      </w:r>
    </w:p>
    <w:p w:rsidR="000A533E" w:rsidRDefault="000A533E" w:rsidP="001B38E1">
      <w:pPr>
        <w:spacing w:line="276" w:lineRule="auto"/>
        <w:jc w:val="both"/>
        <w:rPr>
          <w:rFonts w:ascii="Times New Roman" w:hAnsi="Times New Roman" w:cs="Times New Roman"/>
          <w:sz w:val="24"/>
          <w:szCs w:val="24"/>
          <w:lang w:val="en-US"/>
        </w:rPr>
      </w:pPr>
      <w:r w:rsidRPr="004C68A0">
        <w:rPr>
          <w:rFonts w:ascii="Times New Roman" w:hAnsi="Times New Roman" w:cs="Times New Roman"/>
          <w:sz w:val="24"/>
          <w:szCs w:val="24"/>
          <w:lang w:val="en-US"/>
        </w:rPr>
        <w:t xml:space="preserve">Räikkä, Juha (2014). </w:t>
      </w:r>
      <w:r w:rsidRPr="004C68A0">
        <w:rPr>
          <w:rFonts w:ascii="Times New Roman" w:hAnsi="Times New Roman" w:cs="Times New Roman"/>
          <w:i/>
          <w:sz w:val="24"/>
          <w:szCs w:val="24"/>
          <w:lang w:val="en-US"/>
        </w:rPr>
        <w:t xml:space="preserve">Social Justice and Practice. </w:t>
      </w:r>
      <w:r w:rsidRPr="007747DD">
        <w:rPr>
          <w:rFonts w:ascii="Times New Roman" w:hAnsi="Times New Roman" w:cs="Times New Roman"/>
          <w:i/>
          <w:sz w:val="24"/>
          <w:szCs w:val="24"/>
          <w:lang w:val="en-US"/>
        </w:rPr>
        <w:t>Questions in Ethics and Political Philosophy.</w:t>
      </w:r>
      <w:r>
        <w:rPr>
          <w:rFonts w:ascii="Times New Roman" w:hAnsi="Times New Roman" w:cs="Times New Roman"/>
          <w:sz w:val="24"/>
          <w:szCs w:val="24"/>
          <w:lang w:val="en-US"/>
        </w:rPr>
        <w:t xml:space="preserve"> Heidelberg: Springer.</w:t>
      </w:r>
    </w:p>
    <w:p w:rsidR="00120C06" w:rsidRDefault="00120C06" w:rsidP="001B38E1">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Saunders, Ben (2011). Defining the demos. </w:t>
      </w:r>
      <w:r w:rsidRPr="00120C06">
        <w:rPr>
          <w:rFonts w:ascii="Times New Roman" w:hAnsi="Times New Roman" w:cs="Times New Roman"/>
          <w:i/>
          <w:sz w:val="24"/>
          <w:szCs w:val="24"/>
          <w:lang w:val="en-US"/>
        </w:rPr>
        <w:t>Politics, Philosophy &amp; Economics</w:t>
      </w:r>
      <w:r>
        <w:rPr>
          <w:rFonts w:ascii="Times New Roman" w:hAnsi="Times New Roman" w:cs="Times New Roman"/>
          <w:sz w:val="24"/>
          <w:szCs w:val="24"/>
          <w:lang w:val="en-US"/>
        </w:rPr>
        <w:t xml:space="preserve"> 11 (3), 280-301.</w:t>
      </w:r>
    </w:p>
    <w:p w:rsidR="00DC7506" w:rsidRDefault="00DC7506" w:rsidP="001B38E1">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Saward, Michae</w:t>
      </w:r>
      <w:r w:rsidR="008B5D1D">
        <w:rPr>
          <w:rFonts w:ascii="Times New Roman" w:hAnsi="Times New Roman" w:cs="Times New Roman"/>
          <w:sz w:val="24"/>
          <w:szCs w:val="24"/>
          <w:lang w:val="en-US"/>
        </w:rPr>
        <w:t>l (2000). A critique of Held. Teoksessa</w:t>
      </w:r>
      <w:r>
        <w:rPr>
          <w:rFonts w:ascii="Times New Roman" w:hAnsi="Times New Roman" w:cs="Times New Roman"/>
          <w:sz w:val="24"/>
          <w:szCs w:val="24"/>
          <w:lang w:val="en-US"/>
        </w:rPr>
        <w:t xml:space="preserve"> B. Holden (ed.) </w:t>
      </w:r>
      <w:r w:rsidRPr="00DC7506">
        <w:rPr>
          <w:rFonts w:ascii="Times New Roman" w:hAnsi="Times New Roman" w:cs="Times New Roman"/>
          <w:i/>
          <w:sz w:val="24"/>
          <w:szCs w:val="24"/>
          <w:lang w:val="en-US"/>
        </w:rPr>
        <w:t>Global Democracy. Key Debates</w:t>
      </w:r>
      <w:r>
        <w:rPr>
          <w:rFonts w:ascii="Times New Roman" w:hAnsi="Times New Roman" w:cs="Times New Roman"/>
          <w:sz w:val="24"/>
          <w:szCs w:val="24"/>
          <w:lang w:val="en-US"/>
        </w:rPr>
        <w:t>. London: Routledge, 32-46.</w:t>
      </w:r>
    </w:p>
    <w:p w:rsidR="00014BD2" w:rsidRPr="007747DD" w:rsidRDefault="00014BD2" w:rsidP="001B38E1">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Schaffer, Johan Karlsson (2012). The boundaries of transnational democracy: alternatives to the all-affected principle. </w:t>
      </w:r>
      <w:r w:rsidR="00120C06" w:rsidRPr="00120C06">
        <w:rPr>
          <w:rFonts w:ascii="Times New Roman" w:hAnsi="Times New Roman" w:cs="Times New Roman"/>
          <w:i/>
          <w:sz w:val="24"/>
          <w:szCs w:val="24"/>
          <w:lang w:val="en-US"/>
        </w:rPr>
        <w:t>Review of International Studies</w:t>
      </w:r>
      <w:r w:rsidR="00120C06">
        <w:rPr>
          <w:rFonts w:ascii="Times New Roman" w:hAnsi="Times New Roman" w:cs="Times New Roman"/>
          <w:sz w:val="24"/>
          <w:szCs w:val="24"/>
          <w:lang w:val="en-US"/>
        </w:rPr>
        <w:t xml:space="preserve"> 28, 321-342.</w:t>
      </w:r>
    </w:p>
    <w:p w:rsidR="002F19B5" w:rsidRPr="00F02212" w:rsidRDefault="000A533E" w:rsidP="001B38E1">
      <w:pPr>
        <w:spacing w:line="276" w:lineRule="auto"/>
        <w:jc w:val="both"/>
        <w:rPr>
          <w:rFonts w:ascii="Times New Roman" w:hAnsi="Times New Roman" w:cs="Times New Roman"/>
          <w:sz w:val="24"/>
          <w:szCs w:val="24"/>
          <w:lang w:val="en-US"/>
        </w:rPr>
      </w:pPr>
      <w:r w:rsidRPr="00F02212">
        <w:rPr>
          <w:rFonts w:ascii="Times New Roman" w:hAnsi="Times New Roman" w:cs="Times New Roman"/>
          <w:sz w:val="24"/>
          <w:szCs w:val="24"/>
          <w:lang w:val="en-US"/>
        </w:rPr>
        <w:t>Skirbekk, Gunnar (1997)</w:t>
      </w:r>
      <w:r>
        <w:rPr>
          <w:rFonts w:ascii="Times New Roman" w:hAnsi="Times New Roman" w:cs="Times New Roman"/>
          <w:sz w:val="24"/>
          <w:szCs w:val="24"/>
          <w:lang w:val="en-US"/>
        </w:rPr>
        <w:t>.</w:t>
      </w:r>
      <w:r w:rsidR="001616A4">
        <w:rPr>
          <w:rFonts w:ascii="Times New Roman" w:hAnsi="Times New Roman" w:cs="Times New Roman"/>
          <w:sz w:val="24"/>
          <w:szCs w:val="24"/>
          <w:lang w:val="en-US"/>
        </w:rPr>
        <w:t xml:space="preserve"> </w:t>
      </w:r>
      <w:r w:rsidR="00120C06">
        <w:rPr>
          <w:rFonts w:ascii="Times New Roman" w:hAnsi="Times New Roman" w:cs="Times New Roman"/>
          <w:sz w:val="24"/>
          <w:szCs w:val="24"/>
          <w:lang w:val="en-US"/>
        </w:rPr>
        <w:t>The d</w:t>
      </w:r>
      <w:r w:rsidRPr="00F02212">
        <w:rPr>
          <w:rFonts w:ascii="Times New Roman" w:hAnsi="Times New Roman" w:cs="Times New Roman"/>
          <w:sz w:val="24"/>
          <w:szCs w:val="24"/>
          <w:lang w:val="en-US"/>
        </w:rPr>
        <w:t>iscours</w:t>
      </w:r>
      <w:r w:rsidR="00120C06">
        <w:rPr>
          <w:rFonts w:ascii="Times New Roman" w:hAnsi="Times New Roman" w:cs="Times New Roman"/>
          <w:sz w:val="24"/>
          <w:szCs w:val="24"/>
          <w:lang w:val="en-US"/>
        </w:rPr>
        <w:t>e p</w:t>
      </w:r>
      <w:r w:rsidR="001616A4">
        <w:rPr>
          <w:rFonts w:ascii="Times New Roman" w:hAnsi="Times New Roman" w:cs="Times New Roman"/>
          <w:sz w:val="24"/>
          <w:szCs w:val="24"/>
          <w:lang w:val="en-US"/>
        </w:rPr>
        <w:t>rinciple and those affected.</w:t>
      </w:r>
      <w:r w:rsidRPr="00F02212">
        <w:rPr>
          <w:rFonts w:ascii="Times New Roman" w:hAnsi="Times New Roman" w:cs="Times New Roman"/>
          <w:sz w:val="24"/>
          <w:szCs w:val="24"/>
          <w:lang w:val="en-US"/>
        </w:rPr>
        <w:t xml:space="preserve"> </w:t>
      </w:r>
      <w:r w:rsidRPr="00F02212">
        <w:rPr>
          <w:rFonts w:ascii="Times New Roman" w:hAnsi="Times New Roman" w:cs="Times New Roman"/>
          <w:i/>
          <w:sz w:val="24"/>
          <w:szCs w:val="24"/>
          <w:lang w:val="en-US"/>
        </w:rPr>
        <w:t>Inquiry</w:t>
      </w:r>
      <w:r>
        <w:rPr>
          <w:rFonts w:ascii="Times New Roman" w:hAnsi="Times New Roman" w:cs="Times New Roman"/>
          <w:sz w:val="24"/>
          <w:szCs w:val="24"/>
          <w:lang w:val="en-US"/>
        </w:rPr>
        <w:t xml:space="preserve"> 40, 63-72.</w:t>
      </w:r>
    </w:p>
    <w:p w:rsidR="000A533E" w:rsidRDefault="000A533E" w:rsidP="001B38E1">
      <w:pPr>
        <w:spacing w:line="276" w:lineRule="auto"/>
        <w:jc w:val="both"/>
        <w:rPr>
          <w:rFonts w:ascii="Times New Roman" w:hAnsi="Times New Roman" w:cs="Times New Roman"/>
          <w:sz w:val="24"/>
          <w:szCs w:val="24"/>
          <w:lang w:val="en-US"/>
        </w:rPr>
      </w:pPr>
      <w:r w:rsidRPr="004A296A">
        <w:rPr>
          <w:rFonts w:ascii="Times New Roman" w:hAnsi="Times New Roman" w:cs="Times New Roman"/>
          <w:sz w:val="24"/>
          <w:szCs w:val="24"/>
          <w:lang w:val="en-US"/>
        </w:rPr>
        <w:t xml:space="preserve">Waldron, Jeremy (1999). </w:t>
      </w:r>
      <w:r w:rsidRPr="004A296A">
        <w:rPr>
          <w:rFonts w:ascii="Times New Roman" w:hAnsi="Times New Roman" w:cs="Times New Roman"/>
          <w:i/>
          <w:sz w:val="24"/>
          <w:szCs w:val="24"/>
          <w:lang w:val="en-US"/>
        </w:rPr>
        <w:t>Law and Disagreement</w:t>
      </w:r>
      <w:r w:rsidRPr="004A296A">
        <w:rPr>
          <w:rFonts w:ascii="Times New Roman" w:hAnsi="Times New Roman" w:cs="Times New Roman"/>
          <w:sz w:val="24"/>
          <w:szCs w:val="24"/>
          <w:lang w:val="en-US"/>
        </w:rPr>
        <w:t>.</w:t>
      </w:r>
      <w:r>
        <w:rPr>
          <w:rFonts w:ascii="Times New Roman" w:hAnsi="Times New Roman" w:cs="Times New Roman"/>
          <w:sz w:val="24"/>
          <w:szCs w:val="24"/>
          <w:lang w:val="en-US"/>
        </w:rPr>
        <w:t xml:space="preserve"> Oxford: Oxford University Press</w:t>
      </w:r>
      <w:r w:rsidR="002B5A56">
        <w:rPr>
          <w:rFonts w:ascii="Times New Roman" w:hAnsi="Times New Roman" w:cs="Times New Roman"/>
          <w:sz w:val="24"/>
          <w:szCs w:val="24"/>
          <w:lang w:val="en-US"/>
        </w:rPr>
        <w:t>.</w:t>
      </w:r>
    </w:p>
    <w:p w:rsidR="00D0699F" w:rsidRPr="00D0699F" w:rsidRDefault="00D0699F" w:rsidP="00D0699F">
      <w:pPr>
        <w:rPr>
          <w:rFonts w:ascii="Times New Roman" w:hAnsi="Times New Roman" w:cs="Times New Roman"/>
          <w:sz w:val="24"/>
          <w:szCs w:val="24"/>
          <w:lang w:val="en-GB"/>
        </w:rPr>
      </w:pPr>
      <w:r w:rsidRPr="00D0699F">
        <w:rPr>
          <w:rFonts w:ascii="Times New Roman" w:hAnsi="Times New Roman" w:cs="Times New Roman"/>
          <w:sz w:val="24"/>
          <w:szCs w:val="24"/>
          <w:lang w:val="en-GB"/>
        </w:rPr>
        <w:t xml:space="preserve">Young, Iris Marion (2000). </w:t>
      </w:r>
      <w:r w:rsidRPr="00D0699F">
        <w:rPr>
          <w:rFonts w:ascii="Times New Roman" w:hAnsi="Times New Roman" w:cs="Times New Roman"/>
          <w:i/>
          <w:sz w:val="24"/>
          <w:szCs w:val="24"/>
          <w:lang w:val="en-GB"/>
        </w:rPr>
        <w:t>Inclusion and Democracy</w:t>
      </w:r>
      <w:r>
        <w:rPr>
          <w:rFonts w:ascii="Times New Roman" w:hAnsi="Times New Roman" w:cs="Times New Roman"/>
          <w:sz w:val="24"/>
          <w:szCs w:val="24"/>
          <w:lang w:val="en-GB"/>
        </w:rPr>
        <w:t>. Oxford:</w:t>
      </w:r>
      <w:r w:rsidRPr="00D0699F">
        <w:rPr>
          <w:rFonts w:ascii="Times New Roman" w:hAnsi="Times New Roman" w:cs="Times New Roman"/>
          <w:sz w:val="24"/>
          <w:szCs w:val="24"/>
          <w:lang w:val="en-GB"/>
        </w:rPr>
        <w:t xml:space="preserve"> Oxford University Press.</w:t>
      </w:r>
    </w:p>
    <w:p w:rsidR="000A533E" w:rsidRPr="004A296A" w:rsidRDefault="001616A4" w:rsidP="001B38E1">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Zürn, Michael (2000). </w:t>
      </w:r>
      <w:r w:rsidR="000A533E">
        <w:rPr>
          <w:rFonts w:ascii="Times New Roman" w:hAnsi="Times New Roman" w:cs="Times New Roman"/>
          <w:sz w:val="24"/>
          <w:szCs w:val="24"/>
          <w:lang w:val="en-US"/>
        </w:rPr>
        <w:t>Democratic gove</w:t>
      </w:r>
      <w:r>
        <w:rPr>
          <w:rFonts w:ascii="Times New Roman" w:hAnsi="Times New Roman" w:cs="Times New Roman"/>
          <w:sz w:val="24"/>
          <w:szCs w:val="24"/>
          <w:lang w:val="en-US"/>
        </w:rPr>
        <w:t>rnance beyond the nation-state.</w:t>
      </w:r>
      <w:r w:rsidR="000A533E">
        <w:rPr>
          <w:rFonts w:ascii="Times New Roman" w:hAnsi="Times New Roman" w:cs="Times New Roman"/>
          <w:sz w:val="24"/>
          <w:szCs w:val="24"/>
          <w:lang w:val="en-US"/>
        </w:rPr>
        <w:t xml:space="preserve">  </w:t>
      </w:r>
      <w:r w:rsidR="000A533E" w:rsidRPr="00D0699F">
        <w:rPr>
          <w:rFonts w:ascii="Times New Roman" w:hAnsi="Times New Roman" w:cs="Times New Roman"/>
          <w:i/>
          <w:sz w:val="24"/>
          <w:szCs w:val="24"/>
          <w:lang w:val="en-US"/>
        </w:rPr>
        <w:t>European Journal of Inte</w:t>
      </w:r>
      <w:r w:rsidR="000A533E" w:rsidRPr="00411972">
        <w:rPr>
          <w:rFonts w:ascii="Times New Roman" w:hAnsi="Times New Roman" w:cs="Times New Roman"/>
          <w:i/>
          <w:sz w:val="24"/>
          <w:szCs w:val="24"/>
        </w:rPr>
        <w:t>rnational Relations</w:t>
      </w:r>
      <w:r w:rsidR="000A533E">
        <w:rPr>
          <w:rFonts w:ascii="Times New Roman" w:hAnsi="Times New Roman" w:cs="Times New Roman"/>
          <w:sz w:val="24"/>
          <w:szCs w:val="24"/>
        </w:rPr>
        <w:t xml:space="preserve"> 6 (2), 183-221.</w:t>
      </w:r>
      <w:r w:rsidR="000A533E" w:rsidRPr="004A296A">
        <w:rPr>
          <w:rFonts w:ascii="Times New Roman" w:hAnsi="Times New Roman" w:cs="Times New Roman"/>
          <w:sz w:val="24"/>
          <w:szCs w:val="24"/>
          <w:lang w:val="en-US"/>
        </w:rPr>
        <w:t xml:space="preserve"> </w:t>
      </w:r>
    </w:p>
    <w:p w:rsidR="000A533E" w:rsidRPr="004A296A" w:rsidRDefault="000A533E" w:rsidP="001B38E1">
      <w:pPr>
        <w:spacing w:line="276" w:lineRule="auto"/>
        <w:jc w:val="both"/>
        <w:rPr>
          <w:rFonts w:ascii="Times New Roman" w:hAnsi="Times New Roman" w:cs="Times New Roman"/>
          <w:sz w:val="24"/>
          <w:szCs w:val="24"/>
          <w:lang w:val="en-US"/>
        </w:rPr>
      </w:pPr>
    </w:p>
    <w:p w:rsidR="002B146F" w:rsidRPr="00BC1BDB" w:rsidRDefault="002B146F" w:rsidP="001B38E1">
      <w:pPr>
        <w:spacing w:line="276" w:lineRule="auto"/>
        <w:jc w:val="both"/>
        <w:rPr>
          <w:rFonts w:ascii="Times New Roman" w:hAnsi="Times New Roman" w:cs="Times New Roman"/>
          <w:sz w:val="24"/>
          <w:szCs w:val="24"/>
        </w:rPr>
      </w:pPr>
    </w:p>
    <w:sectPr w:rsidR="002B146F" w:rsidRPr="00BC1BDB">
      <w:headerReference w:type="default" r:id="rId10"/>
      <w:endnotePr>
        <w:numFmt w:val="decimal"/>
      </w:endnotePr>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7641" w:rsidRDefault="00047641" w:rsidP="000D608F">
      <w:pPr>
        <w:spacing w:after="0" w:line="240" w:lineRule="auto"/>
      </w:pPr>
      <w:r>
        <w:separator/>
      </w:r>
    </w:p>
  </w:endnote>
  <w:endnote w:type="continuationSeparator" w:id="0">
    <w:p w:rsidR="00047641" w:rsidRDefault="00047641" w:rsidP="000D608F">
      <w:pPr>
        <w:spacing w:after="0" w:line="240" w:lineRule="auto"/>
      </w:pPr>
      <w:r>
        <w:continuationSeparator/>
      </w:r>
    </w:p>
  </w:endnote>
  <w:endnote w:id="1">
    <w:p w:rsidR="00D63568" w:rsidRPr="001B1C33" w:rsidRDefault="00D63568">
      <w:pPr>
        <w:pStyle w:val="EndnoteText"/>
        <w:rPr>
          <w:rFonts w:ascii="Times New Roman" w:hAnsi="Times New Roman" w:cs="Times New Roman"/>
          <w:sz w:val="24"/>
          <w:szCs w:val="24"/>
        </w:rPr>
      </w:pPr>
      <w:r>
        <w:rPr>
          <w:rStyle w:val="EndnoteReference"/>
        </w:rPr>
        <w:endnoteRef/>
      </w:r>
      <w:r w:rsidRPr="001B1C33">
        <w:t xml:space="preserve"> </w:t>
      </w:r>
      <w:r w:rsidR="001B1C33" w:rsidRPr="001B1C33">
        <w:rPr>
          <w:rFonts w:ascii="Times New Roman" w:hAnsi="Times New Roman" w:cs="Times New Roman"/>
          <w:sz w:val="24"/>
          <w:szCs w:val="24"/>
        </w:rPr>
        <w:t>Haluan kiittää PALO-hankkeen organisoiman workshopin ”Intergenerational Justice and Democracy” (Tampere 5.-6. 9. 2018) osallistu</w:t>
      </w:r>
      <w:r w:rsidR="00CC4FF7">
        <w:rPr>
          <w:rFonts w:ascii="Times New Roman" w:hAnsi="Times New Roman" w:cs="Times New Roman"/>
          <w:sz w:val="24"/>
          <w:szCs w:val="24"/>
        </w:rPr>
        <w:t>jia, erityisesti Teemu Toppista</w:t>
      </w:r>
      <w:r w:rsidR="001B1C33" w:rsidRPr="001B1C33">
        <w:rPr>
          <w:rFonts w:ascii="Times New Roman" w:hAnsi="Times New Roman" w:cs="Times New Roman"/>
          <w:sz w:val="24"/>
          <w:szCs w:val="24"/>
        </w:rPr>
        <w:t xml:space="preserve"> ja Simo Kyllöstä, tämän tekstin englanninkielistä versiota koskevista kommenteista.</w:t>
      </w:r>
      <w:r w:rsidR="00CC4FF7">
        <w:rPr>
          <w:rFonts w:ascii="Times New Roman" w:hAnsi="Times New Roman" w:cs="Times New Roman"/>
          <w:sz w:val="24"/>
          <w:szCs w:val="24"/>
        </w:rPr>
        <w:t xml:space="preserve"> Kiitos kuuluu myös VII suomalais-espanjalaisen oikeusteorian seminaarin (Alicante 24.-26. 5. 2018) osallistujille aiemman version kommentoinnista. Juha Räikkä Turun yliopiston filosofian yksiköstä, samoin kuin tämän lehden kaksi arvioitsijaa, ovat niin ikään tehneet runsaasti hyödyllisiä huomioita. </w:t>
      </w:r>
      <w:r w:rsidR="007865E6">
        <w:rPr>
          <w:rFonts w:ascii="Times New Roman" w:hAnsi="Times New Roman" w:cs="Times New Roman"/>
          <w:sz w:val="24"/>
          <w:szCs w:val="24"/>
        </w:rPr>
        <w:t>Haluan kiittää niistä.</w:t>
      </w:r>
    </w:p>
  </w:endnote>
  <w:endnote w:id="2">
    <w:p w:rsidR="00D63568" w:rsidRPr="00871DA6" w:rsidRDefault="00D63568" w:rsidP="00871DA6">
      <w:pPr>
        <w:pStyle w:val="EndnoteText"/>
        <w:jc w:val="both"/>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Periaatteelle ei ole vakiintunutta suomenkielistä nimitystä. ”Vaikutusperiaate” on minusta luontevampi kuin suoremmat käännökset, joten tarjoan sitä tässä.</w:t>
      </w:r>
    </w:p>
  </w:endnote>
  <w:endnote w:id="3">
    <w:p w:rsidR="00D63568" w:rsidRPr="006653AA" w:rsidRDefault="00D63568" w:rsidP="008B5D1D">
      <w:pPr>
        <w:pStyle w:val="EndnoteText"/>
        <w:jc w:val="both"/>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Periaatteen oletettu rooli on siis hieman samantapainen kuin yhteiskuntasopimusteoreetikkojen olettaman hypoteettisen luonnontilan.</w:t>
      </w:r>
    </w:p>
  </w:endnote>
  <w:endnote w:id="4">
    <w:p w:rsidR="00D63568" w:rsidRPr="007C0A74" w:rsidRDefault="00D63568" w:rsidP="007C0A74">
      <w:pPr>
        <w:pStyle w:val="EndnoteText"/>
        <w:jc w:val="both"/>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Saunders (2011) huomauttaa, että koska toimijuuteen kykenemättömät olennot ovat myös vaikutusten kohteena, vaikutusperiaate näyttäisi jakavan osallistumisoikeuksia myös niille. Hän pitää tätä vakavana vasta-argumenttina; minusta sen voi yksinkertaisesti rajata pois toteamalla, että vaikutusperiaate koskee vain niitä, jotka voivat olla toimijoita.</w:t>
      </w:r>
      <w:r w:rsidR="0020289F">
        <w:rPr>
          <w:rFonts w:ascii="Times New Roman" w:hAnsi="Times New Roman" w:cs="Times New Roman"/>
          <w:sz w:val="24"/>
          <w:szCs w:val="24"/>
        </w:rPr>
        <w:t xml:space="preserve"> Kuten tämän lehden </w:t>
      </w:r>
      <w:r w:rsidR="004C68A0">
        <w:rPr>
          <w:rFonts w:ascii="Times New Roman" w:hAnsi="Times New Roman" w:cs="Times New Roman"/>
          <w:sz w:val="24"/>
          <w:szCs w:val="24"/>
        </w:rPr>
        <w:t>arvioitsija</w:t>
      </w:r>
      <w:r w:rsidR="0020289F">
        <w:rPr>
          <w:rFonts w:ascii="Times New Roman" w:hAnsi="Times New Roman" w:cs="Times New Roman"/>
          <w:sz w:val="24"/>
          <w:szCs w:val="24"/>
        </w:rPr>
        <w:t xml:space="preserve"> huomautti, myös kyky toimijuuteen on historiallisesti ollut hyvin kiistanalainen kysymys – ajateltakoon niitä perusteita, joilla esimerkiksi naisilta on eri aikoina evätty poliittiset oikeudet.</w:t>
      </w:r>
    </w:p>
  </w:endnote>
  <w:endnote w:id="5">
    <w:p w:rsidR="00B97B16" w:rsidRPr="00B97B16" w:rsidRDefault="00B97B16">
      <w:pPr>
        <w:pStyle w:val="EndnoteText"/>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Tämän esityksen aikaisempia versioita koskevissa kommenteissaa</w:t>
      </w:r>
      <w:r w:rsidR="007E106A">
        <w:rPr>
          <w:rFonts w:ascii="Times New Roman" w:hAnsi="Times New Roman" w:cs="Times New Roman"/>
          <w:sz w:val="24"/>
          <w:szCs w:val="24"/>
        </w:rPr>
        <w:t>n</w:t>
      </w:r>
      <w:r>
        <w:rPr>
          <w:rFonts w:ascii="Times New Roman" w:hAnsi="Times New Roman" w:cs="Times New Roman"/>
          <w:sz w:val="24"/>
          <w:szCs w:val="24"/>
        </w:rPr>
        <w:t xml:space="preserve"> Simo Kyllönen on esittänyt, että vaikutusperiaatetta voitaisiin tulkita päätösperiaatteena pikemminkin kuin päätöksentekoinstituutioita koskevana periaatteena. Tämän </w:t>
      </w:r>
      <w:r w:rsidR="007E106A">
        <w:rPr>
          <w:rFonts w:ascii="Times New Roman" w:hAnsi="Times New Roman" w:cs="Times New Roman"/>
          <w:sz w:val="24"/>
          <w:szCs w:val="24"/>
        </w:rPr>
        <w:t>tulkinnan mukaan kaikki ne</w:t>
      </w:r>
      <w:r>
        <w:rPr>
          <w:rFonts w:ascii="Times New Roman" w:hAnsi="Times New Roman" w:cs="Times New Roman"/>
          <w:sz w:val="24"/>
          <w:szCs w:val="24"/>
        </w:rPr>
        <w:t>, joiden legitiimeihin intresseihin päätöks</w:t>
      </w:r>
      <w:r w:rsidR="007E106A">
        <w:rPr>
          <w:rFonts w:ascii="Times New Roman" w:hAnsi="Times New Roman" w:cs="Times New Roman"/>
          <w:sz w:val="24"/>
          <w:szCs w:val="24"/>
        </w:rPr>
        <w:t xml:space="preserve">ellä on vaikutusta, tulisi </w:t>
      </w:r>
      <w:r w:rsidR="007E106A" w:rsidRPr="007B114B">
        <w:rPr>
          <w:rFonts w:ascii="Times New Roman" w:hAnsi="Times New Roman" w:cs="Times New Roman"/>
          <w:sz w:val="24"/>
          <w:szCs w:val="24"/>
        </w:rPr>
        <w:t>ottaa huomioon</w:t>
      </w:r>
      <w:r w:rsidR="007E106A">
        <w:rPr>
          <w:rFonts w:ascii="Times New Roman" w:hAnsi="Times New Roman" w:cs="Times New Roman"/>
          <w:sz w:val="24"/>
          <w:szCs w:val="24"/>
        </w:rPr>
        <w:t xml:space="preserve"> päätöksenteossa. Tämäntyyppinen – sinänsä erittäin uskottavan kuuluinen – periaate ei sano mitään siitä, </w:t>
      </w:r>
      <w:r w:rsidR="007E106A" w:rsidRPr="007E106A">
        <w:rPr>
          <w:rFonts w:ascii="Times New Roman" w:hAnsi="Times New Roman" w:cs="Times New Roman"/>
          <w:i/>
          <w:sz w:val="24"/>
          <w:szCs w:val="24"/>
        </w:rPr>
        <w:t>keiden</w:t>
      </w:r>
      <w:r w:rsidR="007E106A">
        <w:rPr>
          <w:rFonts w:ascii="Times New Roman" w:hAnsi="Times New Roman" w:cs="Times New Roman"/>
          <w:sz w:val="24"/>
          <w:szCs w:val="24"/>
        </w:rPr>
        <w:t xml:space="preserve"> tulisi </w:t>
      </w:r>
      <w:r w:rsidR="007B114B">
        <w:rPr>
          <w:rFonts w:ascii="Times New Roman" w:hAnsi="Times New Roman" w:cs="Times New Roman"/>
          <w:sz w:val="24"/>
          <w:szCs w:val="24"/>
        </w:rPr>
        <w:t xml:space="preserve">konkreettisesti </w:t>
      </w:r>
      <w:r w:rsidR="007E106A">
        <w:rPr>
          <w:rFonts w:ascii="Times New Roman" w:hAnsi="Times New Roman" w:cs="Times New Roman"/>
          <w:sz w:val="24"/>
          <w:szCs w:val="24"/>
        </w:rPr>
        <w:t>tehdä päätökset. Teoriassa se voisi olla sopusoinnussa valistuneen itsevaltiuden kanssa.</w:t>
      </w:r>
      <w:r>
        <w:rPr>
          <w:rFonts w:ascii="Times New Roman" w:hAnsi="Times New Roman" w:cs="Times New Roman"/>
          <w:sz w:val="24"/>
          <w:szCs w:val="24"/>
        </w:rPr>
        <w:t xml:space="preserve"> </w:t>
      </w:r>
      <w:r w:rsidR="007B114B">
        <w:rPr>
          <w:rFonts w:ascii="Times New Roman" w:hAnsi="Times New Roman" w:cs="Times New Roman"/>
          <w:sz w:val="24"/>
          <w:szCs w:val="24"/>
        </w:rPr>
        <w:t>Se ei siis ole se periaate, josta vaikutusperiaatteen kannattajat (ja kriitikot) yleensä kes</w:t>
      </w:r>
      <w:r w:rsidR="007865E6">
        <w:rPr>
          <w:rFonts w:ascii="Times New Roman" w:hAnsi="Times New Roman" w:cs="Times New Roman"/>
          <w:sz w:val="24"/>
          <w:szCs w:val="24"/>
        </w:rPr>
        <w:t>k</w:t>
      </w:r>
      <w:r w:rsidR="007B114B">
        <w:rPr>
          <w:rFonts w:ascii="Times New Roman" w:hAnsi="Times New Roman" w:cs="Times New Roman"/>
          <w:sz w:val="24"/>
          <w:szCs w:val="24"/>
        </w:rPr>
        <w:t>ustelevat.</w:t>
      </w:r>
    </w:p>
  </w:endnote>
  <w:endnote w:id="6">
    <w:p w:rsidR="00D63568" w:rsidRPr="0096643C" w:rsidRDefault="00D63568" w:rsidP="007B114B">
      <w:pPr>
        <w:spacing w:after="0" w:line="240" w:lineRule="auto"/>
        <w:jc w:val="both"/>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Habermas (1996, 110) johtaa hallittujen osallistumisperiaatteen yhden version edellä kuvatusta diskurssiperiaatteestaan: ”vain ne lait ovat legitiimejä joille kaikki oikeusyhteisön jäsenet voivat antaa hyväksymisensä diskursiivisessa lainsäädäntöprosessissa joka on puolestaan laillisesti konstituoitu”.</w:t>
      </w:r>
    </w:p>
  </w:endnote>
  <w:endnote w:id="7">
    <w:p w:rsidR="00D63568" w:rsidRPr="002B5A56" w:rsidRDefault="00D63568" w:rsidP="007B114B">
      <w:pPr>
        <w:pStyle w:val="EndnoteText"/>
        <w:jc w:val="both"/>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 xml:space="preserve">Intressin mahdollisista määritelmistä ks. esim. Reeve &amp; Ware 1983; Oppenheim 1981, 123-149. Usein esitetään, että toimijan intressit liittyvät hänen </w:t>
      </w:r>
      <w:r w:rsidRPr="006653AA">
        <w:rPr>
          <w:rFonts w:ascii="Times New Roman" w:hAnsi="Times New Roman" w:cs="Times New Roman"/>
          <w:i/>
          <w:sz w:val="24"/>
          <w:szCs w:val="24"/>
        </w:rPr>
        <w:t>hyvinvointiinsa</w:t>
      </w:r>
      <w:r>
        <w:rPr>
          <w:rFonts w:ascii="Times New Roman" w:hAnsi="Times New Roman" w:cs="Times New Roman"/>
          <w:sz w:val="24"/>
          <w:szCs w:val="24"/>
        </w:rPr>
        <w:t>. Hyvinvointi on kuitenkin vähintään yhtä monitulkintainen käsite kuin intressi (vrt. Lagerspetz 2011).</w:t>
      </w:r>
    </w:p>
  </w:endnote>
  <w:endnote w:id="8">
    <w:p w:rsidR="00E57E31" w:rsidRPr="00E57E31" w:rsidRDefault="00E57E31">
      <w:pPr>
        <w:pStyle w:val="EndnoteText"/>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 xml:space="preserve">Varmuuden vuoksi: näiden huomioiden myötä ei sitouduta mihinkään määrättyyn käsitykseen kausaliteetista. Joissakin kausaalikäsityksissä tekemättä jättämiset voidaan kyllä </w:t>
      </w:r>
      <w:r w:rsidR="00F12A52">
        <w:rPr>
          <w:rFonts w:ascii="Times New Roman" w:hAnsi="Times New Roman" w:cs="Times New Roman"/>
          <w:sz w:val="24"/>
          <w:szCs w:val="24"/>
        </w:rPr>
        <w:t xml:space="preserve">luontevasti </w:t>
      </w:r>
      <w:r>
        <w:rPr>
          <w:rFonts w:ascii="Times New Roman" w:hAnsi="Times New Roman" w:cs="Times New Roman"/>
          <w:sz w:val="24"/>
          <w:szCs w:val="24"/>
        </w:rPr>
        <w:t>kuvata mahdollisina syytekijöinä. Esimerkiksi pragmaattinen kausaalikäsitys (joka on lähimpänä omaani) mahdollistaa sen, että selitettävää tapahtumaa edeltävästä kausaalikentästä voidaan nimetä erilaisia tekijöitä sy</w:t>
      </w:r>
      <w:r w:rsidR="00F12A52">
        <w:rPr>
          <w:rFonts w:ascii="Times New Roman" w:hAnsi="Times New Roman" w:cs="Times New Roman"/>
          <w:sz w:val="24"/>
          <w:szCs w:val="24"/>
        </w:rPr>
        <w:t xml:space="preserve">yksi, riippuen siitä mitä selitykseltä halutaan. Vastuukysymyksistä keskusteltaessa on täysin luontevaa sanoa, että </w:t>
      </w:r>
      <w:r w:rsidR="006F3E0C">
        <w:rPr>
          <w:rFonts w:ascii="Times New Roman" w:hAnsi="Times New Roman" w:cs="Times New Roman"/>
          <w:sz w:val="24"/>
          <w:szCs w:val="24"/>
        </w:rPr>
        <w:t>”</w:t>
      </w:r>
      <w:r w:rsidR="00F12A52">
        <w:rPr>
          <w:rFonts w:ascii="Times New Roman" w:hAnsi="Times New Roman" w:cs="Times New Roman"/>
          <w:sz w:val="24"/>
          <w:szCs w:val="24"/>
        </w:rPr>
        <w:t xml:space="preserve">sillan romahtaminen </w:t>
      </w:r>
      <w:r w:rsidR="00F12A52" w:rsidRPr="006F3E0C">
        <w:rPr>
          <w:rFonts w:ascii="Times New Roman" w:hAnsi="Times New Roman" w:cs="Times New Roman"/>
          <w:i/>
          <w:sz w:val="24"/>
          <w:szCs w:val="24"/>
        </w:rPr>
        <w:t xml:space="preserve">johtui </w:t>
      </w:r>
      <w:r w:rsidR="00F12A52">
        <w:rPr>
          <w:rFonts w:ascii="Times New Roman" w:hAnsi="Times New Roman" w:cs="Times New Roman"/>
          <w:sz w:val="24"/>
          <w:szCs w:val="24"/>
        </w:rPr>
        <w:t>olennaisesti siitä että sen korjaaminen päätettiin jättää tuonnemmaksi</w:t>
      </w:r>
      <w:r w:rsidR="006F3E0C">
        <w:rPr>
          <w:rFonts w:ascii="Times New Roman" w:hAnsi="Times New Roman" w:cs="Times New Roman"/>
          <w:sz w:val="24"/>
          <w:szCs w:val="24"/>
        </w:rPr>
        <w:t>”</w:t>
      </w:r>
      <w:r w:rsidR="00F12A52">
        <w:rPr>
          <w:rFonts w:ascii="Times New Roman" w:hAnsi="Times New Roman" w:cs="Times New Roman"/>
          <w:sz w:val="24"/>
          <w:szCs w:val="24"/>
        </w:rPr>
        <w:t xml:space="preserve">. Tämän artikkelin aiheiden kannalta pragmaattisen kausaalikäsityksen ongelma on seuraava: Jos vastuu on yksi tapa identifioida syysuhteita (vastuulliset aiheuttivat sillan romahtamisen jättämällä sen korjaamatta), niin tällöin syysuhteita ei puolestaan voi käyttää vastuullisten tahojen identifiointiin liikkumatta kehässä.  </w:t>
      </w:r>
      <w:r w:rsidR="00364012">
        <w:rPr>
          <w:rFonts w:ascii="Times New Roman" w:hAnsi="Times New Roman" w:cs="Times New Roman"/>
          <w:sz w:val="24"/>
          <w:szCs w:val="24"/>
        </w:rPr>
        <w:t>Tämä kaikki tietysti edellyttäisi laajempaa tarkastelua, johon tässä ei ryhdytä.</w:t>
      </w:r>
    </w:p>
  </w:endnote>
  <w:endnote w:id="9">
    <w:p w:rsidR="00D63568" w:rsidRPr="00241DFD" w:rsidRDefault="00D63568">
      <w:pPr>
        <w:pStyle w:val="EndnoteText"/>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Äänestys- tai yleisemmin aggregaatioparadokseista ks. Nurmi 1999.</w:t>
      </w:r>
    </w:p>
  </w:endnote>
  <w:endnote w:id="10">
    <w:p w:rsidR="000A37E7" w:rsidRPr="000A37E7" w:rsidRDefault="000A37E7" w:rsidP="007B114B">
      <w:pPr>
        <w:pStyle w:val="BodyText"/>
        <w:spacing w:after="0" w:line="240" w:lineRule="auto"/>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 xml:space="preserve">Vertaa J. </w:t>
      </w:r>
      <w:r w:rsidR="00297BDB">
        <w:rPr>
          <w:rFonts w:ascii="Times New Roman" w:hAnsi="Times New Roman" w:cs="Times New Roman"/>
          <w:sz w:val="24"/>
          <w:szCs w:val="24"/>
        </w:rPr>
        <w:t xml:space="preserve">S. </w:t>
      </w:r>
      <w:r>
        <w:rPr>
          <w:rFonts w:ascii="Times New Roman" w:hAnsi="Times New Roman" w:cs="Times New Roman"/>
          <w:sz w:val="24"/>
          <w:szCs w:val="24"/>
        </w:rPr>
        <w:t>Mill (1884, 6.12 §</w:t>
      </w:r>
      <w:r w:rsidRPr="000A37E7">
        <w:rPr>
          <w:rFonts w:ascii="Times New Roman" w:hAnsi="Times New Roman" w:cs="Times New Roman"/>
          <w:sz w:val="24"/>
          <w:szCs w:val="24"/>
        </w:rPr>
        <w:t>7</w:t>
      </w:r>
      <w:r>
        <w:rPr>
          <w:rFonts w:ascii="Times New Roman" w:hAnsi="Times New Roman" w:cs="Times New Roman"/>
          <w:sz w:val="24"/>
          <w:szCs w:val="24"/>
        </w:rPr>
        <w:t>): ”</w:t>
      </w:r>
      <w:r w:rsidRPr="000A37E7">
        <w:rPr>
          <w:rFonts w:ascii="Times New Roman" w:hAnsi="Times New Roman" w:cs="Times New Roman"/>
          <w:sz w:val="24"/>
          <w:szCs w:val="24"/>
        </w:rPr>
        <w:t>Täytyy olla olemassa jokin standardi joka määrää tavoitteiden tai halujen kohteiden hyvyyden ja huonouden, absoluuttisen tai suhteellisen. Ja mikä tämä standardi onkin, niitä voi olla vain yksi; sillä jos olisi useita viimekätisiä toiminnan perusteita, sama toiminta voisi olla yhden periaatteen hyväksymä ja toisen tuomitsema, ja tarvittaisiin jokin yleisempi periaa</w:t>
      </w:r>
      <w:r>
        <w:rPr>
          <w:rFonts w:ascii="Times New Roman" w:hAnsi="Times New Roman" w:cs="Times New Roman"/>
          <w:sz w:val="24"/>
          <w:szCs w:val="24"/>
        </w:rPr>
        <w:t>te erotuomariksi niiden välille.”</w:t>
      </w:r>
    </w:p>
  </w:endnote>
  <w:endnote w:id="11">
    <w:p w:rsidR="007865E6" w:rsidRPr="007865E6" w:rsidRDefault="007865E6">
      <w:pPr>
        <w:pStyle w:val="EndnoteText"/>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 xml:space="preserve">Useimmat niistä, jotka nykyään kannattavat utilitarismia, ovat luopuneet siitä ajatuksesta, että utiliteetin maksimointi olisi ainoa normatiivisesti merkitsevä asia. Lopputuloksena olevat näkemykset ovat usein intuitiivisesti uskottavampia kuin utilitarismin klassiset versiot. Samalla näin argumentoivat ovat kuitenkin tulleet riistäneeksi utilitarismilta yhden historiallisesti vaikutusvaltaisen perustelun. </w:t>
      </w:r>
    </w:p>
  </w:endnote>
  <w:endnote w:id="12">
    <w:p w:rsidR="00D63568" w:rsidRPr="000E6A33" w:rsidRDefault="00D63568" w:rsidP="007B114B">
      <w:pPr>
        <w:pStyle w:val="EndnoteText"/>
        <w:jc w:val="both"/>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 xml:space="preserve">Tällöin tietysti oletetaan, että Goodinin edellä tarkasteltu johtopäätös ei pidä paikkaansa: jokaisella ihmisellä </w:t>
      </w:r>
      <w:r w:rsidRPr="00923CEB">
        <w:rPr>
          <w:rFonts w:ascii="Times New Roman" w:hAnsi="Times New Roman" w:cs="Times New Roman"/>
          <w:i/>
          <w:sz w:val="24"/>
          <w:szCs w:val="24"/>
        </w:rPr>
        <w:t>ei</w:t>
      </w:r>
      <w:r>
        <w:rPr>
          <w:rFonts w:ascii="Times New Roman" w:hAnsi="Times New Roman" w:cs="Times New Roman"/>
          <w:sz w:val="24"/>
          <w:szCs w:val="24"/>
        </w:rPr>
        <w:t xml:space="preserve"> ole periaatteessa yhtä hyviä perusteita saada osallistua jokaisen päätöksen tekemiseen.</w:t>
      </w:r>
    </w:p>
  </w:endnote>
  <w:endnote w:id="13">
    <w:p w:rsidR="001B1C33" w:rsidRPr="001B1C33" w:rsidRDefault="001B1C33">
      <w:pPr>
        <w:pStyle w:val="EndnoteText"/>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Näistä perusteluista yksityiskohtaisemmin ks. Mellquist 1974. Esimerkiksi Ruotsin köyhäinhoitokomitea katsoi tarpeelliseksi miettiä vuoden 1839 mietinnössään myös äänioikeuskysymystä: ”Var och ens inverkan på besluten bör avmätas efter hans andel i det gemensamma intresset för ämnet” (sit. Mellquist, mt, 39).</w:t>
      </w:r>
    </w:p>
  </w:endnote>
  <w:endnote w:id="14">
    <w:p w:rsidR="00D63568" w:rsidRPr="00014BD2" w:rsidRDefault="00D63568" w:rsidP="007B114B">
      <w:pPr>
        <w:spacing w:after="0" w:line="240" w:lineRule="auto"/>
        <w:jc w:val="both"/>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Saamelaisten itsehallinto ja saamelaisuuden määrittelyyn liittyvät kiistat ovat hyvä esimerkki ongelmasta.</w:t>
      </w:r>
    </w:p>
  </w:endnote>
  <w:endnote w:id="15">
    <w:p w:rsidR="00E57E31" w:rsidRPr="00E57E31" w:rsidRDefault="00E57E31" w:rsidP="007B114B">
      <w:pPr>
        <w:pStyle w:val="EndnoteText"/>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Kausaalisen ja normatiivisen vaikutuksen eroa on käsitelty jo edellä. Tiivistetysti: kaikki muutokset jossakin normijärjestelmässä (esimerkiksi Suomen oikeusjärjestelmässä), vaikuttavat normatiivisesti niihin, jotka ovat tuon järjestelmän piirissä (esimerkiksi Suomen kansalaisiin). Tästä ei seuraa, että nuo muutokset mitenkään vaikuttaisivat heidän elämäänsä ja intresseihinsä.</w:t>
      </w:r>
    </w:p>
  </w:endnote>
  <w:endnote w:id="16">
    <w:p w:rsidR="00752CC1" w:rsidRPr="00752CC1" w:rsidRDefault="00752CC1">
      <w:pPr>
        <w:pStyle w:val="EndnoteText"/>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Tämän lehden arvioitsija huomautti, että esimerkiksi osuustoimintaliike on laajalti perustunut juuri siihen ajatukseen, että ihmisillä pitäisi olla yhtäläiset vaikutusmahdollisuudet talouden alueella. Tämä on aiheellinen huomio. Toisaalta tämä esimerkki alleviivaa edellä tarkasteltuja vaikutusperiaatteen ongelmia. Pitäisikö nämä yhtäläiset oikeudet varata kuluttajille, yritysten työntekijöille vai ympäröivän yhteiskunnan kansalaisille? Yrityksissä tehtävät päätökset voivat vaikuttaa kaikkiin. – Samainen arvioitsija</w:t>
      </w:r>
      <w:r w:rsidR="005264D9">
        <w:rPr>
          <w:rFonts w:ascii="Times New Roman" w:hAnsi="Times New Roman" w:cs="Times New Roman"/>
          <w:sz w:val="24"/>
          <w:szCs w:val="24"/>
        </w:rPr>
        <w:t xml:space="preserve"> arveli tässä artikkelissa omaksutusta kannasta seuraavan, että yritysten pitäisikin oikeastaan olla valtion demokraattisessa kontrollissa. Tässä hän on täsmälleen oikeassa – mutta yleensä</w:t>
      </w:r>
      <w:r w:rsidR="008C2EA0">
        <w:rPr>
          <w:rFonts w:ascii="Times New Roman" w:hAnsi="Times New Roman" w:cs="Times New Roman"/>
          <w:sz w:val="24"/>
          <w:szCs w:val="24"/>
        </w:rPr>
        <w:t xml:space="preserve"> (joskaan ei aina)</w:t>
      </w:r>
      <w:r w:rsidR="005264D9">
        <w:rPr>
          <w:rFonts w:ascii="Times New Roman" w:hAnsi="Times New Roman" w:cs="Times New Roman"/>
          <w:sz w:val="24"/>
          <w:szCs w:val="24"/>
        </w:rPr>
        <w:t xml:space="preserve"> riittävä kontrolli toteutuu demokraattisen lainsäädännön</w:t>
      </w:r>
      <w:r w:rsidR="00297BDB">
        <w:rPr>
          <w:rFonts w:ascii="Times New Roman" w:hAnsi="Times New Roman" w:cs="Times New Roman"/>
          <w:sz w:val="24"/>
          <w:szCs w:val="24"/>
        </w:rPr>
        <w:t xml:space="preserve"> ja muun normiohjauksen</w:t>
      </w:r>
      <w:r w:rsidR="005264D9">
        <w:rPr>
          <w:rFonts w:ascii="Times New Roman" w:hAnsi="Times New Roman" w:cs="Times New Roman"/>
          <w:sz w:val="24"/>
          <w:szCs w:val="24"/>
        </w:rPr>
        <w:t xml:space="preserve"> kautta.</w:t>
      </w:r>
      <w:r>
        <w:rPr>
          <w:rFonts w:ascii="Times New Roman" w:hAnsi="Times New Roman" w:cs="Times New Roman"/>
          <w:sz w:val="24"/>
          <w:szCs w:val="24"/>
        </w:rPr>
        <w:t xml:space="preserve"> </w:t>
      </w:r>
    </w:p>
  </w:endnote>
  <w:endnote w:id="17">
    <w:p w:rsidR="007B114B" w:rsidRPr="007B114B" w:rsidRDefault="007B114B">
      <w:pPr>
        <w:pStyle w:val="EndnoteText"/>
        <w:rPr>
          <w:rFonts w:ascii="Times New Roman" w:hAnsi="Times New Roman" w:cs="Times New Roman"/>
          <w:sz w:val="24"/>
          <w:szCs w:val="24"/>
        </w:rPr>
      </w:pPr>
      <w:r>
        <w:rPr>
          <w:rStyle w:val="EndnoteReference"/>
        </w:rPr>
        <w:endnoteRef/>
      </w:r>
      <w:r>
        <w:t xml:space="preserve"> </w:t>
      </w:r>
      <w:r>
        <w:rPr>
          <w:rFonts w:ascii="Times New Roman" w:hAnsi="Times New Roman" w:cs="Times New Roman"/>
          <w:sz w:val="24"/>
          <w:szCs w:val="24"/>
        </w:rPr>
        <w:t xml:space="preserve">Toinen tämän lehden arvioitsijoista esitti tämän huomautuksen.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7641" w:rsidRDefault="00047641" w:rsidP="000D608F">
      <w:pPr>
        <w:spacing w:after="0" w:line="240" w:lineRule="auto"/>
      </w:pPr>
      <w:r>
        <w:separator/>
      </w:r>
    </w:p>
  </w:footnote>
  <w:footnote w:type="continuationSeparator" w:id="0">
    <w:p w:rsidR="00047641" w:rsidRDefault="00047641" w:rsidP="000D608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130647"/>
      <w:docPartObj>
        <w:docPartGallery w:val="Page Numbers (Top of Page)"/>
        <w:docPartUnique/>
      </w:docPartObj>
    </w:sdtPr>
    <w:sdtEndPr/>
    <w:sdtContent>
      <w:p w:rsidR="00DD1A97" w:rsidRDefault="00DD1A97">
        <w:pPr>
          <w:pStyle w:val="Header"/>
          <w:jc w:val="right"/>
        </w:pPr>
        <w:r>
          <w:fldChar w:fldCharType="begin"/>
        </w:r>
        <w:r>
          <w:instrText>PAGE   \* MERGEFORMAT</w:instrText>
        </w:r>
        <w:r>
          <w:fldChar w:fldCharType="separate"/>
        </w:r>
        <w:r w:rsidR="002A498D">
          <w:rPr>
            <w:noProof/>
          </w:rPr>
          <w:t>12</w:t>
        </w:r>
        <w:r>
          <w:fldChar w:fldCharType="end"/>
        </w:r>
      </w:p>
    </w:sdtContent>
  </w:sdt>
  <w:p w:rsidR="000D608F" w:rsidRDefault="000D608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062AC8"/>
    <w:multiLevelType w:val="hybridMultilevel"/>
    <w:tmpl w:val="CE868D4C"/>
    <w:lvl w:ilvl="0" w:tplc="4986F560">
      <w:start w:val="1"/>
      <w:numFmt w:val="bullet"/>
      <w:lvlText w:val="–"/>
      <w:lvlJc w:val="left"/>
      <w:pPr>
        <w:tabs>
          <w:tab w:val="num" w:pos="720"/>
        </w:tabs>
        <w:ind w:left="720" w:hanging="360"/>
      </w:pPr>
      <w:rPr>
        <w:rFonts w:ascii="Arial" w:hAnsi="Arial" w:hint="default"/>
      </w:rPr>
    </w:lvl>
    <w:lvl w:ilvl="1" w:tplc="13366FE0">
      <w:start w:val="1"/>
      <w:numFmt w:val="bullet"/>
      <w:lvlText w:val="–"/>
      <w:lvlJc w:val="left"/>
      <w:pPr>
        <w:tabs>
          <w:tab w:val="num" w:pos="1440"/>
        </w:tabs>
        <w:ind w:left="1440" w:hanging="360"/>
      </w:pPr>
      <w:rPr>
        <w:rFonts w:ascii="Arial" w:hAnsi="Arial" w:hint="default"/>
      </w:rPr>
    </w:lvl>
    <w:lvl w:ilvl="2" w:tplc="56DA6D66" w:tentative="1">
      <w:start w:val="1"/>
      <w:numFmt w:val="bullet"/>
      <w:lvlText w:val="–"/>
      <w:lvlJc w:val="left"/>
      <w:pPr>
        <w:tabs>
          <w:tab w:val="num" w:pos="2160"/>
        </w:tabs>
        <w:ind w:left="2160" w:hanging="360"/>
      </w:pPr>
      <w:rPr>
        <w:rFonts w:ascii="Arial" w:hAnsi="Arial" w:hint="default"/>
      </w:rPr>
    </w:lvl>
    <w:lvl w:ilvl="3" w:tplc="64080094" w:tentative="1">
      <w:start w:val="1"/>
      <w:numFmt w:val="bullet"/>
      <w:lvlText w:val="–"/>
      <w:lvlJc w:val="left"/>
      <w:pPr>
        <w:tabs>
          <w:tab w:val="num" w:pos="2880"/>
        </w:tabs>
        <w:ind w:left="2880" w:hanging="360"/>
      </w:pPr>
      <w:rPr>
        <w:rFonts w:ascii="Arial" w:hAnsi="Arial" w:hint="default"/>
      </w:rPr>
    </w:lvl>
    <w:lvl w:ilvl="4" w:tplc="91FE3B9E" w:tentative="1">
      <w:start w:val="1"/>
      <w:numFmt w:val="bullet"/>
      <w:lvlText w:val="–"/>
      <w:lvlJc w:val="left"/>
      <w:pPr>
        <w:tabs>
          <w:tab w:val="num" w:pos="3600"/>
        </w:tabs>
        <w:ind w:left="3600" w:hanging="360"/>
      </w:pPr>
      <w:rPr>
        <w:rFonts w:ascii="Arial" w:hAnsi="Arial" w:hint="default"/>
      </w:rPr>
    </w:lvl>
    <w:lvl w:ilvl="5" w:tplc="92A8C8F6" w:tentative="1">
      <w:start w:val="1"/>
      <w:numFmt w:val="bullet"/>
      <w:lvlText w:val="–"/>
      <w:lvlJc w:val="left"/>
      <w:pPr>
        <w:tabs>
          <w:tab w:val="num" w:pos="4320"/>
        </w:tabs>
        <w:ind w:left="4320" w:hanging="360"/>
      </w:pPr>
      <w:rPr>
        <w:rFonts w:ascii="Arial" w:hAnsi="Arial" w:hint="default"/>
      </w:rPr>
    </w:lvl>
    <w:lvl w:ilvl="6" w:tplc="3244BE2C" w:tentative="1">
      <w:start w:val="1"/>
      <w:numFmt w:val="bullet"/>
      <w:lvlText w:val="–"/>
      <w:lvlJc w:val="left"/>
      <w:pPr>
        <w:tabs>
          <w:tab w:val="num" w:pos="5040"/>
        </w:tabs>
        <w:ind w:left="5040" w:hanging="360"/>
      </w:pPr>
      <w:rPr>
        <w:rFonts w:ascii="Arial" w:hAnsi="Arial" w:hint="default"/>
      </w:rPr>
    </w:lvl>
    <w:lvl w:ilvl="7" w:tplc="58FE6622" w:tentative="1">
      <w:start w:val="1"/>
      <w:numFmt w:val="bullet"/>
      <w:lvlText w:val="–"/>
      <w:lvlJc w:val="left"/>
      <w:pPr>
        <w:tabs>
          <w:tab w:val="num" w:pos="5760"/>
        </w:tabs>
        <w:ind w:left="5760" w:hanging="360"/>
      </w:pPr>
      <w:rPr>
        <w:rFonts w:ascii="Arial" w:hAnsi="Arial" w:hint="default"/>
      </w:rPr>
    </w:lvl>
    <w:lvl w:ilvl="8" w:tplc="7FD455E0" w:tentative="1">
      <w:start w:val="1"/>
      <w:numFmt w:val="bullet"/>
      <w:lvlText w:val="–"/>
      <w:lvlJc w:val="left"/>
      <w:pPr>
        <w:tabs>
          <w:tab w:val="num" w:pos="6480"/>
        </w:tabs>
        <w:ind w:left="6480" w:hanging="360"/>
      </w:pPr>
      <w:rPr>
        <w:rFonts w:ascii="Arial" w:hAnsi="Arial" w:hint="default"/>
      </w:rPr>
    </w:lvl>
  </w:abstractNum>
  <w:abstractNum w:abstractNumId="1">
    <w:nsid w:val="4D724783"/>
    <w:multiLevelType w:val="hybridMultilevel"/>
    <w:tmpl w:val="0E960C4C"/>
    <w:lvl w:ilvl="0" w:tplc="A492F6A0">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1304"/>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1BDB"/>
    <w:rsid w:val="00001555"/>
    <w:rsid w:val="00001740"/>
    <w:rsid w:val="00014BD2"/>
    <w:rsid w:val="00026DAD"/>
    <w:rsid w:val="00034EB4"/>
    <w:rsid w:val="00047641"/>
    <w:rsid w:val="00050580"/>
    <w:rsid w:val="00051BCE"/>
    <w:rsid w:val="000562DF"/>
    <w:rsid w:val="00067F6E"/>
    <w:rsid w:val="00086826"/>
    <w:rsid w:val="00090D8E"/>
    <w:rsid w:val="000A0432"/>
    <w:rsid w:val="000A37E7"/>
    <w:rsid w:val="000A533E"/>
    <w:rsid w:val="000B3911"/>
    <w:rsid w:val="000B72B7"/>
    <w:rsid w:val="000C1953"/>
    <w:rsid w:val="000C4312"/>
    <w:rsid w:val="000D608F"/>
    <w:rsid w:val="000E6A33"/>
    <w:rsid w:val="000E6C98"/>
    <w:rsid w:val="001112F6"/>
    <w:rsid w:val="001146AF"/>
    <w:rsid w:val="00120C06"/>
    <w:rsid w:val="00126825"/>
    <w:rsid w:val="0013270D"/>
    <w:rsid w:val="001519F6"/>
    <w:rsid w:val="001616A4"/>
    <w:rsid w:val="001630AF"/>
    <w:rsid w:val="001819F1"/>
    <w:rsid w:val="0018314D"/>
    <w:rsid w:val="001876A6"/>
    <w:rsid w:val="00196B33"/>
    <w:rsid w:val="0019765D"/>
    <w:rsid w:val="001A0284"/>
    <w:rsid w:val="001A2BA0"/>
    <w:rsid w:val="001B1C33"/>
    <w:rsid w:val="001B38E1"/>
    <w:rsid w:val="001B707B"/>
    <w:rsid w:val="001E333A"/>
    <w:rsid w:val="0020289F"/>
    <w:rsid w:val="002032B8"/>
    <w:rsid w:val="00220FE8"/>
    <w:rsid w:val="00241DFD"/>
    <w:rsid w:val="00244AF8"/>
    <w:rsid w:val="00253387"/>
    <w:rsid w:val="00256E93"/>
    <w:rsid w:val="00276A31"/>
    <w:rsid w:val="00280C50"/>
    <w:rsid w:val="00281AB9"/>
    <w:rsid w:val="00297BDB"/>
    <w:rsid w:val="002A2E60"/>
    <w:rsid w:val="002A498D"/>
    <w:rsid w:val="002B146F"/>
    <w:rsid w:val="002B5A56"/>
    <w:rsid w:val="002C34ED"/>
    <w:rsid w:val="002E342F"/>
    <w:rsid w:val="002E47D9"/>
    <w:rsid w:val="002F19B5"/>
    <w:rsid w:val="003050CD"/>
    <w:rsid w:val="00306788"/>
    <w:rsid w:val="003105BF"/>
    <w:rsid w:val="003412B3"/>
    <w:rsid w:val="003422DA"/>
    <w:rsid w:val="00343073"/>
    <w:rsid w:val="00352573"/>
    <w:rsid w:val="00353739"/>
    <w:rsid w:val="00364012"/>
    <w:rsid w:val="003729EE"/>
    <w:rsid w:val="00374DBF"/>
    <w:rsid w:val="0037757E"/>
    <w:rsid w:val="003800ED"/>
    <w:rsid w:val="00390761"/>
    <w:rsid w:val="003C4FA5"/>
    <w:rsid w:val="003E427D"/>
    <w:rsid w:val="003F50CF"/>
    <w:rsid w:val="00425604"/>
    <w:rsid w:val="0044750E"/>
    <w:rsid w:val="00457D2D"/>
    <w:rsid w:val="004618B1"/>
    <w:rsid w:val="0047179A"/>
    <w:rsid w:val="00473637"/>
    <w:rsid w:val="00475278"/>
    <w:rsid w:val="004752AA"/>
    <w:rsid w:val="00477A6A"/>
    <w:rsid w:val="00490FF9"/>
    <w:rsid w:val="004C3F39"/>
    <w:rsid w:val="004C68A0"/>
    <w:rsid w:val="004C69CE"/>
    <w:rsid w:val="004F0AC9"/>
    <w:rsid w:val="00503495"/>
    <w:rsid w:val="005264D9"/>
    <w:rsid w:val="00534173"/>
    <w:rsid w:val="00550AE0"/>
    <w:rsid w:val="00561790"/>
    <w:rsid w:val="00564100"/>
    <w:rsid w:val="0057624E"/>
    <w:rsid w:val="00577C3A"/>
    <w:rsid w:val="0058107F"/>
    <w:rsid w:val="005A58A9"/>
    <w:rsid w:val="005A6265"/>
    <w:rsid w:val="005A7E4A"/>
    <w:rsid w:val="005B3223"/>
    <w:rsid w:val="005D062F"/>
    <w:rsid w:val="005D2265"/>
    <w:rsid w:val="005D3A69"/>
    <w:rsid w:val="005E4A4B"/>
    <w:rsid w:val="005F4F1D"/>
    <w:rsid w:val="005F6C3D"/>
    <w:rsid w:val="006117E1"/>
    <w:rsid w:val="0063115C"/>
    <w:rsid w:val="00643196"/>
    <w:rsid w:val="006536E2"/>
    <w:rsid w:val="006566C9"/>
    <w:rsid w:val="006653AA"/>
    <w:rsid w:val="00673E5D"/>
    <w:rsid w:val="00677E9D"/>
    <w:rsid w:val="006C0AE1"/>
    <w:rsid w:val="006C3B84"/>
    <w:rsid w:val="006F3E0C"/>
    <w:rsid w:val="00701C07"/>
    <w:rsid w:val="0071039A"/>
    <w:rsid w:val="00714F35"/>
    <w:rsid w:val="00722C94"/>
    <w:rsid w:val="0072422F"/>
    <w:rsid w:val="00745039"/>
    <w:rsid w:val="00745FAE"/>
    <w:rsid w:val="00752CC1"/>
    <w:rsid w:val="00764A8E"/>
    <w:rsid w:val="0076614F"/>
    <w:rsid w:val="00774E8E"/>
    <w:rsid w:val="007865E6"/>
    <w:rsid w:val="007A25FC"/>
    <w:rsid w:val="007A5A39"/>
    <w:rsid w:val="007B114B"/>
    <w:rsid w:val="007C0A74"/>
    <w:rsid w:val="007D46EA"/>
    <w:rsid w:val="007E106A"/>
    <w:rsid w:val="007F1D42"/>
    <w:rsid w:val="008226EB"/>
    <w:rsid w:val="00826009"/>
    <w:rsid w:val="008328AC"/>
    <w:rsid w:val="008367AF"/>
    <w:rsid w:val="0085371E"/>
    <w:rsid w:val="008622E3"/>
    <w:rsid w:val="00871D65"/>
    <w:rsid w:val="00871DA6"/>
    <w:rsid w:val="0088109D"/>
    <w:rsid w:val="00882204"/>
    <w:rsid w:val="008B1EC6"/>
    <w:rsid w:val="008B4918"/>
    <w:rsid w:val="008B5D1D"/>
    <w:rsid w:val="008C2EA0"/>
    <w:rsid w:val="008C3D42"/>
    <w:rsid w:val="008E52B1"/>
    <w:rsid w:val="008F2132"/>
    <w:rsid w:val="008F2453"/>
    <w:rsid w:val="009014E4"/>
    <w:rsid w:val="00907416"/>
    <w:rsid w:val="0092333E"/>
    <w:rsid w:val="00923CEB"/>
    <w:rsid w:val="00927C4C"/>
    <w:rsid w:val="009302C5"/>
    <w:rsid w:val="00943926"/>
    <w:rsid w:val="00947C69"/>
    <w:rsid w:val="0095459E"/>
    <w:rsid w:val="00960FAB"/>
    <w:rsid w:val="0096643C"/>
    <w:rsid w:val="00987A83"/>
    <w:rsid w:val="00993133"/>
    <w:rsid w:val="009A3D9C"/>
    <w:rsid w:val="009A70BD"/>
    <w:rsid w:val="009B3447"/>
    <w:rsid w:val="00A110A9"/>
    <w:rsid w:val="00A3188B"/>
    <w:rsid w:val="00A415D2"/>
    <w:rsid w:val="00A516CB"/>
    <w:rsid w:val="00A61A95"/>
    <w:rsid w:val="00A6428B"/>
    <w:rsid w:val="00A82B6C"/>
    <w:rsid w:val="00A841FA"/>
    <w:rsid w:val="00AA2692"/>
    <w:rsid w:val="00AA7D59"/>
    <w:rsid w:val="00B00B1B"/>
    <w:rsid w:val="00B0562F"/>
    <w:rsid w:val="00B42553"/>
    <w:rsid w:val="00B43AB6"/>
    <w:rsid w:val="00B53BDF"/>
    <w:rsid w:val="00B60C77"/>
    <w:rsid w:val="00B62E65"/>
    <w:rsid w:val="00B71FD2"/>
    <w:rsid w:val="00B97B16"/>
    <w:rsid w:val="00B97CCB"/>
    <w:rsid w:val="00BB28E3"/>
    <w:rsid w:val="00BC1BDB"/>
    <w:rsid w:val="00BD28FC"/>
    <w:rsid w:val="00BE423E"/>
    <w:rsid w:val="00BF04AC"/>
    <w:rsid w:val="00BF67AE"/>
    <w:rsid w:val="00C02687"/>
    <w:rsid w:val="00C07FA8"/>
    <w:rsid w:val="00C1170B"/>
    <w:rsid w:val="00C12EBD"/>
    <w:rsid w:val="00C30066"/>
    <w:rsid w:val="00C52378"/>
    <w:rsid w:val="00C603E2"/>
    <w:rsid w:val="00C62B18"/>
    <w:rsid w:val="00C6468A"/>
    <w:rsid w:val="00C66CAB"/>
    <w:rsid w:val="00C76BBD"/>
    <w:rsid w:val="00C808FF"/>
    <w:rsid w:val="00C93BB3"/>
    <w:rsid w:val="00CA06BB"/>
    <w:rsid w:val="00CA4175"/>
    <w:rsid w:val="00CC4FF7"/>
    <w:rsid w:val="00CD4404"/>
    <w:rsid w:val="00CE1E63"/>
    <w:rsid w:val="00CF1683"/>
    <w:rsid w:val="00D0699F"/>
    <w:rsid w:val="00D31C3D"/>
    <w:rsid w:val="00D33D83"/>
    <w:rsid w:val="00D44421"/>
    <w:rsid w:val="00D501CA"/>
    <w:rsid w:val="00D616F9"/>
    <w:rsid w:val="00D63568"/>
    <w:rsid w:val="00D64F30"/>
    <w:rsid w:val="00D83948"/>
    <w:rsid w:val="00D904BF"/>
    <w:rsid w:val="00DA2C45"/>
    <w:rsid w:val="00DA51EE"/>
    <w:rsid w:val="00DA7832"/>
    <w:rsid w:val="00DA7E8D"/>
    <w:rsid w:val="00DC7506"/>
    <w:rsid w:val="00DD1A97"/>
    <w:rsid w:val="00DE7A2C"/>
    <w:rsid w:val="00DF53AA"/>
    <w:rsid w:val="00E06C54"/>
    <w:rsid w:val="00E2380B"/>
    <w:rsid w:val="00E24429"/>
    <w:rsid w:val="00E24D1B"/>
    <w:rsid w:val="00E25274"/>
    <w:rsid w:val="00E3320D"/>
    <w:rsid w:val="00E4595E"/>
    <w:rsid w:val="00E57E31"/>
    <w:rsid w:val="00E737CA"/>
    <w:rsid w:val="00E775BC"/>
    <w:rsid w:val="00E81825"/>
    <w:rsid w:val="00E828D7"/>
    <w:rsid w:val="00E82C9F"/>
    <w:rsid w:val="00E8480B"/>
    <w:rsid w:val="00E908E8"/>
    <w:rsid w:val="00EA3BCD"/>
    <w:rsid w:val="00EA50D7"/>
    <w:rsid w:val="00EA5186"/>
    <w:rsid w:val="00EB6312"/>
    <w:rsid w:val="00ED0ADC"/>
    <w:rsid w:val="00EF035B"/>
    <w:rsid w:val="00EF2EFF"/>
    <w:rsid w:val="00EF5754"/>
    <w:rsid w:val="00F021DB"/>
    <w:rsid w:val="00F12A52"/>
    <w:rsid w:val="00F16445"/>
    <w:rsid w:val="00F417E0"/>
    <w:rsid w:val="00F43231"/>
    <w:rsid w:val="00F548C3"/>
    <w:rsid w:val="00FA2897"/>
    <w:rsid w:val="00FA4E01"/>
    <w:rsid w:val="00FA5BF1"/>
    <w:rsid w:val="00FA5D50"/>
    <w:rsid w:val="00FC6613"/>
    <w:rsid w:val="00FE2BA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D608F"/>
    <w:pPr>
      <w:tabs>
        <w:tab w:val="center" w:pos="4819"/>
        <w:tab w:val="right" w:pos="9638"/>
      </w:tabs>
      <w:spacing w:after="0" w:line="240" w:lineRule="auto"/>
    </w:pPr>
  </w:style>
  <w:style w:type="character" w:customStyle="1" w:styleId="HeaderChar">
    <w:name w:val="Header Char"/>
    <w:basedOn w:val="DefaultParagraphFont"/>
    <w:link w:val="Header"/>
    <w:uiPriority w:val="99"/>
    <w:rsid w:val="000D608F"/>
  </w:style>
  <w:style w:type="paragraph" w:styleId="Footer">
    <w:name w:val="footer"/>
    <w:basedOn w:val="Normal"/>
    <w:link w:val="FooterChar"/>
    <w:uiPriority w:val="99"/>
    <w:unhideWhenUsed/>
    <w:rsid w:val="000D608F"/>
    <w:pPr>
      <w:tabs>
        <w:tab w:val="center" w:pos="4819"/>
        <w:tab w:val="right" w:pos="9638"/>
      </w:tabs>
      <w:spacing w:after="0" w:line="240" w:lineRule="auto"/>
    </w:pPr>
  </w:style>
  <w:style w:type="character" w:customStyle="1" w:styleId="FooterChar">
    <w:name w:val="Footer Char"/>
    <w:basedOn w:val="DefaultParagraphFont"/>
    <w:link w:val="Footer"/>
    <w:uiPriority w:val="99"/>
    <w:rsid w:val="000D608F"/>
  </w:style>
  <w:style w:type="character" w:styleId="Hyperlink">
    <w:name w:val="Hyperlink"/>
    <w:basedOn w:val="DefaultParagraphFont"/>
    <w:uiPriority w:val="99"/>
    <w:unhideWhenUsed/>
    <w:rsid w:val="000A533E"/>
    <w:rPr>
      <w:color w:val="0563C1" w:themeColor="hyperlink"/>
      <w:u w:val="single"/>
    </w:rPr>
  </w:style>
  <w:style w:type="paragraph" w:styleId="BalloonText">
    <w:name w:val="Balloon Text"/>
    <w:basedOn w:val="Normal"/>
    <w:link w:val="BalloonTextChar"/>
    <w:uiPriority w:val="99"/>
    <w:semiHidden/>
    <w:unhideWhenUsed/>
    <w:rsid w:val="00673E5D"/>
    <w:pPr>
      <w:spacing w:after="0" w:line="240" w:lineRule="auto"/>
    </w:pPr>
    <w:rPr>
      <w:rFonts w:ascii="Calibri" w:hAnsi="Calibri" w:cs="Calibri"/>
      <w:sz w:val="18"/>
      <w:szCs w:val="18"/>
    </w:rPr>
  </w:style>
  <w:style w:type="character" w:customStyle="1" w:styleId="BalloonTextChar">
    <w:name w:val="Balloon Text Char"/>
    <w:basedOn w:val="DefaultParagraphFont"/>
    <w:link w:val="BalloonText"/>
    <w:uiPriority w:val="99"/>
    <w:semiHidden/>
    <w:rsid w:val="00673E5D"/>
    <w:rPr>
      <w:rFonts w:ascii="Calibri" w:hAnsi="Calibri" w:cs="Calibri"/>
      <w:sz w:val="18"/>
      <w:szCs w:val="18"/>
    </w:rPr>
  </w:style>
  <w:style w:type="paragraph" w:styleId="BodyTextIndent">
    <w:name w:val="Body Text Indent"/>
    <w:basedOn w:val="Normal"/>
    <w:link w:val="BodyTextIndentChar"/>
    <w:rsid w:val="00ED0ADC"/>
    <w:pPr>
      <w:spacing w:after="0" w:line="240" w:lineRule="auto"/>
      <w:ind w:left="1304"/>
      <w:jc w:val="both"/>
    </w:pPr>
    <w:rPr>
      <w:rFonts w:ascii="Times New Roman" w:eastAsia="Times New Roman" w:hAnsi="Times New Roman" w:cs="Times New Roman"/>
      <w:sz w:val="24"/>
      <w:szCs w:val="20"/>
      <w:lang w:eastAsia="fi-FI"/>
    </w:rPr>
  </w:style>
  <w:style w:type="character" w:customStyle="1" w:styleId="BodyTextIndentChar">
    <w:name w:val="Body Text Indent Char"/>
    <w:basedOn w:val="DefaultParagraphFont"/>
    <w:link w:val="BodyTextIndent"/>
    <w:rsid w:val="00ED0ADC"/>
    <w:rPr>
      <w:rFonts w:ascii="Times New Roman" w:eastAsia="Times New Roman" w:hAnsi="Times New Roman" w:cs="Times New Roman"/>
      <w:sz w:val="24"/>
      <w:szCs w:val="20"/>
      <w:lang w:eastAsia="fi-FI"/>
    </w:rPr>
  </w:style>
  <w:style w:type="paragraph" w:styleId="ListParagraph">
    <w:name w:val="List Paragraph"/>
    <w:basedOn w:val="Normal"/>
    <w:uiPriority w:val="34"/>
    <w:qFormat/>
    <w:rsid w:val="00A3188B"/>
    <w:pPr>
      <w:spacing w:after="0" w:line="240" w:lineRule="auto"/>
      <w:ind w:left="720"/>
      <w:contextualSpacing/>
    </w:pPr>
    <w:rPr>
      <w:rFonts w:ascii="Times New Roman" w:eastAsia="Times New Roman" w:hAnsi="Times New Roman" w:cs="Times New Roman"/>
      <w:sz w:val="24"/>
      <w:szCs w:val="24"/>
      <w:lang w:eastAsia="fi-FI"/>
    </w:rPr>
  </w:style>
  <w:style w:type="paragraph" w:styleId="FootnoteText">
    <w:name w:val="footnote text"/>
    <w:basedOn w:val="Normal"/>
    <w:link w:val="FootnoteTextChar"/>
    <w:uiPriority w:val="99"/>
    <w:semiHidden/>
    <w:unhideWhenUsed/>
    <w:rsid w:val="00871DA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71DA6"/>
    <w:rPr>
      <w:sz w:val="20"/>
      <w:szCs w:val="20"/>
    </w:rPr>
  </w:style>
  <w:style w:type="character" w:styleId="FootnoteReference">
    <w:name w:val="footnote reference"/>
    <w:basedOn w:val="DefaultParagraphFont"/>
    <w:uiPriority w:val="99"/>
    <w:semiHidden/>
    <w:unhideWhenUsed/>
    <w:rsid w:val="00871DA6"/>
    <w:rPr>
      <w:vertAlign w:val="superscript"/>
    </w:rPr>
  </w:style>
  <w:style w:type="character" w:customStyle="1" w:styleId="subfielddata">
    <w:name w:val="subfielddata"/>
    <w:basedOn w:val="DefaultParagraphFont"/>
    <w:rsid w:val="00643196"/>
  </w:style>
  <w:style w:type="character" w:customStyle="1" w:styleId="fieldlabelspan">
    <w:name w:val="fieldlabelspan"/>
    <w:basedOn w:val="DefaultParagraphFont"/>
    <w:rsid w:val="00DC7506"/>
  </w:style>
  <w:style w:type="paragraph" w:styleId="EndnoteText">
    <w:name w:val="endnote text"/>
    <w:basedOn w:val="Normal"/>
    <w:link w:val="EndnoteTextChar"/>
    <w:uiPriority w:val="99"/>
    <w:semiHidden/>
    <w:unhideWhenUsed/>
    <w:rsid w:val="00D6356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63568"/>
    <w:rPr>
      <w:sz w:val="20"/>
      <w:szCs w:val="20"/>
    </w:rPr>
  </w:style>
  <w:style w:type="character" w:styleId="EndnoteReference">
    <w:name w:val="endnote reference"/>
    <w:basedOn w:val="DefaultParagraphFont"/>
    <w:uiPriority w:val="99"/>
    <w:semiHidden/>
    <w:unhideWhenUsed/>
    <w:rsid w:val="00D63568"/>
    <w:rPr>
      <w:vertAlign w:val="superscript"/>
    </w:rPr>
  </w:style>
  <w:style w:type="paragraph" w:styleId="BodyText">
    <w:name w:val="Body Text"/>
    <w:basedOn w:val="Normal"/>
    <w:link w:val="BodyTextChar"/>
    <w:uiPriority w:val="99"/>
    <w:unhideWhenUsed/>
    <w:rsid w:val="000A37E7"/>
    <w:pPr>
      <w:spacing w:after="120"/>
    </w:pPr>
  </w:style>
  <w:style w:type="character" w:customStyle="1" w:styleId="BodyTextChar">
    <w:name w:val="Body Text Char"/>
    <w:basedOn w:val="DefaultParagraphFont"/>
    <w:link w:val="BodyText"/>
    <w:uiPriority w:val="99"/>
    <w:rsid w:val="000A37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D608F"/>
    <w:pPr>
      <w:tabs>
        <w:tab w:val="center" w:pos="4819"/>
        <w:tab w:val="right" w:pos="9638"/>
      </w:tabs>
      <w:spacing w:after="0" w:line="240" w:lineRule="auto"/>
    </w:pPr>
  </w:style>
  <w:style w:type="character" w:customStyle="1" w:styleId="HeaderChar">
    <w:name w:val="Header Char"/>
    <w:basedOn w:val="DefaultParagraphFont"/>
    <w:link w:val="Header"/>
    <w:uiPriority w:val="99"/>
    <w:rsid w:val="000D608F"/>
  </w:style>
  <w:style w:type="paragraph" w:styleId="Footer">
    <w:name w:val="footer"/>
    <w:basedOn w:val="Normal"/>
    <w:link w:val="FooterChar"/>
    <w:uiPriority w:val="99"/>
    <w:unhideWhenUsed/>
    <w:rsid w:val="000D608F"/>
    <w:pPr>
      <w:tabs>
        <w:tab w:val="center" w:pos="4819"/>
        <w:tab w:val="right" w:pos="9638"/>
      </w:tabs>
      <w:spacing w:after="0" w:line="240" w:lineRule="auto"/>
    </w:pPr>
  </w:style>
  <w:style w:type="character" w:customStyle="1" w:styleId="FooterChar">
    <w:name w:val="Footer Char"/>
    <w:basedOn w:val="DefaultParagraphFont"/>
    <w:link w:val="Footer"/>
    <w:uiPriority w:val="99"/>
    <w:rsid w:val="000D608F"/>
  </w:style>
  <w:style w:type="character" w:styleId="Hyperlink">
    <w:name w:val="Hyperlink"/>
    <w:basedOn w:val="DefaultParagraphFont"/>
    <w:uiPriority w:val="99"/>
    <w:unhideWhenUsed/>
    <w:rsid w:val="000A533E"/>
    <w:rPr>
      <w:color w:val="0563C1" w:themeColor="hyperlink"/>
      <w:u w:val="single"/>
    </w:rPr>
  </w:style>
  <w:style w:type="paragraph" w:styleId="BalloonText">
    <w:name w:val="Balloon Text"/>
    <w:basedOn w:val="Normal"/>
    <w:link w:val="BalloonTextChar"/>
    <w:uiPriority w:val="99"/>
    <w:semiHidden/>
    <w:unhideWhenUsed/>
    <w:rsid w:val="00673E5D"/>
    <w:pPr>
      <w:spacing w:after="0" w:line="240" w:lineRule="auto"/>
    </w:pPr>
    <w:rPr>
      <w:rFonts w:ascii="Calibri" w:hAnsi="Calibri" w:cs="Calibri"/>
      <w:sz w:val="18"/>
      <w:szCs w:val="18"/>
    </w:rPr>
  </w:style>
  <w:style w:type="character" w:customStyle="1" w:styleId="BalloonTextChar">
    <w:name w:val="Balloon Text Char"/>
    <w:basedOn w:val="DefaultParagraphFont"/>
    <w:link w:val="BalloonText"/>
    <w:uiPriority w:val="99"/>
    <w:semiHidden/>
    <w:rsid w:val="00673E5D"/>
    <w:rPr>
      <w:rFonts w:ascii="Calibri" w:hAnsi="Calibri" w:cs="Calibri"/>
      <w:sz w:val="18"/>
      <w:szCs w:val="18"/>
    </w:rPr>
  </w:style>
  <w:style w:type="paragraph" w:styleId="BodyTextIndent">
    <w:name w:val="Body Text Indent"/>
    <w:basedOn w:val="Normal"/>
    <w:link w:val="BodyTextIndentChar"/>
    <w:rsid w:val="00ED0ADC"/>
    <w:pPr>
      <w:spacing w:after="0" w:line="240" w:lineRule="auto"/>
      <w:ind w:left="1304"/>
      <w:jc w:val="both"/>
    </w:pPr>
    <w:rPr>
      <w:rFonts w:ascii="Times New Roman" w:eastAsia="Times New Roman" w:hAnsi="Times New Roman" w:cs="Times New Roman"/>
      <w:sz w:val="24"/>
      <w:szCs w:val="20"/>
      <w:lang w:eastAsia="fi-FI"/>
    </w:rPr>
  </w:style>
  <w:style w:type="character" w:customStyle="1" w:styleId="BodyTextIndentChar">
    <w:name w:val="Body Text Indent Char"/>
    <w:basedOn w:val="DefaultParagraphFont"/>
    <w:link w:val="BodyTextIndent"/>
    <w:rsid w:val="00ED0ADC"/>
    <w:rPr>
      <w:rFonts w:ascii="Times New Roman" w:eastAsia="Times New Roman" w:hAnsi="Times New Roman" w:cs="Times New Roman"/>
      <w:sz w:val="24"/>
      <w:szCs w:val="20"/>
      <w:lang w:eastAsia="fi-FI"/>
    </w:rPr>
  </w:style>
  <w:style w:type="paragraph" w:styleId="ListParagraph">
    <w:name w:val="List Paragraph"/>
    <w:basedOn w:val="Normal"/>
    <w:uiPriority w:val="34"/>
    <w:qFormat/>
    <w:rsid w:val="00A3188B"/>
    <w:pPr>
      <w:spacing w:after="0" w:line="240" w:lineRule="auto"/>
      <w:ind w:left="720"/>
      <w:contextualSpacing/>
    </w:pPr>
    <w:rPr>
      <w:rFonts w:ascii="Times New Roman" w:eastAsia="Times New Roman" w:hAnsi="Times New Roman" w:cs="Times New Roman"/>
      <w:sz w:val="24"/>
      <w:szCs w:val="24"/>
      <w:lang w:eastAsia="fi-FI"/>
    </w:rPr>
  </w:style>
  <w:style w:type="paragraph" w:styleId="FootnoteText">
    <w:name w:val="footnote text"/>
    <w:basedOn w:val="Normal"/>
    <w:link w:val="FootnoteTextChar"/>
    <w:uiPriority w:val="99"/>
    <w:semiHidden/>
    <w:unhideWhenUsed/>
    <w:rsid w:val="00871DA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71DA6"/>
    <w:rPr>
      <w:sz w:val="20"/>
      <w:szCs w:val="20"/>
    </w:rPr>
  </w:style>
  <w:style w:type="character" w:styleId="FootnoteReference">
    <w:name w:val="footnote reference"/>
    <w:basedOn w:val="DefaultParagraphFont"/>
    <w:uiPriority w:val="99"/>
    <w:semiHidden/>
    <w:unhideWhenUsed/>
    <w:rsid w:val="00871DA6"/>
    <w:rPr>
      <w:vertAlign w:val="superscript"/>
    </w:rPr>
  </w:style>
  <w:style w:type="character" w:customStyle="1" w:styleId="subfielddata">
    <w:name w:val="subfielddata"/>
    <w:basedOn w:val="DefaultParagraphFont"/>
    <w:rsid w:val="00643196"/>
  </w:style>
  <w:style w:type="character" w:customStyle="1" w:styleId="fieldlabelspan">
    <w:name w:val="fieldlabelspan"/>
    <w:basedOn w:val="DefaultParagraphFont"/>
    <w:rsid w:val="00DC7506"/>
  </w:style>
  <w:style w:type="paragraph" w:styleId="EndnoteText">
    <w:name w:val="endnote text"/>
    <w:basedOn w:val="Normal"/>
    <w:link w:val="EndnoteTextChar"/>
    <w:uiPriority w:val="99"/>
    <w:semiHidden/>
    <w:unhideWhenUsed/>
    <w:rsid w:val="00D6356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63568"/>
    <w:rPr>
      <w:sz w:val="20"/>
      <w:szCs w:val="20"/>
    </w:rPr>
  </w:style>
  <w:style w:type="character" w:styleId="EndnoteReference">
    <w:name w:val="endnote reference"/>
    <w:basedOn w:val="DefaultParagraphFont"/>
    <w:uiPriority w:val="99"/>
    <w:semiHidden/>
    <w:unhideWhenUsed/>
    <w:rsid w:val="00D63568"/>
    <w:rPr>
      <w:vertAlign w:val="superscript"/>
    </w:rPr>
  </w:style>
  <w:style w:type="paragraph" w:styleId="BodyText">
    <w:name w:val="Body Text"/>
    <w:basedOn w:val="Normal"/>
    <w:link w:val="BodyTextChar"/>
    <w:uiPriority w:val="99"/>
    <w:unhideWhenUsed/>
    <w:rsid w:val="000A37E7"/>
    <w:pPr>
      <w:spacing w:after="120"/>
    </w:pPr>
  </w:style>
  <w:style w:type="character" w:customStyle="1" w:styleId="BodyTextChar">
    <w:name w:val="Body Text Char"/>
    <w:basedOn w:val="DefaultParagraphFont"/>
    <w:link w:val="BodyText"/>
    <w:uiPriority w:val="99"/>
    <w:rsid w:val="000A37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2004071">
      <w:bodyDiv w:val="1"/>
      <w:marLeft w:val="0"/>
      <w:marRight w:val="0"/>
      <w:marTop w:val="0"/>
      <w:marBottom w:val="0"/>
      <w:divBdr>
        <w:top w:val="none" w:sz="0" w:space="0" w:color="auto"/>
        <w:left w:val="none" w:sz="0" w:space="0" w:color="auto"/>
        <w:bottom w:val="none" w:sz="0" w:space="0" w:color="auto"/>
        <w:right w:val="none" w:sz="0" w:space="0" w:color="auto"/>
      </w:divBdr>
      <w:divsChild>
        <w:div w:id="1735162017">
          <w:marLeft w:val="1166"/>
          <w:marRight w:val="0"/>
          <w:marTop w:val="134"/>
          <w:marBottom w:val="0"/>
          <w:divBdr>
            <w:top w:val="none" w:sz="0" w:space="0" w:color="auto"/>
            <w:left w:val="none" w:sz="0" w:space="0" w:color="auto"/>
            <w:bottom w:val="none" w:sz="0" w:space="0" w:color="auto"/>
            <w:right w:val="none" w:sz="0" w:space="0" w:color="auto"/>
          </w:divBdr>
        </w:div>
        <w:div w:id="15665499">
          <w:marLeft w:val="1166"/>
          <w:marRight w:val="0"/>
          <w:marTop w:val="134"/>
          <w:marBottom w:val="0"/>
          <w:divBdr>
            <w:top w:val="none" w:sz="0" w:space="0" w:color="auto"/>
            <w:left w:val="none" w:sz="0" w:space="0" w:color="auto"/>
            <w:bottom w:val="none" w:sz="0" w:space="0" w:color="auto"/>
            <w:right w:val="none" w:sz="0" w:space="0" w:color="auto"/>
          </w:divBdr>
        </w:div>
        <w:div w:id="1428232725">
          <w:marLeft w:val="1166"/>
          <w:marRight w:val="0"/>
          <w:marTop w:val="134"/>
          <w:marBottom w:val="0"/>
          <w:divBdr>
            <w:top w:val="none" w:sz="0" w:space="0" w:color="auto"/>
            <w:left w:val="none" w:sz="0" w:space="0" w:color="auto"/>
            <w:bottom w:val="none" w:sz="0" w:space="0" w:color="auto"/>
            <w:right w:val="none" w:sz="0" w:space="0" w:color="auto"/>
          </w:divBdr>
        </w:div>
        <w:div w:id="589583367">
          <w:marLeft w:val="1166"/>
          <w:marRight w:val="0"/>
          <w:marTop w:val="134"/>
          <w:marBottom w:val="0"/>
          <w:divBdr>
            <w:top w:val="none" w:sz="0" w:space="0" w:color="auto"/>
            <w:left w:val="none" w:sz="0" w:space="0" w:color="auto"/>
            <w:bottom w:val="none" w:sz="0" w:space="0" w:color="auto"/>
            <w:right w:val="none" w:sz="0" w:space="0" w:color="auto"/>
          </w:divBdr>
        </w:div>
        <w:div w:id="538855625">
          <w:marLeft w:val="1166"/>
          <w:marRight w:val="0"/>
          <w:marTop w:val="134"/>
          <w:marBottom w:val="0"/>
          <w:divBdr>
            <w:top w:val="none" w:sz="0" w:space="0" w:color="auto"/>
            <w:left w:val="none" w:sz="0" w:space="0" w:color="auto"/>
            <w:bottom w:val="none" w:sz="0" w:space="0" w:color="auto"/>
            <w:right w:val="none" w:sz="0" w:space="0" w:color="auto"/>
          </w:divBdr>
        </w:div>
      </w:divsChild>
    </w:div>
    <w:div w:id="1976443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akira.ruc.dk/fkt/filosofi/Artikler"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79F70F-080A-4840-B214-D23211E5CC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469</TotalTime>
  <Pages>22</Pages>
  <Words>6028</Words>
  <Characters>48830</Characters>
  <Application>Microsoft Office Word</Application>
  <DocSecurity>0</DocSecurity>
  <Lines>406</Lines>
  <Paragraphs>109</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54749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Yrjö Lagerspetz</dc:creator>
  <cp:lastModifiedBy>Eerik Lagerspetz</cp:lastModifiedBy>
  <cp:revision>28</cp:revision>
  <cp:lastPrinted>2018-09-26T07:44:00Z</cp:lastPrinted>
  <dcterms:created xsi:type="dcterms:W3CDTF">2018-04-26T12:12:00Z</dcterms:created>
  <dcterms:modified xsi:type="dcterms:W3CDTF">2018-12-05T09:09:00Z</dcterms:modified>
</cp:coreProperties>
</file>